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B85530" w:rsidRPr="00E82E2E" w:rsidRDefault="00B85530"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rPr>
      </w:pPr>
    </w:p>
    <w:p w:rsidR="00F34F09" w:rsidRDefault="00F34F09" w:rsidP="007C2F91">
      <w:pPr>
        <w:ind w:left="993" w:hanging="993"/>
        <w:jc w:val="both"/>
        <w:rPr>
          <w:rFonts w:ascii="Book Antiqua" w:hAnsi="Book Antiqua"/>
          <w:b/>
          <w:bCs/>
        </w:rPr>
      </w:pPr>
    </w:p>
    <w:p w:rsidR="00F34F09" w:rsidRDefault="00F34F09" w:rsidP="007C2F91">
      <w:pPr>
        <w:ind w:left="993" w:hanging="993"/>
        <w:jc w:val="both"/>
        <w:rPr>
          <w:rFonts w:ascii="Book Antiqua" w:hAnsi="Book Antiqua"/>
          <w:b/>
          <w:bCs/>
        </w:rPr>
      </w:pPr>
    </w:p>
    <w:p w:rsidR="00F34F09" w:rsidRPr="00082526" w:rsidRDefault="00F34F09" w:rsidP="007C2F91">
      <w:pPr>
        <w:ind w:left="993" w:hanging="993"/>
        <w:jc w:val="both"/>
        <w:rPr>
          <w:rFonts w:ascii="Book Antiqua" w:hAnsi="Book Antiqua"/>
          <w:b/>
          <w:bCs/>
          <w:rtl/>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A0481C" w:rsidRPr="00A0481C" w:rsidRDefault="00A0481C" w:rsidP="00A0481C">
      <w:pPr>
        <w:spacing w:line="300" w:lineRule="atLeast"/>
        <w:jc w:val="center"/>
        <w:rPr>
          <w:rFonts w:ascii="Palatino" w:hAnsi="Palatino" w:cs="Times"/>
          <w:b/>
          <w:bCs/>
          <w:shadow/>
          <w:color w:val="FF9900"/>
        </w:rPr>
      </w:pPr>
      <w:r w:rsidRPr="00A0481C">
        <w:rPr>
          <w:rFonts w:ascii="Palatino" w:hAnsi="Palatino" w:cs="Times"/>
          <w:b/>
          <w:bCs/>
          <w:shadow/>
          <w:color w:val="FF9900"/>
        </w:rPr>
        <w:t>Visite d’étude d’une délégation du Bureau Central de Statistique  de la République du Soudan au Haut-commissariat au Plan</w:t>
      </w:r>
    </w:p>
    <w:p w:rsidR="008E5D62" w:rsidRPr="00A0481C" w:rsidRDefault="00A97D29" w:rsidP="00B85530">
      <w:pPr>
        <w:ind w:left="993" w:hanging="993"/>
        <w:jc w:val="center"/>
        <w:rPr>
          <w:rFonts w:ascii="Palatino" w:hAnsi="Palatino" w:cs="Times"/>
          <w:b/>
          <w:bCs/>
          <w:shadow/>
          <w:color w:val="FF9900"/>
        </w:rPr>
      </w:pPr>
      <w:r w:rsidRPr="00A0481C">
        <w:rPr>
          <w:rFonts w:ascii="Palatino" w:hAnsi="Palatino" w:cs="Times"/>
          <w:b/>
          <w:bCs/>
          <w:shadow/>
          <w:color w:val="FF9900"/>
        </w:rPr>
        <w:t xml:space="preserve">   </w:t>
      </w: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Dans le cadre de ses rapports de coopération avec les instituts d’information statistique nationaux et régionaux et notamment africains et arabes, le Haut Commissariat au Plan a reçu, du 06 au 10 février 2017, une délégation du Bureau Central de Statistique de la République du Soudan.</w:t>
      </w: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 xml:space="preserve"> </w:t>
      </w:r>
      <w:r w:rsidRPr="00B86DE0">
        <w:rPr>
          <w:b/>
          <w:bCs/>
          <w:color w:val="808080"/>
          <w:sz w:val="23"/>
          <w:szCs w:val="23"/>
        </w:rPr>
        <w:tab/>
      </w: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Cette visite a été l’occasion pour la délégation de prendre connaissance des activités du HCP dans le domaine de la production statistique et d’échanger avec ses départements sur les méthodologies de collecte et d’exploitation des statistiques socio-économiques et sur les approches adoptées pour la mesure de la pauvreté et l’élaboration des comptes nationaux.</w:t>
      </w:r>
    </w:p>
    <w:p w:rsidR="00B86DE0" w:rsidRPr="00B86DE0" w:rsidRDefault="00B86DE0" w:rsidP="00B86DE0">
      <w:pPr>
        <w:spacing w:line="288" w:lineRule="auto"/>
        <w:ind w:firstLine="708"/>
        <w:jc w:val="both"/>
        <w:rPr>
          <w:b/>
          <w:bCs/>
          <w:color w:val="808080"/>
          <w:sz w:val="23"/>
          <w:szCs w:val="23"/>
        </w:rPr>
      </w:pP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Au terme de ces séances de travail, une séance de synthèse a permis d’apprécier la qualité des échanges effectués, d’exprimer la volonté conjointe de renforcer la coopération bilatérale entre les deux institutions de multiplier les opportunités de sa dynamisation et de l’élargir à d’autres domaines, notamment ceux des statistiques sur le secteur informel, de l’usage des technologies de l’information dans les opérations statistiques et des prévisions économiques.</w:t>
      </w:r>
      <w:r w:rsidR="00165A95">
        <w:rPr>
          <w:b/>
          <w:bCs/>
          <w:color w:val="808080"/>
          <w:sz w:val="23"/>
          <w:szCs w:val="23"/>
        </w:rPr>
        <w:t xml:space="preserve">   </w:t>
      </w:r>
      <w:r w:rsidR="002B64E8">
        <w:rPr>
          <w:b/>
          <w:bCs/>
          <w:color w:val="808080"/>
          <w:sz w:val="23"/>
          <w:szCs w:val="23"/>
        </w:rPr>
        <w:t xml:space="preserve">    </w:t>
      </w:r>
    </w:p>
    <w:p w:rsidR="00B86DE0" w:rsidRDefault="00B86DE0" w:rsidP="00B86DE0">
      <w:pPr>
        <w:jc w:val="both"/>
      </w:pP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082526" w:rsidRDefault="00082526" w:rsidP="00017E6C">
      <w:pPr>
        <w:spacing w:line="276" w:lineRule="auto"/>
        <w:ind w:firstLine="709"/>
        <w:jc w:val="both"/>
        <w:rPr>
          <w:b/>
          <w:bCs/>
          <w:color w:val="808080"/>
        </w:rPr>
      </w:pPr>
    </w:p>
    <w:p w:rsidR="00082526" w:rsidRDefault="00082526" w:rsidP="00017E6C">
      <w:pPr>
        <w:spacing w:line="276" w:lineRule="auto"/>
        <w:ind w:firstLine="709"/>
        <w:jc w:val="both"/>
        <w:rPr>
          <w:b/>
          <w:bCs/>
          <w:color w:val="808080"/>
        </w:rPr>
      </w:pPr>
    </w:p>
    <w:sectPr w:rsidR="00082526"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1A2" w:rsidRDefault="007011A2">
      <w:r>
        <w:separator/>
      </w:r>
    </w:p>
  </w:endnote>
  <w:endnote w:type="continuationSeparator" w:id="0">
    <w:p w:rsidR="007011A2" w:rsidRDefault="0070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6C6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96C6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86DE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86DE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6C6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1A2" w:rsidRDefault="007011A2">
      <w:r>
        <w:separator/>
      </w:r>
    </w:p>
  </w:footnote>
  <w:footnote w:type="continuationSeparator" w:id="0">
    <w:p w:rsidR="007011A2" w:rsidRDefault="00701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savePreviewPicture/>
  <w:hdrShapeDefaults>
    <o:shapedefaults v:ext="edit" spidmax="47106"/>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28"/>
    <w:rsid w:val="00AF442C"/>
    <w:rsid w:val="00AF74CA"/>
    <w:rsid w:val="00AF778B"/>
    <w:rsid w:val="00B03879"/>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30"/>
    <w:rsid w:val="00B855EA"/>
    <w:rsid w:val="00B86DE0"/>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4</cp:revision>
  <cp:lastPrinted>2012-11-26T10:50:00Z</cp:lastPrinted>
  <dcterms:created xsi:type="dcterms:W3CDTF">2017-02-14T22:37:00Z</dcterms:created>
  <dcterms:modified xsi:type="dcterms:W3CDTF">2017-02-14T22:40:00Z</dcterms:modified>
</cp:coreProperties>
</file>