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B85530" w:rsidRDefault="00B407DC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b/>
          <w:bCs/>
        </w:rPr>
        <w:t xml:space="preserve">    </w:t>
      </w:r>
    </w:p>
    <w:p w:rsidR="00B85530" w:rsidRDefault="00B85530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B85530" w:rsidRDefault="00564788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b/>
          <w:bCs/>
        </w:rPr>
        <w:t xml:space="preserve">     </w:t>
      </w:r>
    </w:p>
    <w:p w:rsidR="009F2C03" w:rsidRPr="00E82E2E" w:rsidRDefault="009F2C03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Pr="00082526" w:rsidRDefault="007C2F91" w:rsidP="007C2F91">
      <w:pPr>
        <w:ind w:left="993" w:hanging="993"/>
        <w:jc w:val="both"/>
        <w:rPr>
          <w:rFonts w:ascii="Book Antiqua" w:hAnsi="Book Antiqua"/>
          <w:b/>
          <w:bCs/>
          <w:rtl/>
        </w:rPr>
      </w:pPr>
    </w:p>
    <w:p w:rsidR="008E5D62" w:rsidRPr="003A45DD" w:rsidRDefault="003A45DD" w:rsidP="00B85530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32"/>
          <w:szCs w:val="32"/>
        </w:rPr>
      </w:pPr>
      <w:r w:rsidRPr="003A45DD">
        <w:rPr>
          <w:rFonts w:ascii="Palatino" w:hAnsi="Palatino" w:cs="Times" w:hint="cs"/>
          <w:b/>
          <w:bCs/>
          <w:shadow/>
          <w:color w:val="FF9900"/>
          <w:sz w:val="32"/>
          <w:szCs w:val="32"/>
          <w:rtl/>
        </w:rPr>
        <w:t>ب</w:t>
      </w:r>
      <w:r>
        <w:rPr>
          <w:rFonts w:ascii="Palatino" w:hAnsi="Palatino" w:cs="Times" w:hint="cs"/>
          <w:b/>
          <w:bCs/>
          <w:shadow/>
          <w:color w:val="FF9900"/>
          <w:sz w:val="32"/>
          <w:szCs w:val="32"/>
          <w:rtl/>
        </w:rPr>
        <w:t>ــــــ</w:t>
      </w:r>
      <w:r w:rsidRPr="003A45DD">
        <w:rPr>
          <w:rFonts w:ascii="Palatino" w:hAnsi="Palatino" w:cs="Times" w:hint="cs"/>
          <w:b/>
          <w:bCs/>
          <w:shadow/>
          <w:color w:val="FF9900"/>
          <w:sz w:val="32"/>
          <w:szCs w:val="32"/>
          <w:rtl/>
        </w:rPr>
        <w:t>لاغ صح</w:t>
      </w:r>
      <w:r>
        <w:rPr>
          <w:rFonts w:ascii="Palatino" w:hAnsi="Palatino" w:cs="Times" w:hint="cs"/>
          <w:b/>
          <w:bCs/>
          <w:shadow/>
          <w:color w:val="FF9900"/>
          <w:sz w:val="32"/>
          <w:szCs w:val="32"/>
          <w:rtl/>
        </w:rPr>
        <w:t>ـــــ</w:t>
      </w:r>
      <w:r w:rsidRPr="003A45DD">
        <w:rPr>
          <w:rFonts w:ascii="Palatino" w:hAnsi="Palatino" w:cs="Times" w:hint="cs"/>
          <w:b/>
          <w:bCs/>
          <w:shadow/>
          <w:color w:val="FF9900"/>
          <w:sz w:val="32"/>
          <w:szCs w:val="32"/>
          <w:rtl/>
        </w:rPr>
        <w:t>في</w:t>
      </w:r>
      <w:r w:rsidR="00A97D29" w:rsidRPr="003A45DD">
        <w:rPr>
          <w:rFonts w:ascii="Palatino" w:hAnsi="Palatino" w:cs="Times"/>
          <w:b/>
          <w:bCs/>
          <w:shadow/>
          <w:color w:val="FF9900"/>
          <w:sz w:val="32"/>
          <w:szCs w:val="32"/>
        </w:rPr>
        <w:t xml:space="preserve">   </w:t>
      </w:r>
    </w:p>
    <w:p w:rsidR="00082526" w:rsidRDefault="00082526" w:rsidP="003A45DD">
      <w:pPr>
        <w:spacing w:line="276" w:lineRule="auto"/>
        <w:ind w:firstLine="709"/>
        <w:jc w:val="right"/>
        <w:rPr>
          <w:rFonts w:hint="cs"/>
          <w:b/>
          <w:bCs/>
          <w:color w:val="808080"/>
          <w:rtl/>
          <w:lang w:bidi="ar-MA"/>
        </w:rPr>
      </w:pPr>
    </w:p>
    <w:p w:rsidR="003A45DD" w:rsidRPr="00497C73" w:rsidRDefault="003A45DD" w:rsidP="009F2C03">
      <w:pPr>
        <w:bidi/>
        <w:spacing w:line="288" w:lineRule="auto"/>
        <w:jc w:val="both"/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</w:pPr>
      <w:r w:rsidRPr="008B652A">
        <w:rPr>
          <w:rFonts w:ascii="Arial" w:hAnsi="Arial" w:hint="cs"/>
          <w:color w:val="222222"/>
          <w:sz w:val="28"/>
          <w:szCs w:val="28"/>
          <w:rtl/>
        </w:rPr>
        <w:br/>
      </w:r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استقبلت المندوبية السامية للتخطيط بين 23 </w:t>
      </w:r>
      <w:proofErr w:type="spell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و25</w:t>
      </w:r>
      <w:proofErr w:type="spellEnd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​​يناير 2017  بعثة مشتركة بين مكتب الإحصاء الأوروبي</w:t>
      </w:r>
      <w:r w:rsidRPr="00497C73">
        <w:rPr>
          <w:rFonts w:ascii="Arial" w:hAnsi="Arial"/>
          <w:b/>
          <w:bCs/>
          <w:color w:val="808080" w:themeColor="background1" w:themeShade="80"/>
          <w:sz w:val="26"/>
          <w:szCs w:val="26"/>
        </w:rPr>
        <w:t xml:space="preserve"> </w:t>
      </w:r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(ُ</w:t>
      </w:r>
      <w:r w:rsidRPr="00497C73">
        <w:rPr>
          <w:rFonts w:ascii="Arial" w:hAnsi="Arial"/>
          <w:b/>
          <w:bCs/>
          <w:color w:val="808080" w:themeColor="background1" w:themeShade="80"/>
          <w:sz w:val="26"/>
          <w:szCs w:val="26"/>
        </w:rPr>
        <w:t>Eurostat</w:t>
      </w:r>
      <w:proofErr w:type="spell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)</w:t>
      </w:r>
      <w:proofErr w:type="spellEnd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وبرنامج التعاون </w:t>
      </w:r>
      <w:proofErr w:type="spell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الأورو</w:t>
      </w:r>
      <w:proofErr w:type="spellEnd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-متوسطي في مجال الإحصاء </w:t>
      </w:r>
      <w:proofErr w:type="spell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(</w:t>
      </w:r>
      <w:r w:rsidRPr="00497C73">
        <w:rPr>
          <w:rFonts w:ascii="Arial" w:hAnsi="Arial"/>
          <w:b/>
          <w:bCs/>
          <w:color w:val="808080" w:themeColor="background1" w:themeShade="80"/>
          <w:sz w:val="26"/>
          <w:szCs w:val="26"/>
        </w:rPr>
        <w:t>Medstat</w:t>
      </w:r>
      <w:proofErr w:type="spellEnd"/>
      <w:r w:rsidRPr="00497C73">
        <w:rPr>
          <w:rFonts w:ascii="Arial" w:hAnsi="Arial"/>
          <w:b/>
          <w:bCs/>
          <w:color w:val="808080" w:themeColor="background1" w:themeShade="80"/>
          <w:sz w:val="26"/>
          <w:szCs w:val="26"/>
        </w:rPr>
        <w:t xml:space="preserve"> </w:t>
      </w:r>
      <w:proofErr w:type="spell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)،</w:t>
      </w:r>
      <w:proofErr w:type="spellEnd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</w:t>
      </w:r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  <w:lang w:bidi="ar-MA"/>
        </w:rPr>
        <w:t>تتكون</w:t>
      </w:r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من رئيس شعبة التعاون مع بلدان الجوار الأوروبي ورئيس المشروع الرابع لبرنامج التعاون </w:t>
      </w:r>
      <w:proofErr w:type="spell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الأورو</w:t>
      </w:r>
      <w:proofErr w:type="spellEnd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-متوسطي في مجال الإحصاء </w:t>
      </w:r>
      <w:proofErr w:type="spell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(</w:t>
      </w:r>
      <w:r w:rsidRPr="00497C73">
        <w:rPr>
          <w:rFonts w:ascii="Arial" w:hAnsi="Arial"/>
          <w:b/>
          <w:bCs/>
          <w:color w:val="808080" w:themeColor="background1" w:themeShade="80"/>
          <w:sz w:val="26"/>
          <w:szCs w:val="26"/>
        </w:rPr>
        <w:t>Medstat</w:t>
      </w:r>
      <w:proofErr w:type="spellEnd"/>
      <w:r w:rsidRPr="00497C73">
        <w:rPr>
          <w:rFonts w:ascii="Arial" w:hAnsi="Arial"/>
          <w:b/>
          <w:bCs/>
          <w:color w:val="808080" w:themeColor="background1" w:themeShade="80"/>
          <w:sz w:val="26"/>
          <w:szCs w:val="26"/>
        </w:rPr>
        <w:t xml:space="preserve"> IV</w:t>
      </w:r>
      <w:proofErr w:type="spell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).</w:t>
      </w:r>
      <w:proofErr w:type="spellEnd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شكلت هذه الزيارة مناسبة لتقييم التقدم المحرز في إنجاز </w:t>
      </w:r>
      <w:proofErr w:type="gram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مختلف</w:t>
      </w:r>
      <w:proofErr w:type="gramEnd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مشاريع التعاون بين الطرفين.</w:t>
      </w:r>
    </w:p>
    <w:p w:rsidR="003A45DD" w:rsidRPr="00497C73" w:rsidRDefault="003A45DD" w:rsidP="009F2C03">
      <w:pPr>
        <w:bidi/>
        <w:spacing w:line="288" w:lineRule="auto"/>
        <w:jc w:val="both"/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</w:pPr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br/>
        <w:t xml:space="preserve">وفي هذا </w:t>
      </w:r>
      <w:proofErr w:type="spell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السياق،</w:t>
      </w:r>
      <w:proofErr w:type="spellEnd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تقدم الوفد بشكره للمغرب على مساهمته في </w:t>
      </w:r>
      <w:proofErr w:type="spell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تفعيل</w:t>
      </w:r>
      <w:proofErr w:type="spellEnd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الأنشطة </w:t>
      </w:r>
      <w:proofErr w:type="spell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االجهوية،</w:t>
      </w:r>
      <w:proofErr w:type="spellEnd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 سواء من خلال انخراطه بصفته كبلد يقود ثلاث مجموعات عمل قطاعية من أصل ست </w:t>
      </w:r>
      <w:proofErr w:type="spell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مجموعات،</w:t>
      </w:r>
      <w:proofErr w:type="spellEnd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أو عبر مساهمة ممثليه في أنشطة برنامج التعاون </w:t>
      </w:r>
      <w:proofErr w:type="spell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الأورو</w:t>
      </w:r>
      <w:proofErr w:type="spellEnd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-متوسطي السادس في مجال الإحصاء </w:t>
      </w:r>
      <w:proofErr w:type="spell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(</w:t>
      </w:r>
      <w:r w:rsidRPr="00497C73">
        <w:rPr>
          <w:rFonts w:ascii="Arial" w:hAnsi="Arial"/>
          <w:b/>
          <w:bCs/>
          <w:color w:val="808080" w:themeColor="background1" w:themeShade="80"/>
          <w:sz w:val="26"/>
          <w:szCs w:val="26"/>
        </w:rPr>
        <w:t>Medstat</w:t>
      </w:r>
      <w:proofErr w:type="spellEnd"/>
      <w:r w:rsidRPr="00497C73">
        <w:rPr>
          <w:rFonts w:ascii="Arial" w:hAnsi="Arial"/>
          <w:b/>
          <w:bCs/>
          <w:color w:val="808080" w:themeColor="background1" w:themeShade="80"/>
          <w:sz w:val="26"/>
          <w:szCs w:val="26"/>
        </w:rPr>
        <w:t xml:space="preserve"> VI</w:t>
      </w:r>
      <w:proofErr w:type="spell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).</w:t>
      </w:r>
      <w:proofErr w:type="spellEnd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 </w:t>
      </w:r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 وتعد</w:t>
      </w:r>
      <w:r w:rsidRPr="00497C73">
        <w:rPr>
          <w:rFonts w:ascii="Arial" w:hAnsi="Arial"/>
          <w:b/>
          <w:bCs/>
          <w:color w:val="808080" w:themeColor="background1" w:themeShade="80"/>
          <w:sz w:val="26"/>
          <w:szCs w:val="26"/>
        </w:rPr>
        <w:t xml:space="preserve"> </w:t>
      </w:r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هذه المساهمة إحدى أهم المساهمات في المنطقة وتكتسي أهمية بالغة </w:t>
      </w:r>
      <w:proofErr w:type="spell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لتفعيل</w:t>
      </w:r>
      <w:proofErr w:type="spellEnd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أحسن لهذا البرنامج.</w:t>
      </w:r>
    </w:p>
    <w:p w:rsidR="003A45DD" w:rsidRPr="00497C73" w:rsidRDefault="003A45DD" w:rsidP="009F2C03">
      <w:pPr>
        <w:bidi/>
        <w:spacing w:line="288" w:lineRule="auto"/>
        <w:jc w:val="both"/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</w:pPr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br/>
        <w:t xml:space="preserve">وقد اتفق الجانبان على تطوير التعاون </w:t>
      </w:r>
      <w:proofErr w:type="spell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الجهوي</w:t>
      </w:r>
      <w:proofErr w:type="spellEnd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في اتجاه يمكن من تثمين المعطيات التي توفرها البحوث الإحصائية عبر إنجاز دراسات </w:t>
      </w:r>
      <w:proofErr w:type="spell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ملائمة،</w:t>
      </w:r>
      <w:proofErr w:type="spellEnd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</w:t>
      </w:r>
      <w:proofErr w:type="spell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تستجيب،</w:t>
      </w:r>
      <w:proofErr w:type="spellEnd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على وجه </w:t>
      </w:r>
      <w:proofErr w:type="spell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الخصوص،</w:t>
      </w:r>
      <w:proofErr w:type="spellEnd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لعملية تتبع وتقييم أهداف التنمية المستدامة التي تنتج بخصوصها المندوبية السامية للتخطيط عددا كبيرا من المؤشرات. </w:t>
      </w:r>
      <w:proofErr w:type="gram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كما</w:t>
      </w:r>
      <w:proofErr w:type="gramEnd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اتفقا على تعزيز الحوار بين منتجي المعطيات الإحصائية ومستعمليها وإعطائه أهمية أكبر في برنامج التعاون.</w:t>
      </w:r>
    </w:p>
    <w:p w:rsidR="003A45DD" w:rsidRPr="00497C73" w:rsidRDefault="003A45DD" w:rsidP="00D338F4">
      <w:pPr>
        <w:bidi/>
        <w:jc w:val="both"/>
        <w:rPr>
          <w:b/>
          <w:bCs/>
          <w:color w:val="808080" w:themeColor="background1" w:themeShade="80"/>
          <w:sz w:val="26"/>
          <w:szCs w:val="26"/>
          <w:lang w:bidi="ar-MA"/>
        </w:rPr>
      </w:pPr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br/>
      </w:r>
      <w:proofErr w:type="spell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وأخيرا،</w:t>
      </w:r>
      <w:proofErr w:type="spellEnd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اتفق الطرفان على إعداد برنامج عمل يتضمن أنشطة قطاعية وأفقية على أساس تبادل منتظم مع مختلف </w:t>
      </w:r>
      <w:proofErr w:type="spell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الفرقاء</w:t>
      </w:r>
      <w:proofErr w:type="spellEnd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ببلدان المنطقة </w:t>
      </w:r>
      <w:proofErr w:type="spellStart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الأورو</w:t>
      </w:r>
      <w:proofErr w:type="spellEnd"/>
      <w:r w:rsidRPr="00497C73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-متوسطية.</w:t>
      </w:r>
    </w:p>
    <w:p w:rsidR="003A45DD" w:rsidRPr="00497C73" w:rsidRDefault="003A45DD" w:rsidP="003A45DD">
      <w:pPr>
        <w:spacing w:line="276" w:lineRule="auto"/>
        <w:ind w:firstLine="709"/>
        <w:jc w:val="right"/>
        <w:rPr>
          <w:rFonts w:hint="cs"/>
          <w:b/>
          <w:bCs/>
          <w:color w:val="808080" w:themeColor="background1" w:themeShade="80"/>
          <w:rtl/>
          <w:lang w:bidi="ar-MA"/>
        </w:rPr>
      </w:pPr>
    </w:p>
    <w:p w:rsidR="00082526" w:rsidRPr="00497C73" w:rsidRDefault="00082526" w:rsidP="00017E6C">
      <w:pPr>
        <w:spacing w:line="276" w:lineRule="auto"/>
        <w:ind w:firstLine="709"/>
        <w:jc w:val="both"/>
        <w:rPr>
          <w:b/>
          <w:bCs/>
          <w:color w:val="808080" w:themeColor="background1" w:themeShade="80"/>
        </w:rPr>
      </w:pPr>
    </w:p>
    <w:p w:rsidR="00082526" w:rsidRPr="006E22E0" w:rsidRDefault="006E22E0" w:rsidP="006E22E0">
      <w:pPr>
        <w:spacing w:line="276" w:lineRule="auto"/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</w:pPr>
      <w:r w:rsidRPr="006E22E0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خلية </w:t>
      </w:r>
      <w:proofErr w:type="spellStart"/>
      <w:r w:rsidRPr="006E22E0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الإتصــال</w:t>
      </w:r>
      <w:proofErr w:type="spellEnd"/>
    </w:p>
    <w:sectPr w:rsidR="00082526" w:rsidRPr="006E22E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640" w:rsidRDefault="00BE2640">
      <w:r>
        <w:separator/>
      </w:r>
    </w:p>
  </w:endnote>
  <w:endnote w:type="continuationSeparator" w:id="0">
    <w:p w:rsidR="00BE2640" w:rsidRDefault="00BE2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5624A3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5624A3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082526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082526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5624A3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660633" w:rsidRDefault="00867FAB" w:rsidP="00660633">
                <w:pPr>
                  <w:rPr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660633" w:rsidRDefault="00867FAB" w:rsidP="00660633">
                <w:pPr>
                  <w:rPr>
                    <w:sz w:val="20"/>
                    <w:rtl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640" w:rsidRDefault="00BE2640">
      <w:r>
        <w:separator/>
      </w:r>
    </w:p>
  </w:footnote>
  <w:footnote w:type="continuationSeparator" w:id="0">
    <w:p w:rsidR="00BE2640" w:rsidRDefault="00BE26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45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17E6C"/>
    <w:rsid w:val="000205FA"/>
    <w:rsid w:val="00024095"/>
    <w:rsid w:val="00027850"/>
    <w:rsid w:val="00050A6E"/>
    <w:rsid w:val="00053289"/>
    <w:rsid w:val="00053619"/>
    <w:rsid w:val="000554EE"/>
    <w:rsid w:val="00060321"/>
    <w:rsid w:val="00064386"/>
    <w:rsid w:val="0006553F"/>
    <w:rsid w:val="00065DCD"/>
    <w:rsid w:val="00070037"/>
    <w:rsid w:val="00072C11"/>
    <w:rsid w:val="00081BE5"/>
    <w:rsid w:val="00082526"/>
    <w:rsid w:val="00085E86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3AA7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4AB1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2019A3"/>
    <w:rsid w:val="00205A6A"/>
    <w:rsid w:val="00206659"/>
    <w:rsid w:val="002139B6"/>
    <w:rsid w:val="00220DF6"/>
    <w:rsid w:val="0022299E"/>
    <w:rsid w:val="0022597E"/>
    <w:rsid w:val="0023043F"/>
    <w:rsid w:val="002316A6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1E39"/>
    <w:rsid w:val="003557D2"/>
    <w:rsid w:val="00360101"/>
    <w:rsid w:val="003671BE"/>
    <w:rsid w:val="00376048"/>
    <w:rsid w:val="00376C2C"/>
    <w:rsid w:val="00376C4A"/>
    <w:rsid w:val="00385013"/>
    <w:rsid w:val="0039063A"/>
    <w:rsid w:val="00393B90"/>
    <w:rsid w:val="00393EF8"/>
    <w:rsid w:val="003A14B5"/>
    <w:rsid w:val="003A45DD"/>
    <w:rsid w:val="003A5CB2"/>
    <w:rsid w:val="003B51AD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744FF"/>
    <w:rsid w:val="00481E24"/>
    <w:rsid w:val="00484E8D"/>
    <w:rsid w:val="0049060D"/>
    <w:rsid w:val="00497C73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24A3"/>
    <w:rsid w:val="00564788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0633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D22BC"/>
    <w:rsid w:val="006D4F49"/>
    <w:rsid w:val="006D6B8F"/>
    <w:rsid w:val="006D7AEF"/>
    <w:rsid w:val="006D7FA4"/>
    <w:rsid w:val="006E22E0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D26"/>
    <w:rsid w:val="00737E9A"/>
    <w:rsid w:val="007418E0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4B9D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3C11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E6D"/>
    <w:rsid w:val="008B32BE"/>
    <w:rsid w:val="008C2C3C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B2B2B"/>
    <w:rsid w:val="009C0E61"/>
    <w:rsid w:val="009C1063"/>
    <w:rsid w:val="009D0EEB"/>
    <w:rsid w:val="009D1867"/>
    <w:rsid w:val="009D3F74"/>
    <w:rsid w:val="009D664A"/>
    <w:rsid w:val="009E1925"/>
    <w:rsid w:val="009E3005"/>
    <w:rsid w:val="009E4032"/>
    <w:rsid w:val="009E4BD5"/>
    <w:rsid w:val="009F2C03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7D29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55E9"/>
    <w:rsid w:val="00AE61E0"/>
    <w:rsid w:val="00AF3928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17EB"/>
    <w:rsid w:val="00B31D24"/>
    <w:rsid w:val="00B35A48"/>
    <w:rsid w:val="00B37707"/>
    <w:rsid w:val="00B407DC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30"/>
    <w:rsid w:val="00B855EA"/>
    <w:rsid w:val="00BA5F9D"/>
    <w:rsid w:val="00BB27CA"/>
    <w:rsid w:val="00BB3BD2"/>
    <w:rsid w:val="00BB55C0"/>
    <w:rsid w:val="00BC2E39"/>
    <w:rsid w:val="00BC2EE7"/>
    <w:rsid w:val="00BC49B4"/>
    <w:rsid w:val="00BD05AA"/>
    <w:rsid w:val="00BD3618"/>
    <w:rsid w:val="00BD611F"/>
    <w:rsid w:val="00BD7B29"/>
    <w:rsid w:val="00BE12C8"/>
    <w:rsid w:val="00BE2640"/>
    <w:rsid w:val="00C005F2"/>
    <w:rsid w:val="00C01A58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0D47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585"/>
    <w:rsid w:val="00C92E38"/>
    <w:rsid w:val="00C94FAA"/>
    <w:rsid w:val="00CA2232"/>
    <w:rsid w:val="00CA5039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30672"/>
    <w:rsid w:val="00D30B74"/>
    <w:rsid w:val="00D338F4"/>
    <w:rsid w:val="00D40AE4"/>
    <w:rsid w:val="00D46A93"/>
    <w:rsid w:val="00D46BF6"/>
    <w:rsid w:val="00D4763E"/>
    <w:rsid w:val="00D562BD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3CA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8</cp:revision>
  <cp:lastPrinted>2012-11-26T10:50:00Z</cp:lastPrinted>
  <dcterms:created xsi:type="dcterms:W3CDTF">2017-02-04T19:58:00Z</dcterms:created>
  <dcterms:modified xsi:type="dcterms:W3CDTF">2017-02-04T20:22:00Z</dcterms:modified>
</cp:coreProperties>
</file>