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F553E" w:rsidRDefault="004F553E" w:rsidP="004F553E">
      <w:pPr>
        <w:spacing w:line="276" w:lineRule="auto"/>
        <w:jc w:val="both"/>
        <w:rPr>
          <w:rFonts w:ascii="Book Antiqua" w:hAnsi="Book Antiqua"/>
          <w:b/>
          <w:bCs/>
        </w:rPr>
      </w:pPr>
      <w:r w:rsidRPr="00B7410A">
        <w:rPr>
          <w:rFonts w:ascii="Book Antiqua" w:hAnsi="Book Antiqua"/>
          <w:b/>
          <w:bCs/>
        </w:rPr>
        <w:t xml:space="preserve">           </w:t>
      </w:r>
    </w:p>
    <w:p w:rsidR="00EC6E8A" w:rsidRDefault="00EC6E8A" w:rsidP="004F553E">
      <w:pPr>
        <w:spacing w:line="276" w:lineRule="auto"/>
        <w:jc w:val="both"/>
        <w:rPr>
          <w:b/>
          <w:bCs/>
          <w:color w:val="808080"/>
        </w:rPr>
      </w:pPr>
    </w:p>
    <w:p w:rsidR="009E767D" w:rsidRDefault="00EC6E8A" w:rsidP="009E767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 DE PRESSE</w:t>
      </w:r>
    </w:p>
    <w:p w:rsidR="009E767D" w:rsidRPr="009E767D" w:rsidRDefault="009E767D" w:rsidP="009E767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5252F5" w:rsidRDefault="00EC6E8A" w:rsidP="00EC6E8A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 w:rsidRPr="00EC6E8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Convention de coopération </w:t>
      </w:r>
    </w:p>
    <w:p w:rsidR="00EC6E8A" w:rsidRPr="00EC6E8A" w:rsidRDefault="005252F5" w:rsidP="005252F5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E</w:t>
      </w:r>
      <w:r w:rsidR="00EC6E8A" w:rsidRPr="00EC6E8A">
        <w:rPr>
          <w:rFonts w:ascii="Palatino" w:hAnsi="Palatino" w:cs="Times"/>
          <w:b/>
          <w:bCs/>
          <w:shadow/>
          <w:color w:val="FF9900"/>
          <w:sz w:val="26"/>
          <w:szCs w:val="26"/>
        </w:rPr>
        <w:t>ntre le Haut Commissariat au Plan et la Banque Mondiale</w:t>
      </w:r>
    </w:p>
    <w:p w:rsidR="00EC6E8A" w:rsidRDefault="00EC6E8A" w:rsidP="00EC6E8A">
      <w:pPr>
        <w:ind w:left="-540" w:right="-468"/>
        <w:rPr>
          <w:rFonts w:asciiTheme="minorHAnsi" w:hAnsiTheme="minorHAnsi"/>
          <w:sz w:val="26"/>
          <w:szCs w:val="26"/>
        </w:rPr>
      </w:pPr>
    </w:p>
    <w:p w:rsidR="00EC6E8A" w:rsidRPr="003F142A" w:rsidRDefault="00EC6E8A" w:rsidP="00EC6E8A">
      <w:pPr>
        <w:ind w:left="-540" w:right="-8"/>
        <w:rPr>
          <w:rFonts w:asciiTheme="minorHAnsi" w:hAnsiTheme="minorHAnsi"/>
          <w:sz w:val="26"/>
          <w:szCs w:val="26"/>
        </w:rPr>
      </w:pPr>
    </w:p>
    <w:p w:rsidR="00EC6E8A" w:rsidRPr="005252F5" w:rsidRDefault="00EC6E8A" w:rsidP="009B559F">
      <w:pPr>
        <w:spacing w:line="264" w:lineRule="auto"/>
        <w:ind w:right="-471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Le Jeudi 07 Avril 2016 à Rabat, Monsieur Ahmed Lahlimi Alami, Haut Commissaire au Plan et Madame Marie-Françoise Marie-Nelly, Directrice des Opérations pour le Département Maghreb, Moyen-Orient et Afrique du Nord de la Banque Mondiale, ont procédé à la signature de la convention déclinant le cadre général de la coopération à moyen terme entre les deux institutions.</w:t>
      </w:r>
    </w:p>
    <w:p w:rsidR="00EC6E8A" w:rsidRPr="005252F5" w:rsidRDefault="00EC6E8A" w:rsidP="00EC6E8A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EC6E8A" w:rsidRPr="005252F5" w:rsidRDefault="00EC6E8A" w:rsidP="009B559F">
      <w:pPr>
        <w:spacing w:line="264" w:lineRule="auto"/>
        <w:ind w:right="-471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 xml:space="preserve">Ce nouveau cadre de coopération couvre les années 2016, 2017 et 2018 et prévoit un programme d’études avec des thèmes prioritaires s’articulant autour des axes suivants :   </w:t>
      </w:r>
    </w:p>
    <w:p w:rsidR="00EC6E8A" w:rsidRPr="005252F5" w:rsidRDefault="00EC6E8A" w:rsidP="00EC6E8A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La réalisation et la diffusion des études à partir des données statistiques produites par le HCP, en particulier  dans les domaines  de la consommation, des revenus et des conditions de vie de la population.</w:t>
      </w: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La promotion des nouvelles approches de la mesure de la pauvreté et des inégalités ;</w:t>
      </w: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La modélisation économique et la simulation d’impact de politiques publiques ;</w:t>
      </w: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La mise en place d’une comptabilité environnementale (élaboration de comptes satellites sur l’environnement) ;</w:t>
      </w: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La conduite d’études sectorielles et/ou d’évaluation de stratégies sectorielles ;</w:t>
      </w:r>
    </w:p>
    <w:p w:rsidR="00EC6E8A" w:rsidRPr="005252F5" w:rsidRDefault="00EC6E8A" w:rsidP="00EC6E8A">
      <w:pPr>
        <w:pStyle w:val="Paragraphedeliste"/>
        <w:numPr>
          <w:ilvl w:val="0"/>
          <w:numId w:val="5"/>
        </w:numPr>
        <w:spacing w:line="340" w:lineRule="exact"/>
        <w:ind w:right="-468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>Le développement des technologies de collecte, de traitement, de stockage et de diffusion des données et documents produits par le HCP.</w:t>
      </w:r>
    </w:p>
    <w:p w:rsidR="00EC6E8A" w:rsidRPr="005252F5" w:rsidRDefault="00EC6E8A" w:rsidP="00EC6E8A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6237CF" w:rsidRDefault="006237CF" w:rsidP="009B559F">
      <w:pPr>
        <w:spacing w:line="264" w:lineRule="auto"/>
        <w:ind w:right="-471"/>
        <w:jc w:val="both"/>
        <w:rPr>
          <w:b/>
          <w:bCs/>
          <w:color w:val="808080"/>
          <w:sz w:val="23"/>
          <w:szCs w:val="23"/>
        </w:rPr>
      </w:pPr>
      <w:r w:rsidRPr="005252F5">
        <w:rPr>
          <w:b/>
          <w:bCs/>
          <w:color w:val="808080"/>
          <w:sz w:val="23"/>
          <w:szCs w:val="23"/>
        </w:rPr>
        <w:t xml:space="preserve">Cette convention de coopération porte également sur le développement des instruments de recherche, l’échange d’expertise, le renforcement </w:t>
      </w:r>
      <w:bookmarkStart w:id="0" w:name="_GoBack"/>
      <w:bookmarkEnd w:id="0"/>
      <w:r w:rsidRPr="005252F5">
        <w:rPr>
          <w:b/>
          <w:bCs/>
          <w:color w:val="808080"/>
          <w:sz w:val="23"/>
          <w:szCs w:val="23"/>
        </w:rPr>
        <w:t>des compétences et la dissémination, notamment en milieux anglophones, de la production scientifique du HCP.</w:t>
      </w:r>
    </w:p>
    <w:p w:rsidR="006237CF" w:rsidRDefault="006237CF" w:rsidP="006237CF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EC6E8A" w:rsidRPr="005252F5" w:rsidRDefault="006237CF" w:rsidP="009B559F">
      <w:pPr>
        <w:spacing w:line="264" w:lineRule="auto"/>
        <w:ind w:right="-471"/>
        <w:jc w:val="both"/>
        <w:rPr>
          <w:b/>
          <w:bCs/>
          <w:color w:val="808080"/>
          <w:sz w:val="23"/>
          <w:szCs w:val="23"/>
        </w:rPr>
      </w:pPr>
      <w:r>
        <w:rPr>
          <w:b/>
          <w:bCs/>
          <w:color w:val="808080"/>
          <w:sz w:val="23"/>
          <w:szCs w:val="23"/>
        </w:rPr>
        <w:t xml:space="preserve">Il convient de rappeler que </w:t>
      </w:r>
      <w:r w:rsidR="00EC6E8A" w:rsidRPr="005252F5">
        <w:rPr>
          <w:b/>
          <w:bCs/>
          <w:color w:val="808080"/>
          <w:sz w:val="23"/>
          <w:szCs w:val="23"/>
        </w:rPr>
        <w:t xml:space="preserve">les experts du HCP et de la BM </w:t>
      </w:r>
      <w:r>
        <w:rPr>
          <w:b/>
          <w:bCs/>
          <w:color w:val="808080"/>
          <w:sz w:val="23"/>
          <w:szCs w:val="23"/>
        </w:rPr>
        <w:t>avaient</w:t>
      </w:r>
      <w:r w:rsidR="00EC6E8A" w:rsidRPr="005252F5">
        <w:rPr>
          <w:b/>
          <w:bCs/>
          <w:color w:val="808080"/>
          <w:sz w:val="23"/>
          <w:szCs w:val="23"/>
        </w:rPr>
        <w:t xml:space="preserve"> tenu</w:t>
      </w:r>
      <w:r>
        <w:rPr>
          <w:b/>
          <w:bCs/>
          <w:color w:val="808080"/>
          <w:sz w:val="23"/>
          <w:szCs w:val="23"/>
        </w:rPr>
        <w:t>, à</w:t>
      </w:r>
      <w:r w:rsidRPr="005252F5">
        <w:rPr>
          <w:b/>
          <w:bCs/>
          <w:color w:val="808080"/>
          <w:sz w:val="23"/>
          <w:szCs w:val="23"/>
        </w:rPr>
        <w:t xml:space="preserve"> cet effet, </w:t>
      </w:r>
      <w:r w:rsidR="00EC6E8A" w:rsidRPr="005252F5">
        <w:rPr>
          <w:b/>
          <w:bCs/>
          <w:color w:val="808080"/>
          <w:sz w:val="23"/>
          <w:szCs w:val="23"/>
        </w:rPr>
        <w:t xml:space="preserve"> des réunions, du 14 au 18 décembre 2015, durant lesquelles ils avaient identifié les domaines de collaboration </w:t>
      </w:r>
      <w:r>
        <w:rPr>
          <w:b/>
          <w:bCs/>
          <w:color w:val="808080"/>
          <w:sz w:val="23"/>
          <w:szCs w:val="23"/>
        </w:rPr>
        <w:t>à promouvoir dans le cadre de cette</w:t>
      </w:r>
      <w:r w:rsidR="00EC6E8A" w:rsidRPr="005252F5">
        <w:rPr>
          <w:b/>
          <w:bCs/>
          <w:color w:val="808080"/>
          <w:sz w:val="23"/>
          <w:szCs w:val="23"/>
        </w:rPr>
        <w:t xml:space="preserve"> convention. </w:t>
      </w:r>
    </w:p>
    <w:p w:rsidR="00EC6E8A" w:rsidRPr="005252F5" w:rsidRDefault="00EC6E8A" w:rsidP="00EC6E8A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EC6E8A" w:rsidRPr="005252F5" w:rsidRDefault="00EC6E8A" w:rsidP="00EC6E8A">
      <w:pPr>
        <w:ind w:right="-468"/>
        <w:jc w:val="both"/>
        <w:rPr>
          <w:b/>
          <w:bCs/>
          <w:color w:val="808080"/>
          <w:sz w:val="23"/>
          <w:szCs w:val="23"/>
        </w:rPr>
      </w:pPr>
    </w:p>
    <w:p w:rsidR="00EC6E8A" w:rsidRPr="003F142A" w:rsidRDefault="00EC6E8A" w:rsidP="00EC6E8A">
      <w:pPr>
        <w:spacing w:line="340" w:lineRule="exact"/>
        <w:ind w:right="-468"/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E15AA3" w:rsidRDefault="00E15AA3" w:rsidP="00E15AA3">
      <w:pPr>
        <w:jc w:val="right"/>
      </w:pPr>
    </w:p>
    <w:p w:rsidR="00867FAB" w:rsidRPr="008D1587" w:rsidRDefault="00867FAB" w:rsidP="00E15AA3">
      <w:pPr>
        <w:spacing w:line="360" w:lineRule="auto"/>
        <w:jc w:val="both"/>
      </w:pPr>
    </w:p>
    <w:sectPr w:rsidR="00867FAB" w:rsidRPr="008D1587" w:rsidSect="00EC6E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18F" w:rsidRDefault="005C218F">
      <w:r>
        <w:separator/>
      </w:r>
    </w:p>
  </w:endnote>
  <w:endnote w:type="continuationSeparator" w:id="1">
    <w:p w:rsidR="005C218F" w:rsidRDefault="005C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F1ED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F1ED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C6E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E2079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F1ED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18F" w:rsidRDefault="005C218F">
      <w:r>
        <w:separator/>
      </w:r>
    </w:p>
  </w:footnote>
  <w:footnote w:type="continuationSeparator" w:id="1">
    <w:p w:rsidR="005C218F" w:rsidRDefault="005C2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031C2C"/>
    <w:multiLevelType w:val="hybridMultilevel"/>
    <w:tmpl w:val="FD401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65DCD"/>
    <w:rsid w:val="00070037"/>
    <w:rsid w:val="00073F06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5D93"/>
    <w:rsid w:val="00116B4A"/>
    <w:rsid w:val="00120AF1"/>
    <w:rsid w:val="001217AF"/>
    <w:rsid w:val="0012265F"/>
    <w:rsid w:val="00130EEA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719B1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06D12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52F5"/>
    <w:rsid w:val="0052635A"/>
    <w:rsid w:val="00537897"/>
    <w:rsid w:val="00541C46"/>
    <w:rsid w:val="00542043"/>
    <w:rsid w:val="00542E3A"/>
    <w:rsid w:val="00547ECD"/>
    <w:rsid w:val="00550169"/>
    <w:rsid w:val="005549EE"/>
    <w:rsid w:val="00554EEB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A360C"/>
    <w:rsid w:val="005B0675"/>
    <w:rsid w:val="005B3582"/>
    <w:rsid w:val="005B48EA"/>
    <w:rsid w:val="005C218F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237CF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6E5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6A71"/>
    <w:rsid w:val="00807DC4"/>
    <w:rsid w:val="00811CEF"/>
    <w:rsid w:val="008148E1"/>
    <w:rsid w:val="00816D2A"/>
    <w:rsid w:val="00817D3A"/>
    <w:rsid w:val="00827C82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32B1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59F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E767D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1ED4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414C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352B"/>
    <w:rsid w:val="00E84D02"/>
    <w:rsid w:val="00E85B18"/>
    <w:rsid w:val="00E86900"/>
    <w:rsid w:val="00E869F2"/>
    <w:rsid w:val="00E947A6"/>
    <w:rsid w:val="00E9733C"/>
    <w:rsid w:val="00EA5644"/>
    <w:rsid w:val="00EB537F"/>
    <w:rsid w:val="00EB5AC5"/>
    <w:rsid w:val="00EB7741"/>
    <w:rsid w:val="00EC23C9"/>
    <w:rsid w:val="00EC6140"/>
    <w:rsid w:val="00EC6E8A"/>
    <w:rsid w:val="00EE0046"/>
    <w:rsid w:val="00EE2079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3D4C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E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EC6E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16</cp:revision>
  <cp:lastPrinted>2016-04-07T10:35:00Z</cp:lastPrinted>
  <dcterms:created xsi:type="dcterms:W3CDTF">2016-04-07T10:30:00Z</dcterms:created>
  <dcterms:modified xsi:type="dcterms:W3CDTF">2016-04-07T14:54:00Z</dcterms:modified>
</cp:coreProperties>
</file>