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3DB" w:rsidRDefault="00E457C9"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-965200</wp:posOffset>
            </wp:positionH>
            <wp:positionV relativeFrom="paragraph">
              <wp:posOffset>-638175</wp:posOffset>
            </wp:positionV>
            <wp:extent cx="7175500" cy="10249535"/>
            <wp:effectExtent l="19050" t="0" r="6350" b="0"/>
            <wp:wrapNone/>
            <wp:docPr id="2" name="Image 0" descr="enteteMinistre_sansD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eteMinistre_sansDC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1024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3DB" w:rsidRDefault="005F2A0F" w:rsidP="005F2A0F">
      <w:pPr>
        <w:tabs>
          <w:tab w:val="left" w:pos="2383"/>
        </w:tabs>
      </w:pPr>
      <w:r>
        <w:tab/>
      </w:r>
    </w:p>
    <w:p w:rsidR="00C1496C" w:rsidRDefault="00C1496C" w:rsidP="00C1496C">
      <w:pPr>
        <w:tabs>
          <w:tab w:val="right" w:pos="567"/>
        </w:tabs>
        <w:bidi/>
        <w:ind w:left="425" w:right="360"/>
        <w:jc w:val="right"/>
      </w:pPr>
    </w:p>
    <w:p w:rsidR="00625F24" w:rsidRDefault="00625F24" w:rsidP="00625F24">
      <w:pPr>
        <w:spacing w:after="0" w:line="360" w:lineRule="auto"/>
        <w:jc w:val="center"/>
        <w:rPr>
          <w:rFonts w:ascii="Book Antiqua" w:eastAsia="Times New Roman" w:hAnsi="Book Antiqua" w:cs="Tahoma"/>
          <w:b/>
          <w:bCs/>
          <w:color w:val="6A0037"/>
          <w:sz w:val="24"/>
          <w:szCs w:val="24"/>
          <w:lang w:eastAsia="fr-FR"/>
        </w:rPr>
      </w:pPr>
    </w:p>
    <w:p w:rsidR="00391F63" w:rsidRDefault="00391F63" w:rsidP="00625F24">
      <w:pPr>
        <w:spacing w:after="0" w:line="360" w:lineRule="auto"/>
        <w:jc w:val="center"/>
        <w:rPr>
          <w:rFonts w:ascii="Book Antiqua" w:eastAsia="Times New Roman" w:hAnsi="Book Antiqua" w:cs="Tahoma"/>
          <w:b/>
          <w:bCs/>
          <w:color w:val="6A0037"/>
          <w:sz w:val="24"/>
          <w:szCs w:val="24"/>
          <w:lang w:eastAsia="fr-FR"/>
        </w:rPr>
      </w:pPr>
    </w:p>
    <w:p w:rsidR="00391F63" w:rsidRPr="00D80803" w:rsidRDefault="00391F63" w:rsidP="00625F24">
      <w:pPr>
        <w:spacing w:after="0" w:line="360" w:lineRule="auto"/>
        <w:jc w:val="center"/>
        <w:rPr>
          <w:rFonts w:ascii="Book Antiqua" w:eastAsia="Times New Roman" w:hAnsi="Book Antiqua" w:cs="Tahoma"/>
          <w:b/>
          <w:bCs/>
          <w:color w:val="6A0037"/>
          <w:sz w:val="24"/>
          <w:szCs w:val="24"/>
          <w:lang w:eastAsia="fr-FR"/>
        </w:rPr>
      </w:pPr>
    </w:p>
    <w:p w:rsidR="00625F24" w:rsidRDefault="00625F24" w:rsidP="00625F24">
      <w:pPr>
        <w:spacing w:after="0" w:line="360" w:lineRule="auto"/>
        <w:jc w:val="center"/>
        <w:rPr>
          <w:rFonts w:ascii="Book Antiqua" w:eastAsia="Times New Roman" w:hAnsi="Book Antiqua" w:cs="Tahoma"/>
          <w:b/>
          <w:bCs/>
          <w:shadow/>
          <w:color w:val="6A0037"/>
          <w:sz w:val="28"/>
          <w:szCs w:val="28"/>
          <w:lang w:eastAsia="fr-FR"/>
        </w:rPr>
      </w:pPr>
      <w:r w:rsidRPr="00391F63">
        <w:rPr>
          <w:rFonts w:ascii="Book Antiqua" w:eastAsia="Times New Roman" w:hAnsi="Book Antiqua" w:cs="Tahoma"/>
          <w:b/>
          <w:bCs/>
          <w:shadow/>
          <w:color w:val="6A0037"/>
          <w:sz w:val="28"/>
          <w:szCs w:val="28"/>
          <w:lang w:eastAsia="fr-FR"/>
        </w:rPr>
        <w:t>Communiqué du Haut Commissariat au Plan</w:t>
      </w:r>
    </w:p>
    <w:p w:rsidR="00391F63" w:rsidRPr="00391F63" w:rsidRDefault="00391F63" w:rsidP="00391F63">
      <w:pPr>
        <w:spacing w:after="0" w:line="240" w:lineRule="auto"/>
        <w:jc w:val="center"/>
        <w:rPr>
          <w:rFonts w:ascii="Book Antiqua" w:eastAsia="Times New Roman" w:hAnsi="Book Antiqua" w:cs="Tahoma"/>
          <w:b/>
          <w:bCs/>
          <w:shadow/>
          <w:color w:val="6A0037"/>
          <w:sz w:val="28"/>
          <w:szCs w:val="28"/>
          <w:rtl/>
          <w:lang w:eastAsia="fr-FR"/>
        </w:rPr>
      </w:pPr>
    </w:p>
    <w:p w:rsidR="00290C0E" w:rsidRPr="00391F63" w:rsidRDefault="00625F24" w:rsidP="00391F63">
      <w:pPr>
        <w:spacing w:after="0" w:line="240" w:lineRule="auto"/>
        <w:ind w:left="993" w:hanging="993"/>
        <w:jc w:val="center"/>
        <w:rPr>
          <w:rFonts w:ascii="Palatino" w:eastAsia="Times New Roman" w:hAnsi="Palatino" w:cs="Times"/>
          <w:b/>
          <w:bCs/>
          <w:shadow/>
          <w:color w:val="FF9900"/>
          <w:sz w:val="26"/>
          <w:szCs w:val="26"/>
          <w:lang w:eastAsia="fr-FR"/>
        </w:rPr>
      </w:pPr>
      <w:r w:rsidRPr="00391F63">
        <w:rPr>
          <w:rFonts w:ascii="Palatino" w:eastAsia="Times New Roman" w:hAnsi="Palatino" w:cs="Times"/>
          <w:b/>
          <w:bCs/>
          <w:shadow/>
          <w:color w:val="FF9900"/>
          <w:sz w:val="26"/>
          <w:szCs w:val="26"/>
          <w:lang w:eastAsia="fr-FR"/>
        </w:rPr>
        <w:t xml:space="preserve">Atelier </w:t>
      </w:r>
      <w:r w:rsidR="006B61F8" w:rsidRPr="00391F63">
        <w:rPr>
          <w:rFonts w:ascii="Palatino" w:eastAsia="Times New Roman" w:hAnsi="Palatino" w:cs="Times"/>
          <w:b/>
          <w:bCs/>
          <w:shadow/>
          <w:color w:val="FF9900"/>
          <w:sz w:val="26"/>
          <w:szCs w:val="26"/>
          <w:lang w:eastAsia="fr-FR"/>
        </w:rPr>
        <w:t>sous-</w:t>
      </w:r>
      <w:r w:rsidRPr="00391F63">
        <w:rPr>
          <w:rFonts w:ascii="Palatino" w:eastAsia="Times New Roman" w:hAnsi="Palatino" w:cs="Times"/>
          <w:b/>
          <w:bCs/>
          <w:shadow/>
          <w:color w:val="FF9900"/>
          <w:sz w:val="26"/>
          <w:szCs w:val="26"/>
          <w:lang w:eastAsia="fr-FR"/>
        </w:rPr>
        <w:t xml:space="preserve">régional </w:t>
      </w:r>
      <w:proofErr w:type="spellStart"/>
      <w:r w:rsidR="00E93C07" w:rsidRPr="00391F63">
        <w:rPr>
          <w:rFonts w:ascii="Palatino" w:eastAsia="Times New Roman" w:hAnsi="Palatino" w:cs="Times"/>
          <w:b/>
          <w:bCs/>
          <w:shadow/>
          <w:color w:val="FF9900"/>
          <w:sz w:val="26"/>
          <w:szCs w:val="26"/>
          <w:lang w:eastAsia="fr-FR"/>
        </w:rPr>
        <w:t>co</w:t>
      </w:r>
      <w:proofErr w:type="spellEnd"/>
      <w:r w:rsidR="00E93C07" w:rsidRPr="00391F63">
        <w:rPr>
          <w:rFonts w:ascii="Palatino" w:eastAsia="Times New Roman" w:hAnsi="Palatino" w:cs="Times"/>
          <w:b/>
          <w:bCs/>
          <w:shadow/>
          <w:color w:val="FF9900"/>
          <w:sz w:val="26"/>
          <w:szCs w:val="26"/>
          <w:lang w:eastAsia="fr-FR"/>
        </w:rPr>
        <w:t xml:space="preserve">-animé par </w:t>
      </w:r>
      <w:r w:rsidR="00F47858" w:rsidRPr="00391F63">
        <w:rPr>
          <w:rFonts w:ascii="Palatino" w:eastAsia="Times New Roman" w:hAnsi="Palatino" w:cs="Times"/>
          <w:b/>
          <w:bCs/>
          <w:shadow/>
          <w:color w:val="FF9900"/>
          <w:sz w:val="26"/>
          <w:szCs w:val="26"/>
          <w:lang w:eastAsia="fr-FR"/>
        </w:rPr>
        <w:t xml:space="preserve">le HCP et </w:t>
      </w:r>
      <w:r w:rsidR="00E93C07" w:rsidRPr="00391F63">
        <w:rPr>
          <w:rFonts w:ascii="Palatino" w:eastAsia="Times New Roman" w:hAnsi="Palatino" w:cs="Times"/>
          <w:b/>
          <w:bCs/>
          <w:shadow/>
          <w:color w:val="FF9900"/>
          <w:sz w:val="26"/>
          <w:szCs w:val="26"/>
          <w:lang w:eastAsia="fr-FR"/>
        </w:rPr>
        <w:t>l’</w:t>
      </w:r>
      <w:r w:rsidR="00F47858" w:rsidRPr="00391F63">
        <w:rPr>
          <w:rFonts w:ascii="Palatino" w:eastAsia="Times New Roman" w:hAnsi="Palatino" w:cs="Times"/>
          <w:b/>
          <w:bCs/>
          <w:shadow/>
          <w:color w:val="FF9900"/>
          <w:sz w:val="26"/>
          <w:szCs w:val="26"/>
          <w:lang w:eastAsia="fr-FR"/>
        </w:rPr>
        <w:t>INSEE</w:t>
      </w:r>
    </w:p>
    <w:p w:rsidR="00E93C07" w:rsidRPr="00C401E3" w:rsidRDefault="00625F24" w:rsidP="00391F63">
      <w:pPr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proofErr w:type="gramStart"/>
      <w:r w:rsidRPr="00391F63">
        <w:rPr>
          <w:rFonts w:ascii="Palatino" w:eastAsia="Times New Roman" w:hAnsi="Palatino" w:cs="Times"/>
          <w:b/>
          <w:bCs/>
          <w:shadow/>
          <w:color w:val="FF9900"/>
          <w:sz w:val="26"/>
          <w:szCs w:val="26"/>
          <w:lang w:eastAsia="fr-FR"/>
        </w:rPr>
        <w:t>sur</w:t>
      </w:r>
      <w:proofErr w:type="gramEnd"/>
      <w:r w:rsidRPr="00391F63">
        <w:rPr>
          <w:rFonts w:ascii="Palatino" w:eastAsia="Times New Roman" w:hAnsi="Palatino" w:cs="Times"/>
          <w:b/>
          <w:bCs/>
          <w:shadow/>
          <w:color w:val="FF9900"/>
          <w:sz w:val="26"/>
          <w:szCs w:val="26"/>
          <w:lang w:eastAsia="fr-FR"/>
        </w:rPr>
        <w:t xml:space="preserve"> </w:t>
      </w:r>
      <w:r w:rsidR="006B61F8" w:rsidRPr="00391F63">
        <w:rPr>
          <w:rFonts w:ascii="Palatino" w:eastAsia="Times New Roman" w:hAnsi="Palatino" w:cs="Times"/>
          <w:b/>
          <w:bCs/>
          <w:shadow/>
          <w:color w:val="FF9900"/>
          <w:sz w:val="26"/>
          <w:szCs w:val="26"/>
          <w:lang w:eastAsia="fr-FR"/>
        </w:rPr>
        <w:t xml:space="preserve">la comptabilité nationale </w:t>
      </w:r>
      <w:r w:rsidR="008D4787" w:rsidRPr="00391F63">
        <w:rPr>
          <w:rFonts w:ascii="Palatino" w:eastAsia="Times New Roman" w:hAnsi="Palatino" w:cs="Times"/>
          <w:b/>
          <w:bCs/>
          <w:shadow/>
          <w:color w:val="FF9900"/>
          <w:sz w:val="26"/>
          <w:szCs w:val="26"/>
          <w:lang w:eastAsia="fr-FR"/>
        </w:rPr>
        <w:t>et l’enquêt</w:t>
      </w:r>
      <w:r w:rsidR="00391F63">
        <w:rPr>
          <w:rFonts w:ascii="Palatino" w:eastAsia="Times New Roman" w:hAnsi="Palatino" w:cs="Times"/>
          <w:b/>
          <w:bCs/>
          <w:shadow/>
          <w:color w:val="FF9900"/>
          <w:sz w:val="26"/>
          <w:szCs w:val="26"/>
          <w:lang w:eastAsia="fr-FR"/>
        </w:rPr>
        <w:t xml:space="preserve">e sur les institutions sans but </w:t>
      </w:r>
      <w:r w:rsidR="008D4787" w:rsidRPr="00391F63">
        <w:rPr>
          <w:rFonts w:ascii="Palatino" w:eastAsia="Times New Roman" w:hAnsi="Palatino" w:cs="Times"/>
          <w:b/>
          <w:bCs/>
          <w:shadow/>
          <w:color w:val="FF9900"/>
          <w:sz w:val="26"/>
          <w:szCs w:val="26"/>
          <w:lang w:eastAsia="fr-FR"/>
        </w:rPr>
        <w:t>lucratif</w:t>
      </w:r>
    </w:p>
    <w:p w:rsidR="00C714A7" w:rsidRPr="00C401E3" w:rsidRDefault="00E457C9" w:rsidP="00C714A7">
      <w:pPr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 </w:t>
      </w:r>
    </w:p>
    <w:p w:rsidR="00391F63" w:rsidRDefault="00391F63" w:rsidP="009111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fr-FR"/>
        </w:rPr>
      </w:pPr>
    </w:p>
    <w:p w:rsidR="007705A0" w:rsidRPr="00391F63" w:rsidRDefault="00E93C07" w:rsidP="009111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</w:pPr>
      <w:r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Le Hau</w:t>
      </w:r>
      <w:r w:rsidR="007705A0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t Commissariat au Plan </w:t>
      </w:r>
      <w:proofErr w:type="spellStart"/>
      <w:r w:rsidR="007705A0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co</w:t>
      </w:r>
      <w:proofErr w:type="spellEnd"/>
      <w:r w:rsidR="007705A0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-anime</w:t>
      </w:r>
      <w:r w:rsidR="00C714A7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, du 8 au 10 juin 2015,</w:t>
      </w:r>
      <w:r w:rsidR="007705A0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 </w:t>
      </w:r>
      <w:r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avec </w:t>
      </w:r>
      <w:r w:rsidR="00190766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l’Institut </w:t>
      </w:r>
      <w:r w:rsidR="005F225D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National</w:t>
      </w:r>
      <w:r w:rsidR="00190766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 de la Statistique et des Etudes Economiques (</w:t>
      </w:r>
      <w:r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INSEE</w:t>
      </w:r>
      <w:r w:rsidR="00190766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)</w:t>
      </w:r>
      <w:r w:rsidR="005F225D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 de France</w:t>
      </w:r>
      <w:r w:rsidR="00B85BB3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, </w:t>
      </w:r>
      <w:r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un atelier </w:t>
      </w:r>
      <w:r w:rsidR="007705A0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sous régional</w:t>
      </w:r>
      <w:r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 sur la comptabilité </w:t>
      </w:r>
      <w:r w:rsidR="00C714A7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nationale</w:t>
      </w:r>
      <w:r w:rsidR="008D4787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 et l</w:t>
      </w:r>
      <w:r w:rsidR="0050329B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es </w:t>
      </w:r>
      <w:r w:rsidR="008D4787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enquête sur les institutions sans but lucratif (ISBL) </w:t>
      </w:r>
      <w:r w:rsidR="005F225D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au profit </w:t>
      </w:r>
      <w:r w:rsidR="00C401E3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de statisticiens relevant </w:t>
      </w:r>
      <w:r w:rsidR="00C714A7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 des instituts</w:t>
      </w:r>
      <w:r w:rsidR="00AC6719" w:rsidRPr="00391F63">
        <w:rPr>
          <w:rFonts w:ascii="Times New Roman" w:eastAsia="Times New Roman" w:hAnsi="Times New Roman" w:cs="Times New Roman" w:hint="cs"/>
          <w:b/>
          <w:bCs/>
          <w:color w:val="808080"/>
          <w:sz w:val="26"/>
          <w:szCs w:val="26"/>
          <w:rtl/>
          <w:lang w:eastAsia="fr-FR"/>
        </w:rPr>
        <w:t xml:space="preserve"> </w:t>
      </w:r>
      <w:r w:rsidR="00AC6719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nationaux </w:t>
      </w:r>
      <w:r w:rsidR="005F225D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de</w:t>
      </w:r>
      <w:r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 statistique</w:t>
      </w:r>
      <w:r w:rsidR="009577AF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 algérien et tunisien</w:t>
      </w:r>
      <w:r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.</w:t>
      </w:r>
    </w:p>
    <w:p w:rsidR="007705A0" w:rsidRPr="00391F63" w:rsidRDefault="007705A0" w:rsidP="007705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</w:pPr>
    </w:p>
    <w:p w:rsidR="00E93C07" w:rsidRPr="00391F63" w:rsidRDefault="00F32884" w:rsidP="009111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</w:pPr>
      <w:r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Seront abordé</w:t>
      </w:r>
      <w:r w:rsidR="00AC6719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e</w:t>
      </w:r>
      <w:r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s lors de cet atelier</w:t>
      </w:r>
      <w:r w:rsidR="007705A0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 </w:t>
      </w:r>
      <w:r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les différentes techniques utilisées </w:t>
      </w:r>
      <w:r w:rsidR="00B85BB3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en matière de </w:t>
      </w:r>
      <w:proofErr w:type="spellStart"/>
      <w:r w:rsidR="00E93C07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rétropolation</w:t>
      </w:r>
      <w:proofErr w:type="spellEnd"/>
      <w:r w:rsidR="00E93C07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 des comptes</w:t>
      </w:r>
      <w:r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 nationaux</w:t>
      </w:r>
      <w:r w:rsidR="00E93C07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, </w:t>
      </w:r>
      <w:r w:rsidR="00C714A7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d’établissement </w:t>
      </w:r>
      <w:r w:rsidR="00B85BB3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de</w:t>
      </w:r>
      <w:r w:rsidR="00C714A7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s</w:t>
      </w:r>
      <w:r w:rsidR="00AC6719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 comptes régionaux et d</w:t>
      </w:r>
      <w:r w:rsidR="009577AF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’</w:t>
      </w:r>
      <w:r w:rsidR="00B85BB3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utilisation</w:t>
      </w:r>
      <w:r w:rsidR="009577AF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 des données sur les ISBL et</w:t>
      </w:r>
      <w:r w:rsidR="00065A47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 sur</w:t>
      </w:r>
      <w:r w:rsidR="009577AF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 les investissements </w:t>
      </w:r>
      <w:r w:rsidR="00DF080D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des administrations publiques</w:t>
      </w:r>
      <w:r w:rsidR="009577AF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 dans les comptes nationaux</w:t>
      </w:r>
      <w:r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>.</w:t>
      </w:r>
      <w:r w:rsidR="00391F63" w:rsidRPr="00391F63">
        <w:rPr>
          <w:rFonts w:ascii="Times New Roman" w:eastAsia="Times New Roman" w:hAnsi="Times New Roman" w:cs="Times New Roman"/>
          <w:b/>
          <w:bCs/>
          <w:color w:val="808080"/>
          <w:sz w:val="26"/>
          <w:szCs w:val="26"/>
          <w:lang w:eastAsia="fr-FR"/>
        </w:rPr>
        <w:t xml:space="preserve"> </w:t>
      </w:r>
    </w:p>
    <w:p w:rsidR="00391F63" w:rsidRDefault="00391F63" w:rsidP="009111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fr-FR"/>
        </w:rPr>
      </w:pPr>
    </w:p>
    <w:p w:rsidR="00391F63" w:rsidRPr="00391F63" w:rsidRDefault="00391F63" w:rsidP="009111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eastAsia="fr-FR"/>
        </w:rPr>
      </w:pPr>
    </w:p>
    <w:p w:rsidR="009577AF" w:rsidRPr="00C401E3" w:rsidRDefault="009577AF" w:rsidP="009577AF">
      <w:pPr>
        <w:spacing w:after="0" w:line="36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fr-FR"/>
        </w:rPr>
      </w:pPr>
    </w:p>
    <w:p w:rsidR="00957394" w:rsidRDefault="00957394">
      <w:pPr>
        <w:rPr>
          <w:rtl/>
        </w:rPr>
      </w:pPr>
    </w:p>
    <w:sectPr w:rsidR="00957394" w:rsidSect="00901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savePreviewPicture/>
  <w:compat/>
  <w:rsids>
    <w:rsidRoot w:val="00E943DB"/>
    <w:rsid w:val="00002776"/>
    <w:rsid w:val="00065A47"/>
    <w:rsid w:val="00071AAB"/>
    <w:rsid w:val="00085247"/>
    <w:rsid w:val="000918B8"/>
    <w:rsid w:val="00097BE1"/>
    <w:rsid w:val="000A0663"/>
    <w:rsid w:val="000B25E2"/>
    <w:rsid w:val="000C0084"/>
    <w:rsid w:val="000D5A2D"/>
    <w:rsid w:val="000D7F6F"/>
    <w:rsid w:val="000F15D5"/>
    <w:rsid w:val="00101CC3"/>
    <w:rsid w:val="00107BCC"/>
    <w:rsid w:val="00147938"/>
    <w:rsid w:val="0016361D"/>
    <w:rsid w:val="00163C43"/>
    <w:rsid w:val="00165CFE"/>
    <w:rsid w:val="00181B8D"/>
    <w:rsid w:val="00190766"/>
    <w:rsid w:val="001950C9"/>
    <w:rsid w:val="001A17F5"/>
    <w:rsid w:val="001A722F"/>
    <w:rsid w:val="001C7F23"/>
    <w:rsid w:val="001F30A1"/>
    <w:rsid w:val="002079B8"/>
    <w:rsid w:val="00217445"/>
    <w:rsid w:val="00217B27"/>
    <w:rsid w:val="00223F91"/>
    <w:rsid w:val="0023619B"/>
    <w:rsid w:val="00240DDD"/>
    <w:rsid w:val="00241788"/>
    <w:rsid w:val="002512CA"/>
    <w:rsid w:val="00252FB6"/>
    <w:rsid w:val="00257DD4"/>
    <w:rsid w:val="00261191"/>
    <w:rsid w:val="00272EDC"/>
    <w:rsid w:val="00273ABE"/>
    <w:rsid w:val="00283014"/>
    <w:rsid w:val="002877E6"/>
    <w:rsid w:val="00290C0E"/>
    <w:rsid w:val="002B7A56"/>
    <w:rsid w:val="003014BA"/>
    <w:rsid w:val="003103C3"/>
    <w:rsid w:val="00313819"/>
    <w:rsid w:val="00323FF7"/>
    <w:rsid w:val="00330AC6"/>
    <w:rsid w:val="003674E4"/>
    <w:rsid w:val="00383512"/>
    <w:rsid w:val="00391F63"/>
    <w:rsid w:val="003A02D3"/>
    <w:rsid w:val="003A0359"/>
    <w:rsid w:val="003A3607"/>
    <w:rsid w:val="003A39AB"/>
    <w:rsid w:val="003B206E"/>
    <w:rsid w:val="003C393E"/>
    <w:rsid w:val="003E39EF"/>
    <w:rsid w:val="003E4D57"/>
    <w:rsid w:val="00402A3A"/>
    <w:rsid w:val="00412379"/>
    <w:rsid w:val="00421A58"/>
    <w:rsid w:val="00437E44"/>
    <w:rsid w:val="00450A6F"/>
    <w:rsid w:val="00456FCF"/>
    <w:rsid w:val="00477780"/>
    <w:rsid w:val="00492F72"/>
    <w:rsid w:val="004A0739"/>
    <w:rsid w:val="004A2033"/>
    <w:rsid w:val="004B29F3"/>
    <w:rsid w:val="004B5926"/>
    <w:rsid w:val="004D0F47"/>
    <w:rsid w:val="004D7A04"/>
    <w:rsid w:val="004E79E0"/>
    <w:rsid w:val="0050329B"/>
    <w:rsid w:val="0054598E"/>
    <w:rsid w:val="005818BA"/>
    <w:rsid w:val="005900B5"/>
    <w:rsid w:val="005D6C22"/>
    <w:rsid w:val="005E640E"/>
    <w:rsid w:val="005F022A"/>
    <w:rsid w:val="005F225D"/>
    <w:rsid w:val="005F2A0F"/>
    <w:rsid w:val="005F500D"/>
    <w:rsid w:val="005F6B39"/>
    <w:rsid w:val="00602ECE"/>
    <w:rsid w:val="00625F24"/>
    <w:rsid w:val="006566D3"/>
    <w:rsid w:val="00657095"/>
    <w:rsid w:val="00677EAC"/>
    <w:rsid w:val="006803C6"/>
    <w:rsid w:val="006B1CCC"/>
    <w:rsid w:val="006B61F8"/>
    <w:rsid w:val="006D52FC"/>
    <w:rsid w:val="006E0D8A"/>
    <w:rsid w:val="006E284C"/>
    <w:rsid w:val="00703857"/>
    <w:rsid w:val="007705A0"/>
    <w:rsid w:val="00790C60"/>
    <w:rsid w:val="0079532F"/>
    <w:rsid w:val="007A789E"/>
    <w:rsid w:val="007B1A48"/>
    <w:rsid w:val="007B71B5"/>
    <w:rsid w:val="007C6BE2"/>
    <w:rsid w:val="007D68B2"/>
    <w:rsid w:val="007E21C1"/>
    <w:rsid w:val="007E770F"/>
    <w:rsid w:val="008118D2"/>
    <w:rsid w:val="00812207"/>
    <w:rsid w:val="00822C5D"/>
    <w:rsid w:val="00866727"/>
    <w:rsid w:val="00876CE7"/>
    <w:rsid w:val="0089068C"/>
    <w:rsid w:val="00896CF6"/>
    <w:rsid w:val="008C679A"/>
    <w:rsid w:val="008D4787"/>
    <w:rsid w:val="00901DF9"/>
    <w:rsid w:val="0091114C"/>
    <w:rsid w:val="00926C16"/>
    <w:rsid w:val="0093457E"/>
    <w:rsid w:val="00937A75"/>
    <w:rsid w:val="009403D1"/>
    <w:rsid w:val="00957394"/>
    <w:rsid w:val="009577AF"/>
    <w:rsid w:val="009A3CAD"/>
    <w:rsid w:val="009B4EA5"/>
    <w:rsid w:val="009C1115"/>
    <w:rsid w:val="009D4087"/>
    <w:rsid w:val="009F483E"/>
    <w:rsid w:val="00A11B77"/>
    <w:rsid w:val="00A127DA"/>
    <w:rsid w:val="00A37410"/>
    <w:rsid w:val="00A86E57"/>
    <w:rsid w:val="00A95A59"/>
    <w:rsid w:val="00A9689D"/>
    <w:rsid w:val="00AC6719"/>
    <w:rsid w:val="00AD44E8"/>
    <w:rsid w:val="00AE4DD2"/>
    <w:rsid w:val="00AF28BF"/>
    <w:rsid w:val="00B4054F"/>
    <w:rsid w:val="00B47209"/>
    <w:rsid w:val="00B55F68"/>
    <w:rsid w:val="00B80CEF"/>
    <w:rsid w:val="00B85BB3"/>
    <w:rsid w:val="00BA142C"/>
    <w:rsid w:val="00BA71A0"/>
    <w:rsid w:val="00BB07CE"/>
    <w:rsid w:val="00BB6E23"/>
    <w:rsid w:val="00BF4A7A"/>
    <w:rsid w:val="00C11959"/>
    <w:rsid w:val="00C1496C"/>
    <w:rsid w:val="00C337E6"/>
    <w:rsid w:val="00C401E3"/>
    <w:rsid w:val="00C47513"/>
    <w:rsid w:val="00C66B6B"/>
    <w:rsid w:val="00C714A7"/>
    <w:rsid w:val="00C7381B"/>
    <w:rsid w:val="00C863A6"/>
    <w:rsid w:val="00C946EA"/>
    <w:rsid w:val="00C96FA4"/>
    <w:rsid w:val="00CB5811"/>
    <w:rsid w:val="00CC73E3"/>
    <w:rsid w:val="00CD25B7"/>
    <w:rsid w:val="00CD6523"/>
    <w:rsid w:val="00CE09F1"/>
    <w:rsid w:val="00CE11FF"/>
    <w:rsid w:val="00CF02B2"/>
    <w:rsid w:val="00D03DAC"/>
    <w:rsid w:val="00D042C3"/>
    <w:rsid w:val="00D13DEC"/>
    <w:rsid w:val="00D7383F"/>
    <w:rsid w:val="00D803D8"/>
    <w:rsid w:val="00D915C6"/>
    <w:rsid w:val="00DC6713"/>
    <w:rsid w:val="00DD2B22"/>
    <w:rsid w:val="00DD6F00"/>
    <w:rsid w:val="00DD712C"/>
    <w:rsid w:val="00DE6297"/>
    <w:rsid w:val="00DF080D"/>
    <w:rsid w:val="00DF2BEF"/>
    <w:rsid w:val="00DF2DA5"/>
    <w:rsid w:val="00E0610E"/>
    <w:rsid w:val="00E06E05"/>
    <w:rsid w:val="00E11686"/>
    <w:rsid w:val="00E23C62"/>
    <w:rsid w:val="00E27520"/>
    <w:rsid w:val="00E457C9"/>
    <w:rsid w:val="00E517D0"/>
    <w:rsid w:val="00E523C6"/>
    <w:rsid w:val="00E93C07"/>
    <w:rsid w:val="00E943DB"/>
    <w:rsid w:val="00E96BA0"/>
    <w:rsid w:val="00E975E6"/>
    <w:rsid w:val="00E97C93"/>
    <w:rsid w:val="00EA0693"/>
    <w:rsid w:val="00EA3116"/>
    <w:rsid w:val="00EB76A4"/>
    <w:rsid w:val="00ED21AD"/>
    <w:rsid w:val="00EF5E28"/>
    <w:rsid w:val="00F02182"/>
    <w:rsid w:val="00F2133A"/>
    <w:rsid w:val="00F24ED4"/>
    <w:rsid w:val="00F32884"/>
    <w:rsid w:val="00F47858"/>
    <w:rsid w:val="00F64B4A"/>
    <w:rsid w:val="00F8078C"/>
    <w:rsid w:val="00F9156B"/>
    <w:rsid w:val="00F93AB2"/>
    <w:rsid w:val="00F96E15"/>
    <w:rsid w:val="00F9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DF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5F2A0F"/>
    <w:pPr>
      <w:keepNext/>
      <w:spacing w:after="0" w:line="240" w:lineRule="auto"/>
      <w:ind w:right="4392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  <w:lang w:val="en-US" w:eastAsia="fr-FR"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3D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F2A0F"/>
    <w:rPr>
      <w:rFonts w:ascii="Times New Roman" w:eastAsia="Times New Roman" w:hAnsi="Times New Roman" w:cs="Times New Roman"/>
      <w:b/>
      <w:bCs/>
      <w:sz w:val="44"/>
      <w:szCs w:val="44"/>
      <w:lang w:val="en-US" w:bidi="ar-MA"/>
    </w:rPr>
  </w:style>
  <w:style w:type="paragraph" w:styleId="Retraitcorpsdetexte">
    <w:name w:val="Body Text Indent"/>
    <w:basedOn w:val="Normal"/>
    <w:link w:val="RetraitcorpsdetexteCar"/>
    <w:semiHidden/>
    <w:rsid w:val="005F2A0F"/>
    <w:pPr>
      <w:bidi/>
      <w:spacing w:after="0" w:line="600" w:lineRule="exact"/>
      <w:ind w:left="612" w:firstLine="1080"/>
      <w:jc w:val="both"/>
    </w:pPr>
    <w:rPr>
      <w:rFonts w:ascii="Times New Roman" w:eastAsia="Times New Roman" w:hAnsi="Times New Roman" w:cs="Mudir MT"/>
      <w:sz w:val="32"/>
      <w:szCs w:val="32"/>
      <w:lang w:val="en-US" w:eastAsia="fr-FR" w:bidi="ar-MA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5F2A0F"/>
    <w:rPr>
      <w:rFonts w:ascii="Times New Roman" w:eastAsia="Times New Roman" w:hAnsi="Times New Roman" w:cs="Mudir MT"/>
      <w:sz w:val="32"/>
      <w:szCs w:val="32"/>
      <w:lang w:val="en-US" w:bidi="ar-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user</cp:lastModifiedBy>
  <cp:revision>3</cp:revision>
  <cp:lastPrinted>2015-06-09T14:45:00Z</cp:lastPrinted>
  <dcterms:created xsi:type="dcterms:W3CDTF">2015-06-09T18:10:00Z</dcterms:created>
  <dcterms:modified xsi:type="dcterms:W3CDTF">2015-06-09T18:20:00Z</dcterms:modified>
</cp:coreProperties>
</file>