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14BAC">
      <w:pPr>
        <w:bidi/>
        <w:spacing w:after="0" w:line="240" w:lineRule="auto"/>
        <w:jc w:val="center"/>
        <w:rPr>
          <w:rFonts w:cs="Simplified Arabic"/>
          <w:b/>
          <w:bCs/>
          <w:shadow/>
          <w:sz w:val="20"/>
          <w:szCs w:val="20"/>
          <w:rtl/>
          <w:lang w:bidi="ar-MA"/>
        </w:rPr>
      </w:pPr>
    </w:p>
    <w:p w:rsidR="00000000" w:rsidRPr="000944A3" w:rsidRDefault="00414BAC" w:rsidP="000944A3">
      <w:pPr>
        <w:bidi/>
        <w:spacing w:after="0" w:line="288" w:lineRule="auto"/>
        <w:ind w:right="-425"/>
        <w:jc w:val="center"/>
        <w:rPr>
          <w:rFonts w:cs="Simplified Arabic"/>
          <w:b/>
          <w:bCs/>
          <w:shadow/>
          <w:sz w:val="36"/>
          <w:szCs w:val="36"/>
          <w:rtl/>
          <w:lang w:bidi="ar-MA"/>
        </w:rPr>
      </w:pPr>
      <w:r w:rsidRPr="000944A3">
        <w:rPr>
          <w:rFonts w:cs="Simplified Arabic" w:hint="cs"/>
          <w:b/>
          <w:bCs/>
          <w:shadow/>
          <w:sz w:val="36"/>
          <w:szCs w:val="36"/>
          <w:rtl/>
          <w:lang w:bidi="ar-MA"/>
        </w:rPr>
        <w:t>بلاغ صحفي</w:t>
      </w:r>
    </w:p>
    <w:p w:rsidR="00000000" w:rsidRPr="000944A3" w:rsidRDefault="00414BAC" w:rsidP="000944A3">
      <w:pPr>
        <w:bidi/>
        <w:spacing w:after="0" w:line="288" w:lineRule="auto"/>
        <w:ind w:right="-425"/>
        <w:jc w:val="center"/>
        <w:rPr>
          <w:rFonts w:cs="Simplified Arabic"/>
          <w:b/>
          <w:bCs/>
          <w:shadow/>
          <w:sz w:val="36"/>
          <w:szCs w:val="36"/>
          <w:lang w:bidi="ar-MA"/>
        </w:rPr>
      </w:pPr>
      <w:r w:rsidRPr="000944A3">
        <w:rPr>
          <w:rFonts w:cs="Simplified Arabic" w:hint="cs"/>
          <w:b/>
          <w:bCs/>
          <w:shadow/>
          <w:sz w:val="36"/>
          <w:szCs w:val="36"/>
          <w:rtl/>
          <w:lang w:bidi="ar-MA"/>
        </w:rPr>
        <w:t>بمناسبة اليوم العالمي لمحاربة تشغيل الأطفال</w:t>
      </w:r>
    </w:p>
    <w:p w:rsidR="00000000" w:rsidRDefault="00414BAC" w:rsidP="000944A3">
      <w:pPr>
        <w:bidi/>
        <w:spacing w:line="240" w:lineRule="auto"/>
        <w:ind w:right="-426"/>
        <w:jc w:val="center"/>
        <w:rPr>
          <w:rFonts w:cs="Simplified Arabic"/>
          <w:color w:val="993366"/>
          <w:sz w:val="28"/>
          <w:szCs w:val="28"/>
          <w:lang w:bidi="ar-MA"/>
        </w:rPr>
      </w:pPr>
      <w:r>
        <w:rPr>
          <w:rFonts w:cs="Simplified Arabic" w:hint="cs"/>
          <w:b/>
          <w:bCs/>
          <w:shadow/>
          <w:color w:val="993366"/>
          <w:sz w:val="36"/>
          <w:szCs w:val="36"/>
          <w:rtl/>
          <w:lang w:bidi="ar-MA"/>
        </w:rPr>
        <w:t>تطور</w:t>
      </w:r>
      <w:r>
        <w:rPr>
          <w:rFonts w:cs="Simplified Arabic" w:hint="cs"/>
          <w:b/>
          <w:bCs/>
          <w:shadow/>
          <w:color w:val="993366"/>
          <w:sz w:val="36"/>
          <w:szCs w:val="36"/>
          <w:rtl/>
          <w:lang w:val="en-US" w:bidi="ar-MA"/>
        </w:rPr>
        <w:t xml:space="preserve"> </w:t>
      </w:r>
      <w:r>
        <w:rPr>
          <w:rFonts w:cs="Simplified Arabic" w:hint="cs"/>
          <w:b/>
          <w:bCs/>
          <w:shadow/>
          <w:color w:val="993366"/>
          <w:sz w:val="36"/>
          <w:szCs w:val="36"/>
          <w:rtl/>
          <w:lang w:bidi="ar-MA"/>
        </w:rPr>
        <w:t>ظاهرة تشغيل الأطفال بالمغرب</w:t>
      </w:r>
    </w:p>
    <w:p w:rsidR="00000000" w:rsidRDefault="00414BAC">
      <w:pPr>
        <w:bidi/>
        <w:spacing w:line="240" w:lineRule="auto"/>
        <w:ind w:right="-426"/>
        <w:jc w:val="both"/>
        <w:rPr>
          <w:rFonts w:cs="Simplified Arabic"/>
          <w:sz w:val="28"/>
          <w:szCs w:val="28"/>
          <w:rtl/>
          <w:lang w:bidi="ar-MA"/>
        </w:rPr>
      </w:pPr>
      <w:r>
        <w:rPr>
          <w:rFonts w:cs="Simplified Arabic" w:hint="cs"/>
          <w:sz w:val="28"/>
          <w:szCs w:val="28"/>
          <w:rtl/>
          <w:lang w:bidi="ar-MA"/>
        </w:rPr>
        <w:t>يحتفل العالم يوم 12 يونيو 2014 باليوم العالمي لمحاربة تشغيل الأطفال، تحت شعار "توسيع مجال الحماية الاجتماعية: القضاء على تشغيل الأطفال</w:t>
      </w:r>
      <w:r>
        <w:rPr>
          <w:rFonts w:ascii="Book Antiqua" w:hAnsi="Book Antiqua"/>
          <w:b/>
          <w:bCs/>
        </w:rPr>
        <w:t>!</w:t>
      </w:r>
      <w:r>
        <w:rPr>
          <w:rFonts w:cs="Simplified Arabic" w:hint="cs"/>
          <w:sz w:val="28"/>
          <w:szCs w:val="28"/>
          <w:rtl/>
          <w:lang w:bidi="ar-MA"/>
        </w:rPr>
        <w:t>".</w:t>
      </w:r>
    </w:p>
    <w:p w:rsidR="00000000" w:rsidRDefault="00414BAC">
      <w:pPr>
        <w:bidi/>
        <w:spacing w:line="240" w:lineRule="auto"/>
        <w:ind w:right="-426"/>
        <w:jc w:val="both"/>
        <w:rPr>
          <w:rFonts w:cs="Simplified Arabic"/>
          <w:sz w:val="28"/>
          <w:szCs w:val="28"/>
          <w:rtl/>
          <w:lang w:bidi="ar-MA"/>
        </w:rPr>
      </w:pPr>
      <w:r>
        <w:rPr>
          <w:rFonts w:cs="Simplified Arabic" w:hint="cs"/>
          <w:sz w:val="28"/>
          <w:szCs w:val="28"/>
          <w:rtl/>
          <w:lang w:bidi="ar-MA"/>
        </w:rPr>
        <w:t>بالمغرب، تمكن المعطيات التي يو</w:t>
      </w:r>
      <w:r>
        <w:rPr>
          <w:rFonts w:cs="Simplified Arabic" w:hint="cs"/>
          <w:sz w:val="28"/>
          <w:szCs w:val="28"/>
          <w:rtl/>
          <w:lang w:bidi="ar-MA"/>
        </w:rPr>
        <w:t>فرها البحث الوطني حول التشغيل، الذي تنجزه المندوبية السامية للتخطيط، من التتبع الدقيق لتطور حجم وخاصيات هذه الظاهرة. يهم هذا البحث سنويا عينة تتكون من 60 ألف أسرة (قرابة 250 ألف شخص) تمثل مجموع التراب الوطني ومختلف الفئات الاجتماعية.</w:t>
      </w:r>
    </w:p>
    <w:p w:rsidR="00000000" w:rsidRDefault="00414BAC">
      <w:pPr>
        <w:bidi/>
        <w:spacing w:line="240" w:lineRule="auto"/>
        <w:ind w:right="-426"/>
        <w:jc w:val="both"/>
        <w:rPr>
          <w:rFonts w:cs="Simplified Arabic"/>
          <w:sz w:val="28"/>
          <w:szCs w:val="28"/>
          <w:rtl/>
          <w:lang w:bidi="ar-MA"/>
        </w:rPr>
      </w:pPr>
      <w:r>
        <w:rPr>
          <w:rFonts w:cs="Simplified Arabic" w:hint="cs"/>
          <w:sz w:val="28"/>
          <w:szCs w:val="28"/>
          <w:rtl/>
          <w:lang w:bidi="ar-MA"/>
        </w:rPr>
        <w:t>خلال سنة 2013، بلغ عدد</w:t>
      </w:r>
      <w:r>
        <w:rPr>
          <w:rFonts w:cs="Simplified Arabic" w:hint="cs"/>
          <w:sz w:val="28"/>
          <w:szCs w:val="28"/>
          <w:rtl/>
          <w:lang w:bidi="ar-MA"/>
        </w:rPr>
        <w:t xml:space="preserve"> الأطفال النشيطين المشتغلين الذين تتراوح أعمارهم ما بين7 وأقل من 15 سنة 000</w:t>
      </w:r>
      <w:r>
        <w:rPr>
          <w:rFonts w:cs="Simplified Arabic"/>
          <w:sz w:val="28"/>
          <w:szCs w:val="28"/>
          <w:lang w:bidi="ar-MA"/>
        </w:rPr>
        <w:t>.</w:t>
      </w:r>
      <w:r>
        <w:rPr>
          <w:rFonts w:cs="Simplified Arabic" w:hint="cs"/>
          <w:sz w:val="28"/>
          <w:szCs w:val="28"/>
          <w:rtl/>
          <w:lang w:bidi="ar-MA"/>
        </w:rPr>
        <w:t>86 طفل، أي ما يعادل</w:t>
      </w:r>
      <w:r>
        <w:rPr>
          <w:rFonts w:cs="Simplified Arabic"/>
          <w:sz w:val="28"/>
          <w:szCs w:val="28"/>
          <w:lang w:bidi="ar-MA"/>
        </w:rPr>
        <w:t xml:space="preserve">1,8% </w:t>
      </w:r>
      <w:r>
        <w:rPr>
          <w:rFonts w:cs="Simplified Arabic" w:hint="cs"/>
          <w:sz w:val="28"/>
          <w:szCs w:val="28"/>
          <w:rtl/>
          <w:lang w:bidi="ar-MA"/>
        </w:rPr>
        <w:t xml:space="preserve"> من مجموع الأطفال الذين ينتمون إلى نفس الفئة العمرية. وقد عرف هذا العدد تراجعا ملحوظا منذ سنة 1999، حيث كان يمثل</w:t>
      </w:r>
      <w:r>
        <w:rPr>
          <w:rFonts w:cs="Simplified Arabic"/>
          <w:sz w:val="28"/>
          <w:szCs w:val="28"/>
          <w:lang w:bidi="ar-MA"/>
        </w:rPr>
        <w:t xml:space="preserve">9,7% </w:t>
      </w:r>
      <w:r>
        <w:rPr>
          <w:rFonts w:cs="Simplified Arabic" w:hint="cs"/>
          <w:sz w:val="28"/>
          <w:szCs w:val="28"/>
          <w:rtl/>
          <w:lang w:bidi="ar-MA"/>
        </w:rPr>
        <w:t xml:space="preserve"> من هذه الفئة.</w:t>
      </w:r>
    </w:p>
    <w:p w:rsidR="00000000" w:rsidRDefault="00414BAC">
      <w:pPr>
        <w:bidi/>
        <w:spacing w:line="240" w:lineRule="auto"/>
        <w:ind w:right="-426"/>
        <w:jc w:val="both"/>
        <w:rPr>
          <w:rFonts w:cs="Simplified Arabic"/>
          <w:sz w:val="28"/>
          <w:szCs w:val="28"/>
          <w:rtl/>
          <w:lang w:bidi="ar-MA"/>
        </w:rPr>
      </w:pPr>
      <w:r>
        <w:rPr>
          <w:rFonts w:cs="Simplified Arabic" w:hint="cs"/>
          <w:sz w:val="28"/>
          <w:szCs w:val="28"/>
          <w:rtl/>
          <w:lang w:bidi="ar-MA"/>
        </w:rPr>
        <w:t xml:space="preserve">وتبقى هذه الظاهرة قروية </w:t>
      </w:r>
      <w:r>
        <w:rPr>
          <w:rFonts w:cs="Simplified Arabic" w:hint="cs"/>
          <w:sz w:val="28"/>
          <w:szCs w:val="28"/>
          <w:rtl/>
          <w:lang w:bidi="ar-MA"/>
        </w:rPr>
        <w:t xml:space="preserve">على الأساس، حيث تهم </w:t>
      </w:r>
      <w:r>
        <w:rPr>
          <w:rFonts w:cs="Simplified Arabic"/>
          <w:sz w:val="28"/>
          <w:szCs w:val="28"/>
          <w:lang w:bidi="ar-MA"/>
        </w:rPr>
        <w:t>3,6%</w:t>
      </w:r>
      <w:r>
        <w:rPr>
          <w:rFonts w:cs="Simplified Arabic" w:hint="cs"/>
          <w:sz w:val="28"/>
          <w:szCs w:val="28"/>
          <w:rtl/>
          <w:lang w:bidi="ar-MA"/>
        </w:rPr>
        <w:t xml:space="preserve"> من الأطفال</w:t>
      </w:r>
      <w:r>
        <w:rPr>
          <w:rFonts w:cs="Simplified Arabic"/>
          <w:sz w:val="28"/>
          <w:szCs w:val="28"/>
          <w:lang w:bidi="ar-MA"/>
        </w:rPr>
        <w:t xml:space="preserve"> </w:t>
      </w:r>
      <w:r>
        <w:rPr>
          <w:rFonts w:cs="Simplified Arabic" w:hint="cs"/>
          <w:sz w:val="28"/>
          <w:szCs w:val="28"/>
          <w:rtl/>
          <w:lang w:bidi="ar-MA"/>
        </w:rPr>
        <w:t xml:space="preserve">(76.000) بهذا الوسط سنة 2013 مقابل </w:t>
      </w:r>
      <w:r>
        <w:rPr>
          <w:rFonts w:cs="Simplified Arabic"/>
          <w:sz w:val="28"/>
          <w:szCs w:val="28"/>
          <w:lang w:bidi="ar-MA"/>
        </w:rPr>
        <w:t>16,2%</w:t>
      </w:r>
      <w:r>
        <w:rPr>
          <w:rFonts w:cs="Simplified Arabic" w:hint="cs"/>
          <w:sz w:val="28"/>
          <w:szCs w:val="28"/>
          <w:rtl/>
          <w:lang w:bidi="ar-MA"/>
        </w:rPr>
        <w:t xml:space="preserve"> سنة 1999 (452.000 طفل). أما بالوسط الحضري، فلا تشكل هذه النسبة إلا</w:t>
      </w:r>
      <w:r>
        <w:rPr>
          <w:rFonts w:cs="Simplified Arabic"/>
          <w:sz w:val="28"/>
          <w:szCs w:val="28"/>
          <w:lang w:bidi="ar-MA"/>
        </w:rPr>
        <w:t>0,4%</w:t>
      </w:r>
      <w:r>
        <w:rPr>
          <w:rFonts w:cs="Simplified Arabic" w:hint="cs"/>
          <w:sz w:val="28"/>
          <w:szCs w:val="28"/>
          <w:lang w:bidi="ar-MA"/>
        </w:rPr>
        <w:t xml:space="preserve"> </w:t>
      </w:r>
      <w:r>
        <w:rPr>
          <w:rFonts w:cs="Simplified Arabic" w:hint="cs"/>
          <w:sz w:val="28"/>
          <w:szCs w:val="28"/>
          <w:rtl/>
          <w:lang w:bidi="ar-MA"/>
        </w:rPr>
        <w:t xml:space="preserve"> من الأطفال الحضريين (10.000) مقابل</w:t>
      </w:r>
      <w:r>
        <w:rPr>
          <w:rFonts w:cs="Simplified Arabic"/>
          <w:sz w:val="28"/>
          <w:szCs w:val="28"/>
          <w:lang w:bidi="ar-MA"/>
        </w:rPr>
        <w:t xml:space="preserve">2,5% </w:t>
      </w:r>
      <w:r>
        <w:rPr>
          <w:rFonts w:cs="Simplified Arabic" w:hint="cs"/>
          <w:sz w:val="28"/>
          <w:szCs w:val="28"/>
          <w:rtl/>
          <w:lang w:bidi="ar-MA"/>
        </w:rPr>
        <w:t xml:space="preserve"> سنة 1999 (65.000 طفل</w:t>
      </w:r>
      <w:r>
        <w:rPr>
          <w:rFonts w:cs="Simplified Arabic"/>
          <w:sz w:val="28"/>
          <w:szCs w:val="28"/>
          <w:lang w:bidi="ar-MA"/>
        </w:rPr>
        <w:t>(</w:t>
      </w:r>
      <w:r>
        <w:rPr>
          <w:rFonts w:cs="Simplified Arabic" w:hint="cs"/>
          <w:sz w:val="28"/>
          <w:szCs w:val="28"/>
          <w:rtl/>
          <w:lang w:bidi="ar-MA"/>
        </w:rPr>
        <w:t>. وهكذا، فإن ما يقارب تسعة أطفال نشيطين مشتغلي</w:t>
      </w:r>
      <w:r>
        <w:rPr>
          <w:rFonts w:cs="Simplified Arabic" w:hint="cs"/>
          <w:sz w:val="28"/>
          <w:szCs w:val="28"/>
          <w:rtl/>
          <w:lang w:bidi="ar-MA"/>
        </w:rPr>
        <w:t>ن من بين عشرة يقطنون بالوسط القروي.</w:t>
      </w:r>
      <w:r>
        <w:rPr>
          <w:rFonts w:cs="Simplified Arabic"/>
          <w:sz w:val="28"/>
          <w:szCs w:val="28"/>
          <w:lang w:bidi="ar-MA"/>
        </w:rPr>
        <w:t xml:space="preserve"> </w:t>
      </w:r>
      <w:r>
        <w:rPr>
          <w:rFonts w:cs="Simplified Arabic" w:hint="cs"/>
          <w:sz w:val="28"/>
          <w:szCs w:val="28"/>
          <w:rtl/>
          <w:lang w:bidi="ar-MA"/>
        </w:rPr>
        <w:t xml:space="preserve">ومن جهة أخرى، تهم هذه الظاهرة الفتيان أكثر من الفتيات، حيث </w:t>
      </w:r>
      <w:r>
        <w:rPr>
          <w:rFonts w:cs="Simplified Arabic" w:hint="cs"/>
          <w:sz w:val="28"/>
          <w:szCs w:val="28"/>
          <w:rtl/>
          <w:lang w:val="en-US" w:bidi="ar-MA"/>
        </w:rPr>
        <w:t>إ</w:t>
      </w:r>
      <w:r>
        <w:rPr>
          <w:rFonts w:cs="Simplified Arabic" w:hint="cs"/>
          <w:sz w:val="28"/>
          <w:szCs w:val="28"/>
          <w:rtl/>
          <w:lang w:bidi="ar-MA"/>
        </w:rPr>
        <w:t xml:space="preserve">ن </w:t>
      </w:r>
      <w:r>
        <w:rPr>
          <w:rFonts w:cs="Simplified Arabic"/>
          <w:sz w:val="28"/>
          <w:szCs w:val="28"/>
          <w:lang w:bidi="ar-MA"/>
        </w:rPr>
        <w:t>57,2%</w:t>
      </w:r>
      <w:r>
        <w:rPr>
          <w:rFonts w:cs="Simplified Arabic" w:hint="cs"/>
          <w:sz w:val="28"/>
          <w:szCs w:val="28"/>
          <w:rtl/>
          <w:lang w:bidi="ar-MA"/>
        </w:rPr>
        <w:t xml:space="preserve"> من الأطفال المشتغلين هم ذكور. وحسب وسط الإقامة، تتراوح هذه النسبة ما بين </w:t>
      </w:r>
      <w:r>
        <w:rPr>
          <w:rFonts w:cs="Simplified Arabic"/>
          <w:sz w:val="28"/>
          <w:szCs w:val="28"/>
          <w:lang w:bidi="ar-MA"/>
        </w:rPr>
        <w:t>53,2%</w:t>
      </w:r>
      <w:r>
        <w:rPr>
          <w:rFonts w:cs="Simplified Arabic" w:hint="cs"/>
          <w:sz w:val="28"/>
          <w:szCs w:val="28"/>
          <w:rtl/>
          <w:lang w:bidi="ar-MA"/>
        </w:rPr>
        <w:t xml:space="preserve"> بالوسط القروي و</w:t>
      </w:r>
      <w:r>
        <w:rPr>
          <w:rFonts w:cs="Simplified Arabic"/>
          <w:sz w:val="28"/>
          <w:szCs w:val="28"/>
          <w:lang w:bidi="ar-MA"/>
        </w:rPr>
        <w:t>89,9%</w:t>
      </w:r>
      <w:r>
        <w:rPr>
          <w:rFonts w:cs="Simplified Arabic" w:hint="cs"/>
          <w:sz w:val="28"/>
          <w:szCs w:val="28"/>
          <w:rtl/>
          <w:lang w:bidi="ar-MA"/>
        </w:rPr>
        <w:t xml:space="preserve"> بالوسط الحضري</w:t>
      </w:r>
      <w:r>
        <w:rPr>
          <w:rFonts w:cs="Simplified Arabic"/>
          <w:sz w:val="28"/>
          <w:szCs w:val="28"/>
          <w:lang w:bidi="ar-MA"/>
        </w:rPr>
        <w:t>.</w:t>
      </w:r>
      <w:r>
        <w:rPr>
          <w:rFonts w:cs="Simplified Arabic" w:hint="cs"/>
          <w:sz w:val="28"/>
          <w:szCs w:val="28"/>
          <w:rtl/>
          <w:lang w:bidi="ar-MA"/>
        </w:rPr>
        <w:t xml:space="preserve"> </w:t>
      </w:r>
    </w:p>
    <w:p w:rsidR="00000000" w:rsidRDefault="00414BAC">
      <w:pPr>
        <w:bidi/>
        <w:spacing w:line="240" w:lineRule="auto"/>
        <w:ind w:right="-425"/>
        <w:jc w:val="both"/>
        <w:rPr>
          <w:rFonts w:cs="Simplified Arabic"/>
          <w:sz w:val="28"/>
          <w:szCs w:val="28"/>
          <w:rtl/>
          <w:lang w:bidi="ar-MA"/>
        </w:rPr>
      </w:pPr>
      <w:r>
        <w:rPr>
          <w:rFonts w:cs="Simplified Arabic" w:hint="cs"/>
          <w:sz w:val="28"/>
          <w:szCs w:val="28"/>
          <w:rtl/>
          <w:lang w:bidi="ar-MA"/>
        </w:rPr>
        <w:t>على المستوى الجهوي، ومن خلال تحليل م</w:t>
      </w:r>
      <w:r>
        <w:rPr>
          <w:rFonts w:cs="Simplified Arabic" w:hint="cs"/>
          <w:sz w:val="28"/>
          <w:szCs w:val="28"/>
          <w:rtl/>
          <w:lang w:bidi="ar-MA"/>
        </w:rPr>
        <w:t xml:space="preserve">عطيات الخمس سنوات الأخيرة، يتبين أن </w:t>
      </w:r>
      <w:r>
        <w:rPr>
          <w:rFonts w:cs="Simplified Arabic"/>
          <w:sz w:val="28"/>
          <w:szCs w:val="28"/>
          <w:lang w:bidi="ar-MA"/>
        </w:rPr>
        <w:t>70%</w:t>
      </w:r>
      <w:r>
        <w:rPr>
          <w:rFonts w:cs="Simplified Arabic" w:hint="cs"/>
          <w:sz w:val="28"/>
          <w:szCs w:val="28"/>
          <w:rtl/>
          <w:lang w:bidi="ar-MA"/>
        </w:rPr>
        <w:t xml:space="preserve"> من الأطفال المشتغلين هم متمركزون بأربع جهات من المملكة. وتضم جهة دكالة- عبدة بمفردها أكثر من ربع هؤلاء الأطفال.</w:t>
      </w:r>
    </w:p>
    <w:p w:rsidR="00000000" w:rsidRDefault="00414BAC">
      <w:pPr>
        <w:bidi/>
        <w:spacing w:line="240" w:lineRule="auto"/>
        <w:ind w:right="-425"/>
        <w:jc w:val="both"/>
        <w:rPr>
          <w:rFonts w:cs="Simplified Arabic"/>
          <w:sz w:val="28"/>
          <w:szCs w:val="28"/>
          <w:rtl/>
          <w:lang w:bidi="ar-MA"/>
        </w:rPr>
      </w:pPr>
      <w:r>
        <w:rPr>
          <w:rFonts w:cs="Simplified Arabic" w:hint="cs"/>
          <w:sz w:val="28"/>
          <w:szCs w:val="28"/>
          <w:rtl/>
          <w:lang w:bidi="ar-MA"/>
        </w:rPr>
        <w:t xml:space="preserve">خلال سنة 2013، مثلت بنية تشغيل الأطفال على مستوى هذه الجهات النسب التالية: </w:t>
      </w:r>
    </w:p>
    <w:p w:rsidR="00000000" w:rsidRDefault="00414BAC">
      <w:pPr>
        <w:pStyle w:val="Paragraphedeliste"/>
        <w:numPr>
          <w:ilvl w:val="0"/>
          <w:numId w:val="1"/>
        </w:numPr>
        <w:bidi/>
        <w:spacing w:after="0" w:line="240" w:lineRule="auto"/>
        <w:ind w:left="1349" w:hanging="357"/>
        <w:rPr>
          <w:rFonts w:cs="Simplified Arabic"/>
          <w:sz w:val="28"/>
          <w:szCs w:val="28"/>
          <w:lang w:bidi="ar-MA"/>
        </w:rPr>
      </w:pPr>
      <w:r>
        <w:rPr>
          <w:rFonts w:cs="Simplified Arabic"/>
          <w:sz w:val="28"/>
          <w:szCs w:val="28"/>
          <w:lang w:bidi="ar-MA"/>
        </w:rPr>
        <w:t xml:space="preserve">24,8% </w:t>
      </w:r>
      <w:r>
        <w:rPr>
          <w:rFonts w:cs="Simplified Arabic" w:hint="cs"/>
          <w:sz w:val="28"/>
          <w:szCs w:val="28"/>
          <w:rtl/>
          <w:lang w:bidi="ar-MA"/>
        </w:rPr>
        <w:t xml:space="preserve"> بدكالة </w:t>
      </w:r>
      <w:r>
        <w:rPr>
          <w:rFonts w:cs="Simplified Arabic"/>
          <w:sz w:val="28"/>
          <w:szCs w:val="28"/>
          <w:rtl/>
          <w:lang w:bidi="ar-MA"/>
        </w:rPr>
        <w:t>–</w:t>
      </w:r>
      <w:r>
        <w:rPr>
          <w:rFonts w:cs="Simplified Arabic" w:hint="cs"/>
          <w:sz w:val="28"/>
          <w:szCs w:val="28"/>
          <w:rtl/>
          <w:lang w:bidi="ar-MA"/>
        </w:rPr>
        <w:t xml:space="preserve"> عبدة؛</w:t>
      </w:r>
    </w:p>
    <w:p w:rsidR="00000000" w:rsidRDefault="00414BAC">
      <w:pPr>
        <w:pStyle w:val="Paragraphedeliste"/>
        <w:numPr>
          <w:ilvl w:val="0"/>
          <w:numId w:val="1"/>
        </w:numPr>
        <w:bidi/>
        <w:spacing w:after="0" w:line="240" w:lineRule="auto"/>
        <w:ind w:left="1349" w:hanging="357"/>
        <w:rPr>
          <w:rFonts w:cs="Simplified Arabic"/>
          <w:sz w:val="28"/>
          <w:szCs w:val="28"/>
          <w:lang w:bidi="ar-MA"/>
        </w:rPr>
      </w:pPr>
      <w:r>
        <w:rPr>
          <w:rFonts w:cs="Simplified Arabic"/>
          <w:sz w:val="28"/>
          <w:szCs w:val="28"/>
          <w:lang w:bidi="ar-MA"/>
        </w:rPr>
        <w:t xml:space="preserve">18,2% </w:t>
      </w:r>
      <w:r>
        <w:rPr>
          <w:rFonts w:cs="Simplified Arabic" w:hint="cs"/>
          <w:sz w:val="28"/>
          <w:szCs w:val="28"/>
          <w:rtl/>
          <w:lang w:bidi="ar-MA"/>
        </w:rPr>
        <w:t xml:space="preserve"> بمراكش- تانسيفت- الحوز؛</w:t>
      </w:r>
    </w:p>
    <w:p w:rsidR="00000000" w:rsidRDefault="00414BAC">
      <w:pPr>
        <w:pStyle w:val="Paragraphedeliste"/>
        <w:numPr>
          <w:ilvl w:val="0"/>
          <w:numId w:val="1"/>
        </w:numPr>
        <w:bidi/>
        <w:spacing w:after="0" w:line="240" w:lineRule="auto"/>
        <w:ind w:left="1349" w:hanging="357"/>
        <w:rPr>
          <w:rFonts w:cs="Simplified Arabic"/>
          <w:sz w:val="28"/>
          <w:szCs w:val="28"/>
          <w:lang w:bidi="ar-MA"/>
        </w:rPr>
      </w:pPr>
      <w:r>
        <w:rPr>
          <w:rFonts w:cs="Simplified Arabic"/>
          <w:sz w:val="28"/>
          <w:szCs w:val="28"/>
          <w:lang w:bidi="ar-MA"/>
        </w:rPr>
        <w:t xml:space="preserve">16,1% </w:t>
      </w:r>
      <w:r>
        <w:rPr>
          <w:rFonts w:cs="Simplified Arabic" w:hint="cs"/>
          <w:sz w:val="28"/>
          <w:szCs w:val="28"/>
          <w:rtl/>
          <w:lang w:bidi="ar-MA"/>
        </w:rPr>
        <w:t xml:space="preserve"> بالشاوية- ورديغة؛</w:t>
      </w:r>
    </w:p>
    <w:p w:rsidR="00000000" w:rsidRDefault="00414BAC">
      <w:pPr>
        <w:numPr>
          <w:ilvl w:val="0"/>
          <w:numId w:val="1"/>
        </w:numPr>
        <w:bidi/>
        <w:spacing w:line="240" w:lineRule="auto"/>
        <w:ind w:left="1349" w:hanging="357"/>
        <w:jc w:val="both"/>
        <w:rPr>
          <w:b/>
          <w:bCs/>
          <w:lang w:bidi="ar-MA"/>
        </w:rPr>
      </w:pPr>
      <w:r>
        <w:rPr>
          <w:rFonts w:cs="Simplified Arabic" w:hint="cs"/>
          <w:sz w:val="28"/>
          <w:szCs w:val="28"/>
          <w:rtl/>
          <w:lang w:bidi="ar-MA"/>
        </w:rPr>
        <w:t>و</w:t>
      </w:r>
      <w:r>
        <w:rPr>
          <w:rFonts w:cs="Simplified Arabic"/>
          <w:sz w:val="28"/>
          <w:szCs w:val="28"/>
          <w:lang w:bidi="ar-MA"/>
        </w:rPr>
        <w:t xml:space="preserve">10% </w:t>
      </w:r>
      <w:r>
        <w:rPr>
          <w:rFonts w:cs="Simplified Arabic" w:hint="cs"/>
          <w:sz w:val="28"/>
          <w:szCs w:val="28"/>
          <w:rtl/>
          <w:lang w:bidi="ar-MA"/>
        </w:rPr>
        <w:t xml:space="preserve"> بجهة الغرب- شراردة- بني حسن.</w:t>
      </w:r>
    </w:p>
    <w:p w:rsidR="00000000" w:rsidRDefault="00414BAC">
      <w:pPr>
        <w:bidi/>
        <w:jc w:val="center"/>
        <w:rPr>
          <w:b/>
          <w:bCs/>
          <w:lang w:bidi="ar-MA"/>
        </w:rPr>
      </w:pPr>
    </w:p>
    <w:p w:rsidR="00000000" w:rsidRDefault="00414BAC">
      <w:pPr>
        <w:bidi/>
        <w:jc w:val="center"/>
      </w:pPr>
      <w:r>
        <w:rPr>
          <w:b/>
          <w:bCs/>
          <w:rtl/>
          <w:lang w:bidi="ar-MA"/>
        </w:rPr>
        <w:t>تطورعدد الأطفال المشتغلين المتراوحة أعمارهم مابين 7 وأقل من 15سنة</w:t>
      </w:r>
      <w:r>
        <w:rPr>
          <w:rFonts w:hint="cs"/>
          <w:b/>
          <w:bCs/>
          <w:rtl/>
          <w:lang w:bidi="ar-MA"/>
        </w:rPr>
        <w:t xml:space="preserve"> </w:t>
      </w:r>
      <w:r>
        <w:rPr>
          <w:b/>
          <w:bCs/>
          <w:rtl/>
          <w:lang w:bidi="ar-MA"/>
        </w:rPr>
        <w:t>حسب وسط الإقامة (بالآلاف)</w:t>
      </w:r>
    </w:p>
    <w:p w:rsidR="00000000" w:rsidRDefault="000944A3" w:rsidP="000944A3">
      <w:pPr>
        <w:pStyle w:val="En-tte"/>
        <w:tabs>
          <w:tab w:val="clear" w:pos="4536"/>
          <w:tab w:val="clear" w:pos="9072"/>
        </w:tabs>
        <w:spacing w:after="200" w:line="276" w:lineRule="auto"/>
        <w:jc w:val="center"/>
        <w:rPr>
          <w:noProof/>
          <w:lang w:eastAsia="fr-FR"/>
        </w:rPr>
      </w:pPr>
      <w:r>
        <w:rPr>
          <w:noProof/>
          <w:lang w:eastAsia="fr-FR"/>
        </w:rPr>
        <w:drawing>
          <wp:inline distT="0" distB="0" distL="0" distR="0">
            <wp:extent cx="4566920" cy="2965704"/>
            <wp:effectExtent l="12192" t="6096" r="5588" b="0"/>
            <wp:docPr id="1"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00000" w:rsidRDefault="00414BAC">
      <w:pPr>
        <w:bidi/>
        <w:spacing w:line="360" w:lineRule="auto"/>
        <w:ind w:right="-425"/>
        <w:rPr>
          <w:rFonts w:cs="Simplified Arabic"/>
          <w:b/>
          <w:bCs/>
          <w:sz w:val="20"/>
          <w:szCs w:val="20"/>
          <w:rtl/>
          <w:lang w:val="en-US"/>
        </w:rPr>
      </w:pPr>
      <w:r>
        <w:rPr>
          <w:rFonts w:cs="Simplified Arabic" w:hint="cs"/>
          <w:b/>
          <w:bCs/>
          <w:sz w:val="20"/>
          <w:szCs w:val="20"/>
          <w:rtl/>
          <w:lang w:val="en-US"/>
        </w:rPr>
        <w:t>المصدر: البحث الوطني حول التشغيل، المندوبية السامية للتخطيط (مديرية الإحصاء)</w:t>
      </w:r>
    </w:p>
    <w:p w:rsidR="00000000" w:rsidRDefault="00414BAC">
      <w:pPr>
        <w:pStyle w:val="Paragraphedeliste"/>
        <w:bidi/>
        <w:spacing w:after="0" w:line="240" w:lineRule="auto"/>
        <w:ind w:left="0"/>
        <w:jc w:val="both"/>
        <w:rPr>
          <w:rFonts w:cs="Simplified Arabic"/>
          <w:sz w:val="28"/>
          <w:szCs w:val="28"/>
          <w:rtl/>
          <w:lang w:bidi="ar-MA"/>
        </w:rPr>
      </w:pPr>
      <w:r>
        <w:rPr>
          <w:rFonts w:cs="Simplified Arabic"/>
          <w:sz w:val="28"/>
          <w:szCs w:val="28"/>
          <w:rtl/>
          <w:lang w:bidi="ar-MA"/>
        </w:rPr>
        <w:t xml:space="preserve">وغالبا ما </w:t>
      </w:r>
      <w:r>
        <w:rPr>
          <w:rFonts w:cs="Simplified Arabic" w:hint="cs"/>
          <w:sz w:val="28"/>
          <w:szCs w:val="28"/>
          <w:rtl/>
          <w:lang w:bidi="ar-MA"/>
        </w:rPr>
        <w:t>يعزى تشغيل</w:t>
      </w:r>
      <w:r>
        <w:rPr>
          <w:rFonts w:cs="Simplified Arabic"/>
          <w:sz w:val="28"/>
          <w:szCs w:val="28"/>
          <w:rtl/>
          <w:lang w:bidi="ar-MA"/>
        </w:rPr>
        <w:t xml:space="preserve"> الأطفال </w:t>
      </w:r>
      <w:r>
        <w:rPr>
          <w:rFonts w:cs="Simplified Arabic" w:hint="cs"/>
          <w:sz w:val="28"/>
          <w:szCs w:val="28"/>
          <w:rtl/>
          <w:lang w:bidi="ar-MA"/>
        </w:rPr>
        <w:t>لقساوة</w:t>
      </w:r>
      <w:r>
        <w:rPr>
          <w:rFonts w:cs="Simplified Arabic"/>
          <w:sz w:val="28"/>
          <w:szCs w:val="28"/>
          <w:rtl/>
          <w:lang w:bidi="ar-MA"/>
        </w:rPr>
        <w:t xml:space="preserve"> الأوضاع الاجتماعية و</w:t>
      </w:r>
      <w:r>
        <w:rPr>
          <w:rFonts w:cs="Simplified Arabic" w:hint="cs"/>
          <w:sz w:val="28"/>
          <w:szCs w:val="28"/>
          <w:rtl/>
          <w:lang w:bidi="ar-MA"/>
        </w:rPr>
        <w:t>ل</w:t>
      </w:r>
      <w:r>
        <w:rPr>
          <w:rFonts w:cs="Simplified Arabic"/>
          <w:sz w:val="28"/>
          <w:szCs w:val="28"/>
          <w:rtl/>
          <w:lang w:bidi="ar-MA"/>
        </w:rPr>
        <w:t xml:space="preserve">عدم </w:t>
      </w:r>
      <w:r>
        <w:rPr>
          <w:rFonts w:cs="Simplified Arabic" w:hint="cs"/>
          <w:sz w:val="28"/>
          <w:szCs w:val="28"/>
          <w:rtl/>
          <w:lang w:bidi="ar-MA"/>
        </w:rPr>
        <w:t>تكافؤ فرص ال</w:t>
      </w:r>
      <w:r>
        <w:rPr>
          <w:rFonts w:cs="Simplified Arabic"/>
          <w:sz w:val="28"/>
          <w:szCs w:val="28"/>
          <w:rtl/>
          <w:lang w:bidi="ar-MA"/>
        </w:rPr>
        <w:t xml:space="preserve">ولوج </w:t>
      </w:r>
      <w:r>
        <w:rPr>
          <w:rFonts w:cs="Simplified Arabic" w:hint="cs"/>
          <w:sz w:val="28"/>
          <w:szCs w:val="28"/>
          <w:rtl/>
          <w:lang w:bidi="ar-MA"/>
        </w:rPr>
        <w:t xml:space="preserve">إلى </w:t>
      </w:r>
      <w:r>
        <w:rPr>
          <w:rFonts w:cs="Simplified Arabic"/>
          <w:sz w:val="28"/>
          <w:szCs w:val="28"/>
          <w:rtl/>
          <w:lang w:bidi="ar-MA"/>
        </w:rPr>
        <w:t xml:space="preserve">التعليم، عاملان </w:t>
      </w:r>
      <w:r>
        <w:rPr>
          <w:rFonts w:cs="Simplified Arabic" w:hint="cs"/>
          <w:sz w:val="28"/>
          <w:szCs w:val="28"/>
          <w:rtl/>
          <w:lang w:bidi="ar-MA"/>
        </w:rPr>
        <w:t>يمكن تفسيرهما أساسا بالتباين ما بين الفئات الاجتماعية التي ينتمي إليها</w:t>
      </w:r>
      <w:r>
        <w:rPr>
          <w:rFonts w:cs="Simplified Arabic"/>
          <w:sz w:val="28"/>
          <w:szCs w:val="28"/>
          <w:rtl/>
          <w:lang w:bidi="ar-MA"/>
        </w:rPr>
        <w:t xml:space="preserve"> </w:t>
      </w:r>
      <w:r>
        <w:rPr>
          <w:rFonts w:cs="Simplified Arabic" w:hint="cs"/>
          <w:sz w:val="28"/>
          <w:szCs w:val="28"/>
          <w:rtl/>
          <w:lang w:bidi="ar-MA"/>
        </w:rPr>
        <w:t>ا</w:t>
      </w:r>
      <w:r>
        <w:rPr>
          <w:rFonts w:cs="Simplified Arabic"/>
          <w:sz w:val="28"/>
          <w:szCs w:val="28"/>
          <w:rtl/>
          <w:lang w:bidi="ar-MA"/>
        </w:rPr>
        <w:t>لأفراد.</w:t>
      </w:r>
      <w:r>
        <w:rPr>
          <w:rFonts w:cs="Simplified Arabic"/>
          <w:sz w:val="28"/>
          <w:szCs w:val="28"/>
          <w:lang w:bidi="ar-AE"/>
        </w:rPr>
        <w:t xml:space="preserve"> </w:t>
      </w:r>
      <w:r>
        <w:rPr>
          <w:rFonts w:cs="Simplified Arabic"/>
          <w:sz w:val="28"/>
          <w:szCs w:val="28"/>
          <w:rtl/>
          <w:lang w:bidi="ar-MA"/>
        </w:rPr>
        <w:t xml:space="preserve">بالمغرب، وعلى الرغم </w:t>
      </w:r>
      <w:r>
        <w:rPr>
          <w:rFonts w:cs="Simplified Arabic" w:hint="cs"/>
          <w:sz w:val="28"/>
          <w:szCs w:val="28"/>
          <w:rtl/>
          <w:lang w:bidi="ar-MA"/>
        </w:rPr>
        <w:t>من</w:t>
      </w:r>
      <w:r>
        <w:rPr>
          <w:rFonts w:cs="Simplified Arabic"/>
          <w:sz w:val="28"/>
          <w:szCs w:val="28"/>
          <w:rtl/>
          <w:lang w:bidi="ar-MA"/>
        </w:rPr>
        <w:t xml:space="preserve"> </w:t>
      </w:r>
      <w:r>
        <w:rPr>
          <w:rFonts w:cs="Simplified Arabic" w:hint="cs"/>
          <w:sz w:val="28"/>
          <w:szCs w:val="28"/>
          <w:rtl/>
          <w:lang w:bidi="ar-MA"/>
        </w:rPr>
        <w:t>تطور نسبة</w:t>
      </w:r>
      <w:r>
        <w:rPr>
          <w:rFonts w:cs="Simplified Arabic"/>
          <w:sz w:val="28"/>
          <w:szCs w:val="28"/>
          <w:rtl/>
          <w:lang w:bidi="ar-MA"/>
        </w:rPr>
        <w:t xml:space="preserve"> التمدرس بالتعليم الابتدائي، تبقى الجهود المب</w:t>
      </w:r>
      <w:r>
        <w:rPr>
          <w:rFonts w:cs="Simplified Arabic"/>
          <w:sz w:val="28"/>
          <w:szCs w:val="28"/>
          <w:rtl/>
          <w:lang w:bidi="ar-MA"/>
        </w:rPr>
        <w:t xml:space="preserve">ذولة </w:t>
      </w:r>
      <w:r>
        <w:rPr>
          <w:rFonts w:cs="Simplified Arabic" w:hint="cs"/>
          <w:sz w:val="28"/>
          <w:szCs w:val="28"/>
          <w:rtl/>
          <w:lang w:bidi="ar-MA"/>
        </w:rPr>
        <w:t xml:space="preserve">على المستوى الثانوي </w:t>
      </w:r>
      <w:r>
        <w:rPr>
          <w:rFonts w:cs="Simplified Arabic"/>
          <w:sz w:val="28"/>
          <w:szCs w:val="28"/>
          <w:rtl/>
          <w:lang w:bidi="ar-MA"/>
        </w:rPr>
        <w:t>غير كافية، ويمثل تشغيل الأطفال أحد</w:t>
      </w:r>
      <w:r>
        <w:rPr>
          <w:rFonts w:cs="Simplified Arabic" w:hint="cs"/>
          <w:sz w:val="28"/>
          <w:szCs w:val="28"/>
          <w:rtl/>
          <w:lang w:bidi="ar-MA"/>
        </w:rPr>
        <w:t xml:space="preserve"> عواقب هذه الوضعية</w:t>
      </w:r>
      <w:r>
        <w:rPr>
          <w:rFonts w:cs="Simplified Arabic"/>
          <w:sz w:val="28"/>
          <w:szCs w:val="28"/>
          <w:rtl/>
          <w:lang w:bidi="ar-MA"/>
        </w:rPr>
        <w:t>.</w:t>
      </w:r>
    </w:p>
    <w:p w:rsidR="00000000" w:rsidRDefault="00414BAC">
      <w:pPr>
        <w:pStyle w:val="Paragraphedeliste"/>
        <w:bidi/>
        <w:spacing w:after="0" w:line="240" w:lineRule="auto"/>
        <w:ind w:left="0"/>
        <w:jc w:val="both"/>
        <w:rPr>
          <w:rFonts w:cs="Simplified Arabic"/>
          <w:sz w:val="28"/>
          <w:szCs w:val="28"/>
          <w:lang w:bidi="ar-AE"/>
        </w:rPr>
      </w:pPr>
      <w:r>
        <w:rPr>
          <w:rFonts w:cs="Simplified Arabic"/>
          <w:sz w:val="28"/>
          <w:szCs w:val="28"/>
          <w:rtl/>
          <w:lang w:bidi="ar-MA"/>
        </w:rPr>
        <w:t xml:space="preserve">وهكذا، ومن خلال تحليل المميزات الثقافية لهؤلاء الأطفال، يتبين أن </w:t>
      </w:r>
      <w:r>
        <w:rPr>
          <w:rFonts w:cs="Simplified Arabic"/>
          <w:sz w:val="28"/>
          <w:szCs w:val="28"/>
          <w:lang w:bidi="ar-AE"/>
        </w:rPr>
        <w:t>30%</w:t>
      </w:r>
      <w:r>
        <w:rPr>
          <w:rFonts w:cs="Simplified Arabic"/>
          <w:sz w:val="28"/>
          <w:szCs w:val="28"/>
          <w:rtl/>
          <w:lang w:bidi="ar-MA"/>
        </w:rPr>
        <w:t xml:space="preserve"> منهم لا يتوفرون على أي مستوى دراسي، </w:t>
      </w:r>
      <w:r>
        <w:rPr>
          <w:rFonts w:cs="Simplified Arabic"/>
          <w:sz w:val="28"/>
          <w:szCs w:val="28"/>
          <w:lang w:bidi="ar-AE"/>
        </w:rPr>
        <w:t>80%</w:t>
      </w:r>
      <w:r>
        <w:rPr>
          <w:rFonts w:cs="Simplified Arabic"/>
          <w:sz w:val="28"/>
          <w:szCs w:val="28"/>
          <w:rtl/>
          <w:lang w:bidi="ar-MA"/>
        </w:rPr>
        <w:t xml:space="preserve"> لا يتوفرون على أية شهادة و</w:t>
      </w:r>
      <w:r>
        <w:rPr>
          <w:rFonts w:cs="Simplified Arabic"/>
          <w:sz w:val="28"/>
          <w:szCs w:val="28"/>
          <w:lang w:bidi="ar-AE"/>
        </w:rPr>
        <w:t>30%</w:t>
      </w:r>
      <w:r>
        <w:rPr>
          <w:rFonts w:cs="Simplified Arabic"/>
          <w:sz w:val="28"/>
          <w:szCs w:val="28"/>
          <w:rtl/>
          <w:lang w:bidi="ar-MA"/>
        </w:rPr>
        <w:t xml:space="preserve"> من بين البالغين من العمر ما بين 10 و14</w:t>
      </w:r>
      <w:r>
        <w:rPr>
          <w:rFonts w:cs="Simplified Arabic"/>
          <w:sz w:val="28"/>
          <w:szCs w:val="28"/>
          <w:rtl/>
          <w:lang w:bidi="ar-MA"/>
        </w:rPr>
        <w:t xml:space="preserve"> سنة هم أميون.</w:t>
      </w:r>
    </w:p>
    <w:p w:rsidR="00000000" w:rsidRDefault="00414BAC">
      <w:pPr>
        <w:bidi/>
        <w:spacing w:line="240" w:lineRule="auto"/>
        <w:ind w:right="-425"/>
        <w:jc w:val="both"/>
        <w:rPr>
          <w:rFonts w:cs="Simplified Arabic"/>
          <w:sz w:val="28"/>
          <w:szCs w:val="28"/>
          <w:lang w:bidi="ar-MA"/>
        </w:rPr>
      </w:pPr>
      <w:r>
        <w:rPr>
          <w:rFonts w:cs="Simplified Arabic" w:hint="cs"/>
          <w:sz w:val="28"/>
          <w:szCs w:val="28"/>
          <w:rtl/>
          <w:lang w:bidi="ar-MA"/>
        </w:rPr>
        <w:t xml:space="preserve">وفيما يخص ظروف عملهم ، يتبين من خلال معطيات البحث الوطني حول التشغيل لسنة 2013، أن </w:t>
      </w:r>
      <w:r>
        <w:rPr>
          <w:rFonts w:cs="Simplified Arabic"/>
          <w:sz w:val="28"/>
          <w:szCs w:val="28"/>
          <w:lang w:bidi="ar-MA"/>
        </w:rPr>
        <w:t>25,4%</w:t>
      </w:r>
      <w:r>
        <w:rPr>
          <w:rFonts w:cs="Simplified Arabic" w:hint="cs"/>
          <w:sz w:val="28"/>
          <w:szCs w:val="28"/>
          <w:rtl/>
          <w:lang w:bidi="ar-MA"/>
        </w:rPr>
        <w:t xml:space="preserve"> فقط من هؤلاء الأطفال يشتغلون بالموازاة مع تمدرسهم و</w:t>
      </w:r>
      <w:r>
        <w:rPr>
          <w:rFonts w:cs="Simplified Arabic"/>
          <w:sz w:val="28"/>
          <w:szCs w:val="28"/>
          <w:lang w:bidi="ar-MA"/>
        </w:rPr>
        <w:t>54,8%</w:t>
      </w:r>
      <w:r>
        <w:rPr>
          <w:rFonts w:cs="Simplified Arabic" w:hint="cs"/>
          <w:sz w:val="28"/>
          <w:szCs w:val="28"/>
          <w:rtl/>
          <w:lang w:bidi="ar-MA"/>
        </w:rPr>
        <w:t xml:space="preserve"> غادروا المدرسة دون إتمام مرحلة التعليم الإجباري بينما لم يسبق ل </w:t>
      </w:r>
      <w:r>
        <w:rPr>
          <w:rFonts w:cs="Simplified Arabic"/>
          <w:sz w:val="28"/>
          <w:szCs w:val="28"/>
          <w:lang w:bidi="ar-MA"/>
        </w:rPr>
        <w:t>19,8%</w:t>
      </w:r>
      <w:r>
        <w:rPr>
          <w:rFonts w:cs="Simplified Arabic" w:hint="cs"/>
          <w:sz w:val="28"/>
          <w:szCs w:val="28"/>
          <w:rtl/>
          <w:lang w:bidi="ar-MA"/>
        </w:rPr>
        <w:t xml:space="preserve"> منهم أن تمدرسوا. و تعزى أ</w:t>
      </w:r>
      <w:r>
        <w:rPr>
          <w:rFonts w:cs="Simplified Arabic" w:hint="cs"/>
          <w:sz w:val="28"/>
          <w:szCs w:val="28"/>
          <w:rtl/>
          <w:lang w:bidi="ar-MA"/>
        </w:rPr>
        <w:t xml:space="preserve">ساسا أسباب عدم تمدرس هؤلاء الأطفال والذين يمثلون </w:t>
      </w:r>
      <w:r>
        <w:rPr>
          <w:rFonts w:cs="Simplified Arabic"/>
          <w:sz w:val="28"/>
          <w:szCs w:val="28"/>
          <w:lang w:bidi="ar-MA"/>
        </w:rPr>
        <w:t xml:space="preserve"> 74,6%</w:t>
      </w:r>
      <w:r>
        <w:rPr>
          <w:rFonts w:cs="Simplified Arabic" w:hint="cs"/>
          <w:sz w:val="28"/>
          <w:szCs w:val="28"/>
          <w:rtl/>
          <w:lang w:bidi="ar-MA"/>
        </w:rPr>
        <w:t xml:space="preserve"> من الأطفال المشتغلين إلى: </w:t>
      </w:r>
    </w:p>
    <w:p w:rsidR="00000000" w:rsidRDefault="00414BAC">
      <w:pPr>
        <w:pStyle w:val="Paragraphedeliste"/>
        <w:numPr>
          <w:ilvl w:val="0"/>
          <w:numId w:val="3"/>
        </w:numPr>
        <w:bidi/>
        <w:spacing w:after="0" w:line="240" w:lineRule="auto"/>
        <w:jc w:val="both"/>
        <w:rPr>
          <w:rFonts w:cs="Simplified Arabic"/>
          <w:sz w:val="20"/>
          <w:szCs w:val="28"/>
          <w:lang w:bidi="ar-AE"/>
        </w:rPr>
      </w:pPr>
      <w:r>
        <w:rPr>
          <w:rFonts w:cs="Simplified Arabic" w:hint="cs"/>
          <w:sz w:val="20"/>
          <w:szCs w:val="28"/>
          <w:rtl/>
          <w:lang w:bidi="ar-MA"/>
        </w:rPr>
        <w:t xml:space="preserve">عدم اهتمام الطفل بالدراسة( </w:t>
      </w:r>
      <w:r>
        <w:rPr>
          <w:rFonts w:cs="Simplified Arabic"/>
          <w:sz w:val="20"/>
          <w:szCs w:val="28"/>
          <w:lang w:bidi="ar-AE"/>
        </w:rPr>
        <w:t>26,4%</w:t>
      </w:r>
      <w:r>
        <w:rPr>
          <w:rFonts w:cs="Simplified Arabic" w:hint="cs"/>
          <w:sz w:val="20"/>
          <w:szCs w:val="28"/>
          <w:rtl/>
          <w:lang w:bidi="ar-MA"/>
        </w:rPr>
        <w:t>)؛</w:t>
      </w:r>
    </w:p>
    <w:p w:rsidR="00000000" w:rsidRDefault="00414BAC">
      <w:pPr>
        <w:pStyle w:val="Paragraphedeliste"/>
        <w:numPr>
          <w:ilvl w:val="0"/>
          <w:numId w:val="3"/>
        </w:numPr>
        <w:bidi/>
        <w:spacing w:after="0" w:line="240" w:lineRule="auto"/>
        <w:jc w:val="both"/>
        <w:rPr>
          <w:rFonts w:cs="Simplified Arabic"/>
          <w:sz w:val="20"/>
          <w:szCs w:val="28"/>
          <w:lang w:bidi="ar-AE"/>
        </w:rPr>
      </w:pPr>
      <w:r>
        <w:rPr>
          <w:rFonts w:cs="Simplified Arabic" w:hint="cs"/>
          <w:sz w:val="20"/>
          <w:szCs w:val="28"/>
          <w:rtl/>
          <w:lang w:bidi="ar-MA"/>
        </w:rPr>
        <w:t>عدم تواجد مؤسسة تعليمية بمحل الإقامة، بعد المؤسسة، صعوبات جغرافية أو مناخية(</w:t>
      </w:r>
      <w:r>
        <w:rPr>
          <w:rFonts w:cs="Simplified Arabic"/>
          <w:sz w:val="20"/>
          <w:szCs w:val="28"/>
          <w:lang w:bidi="ar-AE"/>
        </w:rPr>
        <w:t>23,5%</w:t>
      </w:r>
      <w:r>
        <w:rPr>
          <w:rFonts w:cs="Simplified Arabic" w:hint="cs"/>
          <w:sz w:val="20"/>
          <w:szCs w:val="28"/>
          <w:rtl/>
          <w:lang w:bidi="ar-MA"/>
        </w:rPr>
        <w:t>)؛</w:t>
      </w:r>
    </w:p>
    <w:p w:rsidR="00000000" w:rsidRDefault="00414BAC">
      <w:pPr>
        <w:pStyle w:val="Paragraphedeliste"/>
        <w:numPr>
          <w:ilvl w:val="0"/>
          <w:numId w:val="3"/>
        </w:numPr>
        <w:bidi/>
        <w:spacing w:after="0" w:line="240" w:lineRule="auto"/>
        <w:jc w:val="both"/>
        <w:rPr>
          <w:rFonts w:cs="Simplified Arabic"/>
          <w:sz w:val="20"/>
          <w:szCs w:val="28"/>
          <w:lang w:bidi="ar-AE"/>
        </w:rPr>
      </w:pPr>
      <w:r>
        <w:rPr>
          <w:rFonts w:cs="Simplified Arabic" w:hint="cs"/>
          <w:sz w:val="20"/>
          <w:szCs w:val="28"/>
          <w:rtl/>
          <w:lang w:bidi="ar-MA"/>
        </w:rPr>
        <w:t xml:space="preserve">انعدام الوسائل المادية لتغطية مصاريف التمدرس( </w:t>
      </w:r>
      <w:r>
        <w:rPr>
          <w:rFonts w:cs="Simplified Arabic"/>
          <w:sz w:val="20"/>
          <w:szCs w:val="28"/>
          <w:lang w:bidi="ar-AE"/>
        </w:rPr>
        <w:t>16,2%</w:t>
      </w:r>
      <w:r>
        <w:rPr>
          <w:rFonts w:cs="Simplified Arabic" w:hint="cs"/>
          <w:sz w:val="20"/>
          <w:szCs w:val="28"/>
          <w:rtl/>
          <w:lang w:bidi="ar-MA"/>
        </w:rPr>
        <w:t>)؛</w:t>
      </w:r>
    </w:p>
    <w:p w:rsidR="00000000" w:rsidRDefault="00414BAC">
      <w:pPr>
        <w:pStyle w:val="Paragraphedeliste"/>
        <w:numPr>
          <w:ilvl w:val="0"/>
          <w:numId w:val="3"/>
        </w:numPr>
        <w:bidi/>
        <w:spacing w:after="0" w:line="240" w:lineRule="auto"/>
        <w:jc w:val="both"/>
        <w:rPr>
          <w:rFonts w:cs="Simplified Arabic"/>
          <w:sz w:val="20"/>
          <w:szCs w:val="28"/>
          <w:lang w:bidi="ar-MA"/>
        </w:rPr>
      </w:pPr>
      <w:r>
        <w:rPr>
          <w:rFonts w:cs="Simplified Arabic" w:hint="cs"/>
          <w:sz w:val="20"/>
          <w:szCs w:val="28"/>
          <w:rtl/>
          <w:lang w:bidi="ar-MA"/>
        </w:rPr>
        <w:t>ضرورة مساعدة الأسرة في أنشطتها المهنية(</w:t>
      </w:r>
      <w:r>
        <w:rPr>
          <w:rFonts w:cs="Simplified Arabic"/>
          <w:sz w:val="20"/>
          <w:szCs w:val="28"/>
          <w:lang w:bidi="ar-MA"/>
        </w:rPr>
        <w:t>11,3%</w:t>
      </w:r>
      <w:r>
        <w:rPr>
          <w:rFonts w:cs="Simplified Arabic" w:hint="cs"/>
          <w:sz w:val="20"/>
          <w:szCs w:val="28"/>
          <w:rtl/>
          <w:lang w:bidi="ar-MA"/>
        </w:rPr>
        <w:t>).</w:t>
      </w:r>
    </w:p>
    <w:p w:rsidR="00000000" w:rsidRDefault="00414BAC">
      <w:pPr>
        <w:bidi/>
        <w:spacing w:after="0" w:line="240" w:lineRule="auto"/>
        <w:jc w:val="both"/>
        <w:rPr>
          <w:rFonts w:cs="Simplified Arabic"/>
          <w:sz w:val="20"/>
          <w:szCs w:val="28"/>
          <w:lang w:bidi="ar-MA"/>
        </w:rPr>
      </w:pPr>
    </w:p>
    <w:p w:rsidR="00000000" w:rsidRDefault="00414BAC">
      <w:pPr>
        <w:pStyle w:val="Paragraphedeliste"/>
        <w:bidi/>
        <w:spacing w:after="0" w:line="240" w:lineRule="auto"/>
        <w:ind w:left="0"/>
        <w:jc w:val="both"/>
        <w:rPr>
          <w:rFonts w:cs="Simplified Arabic"/>
          <w:sz w:val="28"/>
          <w:szCs w:val="28"/>
          <w:lang w:bidi="ar-MA"/>
        </w:rPr>
      </w:pPr>
      <w:r>
        <w:rPr>
          <w:rFonts w:cs="Simplified Arabic" w:hint="cs"/>
          <w:sz w:val="28"/>
          <w:szCs w:val="28"/>
          <w:rtl/>
          <w:lang w:bidi="ar-MA"/>
        </w:rPr>
        <w:t xml:space="preserve">من جهة أخرى، يبقى تشغيل الأطفال متمركزا في قطاعات اقتصادية معينة. وهكذا، بالوسط القروي، فإن </w:t>
      </w:r>
      <w:r>
        <w:rPr>
          <w:rFonts w:cs="Simplified Arabic"/>
          <w:sz w:val="28"/>
          <w:szCs w:val="28"/>
          <w:lang w:bidi="ar-MA"/>
        </w:rPr>
        <w:t>94%</w:t>
      </w:r>
      <w:r>
        <w:rPr>
          <w:rFonts w:cs="Simplified Arabic" w:hint="cs"/>
          <w:sz w:val="28"/>
          <w:szCs w:val="28"/>
          <w:rtl/>
          <w:lang w:bidi="ar-MA"/>
        </w:rPr>
        <w:t xml:space="preserve"> يشتغلون بقطاع "الفلاحة، الغابة والصيد". أما بالوسط الحضري، فإن قطاعي "الخدمات"  ب</w:t>
      </w:r>
      <w:r>
        <w:rPr>
          <w:rFonts w:cs="Simplified Arabic"/>
          <w:sz w:val="28"/>
          <w:szCs w:val="28"/>
          <w:lang w:bidi="ar-MA"/>
        </w:rPr>
        <w:t>65,5%</w:t>
      </w:r>
      <w:r>
        <w:rPr>
          <w:rFonts w:cs="Simplified Arabic" w:hint="cs"/>
          <w:sz w:val="28"/>
          <w:szCs w:val="28"/>
          <w:rtl/>
          <w:lang w:bidi="ar-MA"/>
        </w:rPr>
        <w:t xml:space="preserve"> و"الصناعة بما فيها الصناع</w:t>
      </w:r>
      <w:r>
        <w:rPr>
          <w:rFonts w:cs="Simplified Arabic" w:hint="cs"/>
          <w:sz w:val="28"/>
          <w:szCs w:val="28"/>
          <w:rtl/>
          <w:lang w:bidi="ar-MA"/>
        </w:rPr>
        <w:t xml:space="preserve">ة التقليدية" ب </w:t>
      </w:r>
      <w:r>
        <w:rPr>
          <w:rFonts w:cs="Simplified Arabic"/>
          <w:sz w:val="28"/>
          <w:szCs w:val="28"/>
          <w:lang w:bidi="ar-MA"/>
        </w:rPr>
        <w:t>22,2%</w:t>
      </w:r>
      <w:r>
        <w:rPr>
          <w:rFonts w:cs="Simplified Arabic" w:hint="cs"/>
          <w:sz w:val="28"/>
          <w:szCs w:val="28"/>
          <w:rtl/>
          <w:lang w:bidi="ar-MA"/>
        </w:rPr>
        <w:t xml:space="preserve"> يعتبران أهم القطاعات المشغلة للأطفال.</w:t>
      </w:r>
    </w:p>
    <w:p w:rsidR="00000000" w:rsidRDefault="00414BAC">
      <w:pPr>
        <w:pStyle w:val="Paragraphedeliste"/>
        <w:bidi/>
        <w:spacing w:after="0" w:line="240" w:lineRule="auto"/>
        <w:ind w:left="0"/>
        <w:jc w:val="both"/>
        <w:rPr>
          <w:rFonts w:cs="Simplified Arabic"/>
          <w:sz w:val="28"/>
          <w:szCs w:val="28"/>
          <w:lang w:bidi="ar-MA"/>
        </w:rPr>
      </w:pPr>
    </w:p>
    <w:p w:rsidR="00000000" w:rsidRDefault="00414BAC">
      <w:pPr>
        <w:pStyle w:val="Paragraphedeliste"/>
        <w:bidi/>
        <w:spacing w:after="0" w:line="240" w:lineRule="auto"/>
        <w:ind w:left="0"/>
        <w:jc w:val="both"/>
        <w:rPr>
          <w:rFonts w:cs="Simplified Arabic"/>
          <w:sz w:val="28"/>
          <w:szCs w:val="28"/>
          <w:rtl/>
          <w:lang w:bidi="ar-MA"/>
        </w:rPr>
      </w:pPr>
      <w:r>
        <w:rPr>
          <w:rFonts w:cs="Simplified Arabic" w:hint="cs"/>
          <w:sz w:val="28"/>
          <w:szCs w:val="28"/>
          <w:rtl/>
          <w:lang w:bidi="ar-MA"/>
        </w:rPr>
        <w:t xml:space="preserve">وحسب الحالة في المهنة، فإن أكثر من تسعة أطفال مشتغلين بالوسط القروي من بين عشرة هم مساعدون عائليون. أما بالوسط الحضري، فإن </w:t>
      </w:r>
      <w:r>
        <w:rPr>
          <w:rFonts w:cs="Simplified Arabic"/>
          <w:sz w:val="28"/>
          <w:szCs w:val="28"/>
          <w:lang w:bidi="ar-MA"/>
        </w:rPr>
        <w:t xml:space="preserve">42,1% </w:t>
      </w:r>
      <w:r>
        <w:rPr>
          <w:rFonts w:cs="Simplified Arabic" w:hint="cs"/>
          <w:sz w:val="28"/>
          <w:szCs w:val="28"/>
          <w:rtl/>
          <w:lang w:bidi="ar-MA"/>
        </w:rPr>
        <w:t xml:space="preserve"> يعملون كمتعلمين،</w:t>
      </w:r>
      <w:r>
        <w:rPr>
          <w:rFonts w:cs="Simplified Arabic"/>
          <w:sz w:val="28"/>
          <w:szCs w:val="28"/>
          <w:lang w:bidi="ar-MA"/>
        </w:rPr>
        <w:t xml:space="preserve">35,9% </w:t>
      </w:r>
      <w:r>
        <w:rPr>
          <w:rFonts w:cs="Simplified Arabic" w:hint="cs"/>
          <w:sz w:val="28"/>
          <w:szCs w:val="28"/>
          <w:rtl/>
          <w:lang w:bidi="ar-MA"/>
        </w:rPr>
        <w:t xml:space="preserve"> كمستأجرين، </w:t>
      </w:r>
      <w:r>
        <w:rPr>
          <w:rFonts w:cs="Simplified Arabic"/>
          <w:sz w:val="28"/>
          <w:szCs w:val="28"/>
          <w:lang w:bidi="ar-MA"/>
        </w:rPr>
        <w:t>17%</w:t>
      </w:r>
      <w:r>
        <w:rPr>
          <w:rFonts w:cs="Simplified Arabic" w:hint="cs"/>
          <w:sz w:val="28"/>
          <w:szCs w:val="28"/>
          <w:rtl/>
          <w:lang w:bidi="ar-MA"/>
        </w:rPr>
        <w:t xml:space="preserve"> كمساعدين عائليين، و</w:t>
      </w:r>
      <w:r>
        <w:rPr>
          <w:rFonts w:cs="Simplified Arabic"/>
          <w:sz w:val="28"/>
          <w:szCs w:val="28"/>
          <w:lang w:bidi="ar-MA"/>
        </w:rPr>
        <w:t>5%</w:t>
      </w:r>
      <w:r>
        <w:rPr>
          <w:rFonts w:cs="Simplified Arabic" w:hint="cs"/>
          <w:sz w:val="28"/>
          <w:szCs w:val="28"/>
          <w:rtl/>
          <w:lang w:bidi="ar-MA"/>
        </w:rPr>
        <w:t xml:space="preserve">  كمستق</w:t>
      </w:r>
      <w:r>
        <w:rPr>
          <w:rFonts w:cs="Simplified Arabic" w:hint="cs"/>
          <w:sz w:val="28"/>
          <w:szCs w:val="28"/>
          <w:rtl/>
          <w:lang w:bidi="ar-MA"/>
        </w:rPr>
        <w:t>لين.</w:t>
      </w:r>
    </w:p>
    <w:p w:rsidR="00000000" w:rsidRDefault="00414BAC">
      <w:pPr>
        <w:pStyle w:val="Paragraphedeliste"/>
        <w:bidi/>
        <w:spacing w:after="0" w:line="240" w:lineRule="auto"/>
        <w:ind w:left="0"/>
        <w:jc w:val="both"/>
        <w:rPr>
          <w:rFonts w:cs="Simplified Arabic" w:hint="cs"/>
          <w:sz w:val="28"/>
          <w:szCs w:val="28"/>
          <w:rtl/>
          <w:lang w:bidi="ar-MA"/>
        </w:rPr>
      </w:pPr>
    </w:p>
    <w:p w:rsidR="00000000" w:rsidRDefault="00414BAC">
      <w:pPr>
        <w:pStyle w:val="Paragraphedeliste"/>
        <w:bidi/>
        <w:spacing w:after="0" w:line="240" w:lineRule="auto"/>
        <w:ind w:left="0"/>
        <w:jc w:val="both"/>
        <w:rPr>
          <w:rFonts w:cs="Simplified Arabic"/>
          <w:sz w:val="28"/>
          <w:szCs w:val="28"/>
          <w:rtl/>
          <w:lang w:bidi="ar-MA"/>
        </w:rPr>
      </w:pPr>
      <w:r>
        <w:rPr>
          <w:rFonts w:cs="Simplified Arabic" w:hint="cs"/>
          <w:sz w:val="28"/>
          <w:szCs w:val="28"/>
          <w:rtl/>
          <w:lang w:bidi="ar-MA"/>
        </w:rPr>
        <w:t>وفيما يتعلق بعدد</w:t>
      </w:r>
      <w:r>
        <w:rPr>
          <w:rFonts w:cs="Simplified Arabic"/>
          <w:sz w:val="28"/>
          <w:szCs w:val="28"/>
          <w:rtl/>
          <w:lang w:bidi="ar-MA"/>
        </w:rPr>
        <w:t xml:space="preserve"> </w:t>
      </w:r>
      <w:r>
        <w:rPr>
          <w:rFonts w:cs="Simplified Arabic" w:hint="cs"/>
          <w:sz w:val="28"/>
          <w:szCs w:val="28"/>
          <w:rtl/>
          <w:lang w:bidi="ar-MA"/>
        </w:rPr>
        <w:t>ساعات</w:t>
      </w:r>
      <w:r>
        <w:rPr>
          <w:rFonts w:cs="Simplified Arabic"/>
          <w:sz w:val="28"/>
          <w:szCs w:val="28"/>
          <w:rtl/>
          <w:lang w:bidi="ar-MA"/>
        </w:rPr>
        <w:t xml:space="preserve"> </w:t>
      </w:r>
      <w:r>
        <w:rPr>
          <w:rFonts w:cs="Simplified Arabic" w:hint="cs"/>
          <w:sz w:val="28"/>
          <w:szCs w:val="28"/>
          <w:rtl/>
          <w:lang w:bidi="ar-MA"/>
        </w:rPr>
        <w:t>العمل،</w:t>
      </w:r>
      <w:r>
        <w:rPr>
          <w:rFonts w:cs="Simplified Arabic"/>
          <w:sz w:val="28"/>
          <w:szCs w:val="28"/>
          <w:rtl/>
          <w:lang w:bidi="ar-MA"/>
        </w:rPr>
        <w:t xml:space="preserve"> </w:t>
      </w:r>
      <w:r>
        <w:rPr>
          <w:rFonts w:cs="Simplified Arabic" w:hint="cs"/>
          <w:sz w:val="28"/>
          <w:szCs w:val="28"/>
          <w:rtl/>
          <w:lang w:bidi="ar-MA"/>
        </w:rPr>
        <w:t>يعمل</w:t>
      </w:r>
      <w:r>
        <w:rPr>
          <w:rFonts w:cs="Simplified Arabic"/>
          <w:sz w:val="28"/>
          <w:szCs w:val="28"/>
          <w:rtl/>
          <w:lang w:bidi="ar-MA"/>
        </w:rPr>
        <w:t xml:space="preserve"> </w:t>
      </w:r>
      <w:r>
        <w:rPr>
          <w:rFonts w:cs="Simplified Arabic" w:hint="cs"/>
          <w:sz w:val="28"/>
          <w:szCs w:val="28"/>
          <w:rtl/>
          <w:lang w:bidi="ar-MA"/>
        </w:rPr>
        <w:t>الأطفال</w:t>
      </w:r>
      <w:r>
        <w:rPr>
          <w:rFonts w:cs="Simplified Arabic"/>
          <w:sz w:val="28"/>
          <w:szCs w:val="28"/>
          <w:rtl/>
          <w:lang w:bidi="ar-MA"/>
        </w:rPr>
        <w:t xml:space="preserve"> </w:t>
      </w:r>
      <w:r>
        <w:rPr>
          <w:rFonts w:cs="Simplified Arabic" w:hint="cs"/>
          <w:sz w:val="28"/>
          <w:szCs w:val="28"/>
          <w:rtl/>
          <w:lang w:bidi="ar-MA"/>
        </w:rPr>
        <w:t>في</w:t>
      </w:r>
      <w:r>
        <w:rPr>
          <w:rFonts w:cs="Simplified Arabic"/>
          <w:sz w:val="28"/>
          <w:szCs w:val="28"/>
          <w:rtl/>
          <w:lang w:bidi="ar-MA"/>
        </w:rPr>
        <w:t xml:space="preserve"> </w:t>
      </w:r>
      <w:r>
        <w:rPr>
          <w:rFonts w:cs="Simplified Arabic" w:hint="cs"/>
          <w:sz w:val="28"/>
          <w:szCs w:val="28"/>
          <w:rtl/>
          <w:lang w:bidi="ar-MA"/>
        </w:rPr>
        <w:t>المتوسط</w:t>
      </w:r>
      <w:r>
        <w:rPr>
          <w:rFonts w:cs="Simplified Arabic"/>
          <w:sz w:val="28"/>
          <w:szCs w:val="28"/>
          <w:rtl/>
          <w:lang w:bidi="ar-MA"/>
        </w:rPr>
        <w:t xml:space="preserve"> </w:t>
      </w:r>
      <w:r>
        <w:rPr>
          <w:rFonts w:cs="Simplified Arabic" w:hint="cs"/>
          <w:sz w:val="28"/>
          <w:szCs w:val="28"/>
          <w:rtl/>
          <w:lang w:bidi="ar-MA"/>
        </w:rPr>
        <w:t>​​32 ساعة</w:t>
      </w:r>
      <w:r>
        <w:rPr>
          <w:rFonts w:cs="Simplified Arabic"/>
          <w:sz w:val="28"/>
          <w:szCs w:val="28"/>
          <w:rtl/>
          <w:lang w:bidi="ar-MA"/>
        </w:rPr>
        <w:t xml:space="preserve"> </w:t>
      </w:r>
      <w:r>
        <w:rPr>
          <w:rFonts w:cs="Simplified Arabic" w:hint="cs"/>
          <w:sz w:val="28"/>
          <w:szCs w:val="28"/>
          <w:rtl/>
          <w:lang w:bidi="ar-MA"/>
        </w:rPr>
        <w:t>أسبوعيا، وهو ما يمثل 14 ساعة أقل من المعدل المسجل لدى الأشخاص البالغين من العمر 15 سنة فما فوق.يمثل هذا الفارق 12 ساعة بالوسط القروي (30 ساعة مقابل 42 ساعة)، في حين لا يتجاوز الساعتين با</w:t>
      </w:r>
      <w:r>
        <w:rPr>
          <w:rFonts w:cs="Simplified Arabic" w:hint="cs"/>
          <w:sz w:val="28"/>
          <w:szCs w:val="28"/>
          <w:rtl/>
          <w:lang w:bidi="ar-MA"/>
        </w:rPr>
        <w:t>لوسط الحضري(48 ساعة مقابل 50 ساعة).</w:t>
      </w:r>
      <w:r>
        <w:rPr>
          <w:rFonts w:cs="Simplified Arabic"/>
          <w:sz w:val="28"/>
          <w:szCs w:val="28"/>
          <w:lang w:bidi="ar-MA"/>
        </w:rPr>
        <w:t xml:space="preserve"> </w:t>
      </w:r>
    </w:p>
    <w:p w:rsidR="00000000" w:rsidRDefault="00414BAC">
      <w:pPr>
        <w:bidi/>
        <w:spacing w:before="240"/>
        <w:ind w:right="-426"/>
        <w:jc w:val="both"/>
        <w:rPr>
          <w:rFonts w:cs="Simplified Arabic"/>
          <w:b/>
          <w:bCs/>
          <w:color w:val="993366"/>
          <w:sz w:val="32"/>
          <w:szCs w:val="28"/>
          <w:rtl/>
          <w:lang w:bidi="ar-MA"/>
        </w:rPr>
      </w:pPr>
      <w:r>
        <w:rPr>
          <w:rFonts w:cs="Simplified Arabic" w:hint="cs"/>
          <w:sz w:val="28"/>
          <w:szCs w:val="28"/>
          <w:rtl/>
          <w:lang w:bidi="ar-MA"/>
        </w:rPr>
        <w:t xml:space="preserve"> </w:t>
      </w:r>
      <w:r>
        <w:rPr>
          <w:rFonts w:cs="Simplified Arabic" w:hint="cs"/>
          <w:b/>
          <w:bCs/>
          <w:color w:val="993366"/>
          <w:sz w:val="32"/>
          <w:szCs w:val="28"/>
          <w:rtl/>
          <w:lang w:bidi="ar-MA"/>
        </w:rPr>
        <w:t>المحيط الأسري للأطفال المشتغلين</w:t>
      </w:r>
    </w:p>
    <w:p w:rsidR="00000000" w:rsidRDefault="00414BAC">
      <w:pPr>
        <w:pStyle w:val="Paragraphedeliste"/>
        <w:bidi/>
        <w:spacing w:after="0" w:line="240" w:lineRule="auto"/>
        <w:ind w:left="0"/>
        <w:jc w:val="both"/>
        <w:rPr>
          <w:rFonts w:cs="Simplified Arabic"/>
          <w:sz w:val="28"/>
          <w:szCs w:val="28"/>
          <w:rtl/>
          <w:lang w:bidi="ar-MA"/>
        </w:rPr>
      </w:pPr>
      <w:r>
        <w:rPr>
          <w:rFonts w:cs="Simplified Arabic" w:hint="cs"/>
          <w:sz w:val="28"/>
          <w:szCs w:val="28"/>
          <w:rtl/>
          <w:lang w:bidi="ar-MA"/>
        </w:rPr>
        <w:t xml:space="preserve">تهم ظاهرة تشغيل الأطفال 75.135 أسرة، أي ما يمثل </w:t>
      </w:r>
      <w:r>
        <w:rPr>
          <w:rFonts w:cs="Simplified Arabic"/>
          <w:sz w:val="28"/>
          <w:szCs w:val="28"/>
          <w:lang w:bidi="ar-MA"/>
        </w:rPr>
        <w:t>1,1%</w:t>
      </w:r>
      <w:r>
        <w:rPr>
          <w:rFonts w:cs="Simplified Arabic" w:hint="cs"/>
          <w:sz w:val="28"/>
          <w:szCs w:val="28"/>
          <w:rtl/>
          <w:lang w:bidi="ar-MA"/>
        </w:rPr>
        <w:t xml:space="preserve">  من مجموع الأسر المغربية، متمركزة أساسا بالوسط القروي (65.976 أسرة مقابل 9.159 أسرة بالمدن). </w:t>
      </w:r>
    </w:p>
    <w:p w:rsidR="00000000" w:rsidRDefault="00414BAC">
      <w:pPr>
        <w:pStyle w:val="Paragraphedeliste"/>
        <w:bidi/>
        <w:spacing w:after="0" w:line="240" w:lineRule="auto"/>
        <w:ind w:left="0"/>
        <w:jc w:val="both"/>
        <w:rPr>
          <w:rFonts w:cs="Simplified Arabic"/>
          <w:sz w:val="28"/>
          <w:szCs w:val="28"/>
          <w:lang w:bidi="ar-MA"/>
        </w:rPr>
      </w:pPr>
    </w:p>
    <w:p w:rsidR="00000000" w:rsidRDefault="00414BAC">
      <w:pPr>
        <w:pStyle w:val="Paragraphedeliste"/>
        <w:bidi/>
        <w:spacing w:after="0" w:line="240" w:lineRule="auto"/>
        <w:ind w:left="0"/>
        <w:jc w:val="both"/>
        <w:rPr>
          <w:rFonts w:cs="Simplified Arabic"/>
          <w:sz w:val="28"/>
          <w:szCs w:val="28"/>
          <w:lang w:bidi="ar-MA"/>
        </w:rPr>
      </w:pPr>
      <w:r>
        <w:rPr>
          <w:rFonts w:cs="Simplified Arabic" w:hint="cs"/>
          <w:sz w:val="28"/>
          <w:szCs w:val="28"/>
          <w:rtl/>
          <w:lang w:bidi="ar-MA"/>
        </w:rPr>
        <w:t>كما أن هذه الظاهرة تهم بالخصوص الأسر</w:t>
      </w:r>
      <w:r>
        <w:rPr>
          <w:rFonts w:cs="Simplified Arabic"/>
          <w:sz w:val="28"/>
          <w:szCs w:val="28"/>
          <w:lang w:bidi="ar-MA"/>
        </w:rPr>
        <w:t xml:space="preserve"> </w:t>
      </w:r>
      <w:r>
        <w:rPr>
          <w:rFonts w:cs="Simplified Arabic" w:hint="cs"/>
          <w:sz w:val="28"/>
          <w:szCs w:val="28"/>
          <w:rtl/>
          <w:lang w:bidi="ar-MA"/>
        </w:rPr>
        <w:t>ا</w:t>
      </w:r>
      <w:r>
        <w:rPr>
          <w:rFonts w:cs="Simplified Arabic" w:hint="cs"/>
          <w:sz w:val="28"/>
          <w:szCs w:val="28"/>
          <w:rtl/>
          <w:lang w:bidi="ar-MA"/>
        </w:rPr>
        <w:t xml:space="preserve">لكبيرة الحجم، حيث تبلغ نسبة الأسر التي تضم على الأقل طفل مشتغل </w:t>
      </w:r>
      <w:r>
        <w:rPr>
          <w:rFonts w:cs="Simplified Arabic"/>
          <w:sz w:val="28"/>
          <w:szCs w:val="28"/>
          <w:lang w:bidi="ar-MA"/>
        </w:rPr>
        <w:t>0,3%</w:t>
      </w:r>
      <w:r>
        <w:rPr>
          <w:rFonts w:cs="Simplified Arabic" w:hint="cs"/>
          <w:sz w:val="28"/>
          <w:szCs w:val="28"/>
          <w:rtl/>
          <w:lang w:bidi="ar-MA"/>
        </w:rPr>
        <w:t xml:space="preserve"> بالنسبة للأسر المكونة من ثلاثة أفراد وترتفع تدريجيا مع حجم الأسرة لتصل إلى</w:t>
      </w:r>
      <w:r>
        <w:rPr>
          <w:rFonts w:cs="Simplified Arabic"/>
          <w:sz w:val="28"/>
          <w:szCs w:val="28"/>
          <w:lang w:bidi="ar-MA"/>
        </w:rPr>
        <w:t>3%</w:t>
      </w:r>
      <w:r>
        <w:rPr>
          <w:rFonts w:cs="Simplified Arabic" w:hint="cs"/>
          <w:sz w:val="28"/>
          <w:szCs w:val="28"/>
          <w:rtl/>
          <w:lang w:bidi="ar-MA"/>
        </w:rPr>
        <w:t xml:space="preserve"> لدى الأسر المكونة من ستة أفراد أو أكثر.</w:t>
      </w:r>
    </w:p>
    <w:p w:rsidR="00000000" w:rsidRDefault="00414BAC">
      <w:pPr>
        <w:pStyle w:val="Paragraphedeliste"/>
        <w:bidi/>
        <w:spacing w:after="0" w:line="240" w:lineRule="auto"/>
        <w:ind w:left="0"/>
        <w:jc w:val="both"/>
        <w:rPr>
          <w:rFonts w:cs="Simplified Arabic"/>
          <w:sz w:val="28"/>
          <w:szCs w:val="28"/>
          <w:rtl/>
          <w:lang w:bidi="ar-MA"/>
        </w:rPr>
      </w:pPr>
    </w:p>
    <w:p w:rsidR="00000000" w:rsidRDefault="00414BAC">
      <w:pPr>
        <w:pStyle w:val="Paragraphedeliste"/>
        <w:bidi/>
        <w:spacing w:after="0" w:line="240" w:lineRule="auto"/>
        <w:ind w:left="0"/>
        <w:jc w:val="both"/>
        <w:rPr>
          <w:rFonts w:cs="Simplified Arabic"/>
          <w:sz w:val="28"/>
          <w:szCs w:val="28"/>
          <w:lang w:bidi="ar-MA"/>
        </w:rPr>
      </w:pPr>
      <w:r>
        <w:rPr>
          <w:rFonts w:cs="Simplified Arabic" w:hint="cs"/>
          <w:sz w:val="28"/>
          <w:szCs w:val="28"/>
          <w:rtl/>
          <w:lang w:bidi="ar-MA"/>
        </w:rPr>
        <w:t>تكتسي المميزات السوسيوثقافية للأسر لأرباب الأسر على وجه الخصوص أهمية ب</w:t>
      </w:r>
      <w:r>
        <w:rPr>
          <w:rFonts w:cs="Simplified Arabic" w:hint="cs"/>
          <w:sz w:val="28"/>
          <w:szCs w:val="28"/>
          <w:rtl/>
          <w:lang w:bidi="ar-MA"/>
        </w:rPr>
        <w:t xml:space="preserve">الغة في تحديد هذه الظاهرة. وهكذا فإن نسبة الأسر التي تضم على الأقل طفلا مشتغلا شبه منعدمة لدى الأسر المسيرة من طرف شخص له مستوى دراسي عالي، في حين تبلغ </w:t>
      </w:r>
      <w:r>
        <w:rPr>
          <w:rFonts w:cs="Simplified Arabic"/>
          <w:sz w:val="28"/>
          <w:szCs w:val="28"/>
          <w:lang w:bidi="ar-MA"/>
        </w:rPr>
        <w:t xml:space="preserve">1,5% </w:t>
      </w:r>
      <w:r>
        <w:rPr>
          <w:rFonts w:cs="Simplified Arabic" w:hint="cs"/>
          <w:sz w:val="28"/>
          <w:szCs w:val="28"/>
          <w:rtl/>
          <w:lang w:bidi="ar-MA"/>
        </w:rPr>
        <w:t xml:space="preserve"> لدى الأسر المسيرة من طرف شخص بدون مستوى دراسي.</w:t>
      </w:r>
    </w:p>
    <w:p w:rsidR="00000000" w:rsidRDefault="00414BAC">
      <w:pPr>
        <w:pStyle w:val="Paragraphedeliste"/>
        <w:bidi/>
        <w:spacing w:after="0" w:line="240" w:lineRule="auto"/>
        <w:ind w:left="0"/>
        <w:jc w:val="both"/>
        <w:rPr>
          <w:rFonts w:cs="Simplified Arabic" w:hint="cs"/>
          <w:sz w:val="28"/>
          <w:szCs w:val="28"/>
          <w:rtl/>
          <w:lang w:bidi="ar-MA"/>
        </w:rPr>
      </w:pPr>
    </w:p>
    <w:p w:rsidR="00000000" w:rsidRDefault="00414BAC">
      <w:pPr>
        <w:pStyle w:val="Paragraphedeliste"/>
        <w:bidi/>
        <w:spacing w:after="0" w:line="240" w:lineRule="auto"/>
        <w:ind w:left="0"/>
        <w:jc w:val="both"/>
        <w:rPr>
          <w:rFonts w:cs="Simplified Arabic"/>
          <w:sz w:val="28"/>
          <w:szCs w:val="28"/>
          <w:lang w:bidi="ar-MA"/>
        </w:rPr>
      </w:pPr>
      <w:r>
        <w:rPr>
          <w:rFonts w:cs="Simplified Arabic" w:hint="cs"/>
          <w:sz w:val="28"/>
          <w:szCs w:val="28"/>
          <w:rtl/>
          <w:lang w:bidi="ar-MA"/>
        </w:rPr>
        <w:t xml:space="preserve"> حسب نوع نشاط رب الأسرة، تنتقل هذه النسبة من </w:t>
      </w:r>
      <w:r>
        <w:rPr>
          <w:rFonts w:cs="Simplified Arabic"/>
          <w:sz w:val="28"/>
          <w:szCs w:val="28"/>
          <w:lang w:bidi="ar-MA"/>
        </w:rPr>
        <w:t>0,2%</w:t>
      </w:r>
      <w:r>
        <w:rPr>
          <w:rFonts w:cs="Simplified Arabic" w:hint="cs"/>
          <w:sz w:val="28"/>
          <w:szCs w:val="28"/>
          <w:rtl/>
          <w:lang w:bidi="ar-MA"/>
        </w:rPr>
        <w:t xml:space="preserve"> </w:t>
      </w:r>
      <w:r>
        <w:rPr>
          <w:rFonts w:cs="Simplified Arabic" w:hint="cs"/>
          <w:sz w:val="28"/>
          <w:szCs w:val="28"/>
          <w:rtl/>
          <w:lang w:bidi="ar-MA"/>
        </w:rPr>
        <w:t xml:space="preserve">بالنسبة لمن هم غير نشيطين إلى </w:t>
      </w:r>
      <w:r>
        <w:rPr>
          <w:rFonts w:cs="Simplified Arabic"/>
          <w:sz w:val="28"/>
          <w:szCs w:val="28"/>
          <w:lang w:bidi="ar-MA"/>
        </w:rPr>
        <w:t>1%</w:t>
      </w:r>
      <w:r>
        <w:rPr>
          <w:rFonts w:cs="Simplified Arabic" w:hint="cs"/>
          <w:sz w:val="28"/>
          <w:szCs w:val="28"/>
          <w:rtl/>
          <w:lang w:bidi="ar-MA"/>
        </w:rPr>
        <w:t xml:space="preserve"> لدى العاطلين لتصل إلى </w:t>
      </w:r>
      <w:r>
        <w:rPr>
          <w:rFonts w:cs="Simplified Arabic"/>
          <w:sz w:val="28"/>
          <w:szCs w:val="28"/>
          <w:lang w:bidi="ar-MA"/>
        </w:rPr>
        <w:t>1,5%</w:t>
      </w:r>
      <w:r>
        <w:rPr>
          <w:rFonts w:cs="Simplified Arabic" w:hint="cs"/>
          <w:sz w:val="28"/>
          <w:szCs w:val="28"/>
          <w:rtl/>
          <w:lang w:bidi="ar-MA"/>
        </w:rPr>
        <w:t xml:space="preserve"> لدى النشيطين المشتغلين.</w:t>
      </w:r>
    </w:p>
    <w:p w:rsidR="00000000" w:rsidRDefault="00414BAC">
      <w:pPr>
        <w:pStyle w:val="Paragraphedeliste"/>
        <w:bidi/>
        <w:spacing w:after="0" w:line="240" w:lineRule="auto"/>
        <w:ind w:left="0"/>
        <w:jc w:val="both"/>
        <w:rPr>
          <w:rFonts w:cs="Simplified Arabic"/>
          <w:sz w:val="28"/>
          <w:szCs w:val="28"/>
          <w:lang w:bidi="ar-MA"/>
        </w:rPr>
      </w:pPr>
    </w:p>
    <w:p w:rsidR="00000000" w:rsidRDefault="00414BAC">
      <w:pPr>
        <w:pStyle w:val="Paragraphedeliste"/>
        <w:bidi/>
        <w:spacing w:after="0" w:line="240" w:lineRule="auto"/>
        <w:ind w:left="0"/>
        <w:jc w:val="both"/>
        <w:rPr>
          <w:rFonts w:cs="Simplified Arabic"/>
          <w:sz w:val="28"/>
          <w:szCs w:val="28"/>
          <w:lang w:bidi="ar-MA"/>
        </w:rPr>
      </w:pPr>
    </w:p>
    <w:p w:rsidR="00000000" w:rsidRDefault="00414BAC">
      <w:pPr>
        <w:pStyle w:val="Paragraphedeliste"/>
        <w:bidi/>
        <w:spacing w:after="0" w:line="240" w:lineRule="auto"/>
        <w:ind w:left="0"/>
        <w:jc w:val="both"/>
        <w:rPr>
          <w:rFonts w:cs="Simplified Arabic"/>
          <w:sz w:val="28"/>
          <w:szCs w:val="28"/>
          <w:lang w:bidi="ar-MA"/>
        </w:rPr>
      </w:pPr>
    </w:p>
    <w:p w:rsidR="00000000" w:rsidRDefault="00414BAC">
      <w:pPr>
        <w:pStyle w:val="Paragraphedeliste"/>
        <w:bidi/>
        <w:spacing w:after="0" w:line="240" w:lineRule="auto"/>
        <w:ind w:left="0"/>
        <w:jc w:val="both"/>
        <w:rPr>
          <w:rFonts w:cs="Simplified Arabic"/>
          <w:sz w:val="28"/>
          <w:szCs w:val="28"/>
          <w:rtl/>
          <w:lang w:bidi="ar-MA"/>
        </w:rPr>
      </w:pPr>
      <w:r>
        <w:rPr>
          <w:rFonts w:cs="Simplified Arabic" w:hint="cs"/>
          <w:sz w:val="28"/>
          <w:szCs w:val="28"/>
          <w:rtl/>
          <w:lang w:bidi="ar-MA"/>
        </w:rPr>
        <w:t>وأخيرا، وفي نفس السياق، تجدر الإشارة إلى أنه كلما نتفدم في السلم الاجتماعي كلما تنخفض ظاهرة تشغيل الأطفال. وهكذا، ومن خلال تحليل هذه الأخيرة اعتمادا على الفئات السوسيومه</w:t>
      </w:r>
      <w:r>
        <w:rPr>
          <w:rFonts w:cs="Simplified Arabic" w:hint="cs"/>
          <w:sz w:val="28"/>
          <w:szCs w:val="28"/>
          <w:rtl/>
          <w:lang w:bidi="ar-MA"/>
        </w:rPr>
        <w:t>نية</w:t>
      </w:r>
      <w:r>
        <w:rPr>
          <w:rtl/>
        </w:rPr>
        <w:footnoteReference w:id="1"/>
      </w:r>
      <w:r>
        <w:rPr>
          <w:rFonts w:cs="Simplified Arabic" w:hint="cs"/>
          <w:sz w:val="28"/>
          <w:szCs w:val="28"/>
          <w:rtl/>
          <w:lang w:bidi="ar-MA"/>
        </w:rPr>
        <w:t xml:space="preserve"> التي ينتمي إليها رب الأسرة، يتبين أن </w:t>
      </w:r>
      <w:r>
        <w:rPr>
          <w:rFonts w:cs="Simplified Arabic"/>
          <w:sz w:val="28"/>
          <w:szCs w:val="28"/>
          <w:lang w:bidi="ar-MA"/>
        </w:rPr>
        <w:t>66%</w:t>
      </w:r>
      <w:r>
        <w:rPr>
          <w:rFonts w:cs="Simplified Arabic" w:hint="cs"/>
          <w:sz w:val="28"/>
          <w:szCs w:val="28"/>
          <w:rtl/>
          <w:lang w:bidi="ar-MA"/>
        </w:rPr>
        <w:t xml:space="preserve"> من الأطفال ينحدرون من فئات المستغلين الفلاحيين، </w:t>
      </w:r>
      <w:r>
        <w:rPr>
          <w:rFonts w:cs="Simplified Arabic"/>
          <w:sz w:val="28"/>
          <w:szCs w:val="28"/>
          <w:lang w:bidi="ar-MA"/>
        </w:rPr>
        <w:t>14%</w:t>
      </w:r>
      <w:r>
        <w:rPr>
          <w:rFonts w:cs="Simplified Arabic" w:hint="cs"/>
          <w:sz w:val="28"/>
          <w:szCs w:val="28"/>
          <w:rtl/>
          <w:lang w:bidi="ar-MA"/>
        </w:rPr>
        <w:t xml:space="preserve"> من الفئات الشعبية، </w:t>
      </w:r>
      <w:r>
        <w:rPr>
          <w:rFonts w:cs="Simplified Arabic"/>
          <w:sz w:val="28"/>
          <w:szCs w:val="28"/>
          <w:lang w:bidi="ar-MA"/>
        </w:rPr>
        <w:t>12.9%</w:t>
      </w:r>
      <w:r>
        <w:rPr>
          <w:rFonts w:cs="Simplified Arabic" w:hint="cs"/>
          <w:sz w:val="28"/>
          <w:szCs w:val="28"/>
          <w:rtl/>
          <w:lang w:bidi="ar-MA"/>
        </w:rPr>
        <w:t xml:space="preserve"> من الفئات الوسيطة، ولا تمثل هذه النسبة إلا </w:t>
      </w:r>
      <w:r>
        <w:rPr>
          <w:rFonts w:cs="Simplified Arabic"/>
          <w:sz w:val="28"/>
          <w:szCs w:val="28"/>
          <w:lang w:bidi="ar-MA"/>
        </w:rPr>
        <w:t>1.7%</w:t>
      </w:r>
      <w:r>
        <w:rPr>
          <w:rFonts w:cs="Simplified Arabic" w:hint="cs"/>
          <w:sz w:val="28"/>
          <w:szCs w:val="28"/>
          <w:rtl/>
          <w:lang w:bidi="ar-MA"/>
        </w:rPr>
        <w:t xml:space="preserve"> من الفئات العليا.</w:t>
      </w:r>
    </w:p>
    <w:p w:rsidR="00000000" w:rsidRDefault="00414BAC" w:rsidP="000944A3">
      <w:pPr>
        <w:bidi/>
        <w:jc w:val="center"/>
        <w:rPr>
          <w:rFonts w:cs="Simplified Arabic"/>
          <w:b/>
          <w:bCs/>
          <w:color w:val="993366"/>
          <w:sz w:val="28"/>
          <w:szCs w:val="28"/>
          <w:rtl/>
          <w:lang w:val="en-US"/>
        </w:rPr>
      </w:pPr>
      <w:r>
        <w:rPr>
          <w:rFonts w:cs="Simplified Arabic"/>
          <w:color w:val="00B050"/>
          <w:sz w:val="28"/>
          <w:szCs w:val="28"/>
          <w:rtl/>
          <w:lang w:bidi="ar-MA"/>
        </w:rPr>
        <w:br w:type="page"/>
      </w:r>
      <w:r>
        <w:rPr>
          <w:rFonts w:cs="Simplified Arabic"/>
          <w:b/>
          <w:bCs/>
          <w:color w:val="993366"/>
          <w:sz w:val="28"/>
          <w:szCs w:val="28"/>
          <w:rtl/>
          <w:lang w:val="en-US"/>
        </w:rPr>
        <w:t>مـؤشـــرات</w:t>
      </w:r>
      <w:r>
        <w:rPr>
          <w:rFonts w:cs="Simplified Arabic" w:hint="cs"/>
          <w:b/>
          <w:bCs/>
          <w:color w:val="993366"/>
          <w:sz w:val="28"/>
          <w:szCs w:val="28"/>
          <w:rtl/>
          <w:lang w:val="en-US"/>
        </w:rPr>
        <w:t xml:space="preserve"> تشغيل الأطفال المتراوحة أعمارهم ما بين 7 و 14 سنة</w:t>
      </w:r>
    </w:p>
    <w:tbl>
      <w:tblPr>
        <w:tblW w:w="10173" w:type="dxa"/>
        <w:jc w:val="center"/>
        <w:tblLayout w:type="fixed"/>
        <w:tblCellMar>
          <w:left w:w="28" w:type="dxa"/>
          <w:right w:w="28" w:type="dxa"/>
        </w:tblCellMar>
        <w:tblLook w:val="0000"/>
      </w:tblPr>
      <w:tblGrid>
        <w:gridCol w:w="968"/>
        <w:gridCol w:w="968"/>
        <w:gridCol w:w="968"/>
        <w:gridCol w:w="968"/>
        <w:gridCol w:w="961"/>
        <w:gridCol w:w="975"/>
        <w:gridCol w:w="4365"/>
      </w:tblGrid>
      <w:tr w:rsidR="00000000">
        <w:trPr>
          <w:trHeight w:hRule="exact" w:val="454"/>
          <w:jc w:val="center"/>
        </w:trPr>
        <w:tc>
          <w:tcPr>
            <w:tcW w:w="2904" w:type="dxa"/>
            <w:gridSpan w:val="3"/>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b/>
                <w:bCs/>
              </w:rPr>
              <w:t>201</w:t>
            </w:r>
            <w:r>
              <w:rPr>
                <w:rFonts w:ascii="Book Antiqua" w:hAnsi="Book Antiqua" w:hint="cs"/>
                <w:b/>
                <w:bCs/>
                <w:rtl/>
              </w:rPr>
              <w:t>3</w:t>
            </w:r>
          </w:p>
        </w:tc>
        <w:tc>
          <w:tcPr>
            <w:tcW w:w="2904" w:type="dxa"/>
            <w:gridSpan w:val="3"/>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b/>
                <w:bCs/>
              </w:rPr>
              <w:t>1999</w:t>
            </w:r>
          </w:p>
        </w:tc>
        <w:tc>
          <w:tcPr>
            <w:tcW w:w="4365" w:type="dxa"/>
            <w:tcBorders>
              <w:top w:val="single" w:sz="4" w:space="0" w:color="auto"/>
              <w:left w:val="single" w:sz="4" w:space="0" w:color="auto"/>
              <w:bottom w:val="single" w:sz="4" w:space="0" w:color="auto"/>
              <w:right w:val="single" w:sz="4" w:space="0" w:color="auto"/>
            </w:tcBorders>
            <w:vAlign w:val="center"/>
          </w:tcPr>
          <w:p w:rsidR="00000000" w:rsidRDefault="00414BAC">
            <w:pPr>
              <w:pStyle w:val="Titre1"/>
              <w:tabs>
                <w:tab w:val="clear" w:pos="-720"/>
              </w:tabs>
              <w:suppressAutoHyphens w:val="0"/>
              <w:spacing w:line="276" w:lineRule="auto"/>
              <w:jc w:val="center"/>
              <w:rPr>
                <w:rFonts w:ascii="Book Antiqua" w:eastAsia="Calibri" w:hAnsi="Book Antiqua" w:cs="Arial"/>
                <w:spacing w:val="0"/>
                <w:sz w:val="20"/>
                <w:szCs w:val="20"/>
                <w:lang w:val="fr-FR"/>
              </w:rPr>
            </w:pPr>
            <w:r>
              <w:rPr>
                <w:rFonts w:ascii="Book Antiqua" w:eastAsia="Calibri" w:hAnsi="Book Antiqua" w:cs="Arial"/>
                <w:spacing w:val="0"/>
                <w:sz w:val="20"/>
                <w:szCs w:val="20"/>
                <w:rtl/>
                <w:lang w:val="fr-FR"/>
              </w:rPr>
              <w:t>المـؤشـــــرات</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tl/>
              </w:rPr>
              <w:t>المجمـوع</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tl/>
              </w:rPr>
              <w:t>قـروي</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tl/>
              </w:rPr>
              <w:t>حضري</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tl/>
              </w:rPr>
              <w:t>المجمـوع</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tl/>
              </w:rPr>
              <w:t>قـروي</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tl/>
              </w:rPr>
              <w:t>حضري</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jc w:val="center"/>
              <w:rPr>
                <w:rFonts w:ascii="Book Antiqua" w:hAnsi="Book Antiqua"/>
                <w:b/>
                <w:bCs/>
                <w:sz w:val="20"/>
                <w:szCs w:val="20"/>
              </w:rPr>
            </w:pP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4671</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2092</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2579</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5339</w:t>
            </w:r>
          </w:p>
        </w:tc>
        <w:tc>
          <w:tcPr>
            <w:tcW w:w="961"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2785</w:t>
            </w:r>
          </w:p>
        </w:tc>
        <w:tc>
          <w:tcPr>
            <w:tcW w:w="975"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2554</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العدد الإجمالي (بالآلاف)</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86</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76</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10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517</w:t>
            </w:r>
          </w:p>
        </w:tc>
        <w:tc>
          <w:tcPr>
            <w:tcW w:w="961"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452</w:t>
            </w:r>
          </w:p>
        </w:tc>
        <w:tc>
          <w:tcPr>
            <w:tcW w:w="975"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65</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النشيطون المشتغلون (بالآلاف)</w:t>
            </w:r>
          </w:p>
        </w:tc>
      </w:tr>
      <w:tr w:rsidR="00000000">
        <w:trPr>
          <w:trHeight w:hRule="exact" w:val="738"/>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sz w:val="20"/>
                <w:szCs w:val="20"/>
              </w:rPr>
              <w:t>1,8</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sz w:val="20"/>
                <w:szCs w:val="20"/>
              </w:rPr>
              <w:t>3,6</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sz w:val="20"/>
                <w:szCs w:val="20"/>
              </w:rPr>
              <w:t>0,4</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sz w:val="20"/>
                <w:szCs w:val="20"/>
              </w:rPr>
              <w:t>9,7</w:t>
            </w:r>
          </w:p>
        </w:tc>
        <w:tc>
          <w:tcPr>
            <w:tcW w:w="961"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sz w:val="20"/>
                <w:szCs w:val="20"/>
              </w:rPr>
              <w:t>16,2</w:t>
            </w:r>
          </w:p>
        </w:tc>
        <w:tc>
          <w:tcPr>
            <w:tcW w:w="975"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sz w:val="20"/>
                <w:szCs w:val="20"/>
              </w:rPr>
              <w:t>2,5</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tl/>
              </w:rPr>
            </w:pPr>
            <w:r>
              <w:rPr>
                <w:rFonts w:ascii="Book Antiqua" w:hAnsi="Book Antiqua" w:hint="cs"/>
                <w:b/>
                <w:bCs/>
                <w:sz w:val="20"/>
                <w:szCs w:val="20"/>
                <w:rtl/>
              </w:rPr>
              <w:t>نسبة النشيطين المشتغلين من بين العدد الإجمالي للأطفال (ب %)</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b/>
                <w:bCs/>
              </w:rPr>
              <w:t>42,8</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b/>
                <w:bCs/>
              </w:rPr>
              <w:t>46,8</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b/>
                <w:bCs/>
              </w:rPr>
              <w:t>10,2</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b/>
                <w:bCs/>
              </w:rPr>
              <w:t>47,0</w:t>
            </w:r>
          </w:p>
        </w:tc>
        <w:tc>
          <w:tcPr>
            <w:tcW w:w="961"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b/>
                <w:bCs/>
              </w:rPr>
              <w:t>49,1</w:t>
            </w:r>
          </w:p>
        </w:tc>
        <w:tc>
          <w:tcPr>
            <w:tcW w:w="975"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b/>
                <w:bCs/>
              </w:rPr>
            </w:pPr>
            <w:r>
              <w:rPr>
                <w:rFonts w:ascii="Book Antiqua" w:hAnsi="Book Antiqua"/>
                <w:b/>
                <w:bCs/>
              </w:rPr>
              <w:t>32,5</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نسبة الإناث (ب %)</w:t>
            </w:r>
          </w:p>
        </w:tc>
      </w:tr>
      <w:tr w:rsidR="00000000">
        <w:trPr>
          <w:trHeight w:hRule="exact" w:val="454"/>
          <w:jc w:val="center"/>
        </w:trPr>
        <w:tc>
          <w:tcPr>
            <w:tcW w:w="10173" w:type="dxa"/>
            <w:gridSpan w:val="7"/>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بنية التشغيل حسب الحالة في المهنة (ب %)</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7,4</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3,9</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35,9</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8,8</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5,3</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33,5</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مستأجرون </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1,0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0,5</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5,0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1,0</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0,7</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3,0</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مستقلون </w:t>
            </w:r>
          </w:p>
        </w:tc>
      </w:tr>
      <w:tr w:rsidR="00000000">
        <w:trPr>
          <w:trHeight w:hRule="exact" w:val="517"/>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85,2</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93,6</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17,0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82,9</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92,2</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17,5</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مساعدون عائليون</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6,3</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1,9</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42,1</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7,0</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1,6</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45,6</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متعلم</w:t>
            </w:r>
            <w:r>
              <w:rPr>
                <w:rFonts w:ascii="Book Antiqua" w:hAnsi="Book Antiqua" w:hint="cs"/>
                <w:b/>
                <w:bCs/>
                <w:sz w:val="20"/>
                <w:szCs w:val="20"/>
                <w:rtl/>
              </w:rPr>
              <w:t xml:space="preserve">ون </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0,1</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0,1</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0,3</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0,2</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0,4</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حالات أخرى</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pStyle w:val="Titre5"/>
              <w:jc w:val="both"/>
              <w:rPr>
                <w:rFonts w:ascii="Book Antiqua" w:eastAsia="Calibri" w:hAnsi="Book Antiqua" w:cs="Arial"/>
                <w:spacing w:val="0"/>
              </w:rPr>
            </w:pPr>
            <w:r>
              <w:rPr>
                <w:rFonts w:ascii="Book Antiqua" w:eastAsia="Calibri" w:hAnsi="Book Antiqua" w:cs="Arial" w:hint="cs"/>
                <w:spacing w:val="0"/>
                <w:rtl/>
              </w:rPr>
              <w:t xml:space="preserve"> - المجمـوع</w:t>
            </w:r>
          </w:p>
        </w:tc>
      </w:tr>
      <w:tr w:rsidR="00000000">
        <w:trPr>
          <w:trHeight w:hRule="exact" w:val="454"/>
          <w:jc w:val="center"/>
        </w:trPr>
        <w:tc>
          <w:tcPr>
            <w:tcW w:w="10173" w:type="dxa"/>
            <w:gridSpan w:val="7"/>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بنية التشغيل حسب المهنة (ب %)</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0,6</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0,1</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4,5</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0,4</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0,1</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2,3</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مستخدمون</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7,1</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3,5</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36,9</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7,3</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2,6</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39,9</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تجار، صناع تقليديون وعمال مؤهلون بحرف الصناعة التقليدية</w:t>
            </w:r>
          </w:p>
        </w:tc>
      </w:tr>
      <w:tr w:rsidR="00000000">
        <w:trPr>
          <w:trHeight w:hRule="exact" w:val="69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84,4</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94</w:t>
            </w:r>
            <w:r>
              <w:rPr>
                <w:rFonts w:ascii="Book Antiqua" w:hAnsi="Book Antiqua"/>
              </w:rPr>
              <w:t>,0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6,9</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83,8</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94,8</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7,6</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مستغلون فلاحيون، صيادون، غابويون، قناصون وعمال فلاحيون</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7,9</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2,4</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51,7</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8,4</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2,4</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49,7</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عمال وعمال يدويون غير فلاحيين</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w:t>
            </w:r>
            <w:r>
              <w:rPr>
                <w:rFonts w:ascii="Book Antiqua" w:hAnsi="Book Antiqua" w:hint="cs"/>
                <w:rtl/>
              </w:rPr>
              <w:t>1</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0,1</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0,5</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غير مصرح</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pStyle w:val="Titre5"/>
              <w:jc w:val="both"/>
              <w:rPr>
                <w:rFonts w:ascii="Book Antiqua" w:eastAsia="Calibri" w:hAnsi="Book Antiqua" w:cs="Arial"/>
                <w:spacing w:val="0"/>
              </w:rPr>
            </w:pPr>
            <w:r>
              <w:rPr>
                <w:rFonts w:ascii="Book Antiqua" w:eastAsia="Calibri" w:hAnsi="Book Antiqua" w:cs="Arial" w:hint="cs"/>
                <w:spacing w:val="0"/>
                <w:rtl/>
              </w:rPr>
              <w:t xml:space="preserve"> المجمـوع</w:t>
            </w:r>
          </w:p>
        </w:tc>
      </w:tr>
      <w:tr w:rsidR="00000000">
        <w:trPr>
          <w:trHeight w:hRule="exact" w:val="454"/>
          <w:jc w:val="center"/>
        </w:trPr>
        <w:tc>
          <w:tcPr>
            <w:tcW w:w="10173" w:type="dxa"/>
            <w:gridSpan w:val="7"/>
            <w:tcBorders>
              <w:top w:val="single" w:sz="4" w:space="0" w:color="auto"/>
              <w:left w:val="single" w:sz="4" w:space="0" w:color="auto"/>
              <w:bottom w:val="single" w:sz="4" w:space="0" w:color="auto"/>
              <w:right w:val="single" w:sz="4" w:space="0" w:color="auto"/>
            </w:tcBorders>
          </w:tcPr>
          <w:p w:rsidR="00000000" w:rsidRDefault="00414BAC">
            <w:pPr>
              <w:pStyle w:val="Titre6"/>
              <w:jc w:val="both"/>
              <w:rPr>
                <w:rFonts w:ascii="Book Antiqua" w:eastAsia="Calibri" w:hAnsi="Book Antiqua" w:cs="Arial"/>
                <w:spacing w:val="0"/>
                <w:sz w:val="20"/>
                <w:szCs w:val="20"/>
                <w:lang w:val="fr-FR"/>
              </w:rPr>
            </w:pPr>
            <w:r>
              <w:rPr>
                <w:rFonts w:ascii="Book Antiqua" w:eastAsia="Calibri" w:hAnsi="Book Antiqua" w:cs="Arial" w:hint="cs"/>
                <w:spacing w:val="0"/>
                <w:sz w:val="20"/>
                <w:szCs w:val="20"/>
                <w:rtl/>
                <w:lang w:val="fr-FR"/>
              </w:rPr>
              <w:t>- بنية التشغيل حسب قطاعات النشاط</w:t>
            </w:r>
            <w:r>
              <w:rPr>
                <w:rFonts w:ascii="Book Antiqua" w:eastAsia="Calibri" w:hAnsi="Book Antiqua" w:cs="Arial" w:hint="cs"/>
                <w:spacing w:val="0"/>
                <w:sz w:val="20"/>
                <w:szCs w:val="20"/>
                <w:rtl/>
                <w:lang w:val="fr-FR"/>
              </w:rPr>
              <w:t xml:space="preserve"> الاقتصادي (ب %)</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84,4</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94,0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6,9</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83,9</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94,8</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7,8</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الفلاحة، الغابات والصيد</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5,0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2,9</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22,2</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8,0</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3,1</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41,9</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الصناعة بما فيها الصناعة التقليدية</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0,9</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0,4</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5,4</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0,3</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0,2</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1,2</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البناء والأشغال العمومية</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9,7</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2,7</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65,5</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7,7</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1,8</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48,6</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الخدمات</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0,0</w:t>
            </w:r>
          </w:p>
        </w:tc>
        <w:tc>
          <w:tcPr>
            <w:tcW w:w="968" w:type="dxa"/>
            <w:tcBorders>
              <w:top w:val="single" w:sz="4" w:space="0" w:color="auto"/>
              <w:left w:val="single" w:sz="4" w:space="0" w:color="auto"/>
              <w:bottom w:val="single" w:sz="4" w:space="0" w:color="auto"/>
              <w:right w:val="single" w:sz="4" w:space="0" w:color="auto"/>
            </w:tcBorders>
            <w:vAlign w:val="center"/>
          </w:tcPr>
          <w:p w:rsidR="00000000" w:rsidRDefault="00414BAC">
            <w:pPr>
              <w:jc w:val="center"/>
              <w:rPr>
                <w:rFonts w:ascii="Book Antiqua" w:hAnsi="Book Antiqua"/>
              </w:rPr>
            </w:pPr>
            <w:r>
              <w:rPr>
                <w:rFonts w:ascii="Book Antiqua" w:hAnsi="Book Antiqua"/>
              </w:rPr>
              <w:t>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0,1</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0,1</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rPr>
            </w:pPr>
            <w:r>
              <w:rPr>
                <w:rFonts w:ascii="Book Antiqua" w:hAnsi="Book Antiqua"/>
              </w:rPr>
              <w:t>0,5</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w:t>
            </w:r>
            <w:r>
              <w:rPr>
                <w:rFonts w:ascii="Book Antiqua" w:hAnsi="Book Antiqua" w:hint="cs"/>
                <w:b/>
                <w:bCs/>
                <w:sz w:val="20"/>
                <w:szCs w:val="20"/>
                <w:rtl/>
              </w:rPr>
              <w:t xml:space="preserve"> غير مصرح</w:t>
            </w:r>
          </w:p>
        </w:tc>
      </w:tr>
      <w:tr w:rsidR="00000000">
        <w:trPr>
          <w:trHeight w:hRule="exact" w:val="454"/>
          <w:jc w:val="center"/>
        </w:trPr>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8"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61"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975" w:type="dxa"/>
            <w:tcBorders>
              <w:top w:val="single" w:sz="4" w:space="0" w:color="auto"/>
              <w:left w:val="single" w:sz="4" w:space="0" w:color="auto"/>
              <w:bottom w:val="single" w:sz="4" w:space="0" w:color="auto"/>
              <w:right w:val="single" w:sz="4" w:space="0" w:color="auto"/>
            </w:tcBorders>
            <w:vAlign w:val="bottom"/>
          </w:tcPr>
          <w:p w:rsidR="00000000" w:rsidRDefault="00414BAC">
            <w:pPr>
              <w:jc w:val="center"/>
              <w:rPr>
                <w:rFonts w:ascii="Book Antiqua" w:hAnsi="Book Antiqua"/>
                <w:b/>
                <w:bCs/>
              </w:rPr>
            </w:pPr>
            <w:r>
              <w:rPr>
                <w:rFonts w:ascii="Book Antiqua" w:hAnsi="Book Antiqua"/>
                <w:b/>
                <w:bCs/>
              </w:rPr>
              <w:t>100,0</w:t>
            </w:r>
          </w:p>
        </w:tc>
        <w:tc>
          <w:tcPr>
            <w:tcW w:w="4365" w:type="dxa"/>
            <w:tcBorders>
              <w:top w:val="single" w:sz="4" w:space="0" w:color="auto"/>
              <w:left w:val="single" w:sz="4" w:space="0" w:color="auto"/>
              <w:bottom w:val="single" w:sz="4" w:space="0" w:color="auto"/>
              <w:right w:val="single" w:sz="4" w:space="0" w:color="auto"/>
            </w:tcBorders>
          </w:tcPr>
          <w:p w:rsidR="00000000" w:rsidRDefault="00414BAC">
            <w:pPr>
              <w:tabs>
                <w:tab w:val="left" w:pos="-720"/>
              </w:tabs>
              <w:suppressAutoHyphens/>
              <w:bidi/>
              <w:spacing w:line="340" w:lineRule="exact"/>
              <w:jc w:val="both"/>
              <w:rPr>
                <w:rFonts w:ascii="Book Antiqua" w:hAnsi="Book Antiqua"/>
                <w:b/>
                <w:bCs/>
                <w:sz w:val="20"/>
                <w:szCs w:val="20"/>
              </w:rPr>
            </w:pPr>
            <w:r>
              <w:rPr>
                <w:rFonts w:ascii="Book Antiqua" w:hAnsi="Book Antiqua" w:hint="cs"/>
                <w:b/>
                <w:bCs/>
                <w:sz w:val="20"/>
                <w:szCs w:val="20"/>
                <w:rtl/>
              </w:rPr>
              <w:t xml:space="preserve"> - المجمـوع</w:t>
            </w:r>
          </w:p>
        </w:tc>
      </w:tr>
    </w:tbl>
    <w:p w:rsidR="00414BAC" w:rsidRDefault="00414BAC">
      <w:pPr>
        <w:bidi/>
        <w:jc w:val="both"/>
        <w:rPr>
          <w:sz w:val="20"/>
          <w:szCs w:val="20"/>
        </w:rPr>
      </w:pPr>
      <w:r>
        <w:rPr>
          <w:rFonts w:cs="Simplified Arabic" w:hint="cs"/>
          <w:b/>
          <w:bCs/>
          <w:sz w:val="20"/>
          <w:szCs w:val="20"/>
          <w:rtl/>
          <w:lang w:val="en-US"/>
        </w:rPr>
        <w:t>المصـدر:</w:t>
      </w:r>
      <w:r>
        <w:rPr>
          <w:rFonts w:cs="Simplified Arabic"/>
          <w:b/>
          <w:bCs/>
          <w:sz w:val="20"/>
          <w:szCs w:val="20"/>
          <w:rtl/>
          <w:lang w:val="en-US"/>
        </w:rPr>
        <w:t xml:space="preserve"> البحث الوطني حول التشغيل</w:t>
      </w:r>
      <w:r>
        <w:rPr>
          <w:rFonts w:cs="Simplified Arabic" w:hint="cs"/>
          <w:b/>
          <w:bCs/>
          <w:sz w:val="20"/>
          <w:szCs w:val="20"/>
          <w:rtl/>
          <w:lang w:val="en-US"/>
        </w:rPr>
        <w:t>. المندوبية السامية للتخطيط (مديرية الإحصاء).</w:t>
      </w:r>
      <w:r>
        <w:rPr>
          <w:rFonts w:cs="Simplified Arabic"/>
          <w:b/>
          <w:bCs/>
          <w:sz w:val="20"/>
          <w:szCs w:val="20"/>
          <w:rtl/>
          <w:lang w:val="en-US"/>
        </w:rPr>
        <w:tab/>
      </w:r>
    </w:p>
    <w:sectPr w:rsidR="00414BAC">
      <w:footerReference w:type="even"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BAC" w:rsidRDefault="00414BAC">
      <w:pPr>
        <w:spacing w:after="0" w:line="240" w:lineRule="auto"/>
      </w:pPr>
      <w:r>
        <w:separator/>
      </w:r>
    </w:p>
  </w:endnote>
  <w:endnote w:type="continuationSeparator" w:id="0">
    <w:p w:rsidR="00414BAC" w:rsidRDefault="00414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4B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414BA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4BAC">
    <w:pPr>
      <w:pStyle w:val="Pieddepage"/>
      <w:framePr w:wrap="around" w:vAnchor="text" w:hAnchor="margin" w:xAlign="center" w:y="1"/>
      <w:rPr>
        <w:rStyle w:val="Numrodepage"/>
      </w:rPr>
    </w:pPr>
    <w:r>
      <w:rPr>
        <w:rStyle w:val="Numrodepage"/>
      </w:rPr>
      <w:fldChar w:fldCharType="begin"/>
    </w:r>
    <w:r>
      <w:rPr>
        <w:rStyle w:val="Numrodepage"/>
      </w:rPr>
      <w:instrText>P</w:instrText>
    </w:r>
    <w:r>
      <w:rPr>
        <w:rStyle w:val="Numrodepage"/>
      </w:rPr>
      <w:instrText xml:space="preserve">AGE  </w:instrText>
    </w:r>
    <w:r>
      <w:rPr>
        <w:rStyle w:val="Numrodepage"/>
      </w:rPr>
      <w:fldChar w:fldCharType="separate"/>
    </w:r>
    <w:r>
      <w:rPr>
        <w:rStyle w:val="Numrodepage"/>
        <w:noProof/>
      </w:rPr>
      <w:t>1</w:t>
    </w:r>
    <w:r>
      <w:rPr>
        <w:rStyle w:val="Numrodepage"/>
      </w:rPr>
      <w:fldChar w:fldCharType="end"/>
    </w:r>
  </w:p>
  <w:p w:rsidR="00000000" w:rsidRDefault="00414B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BAC" w:rsidRDefault="00414BAC">
      <w:pPr>
        <w:spacing w:after="0" w:line="240" w:lineRule="auto"/>
      </w:pPr>
      <w:r>
        <w:separator/>
      </w:r>
    </w:p>
  </w:footnote>
  <w:footnote w:type="continuationSeparator" w:id="0">
    <w:p w:rsidR="00414BAC" w:rsidRDefault="00414BAC">
      <w:pPr>
        <w:spacing w:after="0" w:line="240" w:lineRule="auto"/>
      </w:pPr>
      <w:r>
        <w:continuationSeparator/>
      </w:r>
    </w:p>
  </w:footnote>
  <w:footnote w:id="1">
    <w:p w:rsidR="00000000" w:rsidRDefault="00414BAC">
      <w:pPr>
        <w:pStyle w:val="Notedebasdepage"/>
        <w:bidi/>
        <w:jc w:val="both"/>
      </w:pPr>
      <w:r>
        <w:t xml:space="preserve"> </w:t>
      </w:r>
      <w:r>
        <w:rPr>
          <w:rFonts w:hint="cs"/>
          <w:rtl/>
        </w:rPr>
        <w:t xml:space="preserve"> </w:t>
      </w:r>
      <w:r>
        <w:rPr>
          <w:rStyle w:val="Appelnotedebasdep"/>
        </w:rPr>
        <w:footnoteRef/>
      </w:r>
      <w:r>
        <w:t xml:space="preserve"> </w:t>
      </w:r>
      <w:r>
        <w:rPr>
          <w:rFonts w:hint="cs"/>
          <w:rtl/>
        </w:rPr>
        <w:t xml:space="preserve"> لقد </w:t>
      </w:r>
      <w:r>
        <w:rPr>
          <w:rFonts w:hint="cs"/>
          <w:rtl/>
          <w:lang w:val="en-US" w:bidi="ar-MA"/>
        </w:rPr>
        <w:t>تم تحديد خمس فئات اجتماعية وذلك بالاعتماد على المجموعات المهنية الكبرى. يتعلق الأمر بالفئات العليا، الوسيطة</w:t>
      </w:r>
      <w:r>
        <w:rPr>
          <w:rFonts w:hint="cs"/>
          <w:rtl/>
          <w:lang w:val="en-US" w:bidi="ar-MA"/>
        </w:rPr>
        <w:t>، الشعبية، المستغليون الفلاحيون وفئة غير النشيطين. تضم الفئات العليا كل من مهن أعضاء الهيئة التشريعة، المنتخبون المحليون، المسؤولون حسب تسلسلهم في الإدارات العمومية، المديرون وأطر إدارة المقاولات، الأطر العليا وأعضاء المهن الحرة، الأطر المتوسطة. الفئات الو</w:t>
      </w:r>
      <w:r>
        <w:rPr>
          <w:rFonts w:hint="cs"/>
          <w:rtl/>
          <w:lang w:val="en-US" w:bidi="ar-MA"/>
        </w:rPr>
        <w:t>سيطة تضم المستخدمون، التجار، الوسطاء التجاريون والماليون، مسيرو التجهيزات والآلات وعمال التركيب والتجميع، حرفيون وعمال مؤهلون. أما الفئات الشعبية فتضم  عمال وعمال يدويون في الفلاحة والصيد ثم العمال والعمال  اليديون غير الفلاحيين.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6479"/>
    <w:multiLevelType w:val="hybridMultilevel"/>
    <w:tmpl w:val="AA7AB92C"/>
    <w:lvl w:ilvl="0" w:tplc="040C0003">
      <w:start w:val="1"/>
      <w:numFmt w:val="bullet"/>
      <w:lvlText w:val="o"/>
      <w:lvlJc w:val="left"/>
      <w:pPr>
        <w:ind w:left="1353" w:hanging="360"/>
      </w:pPr>
      <w:rPr>
        <w:rFonts w:ascii="Courier New" w:hAnsi="Courier New" w:hint="default"/>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
    <w:nsid w:val="3E336285"/>
    <w:multiLevelType w:val="hybridMultilevel"/>
    <w:tmpl w:val="C1883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B7032F"/>
    <w:multiLevelType w:val="hybridMultilevel"/>
    <w:tmpl w:val="AF700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0944A3"/>
    <w:rsid w:val="000944A3"/>
    <w:rsid w:val="00414B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qFormat/>
    <w:pPr>
      <w:keepNext/>
      <w:tabs>
        <w:tab w:val="left" w:pos="-720"/>
      </w:tabs>
      <w:suppressAutoHyphens/>
      <w:spacing w:after="0" w:line="340" w:lineRule="exact"/>
      <w:jc w:val="right"/>
      <w:outlineLvl w:val="0"/>
    </w:pPr>
    <w:rPr>
      <w:rFonts w:ascii="Times New Roman" w:eastAsia="Times New Roman" w:hAnsi="Times New Roman" w:cs="Simplified Arabic"/>
      <w:b/>
      <w:bCs/>
      <w:spacing w:val="-2"/>
      <w:sz w:val="24"/>
      <w:lang w:val="en-US"/>
    </w:rPr>
  </w:style>
  <w:style w:type="paragraph" w:styleId="Titre5">
    <w:name w:val="heading 5"/>
    <w:basedOn w:val="Normal"/>
    <w:next w:val="Normal"/>
    <w:qFormat/>
    <w:pPr>
      <w:keepNext/>
      <w:tabs>
        <w:tab w:val="left" w:pos="-720"/>
      </w:tabs>
      <w:suppressAutoHyphens/>
      <w:bidi/>
      <w:spacing w:after="0" w:line="340" w:lineRule="exact"/>
      <w:outlineLvl w:val="4"/>
    </w:pPr>
    <w:rPr>
      <w:rFonts w:ascii="Times New Roman" w:eastAsia="Times New Roman" w:hAnsi="Times New Roman" w:cs="Simplified Arabic"/>
      <w:b/>
      <w:bCs/>
      <w:spacing w:val="-2"/>
      <w:sz w:val="20"/>
      <w:szCs w:val="20"/>
    </w:rPr>
  </w:style>
  <w:style w:type="paragraph" w:styleId="Titre6">
    <w:name w:val="heading 6"/>
    <w:basedOn w:val="Normal"/>
    <w:next w:val="Normal"/>
    <w:qFormat/>
    <w:pPr>
      <w:keepNext/>
      <w:tabs>
        <w:tab w:val="left" w:pos="-720"/>
      </w:tabs>
      <w:suppressAutoHyphens/>
      <w:bidi/>
      <w:spacing w:after="0" w:line="340" w:lineRule="exact"/>
      <w:outlineLvl w:val="5"/>
    </w:pPr>
    <w:rPr>
      <w:rFonts w:ascii="Times New Roman" w:eastAsia="Times New Roman" w:hAnsi="Times New Roman" w:cs="Simplified Arabic"/>
      <w:b/>
      <w:bCs/>
      <w:spacing w:val="-2"/>
      <w:sz w:val="16"/>
      <w:szCs w:val="16"/>
      <w:lang w:val="en-US"/>
    </w:rPr>
  </w:style>
  <w:style w:type="character" w:default="1" w:styleId="Policepardfaut">
    <w:name w:val="Default Paragraph Font"/>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style>
  <w:style w:type="character" w:customStyle="1" w:styleId="hilite">
    <w:name w:val="hilite"/>
    <w:basedOn w:val="Policepardfaut"/>
  </w:style>
  <w:style w:type="paragraph" w:styleId="Textedebulles">
    <w:name w:val="Balloon Text"/>
    <w:basedOn w:val="Normal"/>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semiHidden/>
    <w:rPr>
      <w:rFonts w:ascii="Tahoma" w:hAnsi="Tahoma" w:cs="Tahoma"/>
      <w:sz w:val="16"/>
      <w:szCs w:val="16"/>
    </w:rPr>
  </w:style>
  <w:style w:type="character" w:customStyle="1" w:styleId="hps">
    <w:name w:val="hps"/>
    <w:basedOn w:val="Policepardfaut"/>
  </w:style>
  <w:style w:type="character" w:customStyle="1" w:styleId="Titre1Car">
    <w:name w:val="Titre 1 Car"/>
    <w:basedOn w:val="Policepardfaut"/>
    <w:rPr>
      <w:rFonts w:ascii="Times New Roman" w:eastAsia="Times New Roman" w:hAnsi="Times New Roman" w:cs="Simplified Arabic"/>
      <w:b/>
      <w:bCs/>
      <w:spacing w:val="-2"/>
      <w:sz w:val="24"/>
      <w:lang w:val="en-US"/>
    </w:rPr>
  </w:style>
  <w:style w:type="character" w:customStyle="1" w:styleId="Titre5Car">
    <w:name w:val="Titre 5 Car"/>
    <w:basedOn w:val="Policepardfaut"/>
    <w:rPr>
      <w:rFonts w:ascii="Times New Roman" w:eastAsia="Times New Roman" w:hAnsi="Times New Roman" w:cs="Simplified Arabic"/>
      <w:b/>
      <w:bCs/>
      <w:spacing w:val="-2"/>
      <w:sz w:val="20"/>
      <w:szCs w:val="20"/>
    </w:rPr>
  </w:style>
  <w:style w:type="character" w:customStyle="1" w:styleId="Titre6Car">
    <w:name w:val="Titre 6 Car"/>
    <w:basedOn w:val="Policepardfaut"/>
    <w:rPr>
      <w:rFonts w:ascii="Times New Roman" w:eastAsia="Times New Roman" w:hAnsi="Times New Roman" w:cs="Simplified Arabic"/>
      <w:b/>
      <w:bCs/>
      <w:spacing w:val="-2"/>
      <w:sz w:val="16"/>
      <w:szCs w:val="16"/>
      <w:lang w:val="en-US"/>
    </w:rPr>
  </w:style>
  <w:style w:type="paragraph" w:styleId="Paragraphedeliste">
    <w:name w:val="List Paragraph"/>
    <w:basedOn w:val="Normal"/>
    <w:qFormat/>
    <w:pPr>
      <w:ind w:left="720"/>
      <w:contextualSpacing/>
    </w:pPr>
  </w:style>
  <w:style w:type="paragraph" w:styleId="En-tte">
    <w:name w:val="header"/>
    <w:basedOn w:val="Normal"/>
    <w:semiHidden/>
    <w:unhideWhenUsed/>
    <w:pPr>
      <w:tabs>
        <w:tab w:val="center" w:pos="4536"/>
        <w:tab w:val="right" w:pos="9072"/>
      </w:tabs>
      <w:spacing w:after="0" w:line="240" w:lineRule="auto"/>
    </w:pPr>
  </w:style>
  <w:style w:type="character" w:customStyle="1" w:styleId="En-tteCar">
    <w:name w:val="En-tête Car"/>
    <w:basedOn w:val="Policepardfaut"/>
    <w:semiHidden/>
  </w:style>
  <w:style w:type="paragraph" w:styleId="Pieddepage">
    <w:name w:val="footer"/>
    <w:basedOn w:val="Normal"/>
    <w:semiHidden/>
    <w:unhideWhenUsed/>
    <w:pPr>
      <w:tabs>
        <w:tab w:val="center" w:pos="4536"/>
        <w:tab w:val="right" w:pos="9072"/>
      </w:tabs>
      <w:spacing w:after="0" w:line="240" w:lineRule="auto"/>
    </w:pPr>
  </w:style>
  <w:style w:type="character" w:customStyle="1" w:styleId="PieddepageCar">
    <w:name w:val="Pied de page Car"/>
    <w:basedOn w:val="Policepardfaut"/>
  </w:style>
  <w:style w:type="paragraph" w:styleId="Notedebasdepage">
    <w:name w:val="footnote text"/>
    <w:basedOn w:val="Normal"/>
    <w:semiHidden/>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semiHidden/>
    <w:rPr>
      <w:rFonts w:ascii="Times New Roman" w:eastAsia="Times New Roman" w:hAnsi="Times New Roman" w:cs="Times New Roman"/>
      <w:sz w:val="20"/>
      <w:szCs w:val="20"/>
      <w:lang w:eastAsia="fr-FR"/>
    </w:rPr>
  </w:style>
  <w:style w:type="character" w:styleId="Appelnotedebasdep">
    <w:name w:val="footnote reference"/>
    <w:basedOn w:val="Policepardfaut"/>
    <w:semiHidden/>
    <w:rPr>
      <w:vertAlign w:val="superscript"/>
    </w:rPr>
  </w:style>
  <w:style w:type="character" w:styleId="Numrodepage">
    <w:name w:val="page number"/>
    <w:basedOn w:val="Policepardfau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H:\Travail%20des%20enfants__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Sheet!$B$3</c:f>
              <c:strCache>
                <c:ptCount val="1"/>
                <c:pt idx="0">
                  <c:v>حضري</c:v>
                </c:pt>
              </c:strCache>
            </c:strRef>
          </c:tx>
          <c:dLbls>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layout>
                <c:manualLayout>
                  <c:x val="2.5000000000000026E-2"/>
                  <c:y val="4.6296296296296488E-2"/>
                </c:manualLayout>
              </c:layout>
              <c:dLblPos val="t"/>
              <c:showVal val="1"/>
            </c:dLbl>
            <c:txPr>
              <a:bodyPr/>
              <a:lstStyle/>
              <a:p>
                <a:pPr>
                  <a:defRPr lang="en-US" b="1"/>
                </a:pPr>
                <a:endParaRPr lang="fr-FR"/>
              </a:p>
            </c:txPr>
            <c:dLblPos val="t"/>
            <c:showVal val="1"/>
          </c:dLbls>
          <c:cat>
            <c:numRef>
              <c:f>Sheet!$C$2:$Q$2</c:f>
              <c:numCache>
                <c:formatCode>#,##0</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Sheet!$C$3:$Q$3</c:f>
              <c:numCache>
                <c:formatCode>0</c:formatCode>
                <c:ptCount val="15"/>
                <c:pt idx="0">
                  <c:v>64.793999999999997</c:v>
                </c:pt>
                <c:pt idx="1">
                  <c:v>54.583000000000006</c:v>
                </c:pt>
                <c:pt idx="2">
                  <c:v>45.64</c:v>
                </c:pt>
                <c:pt idx="3">
                  <c:v>39.784000000000006</c:v>
                </c:pt>
                <c:pt idx="4">
                  <c:v>40.917999999999999</c:v>
                </c:pt>
                <c:pt idx="5">
                  <c:v>34.213000000000001</c:v>
                </c:pt>
                <c:pt idx="6">
                  <c:v>33.678000000000011</c:v>
                </c:pt>
                <c:pt idx="7">
                  <c:v>26.36</c:v>
                </c:pt>
                <c:pt idx="8">
                  <c:v>22.118000000000027</c:v>
                </c:pt>
                <c:pt idx="9">
                  <c:v>20.800999999999988</c:v>
                </c:pt>
                <c:pt idx="10">
                  <c:v>18.761999999999986</c:v>
                </c:pt>
                <c:pt idx="11">
                  <c:v>12.831</c:v>
                </c:pt>
                <c:pt idx="12">
                  <c:v>10.189</c:v>
                </c:pt>
                <c:pt idx="13">
                  <c:v>6.9859999999999998</c:v>
                </c:pt>
                <c:pt idx="14">
                  <c:v>10</c:v>
                </c:pt>
              </c:numCache>
            </c:numRef>
          </c:val>
        </c:ser>
        <c:ser>
          <c:idx val="1"/>
          <c:order val="1"/>
          <c:tx>
            <c:strRef>
              <c:f>Sheet!$B$4</c:f>
              <c:strCache>
                <c:ptCount val="1"/>
                <c:pt idx="0">
                  <c:v>قروي</c:v>
                </c:pt>
              </c:strCache>
            </c:strRef>
          </c:tx>
          <c:dLbls>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layout>
                <c:manualLayout>
                  <c:x val="3.6111111111111198E-2"/>
                  <c:y val="-6.9444444444444572E-2"/>
                </c:manualLayout>
              </c:layout>
              <c:dLblPos val="b"/>
              <c:showVal val="1"/>
            </c:dLbl>
            <c:txPr>
              <a:bodyPr/>
              <a:lstStyle/>
              <a:p>
                <a:pPr>
                  <a:defRPr lang="en-US" b="1"/>
                </a:pPr>
                <a:endParaRPr lang="fr-FR"/>
              </a:p>
            </c:txPr>
            <c:dLblPos val="b"/>
            <c:showVal val="1"/>
          </c:dLbls>
          <c:cat>
            <c:numRef>
              <c:f>Sheet!$C$2:$Q$2</c:f>
              <c:numCache>
                <c:formatCode>#,##0</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Sheet!$C$4:$Q$4</c:f>
              <c:numCache>
                <c:formatCode>0</c:formatCode>
                <c:ptCount val="15"/>
                <c:pt idx="0">
                  <c:v>452.29700000000003</c:v>
                </c:pt>
                <c:pt idx="1">
                  <c:v>423.803</c:v>
                </c:pt>
                <c:pt idx="2">
                  <c:v>334.09799999999956</c:v>
                </c:pt>
                <c:pt idx="3">
                  <c:v>276.54399999999993</c:v>
                </c:pt>
                <c:pt idx="4">
                  <c:v>310.06299999999999</c:v>
                </c:pt>
                <c:pt idx="5">
                  <c:v>313.72299999999956</c:v>
                </c:pt>
                <c:pt idx="6">
                  <c:v>284.774</c:v>
                </c:pt>
                <c:pt idx="7">
                  <c:v>258.11200000000002</c:v>
                </c:pt>
                <c:pt idx="8">
                  <c:v>218.79</c:v>
                </c:pt>
                <c:pt idx="9">
                  <c:v>170.49</c:v>
                </c:pt>
                <c:pt idx="10">
                  <c:v>151.595</c:v>
                </c:pt>
                <c:pt idx="11">
                  <c:v>133.82000000000022</c:v>
                </c:pt>
                <c:pt idx="12">
                  <c:v>112.367</c:v>
                </c:pt>
                <c:pt idx="13">
                  <c:v>84.828000000000003</c:v>
                </c:pt>
                <c:pt idx="14">
                  <c:v>76.224999999999994</c:v>
                </c:pt>
              </c:numCache>
            </c:numRef>
          </c:val>
        </c:ser>
        <c:ser>
          <c:idx val="2"/>
          <c:order val="2"/>
          <c:tx>
            <c:strRef>
              <c:f>Sheet!$B$5</c:f>
              <c:strCache>
                <c:ptCount val="1"/>
                <c:pt idx="0">
                  <c:v>وطني</c:v>
                </c:pt>
              </c:strCache>
            </c:strRef>
          </c:tx>
          <c:dLbls>
            <c:dLbl>
              <c:idx val="0"/>
              <c:layout>
                <c:manualLayout>
                  <c:x val="-4.1666666666666692E-2"/>
                  <c:y val="-4.6296296296296439E-2"/>
                </c:manualLayout>
              </c:layout>
              <c:showVal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layout>
                <c:manualLayout>
                  <c:x val="-2.7777777777777863E-2"/>
                  <c:y val="-6.0185185185185147E-2"/>
                </c:manualLayout>
              </c:layout>
              <c:showVal val="1"/>
            </c:dLbl>
            <c:txPr>
              <a:bodyPr/>
              <a:lstStyle/>
              <a:p>
                <a:pPr>
                  <a:defRPr lang="en-US" b="1"/>
                </a:pPr>
                <a:endParaRPr lang="fr-FR"/>
              </a:p>
            </c:txPr>
            <c:showVal val="1"/>
          </c:dLbls>
          <c:cat>
            <c:numRef>
              <c:f>Sheet!$C$2:$Q$2</c:f>
              <c:numCache>
                <c:formatCode>#,##0</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Sheet!$C$5:$Q$5</c:f>
              <c:numCache>
                <c:formatCode>0</c:formatCode>
                <c:ptCount val="15"/>
                <c:pt idx="0">
                  <c:v>517.09100000000001</c:v>
                </c:pt>
                <c:pt idx="1">
                  <c:v>478.38599999999963</c:v>
                </c:pt>
                <c:pt idx="2">
                  <c:v>379.73799999999949</c:v>
                </c:pt>
                <c:pt idx="3">
                  <c:v>316.32799999999969</c:v>
                </c:pt>
                <c:pt idx="4">
                  <c:v>350.98099999999937</c:v>
                </c:pt>
                <c:pt idx="5">
                  <c:v>347.93599999999918</c:v>
                </c:pt>
                <c:pt idx="6">
                  <c:v>318.452</c:v>
                </c:pt>
                <c:pt idx="7">
                  <c:v>284.47199999999918</c:v>
                </c:pt>
                <c:pt idx="8">
                  <c:v>240.90800000000004</c:v>
                </c:pt>
                <c:pt idx="9">
                  <c:v>191.291</c:v>
                </c:pt>
                <c:pt idx="10">
                  <c:v>170.35700000000023</c:v>
                </c:pt>
                <c:pt idx="11">
                  <c:v>146.65100000000001</c:v>
                </c:pt>
                <c:pt idx="12">
                  <c:v>122.556</c:v>
                </c:pt>
                <c:pt idx="13">
                  <c:v>91.813999999999993</c:v>
                </c:pt>
                <c:pt idx="14">
                  <c:v>85.61999999999999</c:v>
                </c:pt>
              </c:numCache>
            </c:numRef>
          </c:val>
        </c:ser>
        <c:marker val="1"/>
        <c:axId val="60879616"/>
        <c:axId val="60881152"/>
      </c:lineChart>
      <c:catAx>
        <c:axId val="60879616"/>
        <c:scaling>
          <c:orientation val="minMax"/>
        </c:scaling>
        <c:axPos val="b"/>
        <c:numFmt formatCode="#,##0" sourceLinked="1"/>
        <c:majorTickMark val="none"/>
        <c:minorTickMark val="cross"/>
        <c:tickLblPos val="nextTo"/>
        <c:txPr>
          <a:bodyPr rot="-5400000" vert="horz"/>
          <a:lstStyle/>
          <a:p>
            <a:pPr>
              <a:defRPr lang="en-US"/>
            </a:pPr>
            <a:endParaRPr lang="fr-FR"/>
          </a:p>
        </c:txPr>
        <c:crossAx val="60881152"/>
        <c:crosses val="autoZero"/>
        <c:auto val="1"/>
        <c:lblAlgn val="ctr"/>
        <c:lblOffset val="100"/>
      </c:catAx>
      <c:valAx>
        <c:axId val="60881152"/>
        <c:scaling>
          <c:orientation val="minMax"/>
        </c:scaling>
        <c:axPos val="l"/>
        <c:majorGridlines/>
        <c:numFmt formatCode="0" sourceLinked="1"/>
        <c:tickLblPos val="nextTo"/>
        <c:txPr>
          <a:bodyPr/>
          <a:lstStyle/>
          <a:p>
            <a:pPr>
              <a:defRPr lang="en-US"/>
            </a:pPr>
            <a:endParaRPr lang="fr-FR"/>
          </a:p>
        </c:txPr>
        <c:crossAx val="60879616"/>
        <c:crosses val="autoZero"/>
        <c:crossBetween val="between"/>
      </c:valAx>
    </c:plotArea>
    <c:legend>
      <c:legendPos val="b"/>
      <c:txPr>
        <a:bodyPr/>
        <a:lstStyle/>
        <a:p>
          <a:pPr>
            <a:defRPr lang="en-US"/>
          </a:pPr>
          <a:endParaRPr lang="fr-FR"/>
        </a:p>
      </c:txP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966</Words>
  <Characters>5317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fbakraoui</dc:creator>
  <cp:lastModifiedBy>user</cp:lastModifiedBy>
  <cp:revision>2</cp:revision>
  <cp:lastPrinted>2013-06-11T13:19:00Z</cp:lastPrinted>
  <dcterms:created xsi:type="dcterms:W3CDTF">2014-06-15T14:14:00Z</dcterms:created>
  <dcterms:modified xsi:type="dcterms:W3CDTF">2014-06-15T14:14:00Z</dcterms:modified>
</cp:coreProperties>
</file>