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Pr>
      </w:pPr>
    </w:p>
    <w:p w:rsidR="009C4063" w:rsidRDefault="009C4063" w:rsidP="007C2F91">
      <w:pPr>
        <w:ind w:left="993" w:hanging="993"/>
        <w:jc w:val="both"/>
        <w:rPr>
          <w:rFonts w:ascii="Book Antiqua" w:hAnsi="Book Antiqua"/>
          <w:b/>
          <w:bCs/>
          <w:sz w:val="26"/>
          <w:szCs w:val="26"/>
        </w:rPr>
      </w:pPr>
    </w:p>
    <w:p w:rsidR="009C4063" w:rsidRDefault="008E7574" w:rsidP="007C2F91">
      <w:pPr>
        <w:ind w:left="993" w:hanging="993"/>
        <w:jc w:val="both"/>
        <w:rPr>
          <w:rFonts w:ascii="Book Antiqua" w:hAnsi="Book Antiqua"/>
          <w:b/>
          <w:bCs/>
          <w:sz w:val="26"/>
          <w:szCs w:val="26"/>
          <w:rtl/>
        </w:rPr>
      </w:pPr>
      <w:r>
        <w:rPr>
          <w:rFonts w:ascii="Book Antiqua" w:hAnsi="Book Antiqua"/>
          <w:b/>
          <w:bCs/>
          <w:sz w:val="26"/>
          <w:szCs w:val="26"/>
        </w:rPr>
        <w:t xml:space="preserve">     </w:t>
      </w:r>
    </w:p>
    <w:p w:rsidR="004134CF" w:rsidRPr="004134CF" w:rsidRDefault="004134CF" w:rsidP="004134CF">
      <w:pPr>
        <w:bidi/>
        <w:jc w:val="center"/>
        <w:rPr>
          <w:rFonts w:ascii="Palatino" w:hAnsi="Palatino" w:cs="Times"/>
          <w:b/>
          <w:bCs/>
          <w:shadow/>
          <w:color w:val="FF9900"/>
          <w:sz w:val="36"/>
          <w:szCs w:val="36"/>
          <w:rtl/>
        </w:rPr>
      </w:pPr>
    </w:p>
    <w:p w:rsidR="005C57A3" w:rsidRPr="005C57A3" w:rsidRDefault="005C57A3" w:rsidP="005C57A3">
      <w:pPr>
        <w:bidi/>
        <w:spacing w:before="120" w:after="120"/>
        <w:ind w:hanging="58"/>
        <w:jc w:val="center"/>
        <w:rPr>
          <w:rFonts w:ascii="Palatino" w:hAnsi="Palatino"/>
          <w:b/>
          <w:bCs/>
          <w:shadow/>
          <w:color w:val="FF9900"/>
          <w:sz w:val="32"/>
          <w:szCs w:val="32"/>
          <w:rtl/>
        </w:rPr>
      </w:pPr>
      <w:r w:rsidRPr="005C57A3">
        <w:rPr>
          <w:rFonts w:ascii="Palatino" w:hAnsi="Palatino" w:hint="cs"/>
          <w:b/>
          <w:bCs/>
          <w:shadow/>
          <w:color w:val="FF9900"/>
          <w:sz w:val="32"/>
          <w:szCs w:val="32"/>
          <w:rtl/>
        </w:rPr>
        <w:t>توضيح من المندوبية السامية للتخطيط</w:t>
      </w:r>
    </w:p>
    <w:p w:rsidR="004134CF" w:rsidRPr="005C57A3" w:rsidRDefault="005C57A3" w:rsidP="005C57A3">
      <w:pPr>
        <w:bidi/>
        <w:jc w:val="center"/>
        <w:rPr>
          <w:rFonts w:ascii="Palatino" w:hAnsi="Palatino"/>
          <w:b/>
          <w:bCs/>
          <w:shadow/>
          <w:color w:val="FF9900"/>
          <w:sz w:val="36"/>
          <w:szCs w:val="36"/>
          <w:rtl/>
        </w:rPr>
      </w:pPr>
      <w:r w:rsidRPr="005C57A3">
        <w:rPr>
          <w:rFonts w:ascii="Palatino" w:hAnsi="Palatino" w:hint="cs"/>
          <w:b/>
          <w:bCs/>
          <w:shadow/>
          <w:color w:val="FF9900"/>
          <w:sz w:val="32"/>
          <w:szCs w:val="32"/>
          <w:rtl/>
        </w:rPr>
        <w:t>حول حصانة المعلومة الإحصائية</w:t>
      </w:r>
    </w:p>
    <w:p w:rsidR="004134CF" w:rsidRDefault="004134CF" w:rsidP="004134CF">
      <w:pPr>
        <w:bidi/>
        <w:jc w:val="center"/>
        <w:rPr>
          <w:rFonts w:cs="Arabic Transparent"/>
          <w:b/>
          <w:bCs/>
          <w:color w:val="7F7F7F" w:themeColor="text1" w:themeTint="80"/>
          <w:sz w:val="36"/>
          <w:szCs w:val="36"/>
          <w:rtl/>
          <w:lang w:bidi="ar-MA"/>
        </w:rPr>
      </w:pPr>
    </w:p>
    <w:p w:rsidR="000523D0" w:rsidRDefault="000523D0" w:rsidP="000523D0">
      <w:pPr>
        <w:bidi/>
        <w:jc w:val="center"/>
        <w:rPr>
          <w:rFonts w:cs="Arabic Transparent"/>
          <w:b/>
          <w:bCs/>
          <w:color w:val="7F7F7F" w:themeColor="text1" w:themeTint="80"/>
          <w:sz w:val="16"/>
          <w:szCs w:val="16"/>
          <w:lang w:bidi="ar-MA"/>
        </w:rPr>
      </w:pPr>
    </w:p>
    <w:p w:rsidR="005C57A3" w:rsidRPr="005C57A3" w:rsidRDefault="005C57A3" w:rsidP="005C57A3">
      <w:pPr>
        <w:bidi/>
        <w:spacing w:before="120" w:after="120"/>
        <w:ind w:firstLine="709"/>
        <w:jc w:val="both"/>
        <w:rPr>
          <w:rFonts w:cs="Arabic Transparent"/>
          <w:color w:val="7F7F7F" w:themeColor="text1" w:themeTint="80"/>
          <w:sz w:val="30"/>
          <w:szCs w:val="30"/>
          <w:rtl/>
          <w:lang w:bidi="ar-MA"/>
        </w:rPr>
      </w:pPr>
      <w:r w:rsidRPr="005C57A3">
        <w:rPr>
          <w:rFonts w:cs="Arabic Transparent" w:hint="cs"/>
          <w:color w:val="7F7F7F" w:themeColor="text1" w:themeTint="80"/>
          <w:sz w:val="30"/>
          <w:szCs w:val="30"/>
          <w:rtl/>
          <w:lang w:bidi="ar-MA"/>
        </w:rPr>
        <w:t xml:space="preserve">لقد نشرت بعض الصحف خبرا مفاده أن الإحصاء العام للسكان والسكنى المقبل "ستكون له مآرب أخرى" وعلى الخصوص حق القضاء في الحصول على عناوين المدعى عليهم باعتماد معطيات الإحصاء. </w:t>
      </w:r>
    </w:p>
    <w:p w:rsidR="005C57A3" w:rsidRPr="005C57A3" w:rsidRDefault="005C57A3" w:rsidP="005C57A3">
      <w:pPr>
        <w:bidi/>
        <w:spacing w:before="120" w:after="120"/>
        <w:ind w:firstLine="709"/>
        <w:jc w:val="both"/>
        <w:rPr>
          <w:rFonts w:cs="Arabic Transparent"/>
          <w:color w:val="7F7F7F" w:themeColor="text1" w:themeTint="80"/>
          <w:sz w:val="30"/>
          <w:szCs w:val="30"/>
          <w:rtl/>
          <w:lang w:bidi="ar-MA"/>
        </w:rPr>
      </w:pPr>
      <w:r w:rsidRPr="005C57A3">
        <w:rPr>
          <w:rFonts w:cs="Arabic Transparent" w:hint="cs"/>
          <w:color w:val="7F7F7F" w:themeColor="text1" w:themeTint="80"/>
          <w:sz w:val="30"/>
          <w:szCs w:val="30"/>
          <w:rtl/>
          <w:lang w:bidi="ar-MA"/>
        </w:rPr>
        <w:t xml:space="preserve">وتود المندوبية السامية للتخطيط أن تقدم في هذا الصدد التوضيحات التالية : </w:t>
      </w:r>
    </w:p>
    <w:p w:rsidR="005C57A3" w:rsidRPr="005C57A3" w:rsidRDefault="005C57A3" w:rsidP="005C57A3">
      <w:pPr>
        <w:bidi/>
        <w:spacing w:before="120" w:after="120"/>
        <w:ind w:firstLine="709"/>
        <w:jc w:val="both"/>
        <w:rPr>
          <w:rFonts w:cs="Arabic Transparent"/>
          <w:color w:val="7F7F7F" w:themeColor="text1" w:themeTint="80"/>
          <w:sz w:val="30"/>
          <w:szCs w:val="30"/>
          <w:rtl/>
          <w:lang w:bidi="ar-MA"/>
        </w:rPr>
      </w:pPr>
      <w:r w:rsidRPr="005C57A3">
        <w:rPr>
          <w:rFonts w:cs="Arabic Transparent" w:hint="cs"/>
          <w:color w:val="7F7F7F" w:themeColor="text1" w:themeTint="80"/>
          <w:sz w:val="30"/>
          <w:szCs w:val="30"/>
          <w:rtl/>
          <w:lang w:bidi="ar-MA"/>
        </w:rPr>
        <w:t xml:space="preserve">إن المساطير والقيم المؤطرة لعمل مؤسسات الإحصاء في المغرب كما في العالم تمنع منعا كليا وصول أي هيئة كيفما كانت سلطتها للاطلاع على أية معلومة عن أي شخص موضوع أي بحث إحصائي ومن ذلك على سبيل المثال الإسم أو العنوان أو أي تصريح أدلى به أثناء البحث الإحصائي علما أن المنهجية الإحصائية في معالجة هذه المعطيات هي بدورها لا تترك أي مجال لمثل هذا. </w:t>
      </w:r>
    </w:p>
    <w:p w:rsidR="005C57A3" w:rsidRPr="005C57A3" w:rsidRDefault="005C57A3" w:rsidP="005C57A3">
      <w:pPr>
        <w:bidi/>
        <w:spacing w:before="120" w:after="120"/>
        <w:ind w:firstLine="709"/>
        <w:jc w:val="both"/>
        <w:rPr>
          <w:rFonts w:cs="Arabic Transparent"/>
          <w:color w:val="7F7F7F" w:themeColor="text1" w:themeTint="80"/>
          <w:sz w:val="30"/>
          <w:szCs w:val="30"/>
          <w:rtl/>
          <w:lang w:bidi="ar-MA"/>
        </w:rPr>
      </w:pPr>
      <w:r w:rsidRPr="005C57A3">
        <w:rPr>
          <w:rFonts w:cs="Arabic Transparent" w:hint="cs"/>
          <w:color w:val="7F7F7F" w:themeColor="text1" w:themeTint="80"/>
          <w:sz w:val="30"/>
          <w:szCs w:val="30"/>
          <w:rtl/>
          <w:lang w:bidi="ar-MA"/>
        </w:rPr>
        <w:t>هذا ويجب التذكير هنا أن القانون رقم 001.71 بتاريخ 16 يونيو 1971 الخاص بإحصاء السكان والسكنى في المملكة المغربية ينص حرفيا :</w:t>
      </w:r>
    </w:p>
    <w:p w:rsidR="005C57A3" w:rsidRPr="005C57A3" w:rsidRDefault="005C57A3" w:rsidP="005C57A3">
      <w:pPr>
        <w:bidi/>
        <w:spacing w:before="120" w:after="120"/>
        <w:ind w:firstLine="709"/>
        <w:jc w:val="both"/>
        <w:rPr>
          <w:rFonts w:cs="Arabic Transparent"/>
          <w:color w:val="7F7F7F" w:themeColor="text1" w:themeTint="80"/>
          <w:sz w:val="30"/>
          <w:szCs w:val="30"/>
          <w:lang w:bidi="ar-MA"/>
        </w:rPr>
      </w:pPr>
      <w:r w:rsidRPr="005C57A3">
        <w:rPr>
          <w:rFonts w:cs="Arabic Transparent" w:hint="cs"/>
          <w:color w:val="7F7F7F" w:themeColor="text1" w:themeTint="80"/>
          <w:sz w:val="30"/>
          <w:szCs w:val="30"/>
          <w:rtl/>
          <w:lang w:bidi="ar-MA"/>
        </w:rPr>
        <w:t xml:space="preserve">" أما المعلومات الفردية المدرجة في الأجوبة عن أسئلة الإحصاء والمتصلة بالحياة الشخصية والعائلية وبصفة عامة العمل والسلوك الخاص، فلا يجوز تبليغها من طرف المودعة لديهم. </w:t>
      </w:r>
      <w:r w:rsidRPr="005C57A3">
        <w:rPr>
          <w:rFonts w:cs="Arabic Transparent" w:hint="cs"/>
          <w:b/>
          <w:bCs/>
          <w:color w:val="7F7F7F" w:themeColor="text1" w:themeTint="80"/>
          <w:sz w:val="30"/>
          <w:szCs w:val="30"/>
          <w:rtl/>
          <w:lang w:bidi="ar-MA"/>
        </w:rPr>
        <w:t>ولا يمكن بأن حال من الأحوال استعمال هذه المعلومات لأجل متابعات قضائية أو مراقبة جبائية أو زجر اقتصادي</w:t>
      </w:r>
      <w:r w:rsidRPr="005C57A3">
        <w:rPr>
          <w:rFonts w:cs="Arabic Transparent" w:hint="cs"/>
          <w:color w:val="7F7F7F" w:themeColor="text1" w:themeTint="80"/>
          <w:sz w:val="30"/>
          <w:szCs w:val="30"/>
          <w:rtl/>
          <w:lang w:bidi="ar-MA"/>
        </w:rPr>
        <w:t xml:space="preserve">".  </w:t>
      </w:r>
    </w:p>
    <w:p w:rsidR="005C57A3" w:rsidRPr="005C57A3" w:rsidRDefault="005C57A3" w:rsidP="005C57A3">
      <w:pPr>
        <w:bidi/>
        <w:jc w:val="both"/>
        <w:rPr>
          <w:rFonts w:cs="Arabic Transparent"/>
          <w:color w:val="7F7F7F" w:themeColor="text1" w:themeTint="80"/>
          <w:sz w:val="30"/>
          <w:szCs w:val="30"/>
          <w:lang w:bidi="ar-MA"/>
        </w:rPr>
      </w:pPr>
    </w:p>
    <w:p w:rsidR="005C57A3" w:rsidRPr="005C57A3" w:rsidRDefault="005C57A3" w:rsidP="005C57A3">
      <w:pPr>
        <w:bidi/>
        <w:jc w:val="both"/>
        <w:rPr>
          <w:rFonts w:cs="Arabic Transparent"/>
          <w:b/>
          <w:bCs/>
          <w:color w:val="7F7F7F" w:themeColor="text1" w:themeTint="80"/>
          <w:sz w:val="16"/>
          <w:szCs w:val="16"/>
          <w:rtl/>
          <w:lang w:bidi="ar-MA"/>
        </w:rPr>
      </w:pPr>
      <w:r w:rsidRPr="005C57A3">
        <w:rPr>
          <w:rFonts w:cs="Arabic Transparent" w:hint="cs"/>
          <w:color w:val="7F7F7F" w:themeColor="text1" w:themeTint="80"/>
          <w:sz w:val="30"/>
          <w:szCs w:val="30"/>
          <w:rtl/>
          <w:lang w:bidi="ar-MA"/>
        </w:rPr>
        <w:t>وفي هذا الإطار، فإن الاستمارات تتم معالجتها من لدن الإحصائيين مباشرة بعد تعبئتها ميدانيا من طرف الباحث الإحصائي بإدماج المعلومات الواردة فيها في جداول إحصائية حسب الوحدات المجالية دون أن تكون هناك أية إمكانية لتشخيص مصدر المعلومات الواردة فيها سواء كان شخصا أو أسرة أو غيرها.</w:t>
      </w:r>
    </w:p>
    <w:p w:rsidR="004134CF" w:rsidRPr="00D03800" w:rsidRDefault="004134CF" w:rsidP="005C57A3">
      <w:pPr>
        <w:bidi/>
        <w:ind w:firstLine="708"/>
        <w:jc w:val="both"/>
        <w:rPr>
          <w:rFonts w:cs="Arabic Transparent"/>
          <w:b/>
          <w:bCs/>
          <w:color w:val="7F7F7F" w:themeColor="text1" w:themeTint="80"/>
          <w:sz w:val="36"/>
          <w:szCs w:val="36"/>
          <w:rtl/>
          <w:lang w:bidi="ar-MA"/>
        </w:rPr>
      </w:pPr>
    </w:p>
    <w:p w:rsidR="004134CF" w:rsidRPr="0023156A" w:rsidRDefault="004134CF" w:rsidP="004134CF">
      <w:pPr>
        <w:bidi/>
        <w:jc w:val="both"/>
        <w:rPr>
          <w:rFonts w:cs="Arabic Transparent"/>
          <w:color w:val="7F7F7F" w:themeColor="text1" w:themeTint="80"/>
          <w:sz w:val="16"/>
          <w:szCs w:val="16"/>
          <w:rtl/>
          <w:lang w:bidi="ar-MA"/>
        </w:rPr>
      </w:pPr>
    </w:p>
    <w:p w:rsidR="00867FAB" w:rsidRPr="004134CF" w:rsidRDefault="004134CF" w:rsidP="005C57A3">
      <w:pPr>
        <w:bidi/>
        <w:spacing w:before="120" w:after="120"/>
        <w:jc w:val="both"/>
        <w:rPr>
          <w:rFonts w:cs="Arabic Transparent"/>
          <w:b/>
          <w:bCs/>
          <w:color w:val="7F7F7F" w:themeColor="text1" w:themeTint="80"/>
          <w:sz w:val="32"/>
          <w:szCs w:val="32"/>
          <w:lang w:bidi="ar-MA"/>
        </w:rPr>
      </w:pPr>
      <w:r w:rsidRPr="004134CF">
        <w:rPr>
          <w:rFonts w:cs="Arabic Transparent" w:hint="cs"/>
          <w:color w:val="7F7F7F" w:themeColor="text1" w:themeTint="80"/>
          <w:sz w:val="36"/>
          <w:szCs w:val="36"/>
          <w:rtl/>
          <w:lang w:bidi="ar-MA"/>
        </w:rPr>
        <w:tab/>
      </w:r>
      <w:r w:rsidRPr="004134CF">
        <w:rPr>
          <w:rFonts w:cs="Arabic Transparent" w:hint="cs"/>
          <w:color w:val="7F7F7F" w:themeColor="text1" w:themeTint="80"/>
          <w:sz w:val="36"/>
          <w:szCs w:val="36"/>
          <w:rtl/>
          <w:lang w:bidi="ar-MA"/>
        </w:rPr>
        <w:tab/>
      </w:r>
      <w:r w:rsidRPr="004134CF">
        <w:rPr>
          <w:rFonts w:cs="Arabic Transparent" w:hint="cs"/>
          <w:color w:val="7F7F7F" w:themeColor="text1" w:themeTint="80"/>
          <w:sz w:val="36"/>
          <w:szCs w:val="36"/>
          <w:rtl/>
          <w:lang w:bidi="ar-MA"/>
        </w:rPr>
        <w:tab/>
      </w:r>
      <w:r w:rsidRPr="004134CF">
        <w:rPr>
          <w:rFonts w:cs="Arabic Transparent" w:hint="cs"/>
          <w:color w:val="7F7F7F" w:themeColor="text1" w:themeTint="80"/>
          <w:sz w:val="36"/>
          <w:szCs w:val="36"/>
          <w:rtl/>
          <w:lang w:bidi="ar-MA"/>
        </w:rPr>
        <w:tab/>
      </w:r>
      <w:r w:rsidRPr="004134CF">
        <w:rPr>
          <w:rFonts w:cs="Arabic Transparent" w:hint="cs"/>
          <w:color w:val="7F7F7F" w:themeColor="text1" w:themeTint="80"/>
          <w:sz w:val="36"/>
          <w:szCs w:val="36"/>
          <w:rtl/>
          <w:lang w:bidi="ar-MA"/>
        </w:rPr>
        <w:tab/>
      </w:r>
      <w:r w:rsidRPr="004134CF">
        <w:rPr>
          <w:rFonts w:cs="Arabic Transparent" w:hint="cs"/>
          <w:color w:val="7F7F7F" w:themeColor="text1" w:themeTint="80"/>
          <w:sz w:val="36"/>
          <w:szCs w:val="36"/>
          <w:rtl/>
          <w:lang w:bidi="ar-MA"/>
        </w:rPr>
        <w:tab/>
      </w:r>
      <w:r w:rsidRPr="004134CF">
        <w:rPr>
          <w:rFonts w:cs="Arabic Transparent" w:hint="cs"/>
          <w:color w:val="7F7F7F" w:themeColor="text1" w:themeTint="80"/>
          <w:sz w:val="36"/>
          <w:szCs w:val="36"/>
          <w:rtl/>
          <w:lang w:bidi="ar-MA"/>
        </w:rPr>
        <w:tab/>
      </w:r>
      <w:r w:rsidRPr="004134CF">
        <w:rPr>
          <w:rFonts w:cs="Arabic Transparent" w:hint="cs"/>
          <w:color w:val="7F7F7F" w:themeColor="text1" w:themeTint="80"/>
          <w:sz w:val="36"/>
          <w:szCs w:val="36"/>
          <w:rtl/>
          <w:lang w:bidi="ar-MA"/>
        </w:rPr>
        <w:tab/>
      </w:r>
      <w:r w:rsidRPr="004134CF">
        <w:rPr>
          <w:rFonts w:cs="Arabic Transparent" w:hint="cs"/>
          <w:color w:val="7F7F7F" w:themeColor="text1" w:themeTint="80"/>
          <w:sz w:val="32"/>
          <w:szCs w:val="32"/>
          <w:rtl/>
          <w:lang w:bidi="ar-MA"/>
        </w:rPr>
        <w:t xml:space="preserve">     </w:t>
      </w:r>
      <w:r>
        <w:rPr>
          <w:rFonts w:cs="Arabic Transparent" w:hint="cs"/>
          <w:color w:val="7F7F7F" w:themeColor="text1" w:themeTint="80"/>
          <w:sz w:val="32"/>
          <w:szCs w:val="32"/>
          <w:rtl/>
          <w:lang w:bidi="ar-MA"/>
        </w:rPr>
        <w:t xml:space="preserve">   </w:t>
      </w:r>
      <w:r w:rsidRPr="004134CF">
        <w:rPr>
          <w:rFonts w:cs="Arabic Transparent" w:hint="cs"/>
          <w:color w:val="7F7F7F" w:themeColor="text1" w:themeTint="80"/>
          <w:sz w:val="32"/>
          <w:szCs w:val="32"/>
          <w:rtl/>
          <w:lang w:bidi="ar-MA"/>
        </w:rPr>
        <w:t xml:space="preserve">  </w:t>
      </w:r>
    </w:p>
    <w:sectPr w:rsidR="00867FAB" w:rsidRPr="004134CF" w:rsidSect="00BC6F8A">
      <w:footerReference w:type="even" r:id="rId9"/>
      <w:footerReference w:type="default" r:id="rId10"/>
      <w:headerReference w:type="first" r:id="rId11"/>
      <w:footerReference w:type="first" r:id="rId12"/>
      <w:pgSz w:w="11906" w:h="16838"/>
      <w:pgMar w:top="1134" w:right="1304" w:bottom="1134"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E6B" w:rsidRDefault="00001E6B">
      <w:r>
        <w:separator/>
      </w:r>
    </w:p>
  </w:endnote>
  <w:endnote w:type="continuationSeparator" w:id="1">
    <w:p w:rsidR="00001E6B" w:rsidRDefault="00001E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Arabic Transparent">
    <w:panose1 w:val="02010000000000000000"/>
    <w:charset w:val="B2"/>
    <w:family w:val="auto"/>
    <w:pitch w:val="variable"/>
    <w:sig w:usb0="00002001" w:usb1="00000000" w:usb2="00000000" w:usb3="00000000" w:csb0="00000040"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556861"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556861"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5C57A3">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5C57A3">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556861">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E6B" w:rsidRDefault="00001E6B">
      <w:r>
        <w:separator/>
      </w:r>
    </w:p>
  </w:footnote>
  <w:footnote w:type="continuationSeparator" w:id="1">
    <w:p w:rsidR="00001E6B" w:rsidRDefault="00001E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57346"/>
    <o:shapelayout v:ext="edit">
      <o:idmap v:ext="edit" data="2"/>
    </o:shapelayout>
  </w:hdrShapeDefaults>
  <w:footnotePr>
    <w:footnote w:id="0"/>
    <w:footnote w:id="1"/>
  </w:footnotePr>
  <w:endnotePr>
    <w:endnote w:id="0"/>
    <w:endnote w:id="1"/>
  </w:endnotePr>
  <w:compat/>
  <w:rsids>
    <w:rsidRoot w:val="00A7067D"/>
    <w:rsid w:val="00001E6B"/>
    <w:rsid w:val="000025B3"/>
    <w:rsid w:val="00003423"/>
    <w:rsid w:val="0001390E"/>
    <w:rsid w:val="00013A7F"/>
    <w:rsid w:val="00013C22"/>
    <w:rsid w:val="000152BC"/>
    <w:rsid w:val="000205FA"/>
    <w:rsid w:val="00024095"/>
    <w:rsid w:val="00027850"/>
    <w:rsid w:val="00050A6E"/>
    <w:rsid w:val="000523D0"/>
    <w:rsid w:val="000554EE"/>
    <w:rsid w:val="00060321"/>
    <w:rsid w:val="00064386"/>
    <w:rsid w:val="0006553F"/>
    <w:rsid w:val="00070037"/>
    <w:rsid w:val="000767E7"/>
    <w:rsid w:val="00081BE5"/>
    <w:rsid w:val="00085E86"/>
    <w:rsid w:val="000A3BE9"/>
    <w:rsid w:val="000A4F68"/>
    <w:rsid w:val="000B2A3E"/>
    <w:rsid w:val="000B6EA6"/>
    <w:rsid w:val="000C123E"/>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13C63"/>
    <w:rsid w:val="00220DF6"/>
    <w:rsid w:val="0022299E"/>
    <w:rsid w:val="0022597E"/>
    <w:rsid w:val="0023043F"/>
    <w:rsid w:val="0023156A"/>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C02CC"/>
    <w:rsid w:val="002C09B2"/>
    <w:rsid w:val="002C6433"/>
    <w:rsid w:val="002C6E45"/>
    <w:rsid w:val="002D022C"/>
    <w:rsid w:val="002D3BD2"/>
    <w:rsid w:val="002D4302"/>
    <w:rsid w:val="002D49EF"/>
    <w:rsid w:val="002E61D6"/>
    <w:rsid w:val="002E67EA"/>
    <w:rsid w:val="002F237C"/>
    <w:rsid w:val="002F3B72"/>
    <w:rsid w:val="00301FE4"/>
    <w:rsid w:val="0030560D"/>
    <w:rsid w:val="0030605C"/>
    <w:rsid w:val="003121A0"/>
    <w:rsid w:val="00314191"/>
    <w:rsid w:val="003151E9"/>
    <w:rsid w:val="00316A57"/>
    <w:rsid w:val="0031735D"/>
    <w:rsid w:val="00317FC8"/>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357A"/>
    <w:rsid w:val="003E5DDB"/>
    <w:rsid w:val="003F28EA"/>
    <w:rsid w:val="003F445E"/>
    <w:rsid w:val="00401D3E"/>
    <w:rsid w:val="00403A20"/>
    <w:rsid w:val="004134CF"/>
    <w:rsid w:val="0041796D"/>
    <w:rsid w:val="004202F2"/>
    <w:rsid w:val="004275D6"/>
    <w:rsid w:val="004332FE"/>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420"/>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7ECD"/>
    <w:rsid w:val="00550169"/>
    <w:rsid w:val="005549EE"/>
    <w:rsid w:val="00556861"/>
    <w:rsid w:val="00564AE3"/>
    <w:rsid w:val="0057148E"/>
    <w:rsid w:val="00571918"/>
    <w:rsid w:val="005746EB"/>
    <w:rsid w:val="005754A6"/>
    <w:rsid w:val="005814DE"/>
    <w:rsid w:val="00582403"/>
    <w:rsid w:val="00590E1B"/>
    <w:rsid w:val="005938FB"/>
    <w:rsid w:val="00594250"/>
    <w:rsid w:val="00594D60"/>
    <w:rsid w:val="00595235"/>
    <w:rsid w:val="005A1E0F"/>
    <w:rsid w:val="005A2748"/>
    <w:rsid w:val="005B0675"/>
    <w:rsid w:val="005B3582"/>
    <w:rsid w:val="005B48EA"/>
    <w:rsid w:val="005C28E5"/>
    <w:rsid w:val="005C57A3"/>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353D"/>
    <w:rsid w:val="007273F0"/>
    <w:rsid w:val="00730CFE"/>
    <w:rsid w:val="007320F2"/>
    <w:rsid w:val="00737D26"/>
    <w:rsid w:val="00737E9A"/>
    <w:rsid w:val="007418E0"/>
    <w:rsid w:val="00762728"/>
    <w:rsid w:val="00763262"/>
    <w:rsid w:val="0076370A"/>
    <w:rsid w:val="00765F4E"/>
    <w:rsid w:val="00772673"/>
    <w:rsid w:val="00773F09"/>
    <w:rsid w:val="00774608"/>
    <w:rsid w:val="0077593D"/>
    <w:rsid w:val="007760AE"/>
    <w:rsid w:val="00776F26"/>
    <w:rsid w:val="00782073"/>
    <w:rsid w:val="00785179"/>
    <w:rsid w:val="007902F2"/>
    <w:rsid w:val="00790B01"/>
    <w:rsid w:val="00791486"/>
    <w:rsid w:val="007917AA"/>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7776"/>
    <w:rsid w:val="007D56DB"/>
    <w:rsid w:val="007D7F9B"/>
    <w:rsid w:val="007E1420"/>
    <w:rsid w:val="007E1CA4"/>
    <w:rsid w:val="007E2D18"/>
    <w:rsid w:val="007E474D"/>
    <w:rsid w:val="007E47FC"/>
    <w:rsid w:val="007F475F"/>
    <w:rsid w:val="007F478E"/>
    <w:rsid w:val="007F4A8D"/>
    <w:rsid w:val="00803256"/>
    <w:rsid w:val="00803806"/>
    <w:rsid w:val="00805106"/>
    <w:rsid w:val="0080593A"/>
    <w:rsid w:val="00807DC4"/>
    <w:rsid w:val="00811CEF"/>
    <w:rsid w:val="008148E1"/>
    <w:rsid w:val="00817D3A"/>
    <w:rsid w:val="0083601D"/>
    <w:rsid w:val="008373A3"/>
    <w:rsid w:val="0084269C"/>
    <w:rsid w:val="00852402"/>
    <w:rsid w:val="0086177A"/>
    <w:rsid w:val="00862803"/>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2D"/>
    <w:rsid w:val="008A4CF7"/>
    <w:rsid w:val="008A6A9C"/>
    <w:rsid w:val="008B32BE"/>
    <w:rsid w:val="008B5FF2"/>
    <w:rsid w:val="008C2C3C"/>
    <w:rsid w:val="008C79BB"/>
    <w:rsid w:val="008D1587"/>
    <w:rsid w:val="008D38D9"/>
    <w:rsid w:val="008D6C86"/>
    <w:rsid w:val="008D767F"/>
    <w:rsid w:val="008E0E0D"/>
    <w:rsid w:val="008E57C2"/>
    <w:rsid w:val="008E7574"/>
    <w:rsid w:val="008F3AB6"/>
    <w:rsid w:val="008F416D"/>
    <w:rsid w:val="008F6D54"/>
    <w:rsid w:val="008F72F2"/>
    <w:rsid w:val="008F7B26"/>
    <w:rsid w:val="008F7F80"/>
    <w:rsid w:val="00900744"/>
    <w:rsid w:val="00900B2E"/>
    <w:rsid w:val="00930A71"/>
    <w:rsid w:val="00930BC1"/>
    <w:rsid w:val="00931126"/>
    <w:rsid w:val="00944B4F"/>
    <w:rsid w:val="0095153B"/>
    <w:rsid w:val="00953DB4"/>
    <w:rsid w:val="00961216"/>
    <w:rsid w:val="00965163"/>
    <w:rsid w:val="009674B4"/>
    <w:rsid w:val="00970294"/>
    <w:rsid w:val="009750B7"/>
    <w:rsid w:val="009801E4"/>
    <w:rsid w:val="00984C53"/>
    <w:rsid w:val="00990C6F"/>
    <w:rsid w:val="00996F92"/>
    <w:rsid w:val="009A13A0"/>
    <w:rsid w:val="009A205F"/>
    <w:rsid w:val="009A2769"/>
    <w:rsid w:val="009A3A8A"/>
    <w:rsid w:val="009A5BA1"/>
    <w:rsid w:val="009B253D"/>
    <w:rsid w:val="009B2B2B"/>
    <w:rsid w:val="009C0E61"/>
    <w:rsid w:val="009C4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02DD"/>
    <w:rsid w:val="00A44584"/>
    <w:rsid w:val="00A5496C"/>
    <w:rsid w:val="00A610E0"/>
    <w:rsid w:val="00A6210F"/>
    <w:rsid w:val="00A66289"/>
    <w:rsid w:val="00A66B5D"/>
    <w:rsid w:val="00A7067D"/>
    <w:rsid w:val="00A70FEB"/>
    <w:rsid w:val="00A74F2D"/>
    <w:rsid w:val="00A7615A"/>
    <w:rsid w:val="00A76F8C"/>
    <w:rsid w:val="00A81A4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2022"/>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C6F8A"/>
    <w:rsid w:val="00BD05AA"/>
    <w:rsid w:val="00BD3618"/>
    <w:rsid w:val="00BD611F"/>
    <w:rsid w:val="00BD7B29"/>
    <w:rsid w:val="00BE12C8"/>
    <w:rsid w:val="00BF4F64"/>
    <w:rsid w:val="00BF6F79"/>
    <w:rsid w:val="00BF7CAC"/>
    <w:rsid w:val="00C005F2"/>
    <w:rsid w:val="00C02BDF"/>
    <w:rsid w:val="00C03E14"/>
    <w:rsid w:val="00C10731"/>
    <w:rsid w:val="00C10BDD"/>
    <w:rsid w:val="00C14DCE"/>
    <w:rsid w:val="00C26145"/>
    <w:rsid w:val="00C2678A"/>
    <w:rsid w:val="00C31EF5"/>
    <w:rsid w:val="00C36CAE"/>
    <w:rsid w:val="00C455CF"/>
    <w:rsid w:val="00C45E08"/>
    <w:rsid w:val="00C46A4C"/>
    <w:rsid w:val="00C509B9"/>
    <w:rsid w:val="00C5584A"/>
    <w:rsid w:val="00C55A3C"/>
    <w:rsid w:val="00C569B9"/>
    <w:rsid w:val="00C56CF3"/>
    <w:rsid w:val="00C57DE2"/>
    <w:rsid w:val="00C77AA4"/>
    <w:rsid w:val="00C82C55"/>
    <w:rsid w:val="00C92504"/>
    <w:rsid w:val="00C92E38"/>
    <w:rsid w:val="00C94FAA"/>
    <w:rsid w:val="00C9568D"/>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3800"/>
    <w:rsid w:val="00D07E75"/>
    <w:rsid w:val="00D12FA1"/>
    <w:rsid w:val="00D14BAE"/>
    <w:rsid w:val="00D15EC7"/>
    <w:rsid w:val="00D224CC"/>
    <w:rsid w:val="00D25594"/>
    <w:rsid w:val="00D27A5F"/>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2796A"/>
    <w:rsid w:val="00E30992"/>
    <w:rsid w:val="00E32D1F"/>
    <w:rsid w:val="00E343C3"/>
    <w:rsid w:val="00E37F80"/>
    <w:rsid w:val="00E40104"/>
    <w:rsid w:val="00E41A5C"/>
    <w:rsid w:val="00E52A17"/>
    <w:rsid w:val="00E52E24"/>
    <w:rsid w:val="00E54E88"/>
    <w:rsid w:val="00E62E93"/>
    <w:rsid w:val="00E643D8"/>
    <w:rsid w:val="00E6596F"/>
    <w:rsid w:val="00E7650A"/>
    <w:rsid w:val="00E81203"/>
    <w:rsid w:val="00E81537"/>
    <w:rsid w:val="00E82E2E"/>
    <w:rsid w:val="00E84D02"/>
    <w:rsid w:val="00E85B18"/>
    <w:rsid w:val="00E86900"/>
    <w:rsid w:val="00E947A6"/>
    <w:rsid w:val="00E9733C"/>
    <w:rsid w:val="00EA1C8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867"/>
    <w:rsid w:val="00F35B0B"/>
    <w:rsid w:val="00F35C32"/>
    <w:rsid w:val="00F4704E"/>
    <w:rsid w:val="00F51740"/>
    <w:rsid w:val="00F52F2E"/>
    <w:rsid w:val="00F549CF"/>
    <w:rsid w:val="00F566E9"/>
    <w:rsid w:val="00F60675"/>
    <w:rsid w:val="00F61F8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5839"/>
    <w:rsid w:val="00FA58C8"/>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624115997">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1153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2</cp:revision>
  <cp:lastPrinted>2012-11-26T10:50:00Z</cp:lastPrinted>
  <dcterms:created xsi:type="dcterms:W3CDTF">2014-04-30T11:20:00Z</dcterms:created>
  <dcterms:modified xsi:type="dcterms:W3CDTF">2014-04-30T11:20:00Z</dcterms:modified>
</cp:coreProperties>
</file>