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7C2F91" w:rsidRPr="00341857" w:rsidRDefault="007C2F91" w:rsidP="007C2F91">
      <w:pPr>
        <w:jc w:val="both"/>
        <w:rPr>
          <w:rFonts w:ascii="Book Antiqua" w:eastAsiaTheme="majorEastAsia" w:hAnsi="Book Antiqua" w:cstheme="majorBidi"/>
          <w:b/>
          <w:bCs/>
          <w:spacing w:val="5"/>
          <w:kern w:val="28"/>
        </w:rPr>
      </w:pPr>
    </w:p>
    <w:p w:rsidR="00933E21" w:rsidRPr="00933E21" w:rsidRDefault="00933E21" w:rsidP="0018200A">
      <w:pPr>
        <w:jc w:val="center"/>
        <w:rPr>
          <w:rFonts w:ascii="Palatino" w:hAnsi="Palatino" w:cs="Times"/>
          <w:b/>
          <w:bCs/>
          <w:shadow/>
          <w:color w:val="FF9900"/>
          <w:sz w:val="26"/>
          <w:szCs w:val="26"/>
        </w:rPr>
      </w:pPr>
      <w:r w:rsidRPr="00933E21">
        <w:rPr>
          <w:rFonts w:ascii="Palatino" w:hAnsi="Palatino" w:cs="Times"/>
          <w:b/>
          <w:bCs/>
          <w:shadow/>
          <w:color w:val="FF9900"/>
          <w:sz w:val="26"/>
          <w:szCs w:val="26"/>
        </w:rPr>
        <w:t>Mariage et divorce de la femme marocaine</w:t>
      </w:r>
      <w:r w:rsidR="0018200A">
        <w:rPr>
          <w:rFonts w:ascii="Palatino" w:hAnsi="Palatino" w:cs="Times"/>
          <w:b/>
          <w:bCs/>
          <w:shadow/>
          <w:color w:val="FF9900"/>
          <w:sz w:val="26"/>
          <w:szCs w:val="26"/>
        </w:rPr>
        <w:t xml:space="preserve"> </w:t>
      </w:r>
      <w:r w:rsidRPr="00933E21">
        <w:rPr>
          <w:rFonts w:ascii="Palatino" w:hAnsi="Palatino" w:cs="Times"/>
          <w:b/>
          <w:bCs/>
          <w:shadow/>
          <w:color w:val="FF9900"/>
          <w:sz w:val="26"/>
          <w:szCs w:val="26"/>
        </w:rPr>
        <w:t>:</w:t>
      </w:r>
    </w:p>
    <w:p w:rsidR="007C2F91" w:rsidRPr="00933E21" w:rsidRDefault="00933E21" w:rsidP="0018200A">
      <w:pPr>
        <w:pStyle w:val="Titre"/>
        <w:ind w:left="993" w:hanging="993"/>
        <w:rPr>
          <w:rFonts w:ascii="Palatino" w:hAnsi="Palatino" w:cs="Times"/>
          <w:shadow/>
          <w:color w:val="FF9900"/>
          <w:sz w:val="26"/>
          <w:szCs w:val="26"/>
        </w:rPr>
      </w:pPr>
      <w:r w:rsidRPr="00933E21">
        <w:rPr>
          <w:rFonts w:ascii="Palatino" w:hAnsi="Palatino" w:cs="Times"/>
          <w:shadow/>
          <w:color w:val="FF9900"/>
          <w:sz w:val="26"/>
          <w:szCs w:val="26"/>
        </w:rPr>
        <w:t>Tendances d’évolution</w:t>
      </w:r>
    </w:p>
    <w:p w:rsidR="00933E21" w:rsidRDefault="00933E21" w:rsidP="000C27E2">
      <w:pPr>
        <w:spacing w:before="120" w:after="160"/>
        <w:ind w:firstLine="709"/>
        <w:jc w:val="both"/>
        <w:rPr>
          <w:b/>
          <w:bCs/>
          <w:color w:val="808080"/>
        </w:rPr>
      </w:pPr>
    </w:p>
    <w:p w:rsidR="00933E21" w:rsidRPr="00933E21" w:rsidRDefault="00933E21" w:rsidP="00933E21">
      <w:pPr>
        <w:ind w:firstLine="708"/>
        <w:jc w:val="both"/>
        <w:rPr>
          <w:b/>
          <w:bCs/>
          <w:color w:val="808080"/>
        </w:rPr>
      </w:pPr>
      <w:r w:rsidRPr="00933E21">
        <w:rPr>
          <w:b/>
          <w:bCs/>
          <w:color w:val="808080"/>
        </w:rPr>
        <w:t>Bien que le mariage soit encore largement considéré comme une valeur religieuse et sociale de référence, l’âge moyen au mariage a énormément reculé entre 1960 et 2010. Les femmes se sont mariées en moyenne à 26,6 ans en 2010, soit 9,3 ans plus tard qu’en 1960. Le mariage précoce des 15-19 ans, qui concernait 20% des filles en 1982 n’en concerne plus que 150 mille représentant 9% de cette tranche d’âges. Parmi celles-ci, 120 mille sont âgées entre 18 et 19 ans. Il n'en reste pas moins qu'au moins 30 mille femmes se sont mariées en deçà de l'âge légal (18 ans).</w:t>
      </w:r>
    </w:p>
    <w:p w:rsidR="00933E21" w:rsidRPr="00933E21" w:rsidRDefault="00933E21" w:rsidP="00933E21">
      <w:pPr>
        <w:jc w:val="both"/>
        <w:rPr>
          <w:b/>
          <w:bCs/>
          <w:color w:val="808080"/>
        </w:rPr>
      </w:pPr>
    </w:p>
    <w:p w:rsidR="00933E21" w:rsidRPr="00933E21" w:rsidRDefault="00933E21" w:rsidP="00933E21">
      <w:pPr>
        <w:ind w:firstLine="708"/>
        <w:jc w:val="both"/>
        <w:rPr>
          <w:b/>
          <w:bCs/>
          <w:color w:val="808080"/>
        </w:rPr>
      </w:pPr>
      <w:r w:rsidRPr="00933E21">
        <w:rPr>
          <w:b/>
          <w:bCs/>
          <w:color w:val="808080"/>
        </w:rPr>
        <w:t>Le mariage devient de moins en moins universel. En 2010, le célibat à 50 ans atteint 6,7% parmi les femmes (contre 0,9% en 1994) et 5,8% parmi les hommes (contre 2,9%).</w:t>
      </w:r>
    </w:p>
    <w:p w:rsidR="00933E21" w:rsidRPr="00933E21" w:rsidRDefault="00933E21" w:rsidP="00933E21">
      <w:pPr>
        <w:jc w:val="both"/>
        <w:rPr>
          <w:b/>
          <w:bCs/>
          <w:color w:val="808080"/>
        </w:rPr>
      </w:pPr>
    </w:p>
    <w:p w:rsidR="00933E21" w:rsidRPr="00933E21" w:rsidRDefault="00933E21" w:rsidP="00933E21">
      <w:pPr>
        <w:ind w:firstLine="708"/>
        <w:jc w:val="both"/>
        <w:rPr>
          <w:b/>
          <w:bCs/>
          <w:color w:val="808080"/>
        </w:rPr>
      </w:pPr>
      <w:r w:rsidRPr="00933E21">
        <w:rPr>
          <w:b/>
          <w:bCs/>
          <w:color w:val="808080"/>
        </w:rPr>
        <w:t>Le mariage entre cousins ou entre parents éloignés (endogamie), valorisé dans le cadre des traditions patriarcales soucieuses de maintenir la cohésion familiale ou la sauvegarde du patrimoine, a régressé de 33% en 1987 à 21% en 2010, exprimant, ainsi, une mutation des systèmes de valeurs et comportements sociaux. Le taux d'endogamie avec un cousin germain est resté quasiment stable entre 1995 et 2010 (16,3% et 15,5% respectivement) alors que celui avec un parent éloigné a connu une baisse sensible passant de 13% à 5,1%.</w:t>
      </w:r>
    </w:p>
    <w:p w:rsidR="00933E21" w:rsidRPr="00933E21" w:rsidRDefault="00933E21" w:rsidP="00933E21">
      <w:pPr>
        <w:jc w:val="both"/>
        <w:rPr>
          <w:b/>
          <w:bCs/>
          <w:color w:val="808080"/>
        </w:rPr>
      </w:pPr>
    </w:p>
    <w:p w:rsidR="00933E21" w:rsidRPr="00933E21" w:rsidRDefault="00933E21" w:rsidP="00933E21">
      <w:pPr>
        <w:ind w:firstLine="708"/>
        <w:jc w:val="both"/>
        <w:rPr>
          <w:b/>
          <w:bCs/>
          <w:color w:val="808080"/>
        </w:rPr>
      </w:pPr>
      <w:r w:rsidRPr="00933E21">
        <w:rPr>
          <w:b/>
          <w:bCs/>
          <w:color w:val="808080"/>
        </w:rPr>
        <w:t xml:space="preserve">Cette évolution qu’a connue la nuptialité s’est accompagnée du recul du divorce. Si dans les années 1960, le tiers des premiers mariages (31%) se terminaient par un divorce, le taux de divortialité dépasse à peine 10% en 2010. Il est à noter que la proportion des femmes dont le premier mariage a été rompu par divorce est la plus élevée pendant la période critique des cinq premières années de la vie conjugale (supérieure à 30%). Elle baisse progressivement avec la durée pour atteindre des niveaux inférieurs à 3% au delà de 20 ans de mariage. </w:t>
      </w:r>
    </w:p>
    <w:p w:rsidR="00933E21" w:rsidRPr="00933E21" w:rsidRDefault="00933E21" w:rsidP="00933E21">
      <w:pPr>
        <w:jc w:val="both"/>
        <w:rPr>
          <w:b/>
          <w:bCs/>
          <w:color w:val="808080"/>
        </w:rPr>
      </w:pPr>
    </w:p>
    <w:p w:rsidR="00933E21" w:rsidRPr="00933E21" w:rsidRDefault="00933E21" w:rsidP="00933E21">
      <w:pPr>
        <w:ind w:firstLine="708"/>
        <w:jc w:val="both"/>
        <w:rPr>
          <w:b/>
          <w:bCs/>
          <w:color w:val="808080"/>
        </w:rPr>
      </w:pPr>
      <w:r w:rsidRPr="00933E21">
        <w:rPr>
          <w:b/>
          <w:bCs/>
          <w:color w:val="808080"/>
        </w:rPr>
        <w:t>La proportion des femmes divorcées a également tendance à baisser avec l’augmentation du nombre d’enfants. Elle passe de 19,8% parmi les femmes n’ayant pas d’enfants à 8% parmi celles ayant 4 enfants et plus. En considérant le sexe de l’enfant, les femmes ayant au moins un garçon divorcent deux fois moins (8,8%) que celles qui n’ont pas de progéniture de sexe masculin (16,3%).</w:t>
      </w:r>
    </w:p>
    <w:p w:rsidR="00933E21" w:rsidRPr="00933E21" w:rsidRDefault="00933E21" w:rsidP="00933E21">
      <w:pPr>
        <w:jc w:val="both"/>
        <w:rPr>
          <w:b/>
          <w:bCs/>
          <w:color w:val="808080"/>
        </w:rPr>
      </w:pPr>
    </w:p>
    <w:p w:rsidR="00933E21" w:rsidRPr="00933E21" w:rsidRDefault="00933E21" w:rsidP="00933E21">
      <w:pPr>
        <w:ind w:firstLine="708"/>
        <w:jc w:val="both"/>
        <w:rPr>
          <w:b/>
          <w:bCs/>
          <w:color w:val="808080"/>
        </w:rPr>
      </w:pPr>
      <w:r w:rsidRPr="00933E21">
        <w:rPr>
          <w:b/>
          <w:bCs/>
          <w:color w:val="808080"/>
        </w:rPr>
        <w:t xml:space="preserve">Les femmes mariées à des cousins germains ou autres parents éloignés (endogames) connaissent moins le divorce (7%) que celles n’ayant aucun lien familial avec leurs conjoints (11,3%). </w:t>
      </w:r>
    </w:p>
    <w:p w:rsidR="00933E21" w:rsidRPr="00933E21" w:rsidRDefault="00933E21" w:rsidP="00933E21">
      <w:pPr>
        <w:jc w:val="both"/>
        <w:rPr>
          <w:b/>
          <w:bCs/>
          <w:color w:val="808080"/>
        </w:rPr>
      </w:pPr>
    </w:p>
    <w:p w:rsidR="00933E21" w:rsidRPr="00933E21" w:rsidRDefault="00933E21" w:rsidP="00933E21">
      <w:pPr>
        <w:ind w:firstLine="708"/>
        <w:jc w:val="both"/>
        <w:rPr>
          <w:b/>
          <w:bCs/>
          <w:color w:val="808080"/>
        </w:rPr>
      </w:pPr>
      <w:r w:rsidRPr="00933E21">
        <w:rPr>
          <w:b/>
          <w:bCs/>
          <w:color w:val="808080"/>
        </w:rPr>
        <w:lastRenderedPageBreak/>
        <w:t xml:space="preserve">Il est à noter par ailleurs, que le taux de divortialité est deux fois plus élevé parmi les femmes n’ayant aucun niveau d’instruction que parmi celles ayant un niveau d’instruction supérieur (11,5% contre 5,8%) et parmi les femmes actives que parmi celles inactives (17,1% contre 8,7%). </w:t>
      </w:r>
    </w:p>
    <w:p w:rsidR="00933E21" w:rsidRPr="00933E21" w:rsidRDefault="00933E21" w:rsidP="00933E21">
      <w:pPr>
        <w:jc w:val="both"/>
        <w:rPr>
          <w:b/>
          <w:bCs/>
          <w:color w:val="808080"/>
        </w:rPr>
      </w:pPr>
    </w:p>
    <w:p w:rsidR="00933E21" w:rsidRPr="00933E21" w:rsidRDefault="00933E21" w:rsidP="00933E21">
      <w:pPr>
        <w:ind w:firstLine="708"/>
        <w:jc w:val="both"/>
        <w:rPr>
          <w:b/>
          <w:bCs/>
          <w:color w:val="808080"/>
        </w:rPr>
      </w:pPr>
      <w:r w:rsidRPr="00933E21">
        <w:rPr>
          <w:b/>
          <w:bCs/>
          <w:color w:val="808080"/>
        </w:rPr>
        <w:t xml:space="preserve">Pour plus d’informations sur ces sujets et sur bien d’autres, le HCP vient de publier, à l’occasion de la journée nationale de la femme, célébrée le 10 octobre 2013, un recueil d’indicateurs et de données statistiques sur l’évolution de la situation démographique et socioéconomique de la femme. </w:t>
      </w:r>
    </w:p>
    <w:p w:rsidR="00933E21" w:rsidRPr="00933E21" w:rsidRDefault="00933E21" w:rsidP="00933E21">
      <w:pPr>
        <w:jc w:val="both"/>
        <w:rPr>
          <w:b/>
          <w:bCs/>
          <w:color w:val="808080"/>
        </w:rPr>
      </w:pPr>
    </w:p>
    <w:p w:rsidR="007C2F91" w:rsidRPr="00E26241" w:rsidRDefault="00FF2F46" w:rsidP="00933E21">
      <w:pPr>
        <w:spacing w:line="312" w:lineRule="auto"/>
        <w:jc w:val="both"/>
        <w:rPr>
          <w:b/>
          <w:bCs/>
          <w:color w:val="808080"/>
        </w:rPr>
      </w:pPr>
      <w:r>
        <w:rPr>
          <w:b/>
          <w:bCs/>
          <w:color w:val="808080"/>
        </w:rPr>
        <w:t xml:space="preserve">                                                                             </w:t>
      </w:r>
      <w:r w:rsidR="00933E21">
        <w:rPr>
          <w:b/>
          <w:bCs/>
          <w:color w:val="808080"/>
        </w:rPr>
        <w:t xml:space="preserve">                      Pour le Haut Commissaire au Plan</w:t>
      </w:r>
    </w:p>
    <w:p w:rsidR="003059CF" w:rsidRDefault="00867FAB" w:rsidP="00933E21">
      <w:pPr>
        <w:ind w:right="164" w:firstLine="709"/>
        <w:jc w:val="both"/>
        <w:rPr>
          <w:b/>
          <w:bCs/>
          <w:color w:val="808080"/>
          <w:sz w:val="26"/>
          <w:szCs w:val="26"/>
        </w:rPr>
      </w:pPr>
      <w:r w:rsidRPr="003C104F">
        <w:rPr>
          <w:b/>
          <w:bCs/>
          <w:color w:val="808080"/>
          <w:sz w:val="26"/>
          <w:szCs w:val="26"/>
        </w:rPr>
        <w:t xml:space="preserve">                                                                 </w:t>
      </w:r>
      <w:r w:rsidR="00360101">
        <w:rPr>
          <w:b/>
          <w:bCs/>
          <w:color w:val="808080"/>
          <w:sz w:val="26"/>
          <w:szCs w:val="26"/>
        </w:rPr>
        <w:t xml:space="preserve">       </w:t>
      </w:r>
      <w:r w:rsidRPr="003C104F">
        <w:rPr>
          <w:b/>
          <w:bCs/>
          <w:color w:val="808080"/>
          <w:sz w:val="26"/>
          <w:szCs w:val="26"/>
        </w:rPr>
        <w:t xml:space="preserve"> </w:t>
      </w:r>
      <w:r w:rsidR="00FF2F46">
        <w:rPr>
          <w:b/>
          <w:bCs/>
          <w:color w:val="808080"/>
          <w:sz w:val="26"/>
          <w:szCs w:val="26"/>
        </w:rPr>
        <w:t xml:space="preserve">        </w:t>
      </w:r>
      <w:r w:rsidR="003059CF">
        <w:rPr>
          <w:b/>
          <w:bCs/>
          <w:color w:val="808080"/>
          <w:sz w:val="26"/>
          <w:szCs w:val="26"/>
        </w:rPr>
        <w:t>Le Secrétaire Général</w:t>
      </w:r>
    </w:p>
    <w:p w:rsidR="00E15AA3" w:rsidRPr="00360101" w:rsidRDefault="003059CF" w:rsidP="00933E21">
      <w:pPr>
        <w:ind w:right="164" w:firstLine="709"/>
        <w:jc w:val="both"/>
        <w:rPr>
          <w:b/>
          <w:bCs/>
          <w:color w:val="808080"/>
        </w:rPr>
      </w:pPr>
      <w:r>
        <w:rPr>
          <w:b/>
          <w:bCs/>
          <w:color w:val="808080"/>
          <w:sz w:val="26"/>
          <w:szCs w:val="26"/>
        </w:rPr>
        <w:t xml:space="preserve">                                                                                 Jamal Bourchachen   </w:t>
      </w:r>
      <w:r w:rsidR="00FF2F46">
        <w:rPr>
          <w:b/>
          <w:bCs/>
          <w:color w:val="808080"/>
          <w:sz w:val="26"/>
          <w:szCs w:val="26"/>
        </w:rPr>
        <w:t xml:space="preserve">     </w:t>
      </w:r>
      <w:r w:rsidR="00867FAB" w:rsidRPr="003C104F">
        <w:rPr>
          <w:b/>
          <w:bCs/>
          <w:color w:val="808080"/>
          <w:sz w:val="26"/>
          <w:szCs w:val="26"/>
        </w:rPr>
        <w:t xml:space="preserve">    </w:t>
      </w:r>
    </w:p>
    <w:p w:rsidR="00FF2F46" w:rsidRPr="00360101" w:rsidRDefault="00AF778B" w:rsidP="00FF2F46">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p>
    <w:p w:rsidR="00867FAB" w:rsidRPr="008D1587" w:rsidRDefault="00867FAB" w:rsidP="00E15AA3">
      <w:pPr>
        <w:spacing w:line="360" w:lineRule="auto"/>
        <w:jc w:val="both"/>
      </w:pPr>
    </w:p>
    <w:sectPr w:rsidR="00867FAB" w:rsidRPr="008D1587"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187" w:rsidRDefault="00725187">
      <w:r>
        <w:separator/>
      </w:r>
    </w:p>
  </w:endnote>
  <w:endnote w:type="continuationSeparator" w:id="0">
    <w:p w:rsidR="00725187" w:rsidRDefault="00725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F834E5"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F834E5"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837F43">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837F43">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F834E5">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187" w:rsidRDefault="00725187">
      <w:r>
        <w:separator/>
      </w:r>
    </w:p>
  </w:footnote>
  <w:footnote w:type="continuationSeparator" w:id="0">
    <w:p w:rsidR="00725187" w:rsidRDefault="00725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34818"/>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B6EA6"/>
    <w:rsid w:val="000C27E2"/>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8200A"/>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D022C"/>
    <w:rsid w:val="002D3BD2"/>
    <w:rsid w:val="002D4302"/>
    <w:rsid w:val="002D49EF"/>
    <w:rsid w:val="002F237C"/>
    <w:rsid w:val="002F3B72"/>
    <w:rsid w:val="0030560D"/>
    <w:rsid w:val="003059CF"/>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14B5"/>
    <w:rsid w:val="003A5CB2"/>
    <w:rsid w:val="003B7C9A"/>
    <w:rsid w:val="003C104F"/>
    <w:rsid w:val="003C357A"/>
    <w:rsid w:val="003C4358"/>
    <w:rsid w:val="003E5DDB"/>
    <w:rsid w:val="003F28EA"/>
    <w:rsid w:val="003F445E"/>
    <w:rsid w:val="00401D3E"/>
    <w:rsid w:val="00403A20"/>
    <w:rsid w:val="0041796D"/>
    <w:rsid w:val="004275D6"/>
    <w:rsid w:val="0043112D"/>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5187"/>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37F4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30BC1"/>
    <w:rsid w:val="00931126"/>
    <w:rsid w:val="00933E21"/>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B2B2B"/>
    <w:rsid w:val="009C0E61"/>
    <w:rsid w:val="009C6BF0"/>
    <w:rsid w:val="009D0EEB"/>
    <w:rsid w:val="009D1867"/>
    <w:rsid w:val="009D3F74"/>
    <w:rsid w:val="009D664A"/>
    <w:rsid w:val="009E1925"/>
    <w:rsid w:val="009E3005"/>
    <w:rsid w:val="009E4032"/>
    <w:rsid w:val="009E4BD5"/>
    <w:rsid w:val="009F13CF"/>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5FD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91228"/>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1364"/>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34E5"/>
    <w:rsid w:val="00F86045"/>
    <w:rsid w:val="00F867B3"/>
    <w:rsid w:val="00F90EB4"/>
    <w:rsid w:val="00F92A08"/>
    <w:rsid w:val="00F94487"/>
    <w:rsid w:val="00F94BFA"/>
    <w:rsid w:val="00FA1FD9"/>
    <w:rsid w:val="00FA2B84"/>
    <w:rsid w:val="00FA6DBC"/>
    <w:rsid w:val="00FB00B3"/>
    <w:rsid w:val="00FB15D1"/>
    <w:rsid w:val="00FB4688"/>
    <w:rsid w:val="00FB5979"/>
    <w:rsid w:val="00FB5B8E"/>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2F46"/>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2954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2012-11-26T10:50:00Z</cp:lastPrinted>
  <dcterms:created xsi:type="dcterms:W3CDTF">2013-10-10T19:29:00Z</dcterms:created>
  <dcterms:modified xsi:type="dcterms:W3CDTF">2013-10-10T19:29:00Z</dcterms:modified>
</cp:coreProperties>
</file>