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79" w:rsidRPr="0065406B" w:rsidRDefault="00C136A6">
      <w:pPr>
        <w:rPr>
          <w:sz w:val="28"/>
          <w:szCs w:val="28"/>
          <w:rtl/>
          <w:lang w:bidi="ar-MA"/>
        </w:rPr>
      </w:pPr>
      <w:r>
        <w:rPr>
          <w:noProof/>
          <w:sz w:val="28"/>
          <w:szCs w:val="28"/>
          <w:rtl/>
        </w:rPr>
        <w:pict>
          <v:rect id="_x0000_s1027" style="position:absolute;margin-left:-140.25pt;margin-top:-67.15pt;width:655pt;height:431.45pt;z-index:-251659264" o:preferrelative="t" filled="f" stroked="f" insetpen="t" o:cliptowrap="t">
            <v:imagedata r:id="rId6" o:title=""/>
            <v:path o:extrusionok="f"/>
            <o:lock v:ext="edit" aspectratio="t"/>
            <w10:wrap anchorx="page"/>
          </v:rect>
          <o:OLEObject Type="Embed" ProgID="PBrush" ShapeID="_x0000_s1027" DrawAspect="Content" ObjectID="_1426325986" r:id="rId7"/>
        </w:pict>
      </w:r>
      <w:r>
        <w:rPr>
          <w:noProof/>
          <w:sz w:val="28"/>
          <w:szCs w:val="28"/>
          <w:rtl/>
        </w:rPr>
        <w:pict>
          <v:rect id="_x0000_s1028" style="position:absolute;margin-left:-124.85pt;margin-top:309.4pt;width:684.25pt;height:403.7pt;z-index:-251658240" o:preferrelative="t" filled="f" stroked="f" insetpen="t" o:cliptowrap="t">
            <v:imagedata r:id="rId8" o:title=""/>
            <v:path o:extrusionok="f"/>
            <o:lock v:ext="edit" aspectratio="t"/>
            <w10:wrap anchorx="page"/>
          </v:rect>
          <o:OLEObject Type="Embed" ProgID="PBrush" ShapeID="_x0000_s1028" DrawAspect="Content" ObjectID="_1426325987" r:id="rId9"/>
        </w:pict>
      </w:r>
      <w:r w:rsidR="008B3E79" w:rsidRPr="0065406B">
        <w:rPr>
          <w:sz w:val="28"/>
          <w:szCs w:val="28"/>
          <w:lang w:bidi="ar-MA"/>
        </w:rPr>
        <w:t xml:space="preserve"> </w:t>
      </w:r>
    </w:p>
    <w:p w:rsidR="008B3E79" w:rsidRPr="0065406B" w:rsidRDefault="008B3E79">
      <w:pPr>
        <w:rPr>
          <w:sz w:val="28"/>
          <w:szCs w:val="28"/>
        </w:rPr>
      </w:pPr>
    </w:p>
    <w:p w:rsidR="008B3E79" w:rsidRPr="0065406B" w:rsidRDefault="008B3E79">
      <w:pPr>
        <w:rPr>
          <w:sz w:val="28"/>
          <w:szCs w:val="28"/>
        </w:rPr>
      </w:pPr>
    </w:p>
    <w:p w:rsidR="008B3E79" w:rsidRPr="0065406B" w:rsidRDefault="008B3E79">
      <w:pPr>
        <w:rPr>
          <w:sz w:val="28"/>
          <w:szCs w:val="28"/>
        </w:rPr>
      </w:pPr>
    </w:p>
    <w:p w:rsidR="00200125" w:rsidRPr="0065406B" w:rsidRDefault="00200125" w:rsidP="00200125">
      <w:pPr>
        <w:bidi/>
        <w:jc w:val="both"/>
        <w:rPr>
          <w:sz w:val="28"/>
          <w:szCs w:val="28"/>
          <w:rtl/>
        </w:rPr>
      </w:pPr>
    </w:p>
    <w:p w:rsidR="00200125" w:rsidRPr="0065406B" w:rsidRDefault="00200125" w:rsidP="00200125">
      <w:pPr>
        <w:bidi/>
        <w:jc w:val="center"/>
        <w:rPr>
          <w:rFonts w:cs="Simplified Arabic"/>
          <w:b/>
          <w:bCs/>
          <w:sz w:val="28"/>
          <w:szCs w:val="28"/>
          <w:rtl/>
          <w:lang w:bidi="ar-MA"/>
        </w:rPr>
      </w:pPr>
      <w:r w:rsidRPr="0065406B">
        <w:rPr>
          <w:rFonts w:cs="Simplified Arabic" w:hint="cs"/>
          <w:b/>
          <w:bCs/>
          <w:sz w:val="28"/>
          <w:szCs w:val="28"/>
          <w:rtl/>
          <w:lang w:bidi="ar-MA"/>
        </w:rPr>
        <w:t>بلاغ صحفي حول الحسابات القطاعية</w:t>
      </w:r>
    </w:p>
    <w:p w:rsidR="00200125" w:rsidRPr="0065406B" w:rsidRDefault="00200125" w:rsidP="00200125">
      <w:pPr>
        <w:bidi/>
        <w:jc w:val="center"/>
        <w:rPr>
          <w:rFonts w:cs="Simplified Arabic"/>
          <w:b/>
          <w:bCs/>
          <w:sz w:val="28"/>
          <w:szCs w:val="28"/>
          <w:rtl/>
          <w:lang w:bidi="ar-MA"/>
        </w:rPr>
      </w:pPr>
      <w:r w:rsidRPr="0065406B">
        <w:rPr>
          <w:rFonts w:cs="Simplified Arabic" w:hint="cs"/>
          <w:b/>
          <w:bCs/>
          <w:sz w:val="28"/>
          <w:szCs w:val="28"/>
          <w:rtl/>
          <w:lang w:bidi="ar-MA"/>
        </w:rPr>
        <w:t xml:space="preserve"> لسنـة 2011</w:t>
      </w:r>
    </w:p>
    <w:p w:rsidR="00200125" w:rsidRPr="0065406B" w:rsidRDefault="00200125" w:rsidP="00200125">
      <w:pPr>
        <w:bidi/>
        <w:jc w:val="center"/>
        <w:rPr>
          <w:rFonts w:cs="Simplified Arabic"/>
          <w:b/>
          <w:bCs/>
          <w:sz w:val="28"/>
          <w:szCs w:val="28"/>
          <w:rtl/>
          <w:lang w:bidi="ar-MA"/>
        </w:rPr>
      </w:pPr>
    </w:p>
    <w:p w:rsidR="00F95968" w:rsidRPr="0065406B" w:rsidRDefault="00230F4C" w:rsidP="00EE1EB4">
      <w:pPr>
        <w:bidi/>
        <w:ind w:firstLine="708"/>
        <w:jc w:val="both"/>
        <w:rPr>
          <w:rFonts w:cs="Simplified Arabic"/>
          <w:sz w:val="28"/>
          <w:szCs w:val="28"/>
          <w:rtl/>
          <w:lang w:bidi="ar-MA"/>
        </w:rPr>
      </w:pPr>
      <w:r w:rsidRPr="0065406B">
        <w:rPr>
          <w:rFonts w:cs="Simplified Arabic" w:hint="cs"/>
          <w:sz w:val="28"/>
          <w:szCs w:val="28"/>
          <w:rtl/>
          <w:lang w:bidi="ar-MA"/>
        </w:rPr>
        <w:t xml:space="preserve">من أجل استكمال نتائج الحسابات الوطنية لسنة 2011 المنجزة في </w:t>
      </w:r>
      <w:r w:rsidR="00A74CB4" w:rsidRPr="0065406B">
        <w:rPr>
          <w:rFonts w:cs="Simplified Arabic" w:hint="cs"/>
          <w:sz w:val="28"/>
          <w:szCs w:val="28"/>
          <w:rtl/>
          <w:lang w:bidi="ar-MA"/>
        </w:rPr>
        <w:t xml:space="preserve">شهر </w:t>
      </w:r>
      <w:r w:rsidRPr="0065406B">
        <w:rPr>
          <w:rFonts w:cs="Simplified Arabic" w:hint="cs"/>
          <w:sz w:val="28"/>
          <w:szCs w:val="28"/>
          <w:rtl/>
          <w:lang w:bidi="ar-MA"/>
        </w:rPr>
        <w:t>يونيو 2012</w:t>
      </w:r>
      <w:r w:rsidR="00A74CB4" w:rsidRPr="0065406B">
        <w:rPr>
          <w:rFonts w:cs="Simplified Arabic" w:hint="cs"/>
          <w:sz w:val="28"/>
          <w:szCs w:val="28"/>
          <w:rtl/>
          <w:lang w:bidi="ar-MA"/>
        </w:rPr>
        <w:t>،</w:t>
      </w:r>
      <w:r w:rsidRPr="0065406B">
        <w:rPr>
          <w:rFonts w:cs="Simplified Arabic" w:hint="cs"/>
          <w:sz w:val="28"/>
          <w:szCs w:val="28"/>
          <w:rtl/>
          <w:lang w:bidi="ar-MA"/>
        </w:rPr>
        <w:t xml:space="preserve"> حسب مقاربة الاقتصاد الوطني من </w:t>
      </w:r>
      <w:r w:rsidR="00A74CB4" w:rsidRPr="0065406B">
        <w:rPr>
          <w:rFonts w:cs="Simplified Arabic" w:hint="cs"/>
          <w:sz w:val="28"/>
          <w:szCs w:val="28"/>
          <w:rtl/>
          <w:lang w:bidi="ar-MA"/>
        </w:rPr>
        <w:t xml:space="preserve">ناحية </w:t>
      </w:r>
      <w:r w:rsidRPr="0065406B">
        <w:rPr>
          <w:rFonts w:cs="Simplified Arabic" w:hint="cs"/>
          <w:sz w:val="28"/>
          <w:szCs w:val="28"/>
          <w:rtl/>
          <w:lang w:bidi="ar-MA"/>
        </w:rPr>
        <w:t>فروع الأنشطة والمنتجات، ت</w:t>
      </w:r>
      <w:r w:rsidR="00884183" w:rsidRPr="0065406B">
        <w:rPr>
          <w:rFonts w:cs="Simplified Arabic" w:hint="cs"/>
          <w:sz w:val="28"/>
          <w:szCs w:val="28"/>
          <w:rtl/>
          <w:lang w:bidi="ar-MA"/>
        </w:rPr>
        <w:t xml:space="preserve">عرض المندوبية السامية للتخطيط السلسلة المتكاملة للحسابات غير المالية والمالية للقطاعات المؤسساتية لنفس السنة، وذلك </w:t>
      </w:r>
      <w:r w:rsidR="00973B6F" w:rsidRPr="0065406B">
        <w:rPr>
          <w:rFonts w:cs="Simplified Arabic" w:hint="cs"/>
          <w:sz w:val="28"/>
          <w:szCs w:val="28"/>
          <w:rtl/>
          <w:lang w:bidi="ar-MA"/>
        </w:rPr>
        <w:t>وفق</w:t>
      </w:r>
      <w:r w:rsidR="00884183" w:rsidRPr="0065406B">
        <w:rPr>
          <w:rFonts w:cs="Simplified Arabic" w:hint="cs"/>
          <w:sz w:val="28"/>
          <w:szCs w:val="28"/>
          <w:rtl/>
          <w:lang w:bidi="ar-MA"/>
        </w:rPr>
        <w:t xml:space="preserve"> </w:t>
      </w:r>
      <w:r w:rsidRPr="0065406B">
        <w:rPr>
          <w:rFonts w:cs="Simplified Arabic" w:hint="cs"/>
          <w:sz w:val="28"/>
          <w:szCs w:val="28"/>
          <w:rtl/>
          <w:lang w:bidi="ar-MA"/>
        </w:rPr>
        <w:t>المقاربة القطاعية للاقتصاد الوطني. و تبين الحسابات غير المالية بالنسبة لكل قطاع من القطاعات المؤسساتية كيفية</w:t>
      </w:r>
      <w:r w:rsidR="00F95968" w:rsidRPr="0065406B">
        <w:rPr>
          <w:rFonts w:cs="Simplified Arabic" w:hint="cs"/>
          <w:sz w:val="28"/>
          <w:szCs w:val="28"/>
          <w:rtl/>
          <w:lang w:bidi="ar-MA"/>
        </w:rPr>
        <w:t xml:space="preserve"> خلق</w:t>
      </w:r>
      <w:r w:rsidRPr="0065406B">
        <w:rPr>
          <w:rFonts w:cs="Simplified Arabic" w:hint="cs"/>
          <w:sz w:val="28"/>
          <w:szCs w:val="28"/>
          <w:rtl/>
          <w:lang w:bidi="ar-MA"/>
        </w:rPr>
        <w:t xml:space="preserve"> الدخل من طرف الأنشطة الإنتاجية من السلع والخدمات ليتم توزيعه وإعادة توزيعه على المتعاملين الاقتصاديين</w:t>
      </w:r>
      <w:r w:rsidR="008D0D98" w:rsidRPr="0065406B">
        <w:rPr>
          <w:rFonts w:cs="Simplified Arabic" w:hint="cs"/>
          <w:sz w:val="28"/>
          <w:szCs w:val="28"/>
          <w:rtl/>
          <w:lang w:bidi="ar-MA"/>
        </w:rPr>
        <w:t xml:space="preserve"> ل</w:t>
      </w:r>
      <w:r w:rsidRPr="0065406B">
        <w:rPr>
          <w:rFonts w:cs="Simplified Arabic" w:hint="cs"/>
          <w:sz w:val="28"/>
          <w:szCs w:val="28"/>
          <w:rtl/>
          <w:lang w:bidi="ar-MA"/>
        </w:rPr>
        <w:t>تمكين</w:t>
      </w:r>
      <w:r w:rsidR="008D0D98" w:rsidRPr="0065406B">
        <w:rPr>
          <w:rFonts w:cs="Simplified Arabic" w:hint="cs"/>
          <w:sz w:val="28"/>
          <w:szCs w:val="28"/>
          <w:rtl/>
          <w:lang w:bidi="ar-MA"/>
        </w:rPr>
        <w:t>هم</w:t>
      </w:r>
      <w:r w:rsidRPr="0065406B">
        <w:rPr>
          <w:rFonts w:cs="Simplified Arabic" w:hint="cs"/>
          <w:sz w:val="28"/>
          <w:szCs w:val="28"/>
          <w:rtl/>
          <w:lang w:bidi="ar-MA"/>
        </w:rPr>
        <w:t xml:space="preserve"> من الاستهلاك أو تراكم رأس المال مما يؤدي إلى رصيد نهائي يمثل القدرة أو العجز </w:t>
      </w:r>
      <w:r w:rsidR="00D01E6B" w:rsidRPr="0065406B">
        <w:rPr>
          <w:rFonts w:cs="Simplified Arabic" w:hint="cs"/>
          <w:sz w:val="28"/>
          <w:szCs w:val="28"/>
          <w:rtl/>
          <w:lang w:bidi="ar-MA"/>
        </w:rPr>
        <w:t>في</w:t>
      </w:r>
      <w:r w:rsidRPr="0065406B">
        <w:rPr>
          <w:rFonts w:cs="Simplified Arabic" w:hint="cs"/>
          <w:sz w:val="28"/>
          <w:szCs w:val="28"/>
          <w:rtl/>
          <w:lang w:bidi="ar-MA"/>
        </w:rPr>
        <w:t xml:space="preserve"> التمويل. أما الحسابات المالية، فإنها </w:t>
      </w:r>
      <w:r w:rsidR="001242A7" w:rsidRPr="0065406B">
        <w:rPr>
          <w:rFonts w:cs="Simplified Arabic" w:hint="cs"/>
          <w:sz w:val="28"/>
          <w:szCs w:val="28"/>
          <w:rtl/>
          <w:lang w:bidi="ar-MA"/>
        </w:rPr>
        <w:t>تسجل</w:t>
      </w:r>
      <w:r w:rsidRPr="0065406B">
        <w:rPr>
          <w:rFonts w:cs="Simplified Arabic" w:hint="cs"/>
          <w:sz w:val="28"/>
          <w:szCs w:val="28"/>
          <w:rtl/>
          <w:lang w:bidi="ar-MA"/>
        </w:rPr>
        <w:t xml:space="preserve"> المقابلات النقدية للمعاملات الحقيقية وتظهر كيفية استعمال مختلف القطاعات لفوائضها أو</w:t>
      </w:r>
      <w:r w:rsidR="00BB1890" w:rsidRPr="0065406B">
        <w:rPr>
          <w:rFonts w:cs="Simplified Arabic" w:hint="cs"/>
          <w:sz w:val="28"/>
          <w:szCs w:val="28"/>
          <w:rtl/>
          <w:lang w:bidi="ar-MA"/>
        </w:rPr>
        <w:t xml:space="preserve"> كيفية</w:t>
      </w:r>
      <w:r w:rsidRPr="0065406B">
        <w:rPr>
          <w:rFonts w:cs="Simplified Arabic" w:hint="cs"/>
          <w:sz w:val="28"/>
          <w:szCs w:val="28"/>
          <w:rtl/>
          <w:lang w:bidi="ar-MA"/>
        </w:rPr>
        <w:t xml:space="preserve"> تمويل عجزها. </w:t>
      </w:r>
    </w:p>
    <w:p w:rsidR="00230F4C" w:rsidRPr="00440C8E" w:rsidRDefault="00230F4C" w:rsidP="00F95968">
      <w:pPr>
        <w:bidi/>
        <w:jc w:val="both"/>
        <w:rPr>
          <w:rFonts w:cs="Simplified Arabic"/>
          <w:sz w:val="20"/>
          <w:szCs w:val="20"/>
          <w:lang w:bidi="ar-MA"/>
        </w:rPr>
      </w:pPr>
      <w:r w:rsidRPr="0065406B">
        <w:rPr>
          <w:rFonts w:cs="Simplified Arabic" w:hint="cs"/>
          <w:sz w:val="28"/>
          <w:szCs w:val="28"/>
          <w:rtl/>
          <w:lang w:bidi="ar-MA"/>
        </w:rPr>
        <w:t xml:space="preserve">   </w:t>
      </w:r>
    </w:p>
    <w:p w:rsidR="00200125" w:rsidRPr="0065406B" w:rsidRDefault="00200125" w:rsidP="00EE1EB4">
      <w:pPr>
        <w:bidi/>
        <w:ind w:firstLine="708"/>
        <w:jc w:val="both"/>
        <w:rPr>
          <w:rFonts w:cs="Simplified Arabic"/>
          <w:sz w:val="28"/>
          <w:szCs w:val="28"/>
          <w:rtl/>
          <w:lang w:bidi="ar-MA"/>
        </w:rPr>
      </w:pPr>
      <w:r w:rsidRPr="0065406B">
        <w:rPr>
          <w:rFonts w:cs="Simplified Arabic" w:hint="cs"/>
          <w:sz w:val="28"/>
          <w:szCs w:val="28"/>
          <w:rtl/>
          <w:lang w:bidi="ar-MA"/>
        </w:rPr>
        <w:t>وت</w:t>
      </w:r>
      <w:r w:rsidR="00BB1890" w:rsidRPr="0065406B">
        <w:rPr>
          <w:rFonts w:cs="Simplified Arabic" w:hint="cs"/>
          <w:sz w:val="28"/>
          <w:szCs w:val="28"/>
          <w:rtl/>
          <w:lang w:bidi="ar-MA"/>
        </w:rPr>
        <w:t xml:space="preserve">ظهر </w:t>
      </w:r>
      <w:r w:rsidRPr="0065406B">
        <w:rPr>
          <w:rFonts w:cs="Simplified Arabic" w:hint="cs"/>
          <w:sz w:val="28"/>
          <w:szCs w:val="28"/>
          <w:rtl/>
          <w:lang w:bidi="ar-MA"/>
        </w:rPr>
        <w:t>نتائج هذه الحسابات تحسنا في مساهمة الشركات غير المالية في الناتج الداخلي الإجمالي ال</w:t>
      </w:r>
      <w:r w:rsidR="00BB1890" w:rsidRPr="0065406B">
        <w:rPr>
          <w:rFonts w:cs="Simplified Arabic" w:hint="cs"/>
          <w:sz w:val="28"/>
          <w:szCs w:val="28"/>
          <w:rtl/>
          <w:lang w:bidi="ar-MA"/>
        </w:rPr>
        <w:t>ت</w:t>
      </w:r>
      <w:r w:rsidRPr="0065406B">
        <w:rPr>
          <w:rFonts w:cs="Simplified Arabic" w:hint="cs"/>
          <w:sz w:val="28"/>
          <w:szCs w:val="28"/>
          <w:rtl/>
          <w:lang w:bidi="ar-MA"/>
        </w:rPr>
        <w:t>ي انتقل</w:t>
      </w:r>
      <w:r w:rsidR="00BB1890" w:rsidRPr="0065406B">
        <w:rPr>
          <w:rFonts w:cs="Simplified Arabic" w:hint="cs"/>
          <w:sz w:val="28"/>
          <w:szCs w:val="28"/>
          <w:rtl/>
          <w:lang w:bidi="ar-MA"/>
        </w:rPr>
        <w:t>ت</w:t>
      </w:r>
      <w:r w:rsidRPr="0065406B">
        <w:rPr>
          <w:rFonts w:cs="Simplified Arabic" w:hint="cs"/>
          <w:sz w:val="28"/>
          <w:szCs w:val="28"/>
          <w:rtl/>
          <w:lang w:bidi="ar-MA"/>
        </w:rPr>
        <w:t xml:space="preserve"> من 41,7</w:t>
      </w:r>
      <w:r w:rsidRPr="0065406B">
        <w:rPr>
          <w:rFonts w:cs="Simplified Arabic"/>
          <w:sz w:val="28"/>
          <w:szCs w:val="28"/>
          <w:lang w:bidi="ar-MA"/>
        </w:rPr>
        <w:t>%</w:t>
      </w:r>
      <w:r w:rsidRPr="0065406B">
        <w:rPr>
          <w:rFonts w:cs="Simplified Arabic" w:hint="cs"/>
          <w:sz w:val="28"/>
          <w:szCs w:val="28"/>
          <w:rtl/>
          <w:lang w:bidi="ar-MA"/>
        </w:rPr>
        <w:t xml:space="preserve"> سنة 2010 إلى  42,9</w:t>
      </w:r>
      <w:r w:rsidRPr="0065406B">
        <w:rPr>
          <w:rFonts w:cs="Simplified Arabic"/>
          <w:sz w:val="28"/>
          <w:szCs w:val="28"/>
          <w:lang w:bidi="ar-MA"/>
        </w:rPr>
        <w:t>%</w:t>
      </w:r>
      <w:r w:rsidRPr="0065406B">
        <w:rPr>
          <w:rFonts w:cs="Simplified Arabic" w:hint="cs"/>
          <w:sz w:val="28"/>
          <w:szCs w:val="28"/>
          <w:rtl/>
          <w:lang w:bidi="ar-MA"/>
        </w:rPr>
        <w:t xml:space="preserve"> سنة 2011. أما بالنسبة لمساهمة قطاع الإدارات العمومية، فإنها تزايدت ب</w:t>
      </w:r>
      <w:r w:rsidR="00BB1890" w:rsidRPr="0065406B">
        <w:rPr>
          <w:rFonts w:cs="Simplified Arabic" w:hint="cs"/>
          <w:sz w:val="28"/>
          <w:szCs w:val="28"/>
          <w:rtl/>
          <w:lang w:bidi="ar-MA"/>
        </w:rPr>
        <w:t>نسبة</w:t>
      </w:r>
      <w:r w:rsidRPr="0065406B">
        <w:rPr>
          <w:rFonts w:cs="Simplified Arabic" w:hint="cs"/>
          <w:sz w:val="28"/>
          <w:szCs w:val="28"/>
          <w:rtl/>
          <w:lang w:bidi="ar-MA"/>
        </w:rPr>
        <w:t xml:space="preserve"> 0,9 نقطة سنة 2011 مسجلـة ما يقرب من 15,8</w:t>
      </w:r>
      <w:r w:rsidRPr="0065406B">
        <w:rPr>
          <w:rFonts w:cs="Simplified Arabic"/>
          <w:sz w:val="28"/>
          <w:szCs w:val="28"/>
          <w:lang w:bidi="ar-MA"/>
        </w:rPr>
        <w:t>%</w:t>
      </w:r>
      <w:r w:rsidRPr="0065406B">
        <w:rPr>
          <w:rFonts w:cs="Simplified Arabic" w:hint="cs"/>
          <w:sz w:val="28"/>
          <w:szCs w:val="28"/>
          <w:rtl/>
          <w:lang w:bidi="ar-MA"/>
        </w:rPr>
        <w:t>. وتحسنت مساهم</w:t>
      </w:r>
      <w:r w:rsidR="001242A7" w:rsidRPr="0065406B">
        <w:rPr>
          <w:rFonts w:cs="Simplified Arabic" w:hint="cs"/>
          <w:sz w:val="28"/>
          <w:szCs w:val="28"/>
          <w:rtl/>
          <w:lang w:bidi="ar-MA"/>
        </w:rPr>
        <w:t>ـ</w:t>
      </w:r>
      <w:r w:rsidRPr="0065406B">
        <w:rPr>
          <w:rFonts w:cs="Simplified Arabic" w:hint="cs"/>
          <w:sz w:val="28"/>
          <w:szCs w:val="28"/>
          <w:rtl/>
          <w:lang w:bidi="ar-MA"/>
        </w:rPr>
        <w:t>ة قطاع الأسر ب</w:t>
      </w:r>
      <w:r w:rsidR="00BB1890" w:rsidRPr="0065406B">
        <w:rPr>
          <w:rFonts w:cs="Simplified Arabic" w:hint="cs"/>
          <w:sz w:val="28"/>
          <w:szCs w:val="28"/>
          <w:rtl/>
          <w:lang w:bidi="ar-MA"/>
        </w:rPr>
        <w:t>نسبة</w:t>
      </w:r>
      <w:r w:rsidRPr="0065406B">
        <w:rPr>
          <w:rFonts w:cs="Simplified Arabic" w:hint="cs"/>
          <w:sz w:val="28"/>
          <w:szCs w:val="28"/>
          <w:rtl/>
          <w:lang w:bidi="ar-MA"/>
        </w:rPr>
        <w:t xml:space="preserve"> 0,3</w:t>
      </w:r>
      <w:r w:rsidR="001242A7" w:rsidRPr="0065406B">
        <w:rPr>
          <w:rFonts w:cs="Simplified Arabic"/>
          <w:sz w:val="28"/>
          <w:szCs w:val="28"/>
          <w:lang w:bidi="ar-MA"/>
        </w:rPr>
        <w:t xml:space="preserve"> </w:t>
      </w:r>
      <w:r w:rsidRPr="0065406B">
        <w:rPr>
          <w:rFonts w:cs="Simplified Arabic" w:hint="cs"/>
          <w:sz w:val="28"/>
          <w:szCs w:val="28"/>
          <w:rtl/>
          <w:lang w:bidi="ar-MA"/>
        </w:rPr>
        <w:t>نقطة</w:t>
      </w:r>
      <w:r w:rsidR="001242A7" w:rsidRPr="0065406B">
        <w:rPr>
          <w:rFonts w:cs="Simplified Arabic" w:hint="cs"/>
          <w:sz w:val="28"/>
          <w:szCs w:val="28"/>
          <w:rtl/>
          <w:lang w:bidi="ar-MA"/>
        </w:rPr>
        <w:t xml:space="preserve"> (</w:t>
      </w:r>
      <w:r w:rsidR="001242A7" w:rsidRPr="0065406B">
        <w:rPr>
          <w:rFonts w:cs="Simplified Arabic"/>
          <w:sz w:val="28"/>
          <w:szCs w:val="28"/>
          <w:lang w:bidi="ar-MA"/>
        </w:rPr>
        <w:t>32,9</w:t>
      </w:r>
      <w:r w:rsidR="001242A7" w:rsidRPr="0065406B">
        <w:rPr>
          <w:rFonts w:cs="Simplified Arabic" w:hint="cs"/>
          <w:sz w:val="28"/>
          <w:szCs w:val="28"/>
          <w:rtl/>
          <w:lang w:bidi="ar-MA"/>
        </w:rPr>
        <w:t xml:space="preserve"> </w:t>
      </w:r>
      <w:r w:rsidR="001242A7" w:rsidRPr="0065406B">
        <w:rPr>
          <w:rFonts w:cs="Simplified Arabic"/>
          <w:sz w:val="28"/>
          <w:szCs w:val="28"/>
          <w:lang w:bidi="ar-MA"/>
        </w:rPr>
        <w:t>%</w:t>
      </w:r>
      <w:r w:rsidR="001242A7" w:rsidRPr="0065406B">
        <w:rPr>
          <w:rFonts w:cs="Simplified Arabic" w:hint="cs"/>
          <w:sz w:val="28"/>
          <w:szCs w:val="28"/>
          <w:rtl/>
          <w:lang w:bidi="ar-MA"/>
        </w:rPr>
        <w:t>)</w:t>
      </w:r>
      <w:r w:rsidRPr="0065406B">
        <w:rPr>
          <w:rFonts w:cs="Simplified Arabic" w:hint="cs"/>
          <w:sz w:val="28"/>
          <w:szCs w:val="28"/>
          <w:rtl/>
          <w:lang w:bidi="ar-MA"/>
        </w:rPr>
        <w:t xml:space="preserve"> وقطاع الشركات المالية ب 0,2 نقطة</w:t>
      </w:r>
      <w:r w:rsidR="001242A7" w:rsidRPr="0065406B">
        <w:rPr>
          <w:rFonts w:cs="Simplified Arabic"/>
          <w:sz w:val="28"/>
          <w:szCs w:val="28"/>
          <w:lang w:bidi="ar-MA"/>
        </w:rPr>
        <w:t xml:space="preserve"> </w:t>
      </w:r>
      <w:r w:rsidR="001242A7" w:rsidRPr="0065406B">
        <w:rPr>
          <w:rFonts w:cs="Simplified Arabic" w:hint="cs"/>
          <w:sz w:val="28"/>
          <w:szCs w:val="28"/>
          <w:rtl/>
          <w:lang w:bidi="ar-MA"/>
        </w:rPr>
        <w:t>(</w:t>
      </w:r>
      <w:r w:rsidR="001242A7" w:rsidRPr="0065406B">
        <w:rPr>
          <w:rFonts w:cs="Simplified Arabic"/>
          <w:sz w:val="28"/>
          <w:szCs w:val="28"/>
          <w:lang w:bidi="ar-MA"/>
        </w:rPr>
        <w:t>5,5</w:t>
      </w:r>
      <w:r w:rsidR="001242A7" w:rsidRPr="0065406B">
        <w:rPr>
          <w:rFonts w:cs="Simplified Arabic" w:hint="cs"/>
          <w:sz w:val="28"/>
          <w:szCs w:val="28"/>
          <w:rtl/>
          <w:lang w:bidi="ar-MA"/>
        </w:rPr>
        <w:t xml:space="preserve"> </w:t>
      </w:r>
      <w:r w:rsidR="001242A7" w:rsidRPr="0065406B">
        <w:rPr>
          <w:rFonts w:cs="Simplified Arabic"/>
          <w:sz w:val="28"/>
          <w:szCs w:val="28"/>
          <w:lang w:bidi="ar-MA"/>
        </w:rPr>
        <w:t>%</w:t>
      </w:r>
      <w:r w:rsidR="001242A7" w:rsidRPr="0065406B">
        <w:rPr>
          <w:rFonts w:cs="Simplified Arabic" w:hint="cs"/>
          <w:sz w:val="28"/>
          <w:szCs w:val="28"/>
          <w:rtl/>
          <w:lang w:bidi="ar-MA"/>
        </w:rPr>
        <w:t>)</w:t>
      </w:r>
      <w:r w:rsidRPr="0065406B">
        <w:rPr>
          <w:rFonts w:cs="Simplified Arabic" w:hint="cs"/>
          <w:sz w:val="28"/>
          <w:szCs w:val="28"/>
          <w:rtl/>
          <w:lang w:bidi="ar-MA"/>
        </w:rPr>
        <w:t>.</w:t>
      </w:r>
    </w:p>
    <w:p w:rsidR="00F95968" w:rsidRPr="00440C8E" w:rsidRDefault="00F95968" w:rsidP="00F95968">
      <w:pPr>
        <w:bidi/>
        <w:jc w:val="both"/>
        <w:rPr>
          <w:rFonts w:cs="Simplified Arabic"/>
          <w:sz w:val="20"/>
          <w:szCs w:val="20"/>
          <w:rtl/>
          <w:lang w:bidi="ar-MA"/>
        </w:rPr>
      </w:pPr>
    </w:p>
    <w:p w:rsidR="00200125" w:rsidRPr="0065406B" w:rsidRDefault="00200125" w:rsidP="00EE1EB4">
      <w:pPr>
        <w:bidi/>
        <w:ind w:firstLine="708"/>
        <w:jc w:val="both"/>
        <w:rPr>
          <w:rFonts w:cs="Simplified Arabic"/>
          <w:sz w:val="28"/>
          <w:szCs w:val="28"/>
          <w:rtl/>
          <w:lang w:bidi="ar-MA"/>
        </w:rPr>
      </w:pPr>
      <w:r w:rsidRPr="0065406B">
        <w:rPr>
          <w:rFonts w:cs="Simplified Arabic" w:hint="cs"/>
          <w:sz w:val="28"/>
          <w:szCs w:val="28"/>
          <w:rtl/>
          <w:lang w:bidi="ar-MA"/>
        </w:rPr>
        <w:t>وقد بلغ إجمالي الدخل الوطني المتاح 843,2 مليار درهم سنة 2011 عوض 804,8 ملي</w:t>
      </w:r>
      <w:r w:rsidR="00E02C73" w:rsidRPr="0065406B">
        <w:rPr>
          <w:rFonts w:cs="Simplified Arabic" w:hint="cs"/>
          <w:sz w:val="28"/>
          <w:szCs w:val="28"/>
          <w:rtl/>
          <w:lang w:bidi="ar-MA"/>
        </w:rPr>
        <w:t>ـ</w:t>
      </w:r>
      <w:r w:rsidRPr="0065406B">
        <w:rPr>
          <w:rFonts w:cs="Simplified Arabic" w:hint="cs"/>
          <w:sz w:val="28"/>
          <w:szCs w:val="28"/>
          <w:rtl/>
          <w:lang w:bidi="ar-MA"/>
        </w:rPr>
        <w:t xml:space="preserve">ار درهم سنة 2010 مسجلا ارتفاعا </w:t>
      </w:r>
      <w:r w:rsidR="00BB1890" w:rsidRPr="0065406B">
        <w:rPr>
          <w:rFonts w:cs="Simplified Arabic" w:hint="cs"/>
          <w:sz w:val="28"/>
          <w:szCs w:val="28"/>
          <w:rtl/>
          <w:lang w:bidi="ar-MA"/>
        </w:rPr>
        <w:t>قدره</w:t>
      </w:r>
      <w:r w:rsidRPr="0065406B">
        <w:rPr>
          <w:rFonts w:cs="Simplified Arabic" w:hint="cs"/>
          <w:sz w:val="28"/>
          <w:szCs w:val="28"/>
          <w:rtl/>
          <w:lang w:bidi="ar-MA"/>
        </w:rPr>
        <w:t xml:space="preserve"> 4,8 </w:t>
      </w:r>
      <w:r w:rsidRPr="0065406B">
        <w:rPr>
          <w:rFonts w:cs="Simplified Arabic"/>
          <w:sz w:val="28"/>
          <w:szCs w:val="28"/>
          <w:lang w:bidi="ar-MA"/>
        </w:rPr>
        <w:t>%</w:t>
      </w:r>
      <w:r w:rsidRPr="0065406B">
        <w:rPr>
          <w:rFonts w:cs="Simplified Arabic" w:hint="cs"/>
          <w:sz w:val="28"/>
          <w:szCs w:val="28"/>
          <w:rtl/>
          <w:lang w:bidi="ar-MA"/>
        </w:rPr>
        <w:t>. وتظهر مساهمة القطاع</w:t>
      </w:r>
      <w:r w:rsidR="00E02C73" w:rsidRPr="0065406B">
        <w:rPr>
          <w:rFonts w:cs="Simplified Arabic" w:hint="cs"/>
          <w:sz w:val="28"/>
          <w:szCs w:val="28"/>
          <w:rtl/>
          <w:lang w:bidi="ar-MA"/>
        </w:rPr>
        <w:t>ـ</w:t>
      </w:r>
      <w:r w:rsidRPr="0065406B">
        <w:rPr>
          <w:rFonts w:cs="Simplified Arabic" w:hint="cs"/>
          <w:sz w:val="28"/>
          <w:szCs w:val="28"/>
          <w:rtl/>
          <w:lang w:bidi="ar-MA"/>
        </w:rPr>
        <w:t>ات المؤسساتية في هذا الدخ</w:t>
      </w:r>
      <w:r w:rsidR="00E02C73" w:rsidRPr="0065406B">
        <w:rPr>
          <w:rFonts w:cs="Simplified Arabic" w:hint="cs"/>
          <w:sz w:val="28"/>
          <w:szCs w:val="28"/>
          <w:rtl/>
          <w:lang w:bidi="ar-MA"/>
        </w:rPr>
        <w:t>ـ</w:t>
      </w:r>
      <w:r w:rsidRPr="0065406B">
        <w:rPr>
          <w:rFonts w:cs="Simplified Arabic" w:hint="cs"/>
          <w:sz w:val="28"/>
          <w:szCs w:val="28"/>
          <w:rtl/>
          <w:lang w:bidi="ar-MA"/>
        </w:rPr>
        <w:t>ل هيمنة حص</w:t>
      </w:r>
      <w:r w:rsidR="00E02C73" w:rsidRPr="0065406B">
        <w:rPr>
          <w:rFonts w:cs="Simplified Arabic" w:hint="cs"/>
          <w:sz w:val="28"/>
          <w:szCs w:val="28"/>
          <w:rtl/>
          <w:lang w:bidi="ar-MA"/>
        </w:rPr>
        <w:t>ـ</w:t>
      </w:r>
      <w:r w:rsidRPr="0065406B">
        <w:rPr>
          <w:rFonts w:cs="Simplified Arabic" w:hint="cs"/>
          <w:sz w:val="28"/>
          <w:szCs w:val="28"/>
          <w:rtl/>
          <w:lang w:bidi="ar-MA"/>
        </w:rPr>
        <w:t>ة قطاع الأس</w:t>
      </w:r>
      <w:r w:rsidR="00E02C73" w:rsidRPr="0065406B">
        <w:rPr>
          <w:rFonts w:cs="Simplified Arabic" w:hint="cs"/>
          <w:sz w:val="28"/>
          <w:szCs w:val="28"/>
          <w:rtl/>
          <w:lang w:bidi="ar-MA"/>
        </w:rPr>
        <w:t>ــ</w:t>
      </w:r>
      <w:r w:rsidRPr="0065406B">
        <w:rPr>
          <w:rFonts w:cs="Simplified Arabic" w:hint="cs"/>
          <w:sz w:val="28"/>
          <w:szCs w:val="28"/>
          <w:rtl/>
          <w:lang w:bidi="ar-MA"/>
        </w:rPr>
        <w:t>ر ب 66,1</w:t>
      </w:r>
      <w:r w:rsidRPr="0065406B">
        <w:rPr>
          <w:rFonts w:cs="Simplified Arabic"/>
          <w:sz w:val="28"/>
          <w:szCs w:val="28"/>
          <w:lang w:bidi="ar-MA"/>
        </w:rPr>
        <w:t>%</w:t>
      </w:r>
      <w:r w:rsidRPr="0065406B">
        <w:rPr>
          <w:rFonts w:cs="Simplified Arabic" w:hint="cs"/>
          <w:sz w:val="28"/>
          <w:szCs w:val="28"/>
          <w:rtl/>
          <w:lang w:bidi="ar-MA"/>
        </w:rPr>
        <w:t xml:space="preserve"> متب</w:t>
      </w:r>
      <w:r w:rsidR="00E02C73" w:rsidRPr="0065406B">
        <w:rPr>
          <w:rFonts w:cs="Simplified Arabic" w:hint="cs"/>
          <w:sz w:val="28"/>
          <w:szCs w:val="28"/>
          <w:rtl/>
          <w:lang w:bidi="ar-MA"/>
        </w:rPr>
        <w:t>ـ</w:t>
      </w:r>
      <w:r w:rsidRPr="0065406B">
        <w:rPr>
          <w:rFonts w:cs="Simplified Arabic" w:hint="cs"/>
          <w:sz w:val="28"/>
          <w:szCs w:val="28"/>
          <w:rtl/>
          <w:lang w:bidi="ar-MA"/>
        </w:rPr>
        <w:t>وعا بقط</w:t>
      </w:r>
      <w:r w:rsidR="00E02C73" w:rsidRPr="0065406B">
        <w:rPr>
          <w:rFonts w:cs="Simplified Arabic" w:hint="cs"/>
          <w:sz w:val="28"/>
          <w:szCs w:val="28"/>
          <w:rtl/>
          <w:lang w:bidi="ar-MA"/>
        </w:rPr>
        <w:t>ـ</w:t>
      </w:r>
      <w:r w:rsidRPr="0065406B">
        <w:rPr>
          <w:rFonts w:cs="Simplified Arabic" w:hint="cs"/>
          <w:sz w:val="28"/>
          <w:szCs w:val="28"/>
          <w:rtl/>
          <w:lang w:bidi="ar-MA"/>
        </w:rPr>
        <w:t>اع الإدارات العمومي</w:t>
      </w:r>
      <w:r w:rsidR="00E02C73" w:rsidRPr="0065406B">
        <w:rPr>
          <w:rFonts w:cs="Simplified Arabic" w:hint="cs"/>
          <w:sz w:val="28"/>
          <w:szCs w:val="28"/>
          <w:rtl/>
          <w:lang w:bidi="ar-MA"/>
        </w:rPr>
        <w:t>ـ</w:t>
      </w:r>
      <w:r w:rsidRPr="0065406B">
        <w:rPr>
          <w:rFonts w:cs="Simplified Arabic" w:hint="cs"/>
          <w:sz w:val="28"/>
          <w:szCs w:val="28"/>
          <w:rtl/>
          <w:lang w:bidi="ar-MA"/>
        </w:rPr>
        <w:t xml:space="preserve">ة </w:t>
      </w:r>
      <w:r w:rsidR="00B95DE1" w:rsidRPr="0065406B">
        <w:rPr>
          <w:rFonts w:cs="Simplified Arabic" w:hint="cs"/>
          <w:sz w:val="28"/>
          <w:szCs w:val="28"/>
          <w:rtl/>
          <w:lang w:bidi="ar-MA"/>
        </w:rPr>
        <w:t>ب 19,4</w:t>
      </w:r>
      <w:r w:rsidR="00B95DE1" w:rsidRPr="0065406B">
        <w:rPr>
          <w:rFonts w:cs="Simplified Arabic"/>
          <w:sz w:val="28"/>
          <w:szCs w:val="28"/>
          <w:lang w:bidi="ar-MA"/>
        </w:rPr>
        <w:t>%</w:t>
      </w:r>
      <w:r w:rsidR="00B95DE1" w:rsidRPr="0065406B">
        <w:rPr>
          <w:rFonts w:cs="Simplified Arabic" w:hint="cs"/>
          <w:sz w:val="28"/>
          <w:szCs w:val="28"/>
          <w:rtl/>
          <w:lang w:bidi="ar-MA"/>
        </w:rPr>
        <w:t xml:space="preserve"> </w:t>
      </w:r>
      <w:r w:rsidRPr="0065406B">
        <w:rPr>
          <w:rFonts w:cs="Simplified Arabic" w:hint="cs"/>
          <w:sz w:val="28"/>
          <w:szCs w:val="28"/>
          <w:rtl/>
          <w:lang w:bidi="ar-MA"/>
        </w:rPr>
        <w:t>وكذا الشرك</w:t>
      </w:r>
      <w:r w:rsidR="00E02C73" w:rsidRPr="0065406B">
        <w:rPr>
          <w:rFonts w:cs="Simplified Arabic" w:hint="cs"/>
          <w:sz w:val="28"/>
          <w:szCs w:val="28"/>
          <w:rtl/>
          <w:lang w:bidi="ar-MA"/>
        </w:rPr>
        <w:t>ـ</w:t>
      </w:r>
      <w:r w:rsidRPr="0065406B">
        <w:rPr>
          <w:rFonts w:cs="Simplified Arabic" w:hint="cs"/>
          <w:sz w:val="28"/>
          <w:szCs w:val="28"/>
          <w:rtl/>
          <w:lang w:bidi="ar-MA"/>
        </w:rPr>
        <w:t xml:space="preserve">ات ب14,5 </w:t>
      </w:r>
      <w:r w:rsidRPr="0065406B">
        <w:rPr>
          <w:rFonts w:cs="Simplified Arabic"/>
          <w:sz w:val="28"/>
          <w:szCs w:val="28"/>
          <w:lang w:bidi="ar-MA"/>
        </w:rPr>
        <w:t>%</w:t>
      </w:r>
      <w:r w:rsidRPr="0065406B">
        <w:rPr>
          <w:rFonts w:cs="Simplified Arabic" w:hint="cs"/>
          <w:sz w:val="28"/>
          <w:szCs w:val="28"/>
          <w:rtl/>
          <w:lang w:bidi="ar-MA"/>
        </w:rPr>
        <w:t xml:space="preserve"> </w:t>
      </w:r>
      <w:r w:rsidR="00E02C73" w:rsidRPr="0065406B">
        <w:rPr>
          <w:rFonts w:cs="Simplified Arabic" w:hint="cs"/>
          <w:sz w:val="28"/>
          <w:szCs w:val="28"/>
          <w:rtl/>
          <w:lang w:bidi="ar-MA"/>
        </w:rPr>
        <w:t>(</w:t>
      </w:r>
      <w:r w:rsidRPr="0065406B">
        <w:rPr>
          <w:rFonts w:cs="Simplified Arabic" w:hint="cs"/>
          <w:sz w:val="28"/>
          <w:szCs w:val="28"/>
          <w:rtl/>
          <w:lang w:bidi="ar-MA"/>
        </w:rPr>
        <w:t>الش</w:t>
      </w:r>
      <w:r w:rsidR="00E02C73" w:rsidRPr="0065406B">
        <w:rPr>
          <w:rFonts w:cs="Simplified Arabic" w:hint="cs"/>
          <w:sz w:val="28"/>
          <w:szCs w:val="28"/>
          <w:rtl/>
          <w:lang w:bidi="ar-MA"/>
        </w:rPr>
        <w:t>ـ</w:t>
      </w:r>
      <w:r w:rsidRPr="0065406B">
        <w:rPr>
          <w:rFonts w:cs="Simplified Arabic" w:hint="cs"/>
          <w:sz w:val="28"/>
          <w:szCs w:val="28"/>
          <w:rtl/>
          <w:lang w:bidi="ar-MA"/>
        </w:rPr>
        <w:t>ركات غير المالية بنسبة 12</w:t>
      </w:r>
      <w:r w:rsidRPr="0065406B">
        <w:rPr>
          <w:rFonts w:cs="Simplified Arabic"/>
          <w:sz w:val="28"/>
          <w:szCs w:val="28"/>
          <w:lang w:bidi="ar-MA"/>
        </w:rPr>
        <w:t>%</w:t>
      </w:r>
      <w:r w:rsidRPr="0065406B">
        <w:rPr>
          <w:rFonts w:cs="Simplified Arabic" w:hint="cs"/>
          <w:sz w:val="28"/>
          <w:szCs w:val="28"/>
          <w:rtl/>
          <w:lang w:bidi="ar-MA"/>
        </w:rPr>
        <w:t xml:space="preserve"> والش</w:t>
      </w:r>
      <w:r w:rsidR="00E02C73" w:rsidRPr="0065406B">
        <w:rPr>
          <w:rFonts w:cs="Simplified Arabic" w:hint="cs"/>
          <w:sz w:val="28"/>
          <w:szCs w:val="28"/>
          <w:rtl/>
          <w:lang w:bidi="ar-MA"/>
        </w:rPr>
        <w:t>ـ</w:t>
      </w:r>
      <w:r w:rsidRPr="0065406B">
        <w:rPr>
          <w:rFonts w:cs="Simplified Arabic" w:hint="cs"/>
          <w:sz w:val="28"/>
          <w:szCs w:val="28"/>
          <w:rtl/>
          <w:lang w:bidi="ar-MA"/>
        </w:rPr>
        <w:t>ركات المالية بنسبة 2,5</w:t>
      </w:r>
      <w:r w:rsidRPr="0065406B">
        <w:rPr>
          <w:rFonts w:cs="Simplified Arabic"/>
          <w:sz w:val="28"/>
          <w:szCs w:val="28"/>
          <w:lang w:bidi="ar-MA"/>
        </w:rPr>
        <w:t>%</w:t>
      </w:r>
      <w:r w:rsidR="00E02C73" w:rsidRPr="0065406B">
        <w:rPr>
          <w:rFonts w:cs="Simplified Arabic" w:hint="cs"/>
          <w:sz w:val="28"/>
          <w:szCs w:val="28"/>
          <w:rtl/>
          <w:lang w:bidi="ar-MA"/>
        </w:rPr>
        <w:t xml:space="preserve"> )</w:t>
      </w:r>
      <w:r w:rsidRPr="0065406B">
        <w:rPr>
          <w:rFonts w:cs="Simplified Arabic" w:hint="cs"/>
          <w:sz w:val="28"/>
          <w:szCs w:val="28"/>
          <w:rtl/>
          <w:lang w:bidi="ar-MA"/>
        </w:rPr>
        <w:t>.</w:t>
      </w:r>
    </w:p>
    <w:p w:rsidR="00F95968" w:rsidRPr="00440C8E" w:rsidRDefault="00F95968" w:rsidP="00F95968">
      <w:pPr>
        <w:bidi/>
        <w:jc w:val="both"/>
        <w:rPr>
          <w:rFonts w:cs="Simplified Arabic"/>
          <w:sz w:val="20"/>
          <w:szCs w:val="20"/>
          <w:rtl/>
          <w:lang w:bidi="ar-MA"/>
        </w:rPr>
      </w:pPr>
    </w:p>
    <w:p w:rsidR="00B95DE1" w:rsidRDefault="00200125" w:rsidP="00EE1EB4">
      <w:pPr>
        <w:bidi/>
        <w:ind w:firstLine="708"/>
        <w:jc w:val="both"/>
        <w:rPr>
          <w:rFonts w:cs="Simplified Arabic"/>
          <w:sz w:val="28"/>
          <w:szCs w:val="28"/>
          <w:lang w:bidi="ar-MA"/>
        </w:rPr>
      </w:pPr>
      <w:r w:rsidRPr="0065406B">
        <w:rPr>
          <w:rFonts w:cs="Simplified Arabic" w:hint="cs"/>
          <w:sz w:val="28"/>
          <w:szCs w:val="28"/>
          <w:rtl/>
          <w:lang w:bidi="ar-MA"/>
        </w:rPr>
        <w:t>وبخصوص مكونات الدخل المتاح للأسر، فإن الأجور تمثل العنصر الأول ب</w:t>
      </w:r>
      <w:r w:rsidR="00F95968" w:rsidRPr="0065406B">
        <w:rPr>
          <w:rFonts w:cs="Simplified Arabic" w:hint="cs"/>
          <w:sz w:val="28"/>
          <w:szCs w:val="28"/>
          <w:rtl/>
          <w:lang w:bidi="ar-MA"/>
        </w:rPr>
        <w:t xml:space="preserve">نسبة </w:t>
      </w:r>
      <w:r w:rsidRPr="0065406B">
        <w:rPr>
          <w:rFonts w:cs="Simplified Arabic" w:hint="cs"/>
          <w:sz w:val="28"/>
          <w:szCs w:val="28"/>
          <w:rtl/>
          <w:lang w:bidi="ar-MA"/>
        </w:rPr>
        <w:t>46,2</w:t>
      </w:r>
      <w:r w:rsidRPr="0065406B">
        <w:rPr>
          <w:rFonts w:cs="Simplified Arabic"/>
          <w:sz w:val="28"/>
          <w:szCs w:val="28"/>
          <w:lang w:bidi="ar-MA"/>
        </w:rPr>
        <w:t>%</w:t>
      </w:r>
      <w:r w:rsidRPr="0065406B">
        <w:rPr>
          <w:rFonts w:cs="Simplified Arabic" w:hint="cs"/>
          <w:sz w:val="28"/>
          <w:szCs w:val="28"/>
          <w:rtl/>
          <w:lang w:bidi="ar-MA"/>
        </w:rPr>
        <w:t xml:space="preserve"> متبوعة بإجمالي فائض الاستغلال والدخل المختلط ب</w:t>
      </w:r>
      <w:r w:rsidR="00D914DD" w:rsidRPr="0065406B">
        <w:rPr>
          <w:rFonts w:cs="Simplified Arabic" w:hint="cs"/>
          <w:sz w:val="28"/>
          <w:szCs w:val="28"/>
          <w:rtl/>
          <w:lang w:bidi="ar-MA"/>
        </w:rPr>
        <w:t>نسبة</w:t>
      </w:r>
      <w:r w:rsidRPr="0065406B">
        <w:rPr>
          <w:rFonts w:cs="Simplified Arabic" w:hint="cs"/>
          <w:sz w:val="28"/>
          <w:szCs w:val="28"/>
          <w:rtl/>
          <w:lang w:bidi="ar-MA"/>
        </w:rPr>
        <w:t xml:space="preserve"> 44,8</w:t>
      </w:r>
      <w:r w:rsidRPr="0065406B">
        <w:rPr>
          <w:rFonts w:cs="Simplified Arabic"/>
          <w:sz w:val="28"/>
          <w:szCs w:val="28"/>
          <w:lang w:bidi="ar-MA"/>
        </w:rPr>
        <w:t>%</w:t>
      </w:r>
      <w:r w:rsidRPr="0065406B">
        <w:rPr>
          <w:rFonts w:cs="Simplified Arabic" w:hint="cs"/>
          <w:sz w:val="28"/>
          <w:szCs w:val="28"/>
          <w:rtl/>
          <w:lang w:bidi="ar-MA"/>
        </w:rPr>
        <w:t xml:space="preserve">. أما دخول الملكية والتعويضات </w:t>
      </w:r>
      <w:r w:rsidRPr="0065406B">
        <w:rPr>
          <w:rFonts w:cs="Simplified Arabic" w:hint="cs"/>
          <w:sz w:val="28"/>
          <w:szCs w:val="28"/>
          <w:rtl/>
          <w:lang w:bidi="ar-MA"/>
        </w:rPr>
        <w:lastRenderedPageBreak/>
        <w:t xml:space="preserve">الاجتماعية وباقي التحويلات فقد بلغت مساهمتها 24 </w:t>
      </w:r>
      <w:r w:rsidRPr="0065406B">
        <w:rPr>
          <w:rFonts w:cs="Simplified Arabic"/>
          <w:sz w:val="28"/>
          <w:szCs w:val="28"/>
          <w:lang w:bidi="ar-MA"/>
        </w:rPr>
        <w:t>%</w:t>
      </w:r>
      <w:r w:rsidRPr="0065406B">
        <w:rPr>
          <w:rFonts w:cs="Simplified Arabic" w:hint="cs"/>
          <w:sz w:val="28"/>
          <w:szCs w:val="28"/>
          <w:rtl/>
          <w:lang w:bidi="ar-MA"/>
        </w:rPr>
        <w:t>. وفيما يخص الضرائب على الدخل والمساهمات الاجتماعية، فإن</w:t>
      </w:r>
      <w:r w:rsidR="00973B6F" w:rsidRPr="0065406B">
        <w:rPr>
          <w:rFonts w:cs="Simplified Arabic" w:hint="cs"/>
          <w:sz w:val="28"/>
          <w:szCs w:val="28"/>
          <w:rtl/>
          <w:lang w:bidi="ar-MA"/>
        </w:rPr>
        <w:t>ها ساهمت سلبا في هذا الدخل</w:t>
      </w:r>
      <w:r w:rsidRPr="0065406B">
        <w:rPr>
          <w:rFonts w:cs="Simplified Arabic" w:hint="cs"/>
          <w:sz w:val="28"/>
          <w:szCs w:val="28"/>
          <w:rtl/>
          <w:lang w:bidi="ar-MA"/>
        </w:rPr>
        <w:t xml:space="preserve"> </w:t>
      </w:r>
      <w:r w:rsidR="00973B6F" w:rsidRPr="0065406B">
        <w:rPr>
          <w:rFonts w:cs="Simplified Arabic" w:hint="cs"/>
          <w:sz w:val="28"/>
          <w:szCs w:val="28"/>
          <w:rtl/>
          <w:lang w:bidi="ar-MA"/>
        </w:rPr>
        <w:t>ب</w:t>
      </w:r>
      <w:r w:rsidRPr="0065406B">
        <w:rPr>
          <w:rFonts w:cs="Simplified Arabic" w:hint="cs"/>
          <w:sz w:val="28"/>
          <w:szCs w:val="28"/>
          <w:rtl/>
          <w:lang w:bidi="ar-MA"/>
        </w:rPr>
        <w:t>حوالي 15</w:t>
      </w:r>
      <w:r w:rsidRPr="0065406B">
        <w:rPr>
          <w:rFonts w:cs="Simplified Arabic"/>
          <w:sz w:val="28"/>
          <w:szCs w:val="28"/>
          <w:lang w:bidi="ar-MA"/>
        </w:rPr>
        <w:t>%</w:t>
      </w:r>
      <w:r w:rsidRPr="0065406B">
        <w:rPr>
          <w:rFonts w:cs="Simplified Arabic" w:hint="cs"/>
          <w:sz w:val="28"/>
          <w:szCs w:val="28"/>
          <w:rtl/>
          <w:lang w:bidi="ar-MA"/>
        </w:rPr>
        <w:t>.</w:t>
      </w:r>
    </w:p>
    <w:p w:rsidR="001D623E" w:rsidRPr="00440C8E" w:rsidRDefault="001D623E" w:rsidP="00440C8E">
      <w:pPr>
        <w:bidi/>
        <w:jc w:val="both"/>
        <w:rPr>
          <w:rFonts w:cs="Simplified Arabic"/>
          <w:sz w:val="20"/>
          <w:szCs w:val="20"/>
          <w:rtl/>
          <w:lang w:bidi="ar-MA"/>
        </w:rPr>
      </w:pPr>
    </w:p>
    <w:p w:rsidR="00200125" w:rsidRDefault="00B95DE1" w:rsidP="00F95968">
      <w:pPr>
        <w:bidi/>
        <w:jc w:val="both"/>
        <w:rPr>
          <w:rFonts w:cs="Simplified Arabic"/>
          <w:sz w:val="28"/>
          <w:szCs w:val="28"/>
          <w:rtl/>
          <w:lang w:bidi="ar-MA"/>
        </w:rPr>
      </w:pPr>
      <w:r w:rsidRPr="0065406B">
        <w:rPr>
          <w:rFonts w:cs="Simplified Arabic" w:hint="cs"/>
          <w:sz w:val="28"/>
          <w:szCs w:val="28"/>
          <w:rtl/>
          <w:lang w:bidi="ar-MA"/>
        </w:rPr>
        <w:t xml:space="preserve"> </w:t>
      </w:r>
      <w:r w:rsidR="00EE1EB4">
        <w:rPr>
          <w:rFonts w:cs="Simplified Arabic" w:hint="cs"/>
          <w:sz w:val="28"/>
          <w:szCs w:val="28"/>
          <w:rtl/>
          <w:lang w:bidi="ar-MA"/>
        </w:rPr>
        <w:tab/>
      </w:r>
      <w:r w:rsidR="00200125" w:rsidRPr="0065406B">
        <w:rPr>
          <w:rFonts w:cs="Simplified Arabic" w:hint="cs"/>
          <w:sz w:val="28"/>
          <w:szCs w:val="28"/>
          <w:rtl/>
          <w:lang w:bidi="ar-MA"/>
        </w:rPr>
        <w:t xml:space="preserve">وحقق الدخل المتـاح للأسر حسب الفرد ارتفاعا بنسبة 5,5 </w:t>
      </w:r>
      <w:r w:rsidR="00200125" w:rsidRPr="0065406B">
        <w:rPr>
          <w:rFonts w:cs="Simplified Arabic"/>
          <w:sz w:val="28"/>
          <w:szCs w:val="28"/>
          <w:lang w:bidi="ar-MA"/>
        </w:rPr>
        <w:t>%</w:t>
      </w:r>
      <w:r w:rsidR="00200125" w:rsidRPr="0065406B">
        <w:rPr>
          <w:rFonts w:cs="Simplified Arabic" w:hint="cs"/>
          <w:sz w:val="28"/>
          <w:szCs w:val="28"/>
          <w:rtl/>
          <w:lang w:bidi="ar-MA"/>
        </w:rPr>
        <w:t xml:space="preserve"> سنة 2011 مقابل 3,1 </w:t>
      </w:r>
      <w:r w:rsidR="00200125" w:rsidRPr="0065406B">
        <w:rPr>
          <w:rFonts w:cs="Simplified Arabic"/>
          <w:sz w:val="28"/>
          <w:szCs w:val="28"/>
          <w:lang w:bidi="ar-MA"/>
        </w:rPr>
        <w:t>%</w:t>
      </w:r>
      <w:r w:rsidR="00200125" w:rsidRPr="0065406B">
        <w:rPr>
          <w:rFonts w:cs="Simplified Arabic" w:hint="cs"/>
          <w:sz w:val="28"/>
          <w:szCs w:val="28"/>
          <w:rtl/>
          <w:lang w:bidi="ar-MA"/>
        </w:rPr>
        <w:t xml:space="preserve"> سنة 2010. </w:t>
      </w:r>
      <w:r w:rsidR="00973B6F" w:rsidRPr="0065406B">
        <w:rPr>
          <w:rFonts w:cs="Simplified Arabic" w:hint="cs"/>
          <w:sz w:val="28"/>
          <w:szCs w:val="28"/>
          <w:rtl/>
          <w:lang w:bidi="ar-MA"/>
        </w:rPr>
        <w:t>وحافظت</w:t>
      </w:r>
      <w:r w:rsidR="00200125" w:rsidRPr="0065406B">
        <w:rPr>
          <w:rFonts w:cs="Simplified Arabic" w:hint="cs"/>
          <w:sz w:val="28"/>
          <w:szCs w:val="28"/>
          <w:rtl/>
          <w:lang w:bidi="ar-MA"/>
        </w:rPr>
        <w:t xml:space="preserve"> الأسعار عند الاستهلاك</w:t>
      </w:r>
      <w:r w:rsidR="00973B6F" w:rsidRPr="0065406B">
        <w:rPr>
          <w:rFonts w:cs="Simplified Arabic" w:hint="cs"/>
          <w:sz w:val="28"/>
          <w:szCs w:val="28"/>
          <w:rtl/>
          <w:lang w:bidi="ar-MA"/>
        </w:rPr>
        <w:t xml:space="preserve"> على</w:t>
      </w:r>
      <w:r w:rsidR="00200125" w:rsidRPr="0065406B">
        <w:rPr>
          <w:rFonts w:cs="Simplified Arabic" w:hint="cs"/>
          <w:sz w:val="28"/>
          <w:szCs w:val="28"/>
          <w:rtl/>
          <w:lang w:bidi="ar-MA"/>
        </w:rPr>
        <w:t xml:space="preserve"> نفس الارتفاع خلال سنتي 2011 و2010 </w:t>
      </w:r>
      <w:r w:rsidR="00973B6F" w:rsidRPr="0065406B">
        <w:rPr>
          <w:rFonts w:cs="Simplified Arabic" w:hint="cs"/>
          <w:sz w:val="28"/>
          <w:szCs w:val="28"/>
          <w:rtl/>
          <w:lang w:bidi="ar-MA"/>
        </w:rPr>
        <w:t xml:space="preserve">حيث </w:t>
      </w:r>
      <w:r w:rsidR="00200125" w:rsidRPr="0065406B">
        <w:rPr>
          <w:rFonts w:cs="Simplified Arabic" w:hint="cs"/>
          <w:sz w:val="28"/>
          <w:szCs w:val="28"/>
          <w:rtl/>
          <w:lang w:bidi="ar-MA"/>
        </w:rPr>
        <w:t>بلغ 0,9</w:t>
      </w:r>
      <w:r w:rsidR="00200125" w:rsidRPr="0065406B">
        <w:rPr>
          <w:rFonts w:cs="Simplified Arabic"/>
          <w:sz w:val="28"/>
          <w:szCs w:val="28"/>
          <w:lang w:bidi="ar-MA"/>
        </w:rPr>
        <w:t>%</w:t>
      </w:r>
      <w:r w:rsidR="00200125" w:rsidRPr="0065406B">
        <w:rPr>
          <w:rFonts w:cs="Simplified Arabic" w:hint="cs"/>
          <w:sz w:val="28"/>
          <w:szCs w:val="28"/>
          <w:rtl/>
          <w:lang w:bidi="ar-MA"/>
        </w:rPr>
        <w:t>.</w:t>
      </w:r>
      <w:r w:rsidRPr="0065406B">
        <w:rPr>
          <w:rFonts w:cs="Simplified Arabic" w:hint="cs"/>
          <w:sz w:val="28"/>
          <w:szCs w:val="28"/>
          <w:rtl/>
          <w:lang w:bidi="ar-MA"/>
        </w:rPr>
        <w:t xml:space="preserve"> </w:t>
      </w:r>
      <w:r w:rsidR="00973B6F" w:rsidRPr="0065406B">
        <w:rPr>
          <w:rFonts w:cs="Simplified Arabic" w:hint="cs"/>
          <w:sz w:val="28"/>
          <w:szCs w:val="28"/>
          <w:rtl/>
          <w:lang w:bidi="ar-MA"/>
        </w:rPr>
        <w:t>كما</w:t>
      </w:r>
      <w:r w:rsidR="00F95968" w:rsidRPr="0065406B">
        <w:rPr>
          <w:rFonts w:cs="Simplified Arabic" w:hint="cs"/>
          <w:sz w:val="28"/>
          <w:szCs w:val="28"/>
          <w:rtl/>
          <w:lang w:bidi="ar-MA"/>
        </w:rPr>
        <w:t xml:space="preserve"> تحسنت القدرة الشرائية للأسر</w:t>
      </w:r>
      <w:r w:rsidR="00973B6F" w:rsidRPr="0065406B">
        <w:rPr>
          <w:rFonts w:cs="Simplified Arabic" w:hint="cs"/>
          <w:sz w:val="28"/>
          <w:szCs w:val="28"/>
          <w:rtl/>
          <w:lang w:bidi="ar-MA"/>
        </w:rPr>
        <w:t>،</w:t>
      </w:r>
      <w:r w:rsidR="00F95968" w:rsidRPr="0065406B">
        <w:rPr>
          <w:rFonts w:cs="Simplified Arabic" w:hint="cs"/>
          <w:sz w:val="28"/>
          <w:szCs w:val="28"/>
          <w:rtl/>
          <w:lang w:bidi="ar-MA"/>
        </w:rPr>
        <w:t xml:space="preserve"> </w:t>
      </w:r>
      <w:r w:rsidR="00200125" w:rsidRPr="0065406B">
        <w:rPr>
          <w:rFonts w:cs="Simplified Arabic" w:hint="cs"/>
          <w:sz w:val="28"/>
          <w:szCs w:val="28"/>
          <w:rtl/>
          <w:lang w:bidi="ar-MA"/>
        </w:rPr>
        <w:t>التي تمثل الفرق بين التغير في الدخل المتاح للأسر حسب الفرد والتغير في الأسعار عند الاستهلاك</w:t>
      </w:r>
      <w:r w:rsidR="00973B6F" w:rsidRPr="0065406B">
        <w:rPr>
          <w:rFonts w:cs="Simplified Arabic" w:hint="cs"/>
          <w:sz w:val="28"/>
          <w:szCs w:val="28"/>
          <w:rtl/>
          <w:lang w:bidi="ar-MA"/>
        </w:rPr>
        <w:t>،</w:t>
      </w:r>
      <w:r w:rsidR="00200125" w:rsidRPr="0065406B">
        <w:rPr>
          <w:rFonts w:cs="Simplified Arabic" w:hint="cs"/>
          <w:sz w:val="28"/>
          <w:szCs w:val="28"/>
          <w:rtl/>
          <w:lang w:bidi="ar-MA"/>
        </w:rPr>
        <w:t xml:space="preserve"> ب</w:t>
      </w:r>
      <w:r w:rsidR="00F95968" w:rsidRPr="0065406B">
        <w:rPr>
          <w:rFonts w:cs="Simplified Arabic" w:hint="cs"/>
          <w:sz w:val="28"/>
          <w:szCs w:val="28"/>
          <w:rtl/>
          <w:lang w:bidi="ar-MA"/>
        </w:rPr>
        <w:t>نسبة</w:t>
      </w:r>
      <w:r w:rsidR="00200125" w:rsidRPr="0065406B">
        <w:rPr>
          <w:rFonts w:cs="Simplified Arabic" w:hint="cs"/>
          <w:sz w:val="28"/>
          <w:szCs w:val="28"/>
          <w:rtl/>
          <w:lang w:bidi="ar-MA"/>
        </w:rPr>
        <w:t xml:space="preserve"> 4,6</w:t>
      </w:r>
      <w:r w:rsidR="00200125" w:rsidRPr="0065406B">
        <w:rPr>
          <w:rFonts w:cs="Simplified Arabic"/>
          <w:sz w:val="28"/>
          <w:szCs w:val="28"/>
          <w:lang w:bidi="ar-MA"/>
        </w:rPr>
        <w:t>%</w:t>
      </w:r>
      <w:r w:rsidR="00200125" w:rsidRPr="0065406B">
        <w:rPr>
          <w:rFonts w:cs="Simplified Arabic" w:hint="cs"/>
          <w:sz w:val="28"/>
          <w:szCs w:val="28"/>
          <w:rtl/>
          <w:lang w:bidi="ar-MA"/>
        </w:rPr>
        <w:t xml:space="preserve"> سنة 2011 مقابل 2,2 </w:t>
      </w:r>
      <w:r w:rsidR="00200125" w:rsidRPr="0065406B">
        <w:rPr>
          <w:rFonts w:cs="Simplified Arabic"/>
          <w:sz w:val="28"/>
          <w:szCs w:val="28"/>
          <w:lang w:bidi="ar-MA"/>
        </w:rPr>
        <w:t>%</w:t>
      </w:r>
      <w:r w:rsidR="00200125" w:rsidRPr="0065406B">
        <w:rPr>
          <w:rFonts w:cs="Simplified Arabic" w:hint="cs"/>
          <w:sz w:val="28"/>
          <w:szCs w:val="28"/>
          <w:rtl/>
          <w:lang w:bidi="ar-MA"/>
        </w:rPr>
        <w:t xml:space="preserve"> سنة 2010.</w:t>
      </w:r>
    </w:p>
    <w:p w:rsidR="0065406B" w:rsidRPr="00440C8E" w:rsidRDefault="0065406B" w:rsidP="0065406B">
      <w:pPr>
        <w:bidi/>
        <w:jc w:val="both"/>
        <w:rPr>
          <w:rFonts w:cs="Simplified Arabic"/>
          <w:sz w:val="20"/>
          <w:szCs w:val="20"/>
          <w:rtl/>
          <w:lang w:bidi="ar-MA"/>
        </w:rPr>
      </w:pPr>
    </w:p>
    <w:p w:rsidR="00200125" w:rsidRPr="0065406B" w:rsidRDefault="00200125" w:rsidP="00EE1EB4">
      <w:pPr>
        <w:bidi/>
        <w:ind w:firstLine="708"/>
        <w:jc w:val="both"/>
        <w:rPr>
          <w:rFonts w:cs="Simplified Arabic"/>
          <w:sz w:val="28"/>
          <w:szCs w:val="28"/>
          <w:rtl/>
          <w:lang w:bidi="ar-MA"/>
        </w:rPr>
      </w:pPr>
      <w:r w:rsidRPr="0065406B">
        <w:rPr>
          <w:rFonts w:cs="Simplified Arabic" w:hint="cs"/>
          <w:sz w:val="28"/>
          <w:szCs w:val="28"/>
          <w:rtl/>
          <w:lang w:bidi="ar-MA"/>
        </w:rPr>
        <w:t xml:space="preserve">فيما يخص </w:t>
      </w:r>
      <w:r w:rsidR="002E274A" w:rsidRPr="0065406B">
        <w:rPr>
          <w:rFonts w:cs="Simplified Arabic" w:hint="cs"/>
          <w:sz w:val="28"/>
          <w:szCs w:val="28"/>
          <w:rtl/>
          <w:lang w:bidi="ar-MA"/>
        </w:rPr>
        <w:t>استعمال</w:t>
      </w:r>
      <w:r w:rsidRPr="0065406B">
        <w:rPr>
          <w:rFonts w:cs="Simplified Arabic" w:hint="cs"/>
          <w:sz w:val="28"/>
          <w:szCs w:val="28"/>
          <w:rtl/>
          <w:lang w:bidi="ar-MA"/>
        </w:rPr>
        <w:t xml:space="preserve"> هـذا الدخل، يتبين ارتفـاع في نفقـات الاستهـلاك النهـائي للأسر ب</w:t>
      </w:r>
      <w:r w:rsidR="00F95968" w:rsidRPr="0065406B">
        <w:rPr>
          <w:rFonts w:cs="Simplified Arabic" w:hint="cs"/>
          <w:sz w:val="28"/>
          <w:szCs w:val="28"/>
          <w:rtl/>
          <w:lang w:bidi="ar-MA"/>
        </w:rPr>
        <w:t>نسبة 8,1</w:t>
      </w:r>
      <w:r w:rsidRPr="0065406B">
        <w:rPr>
          <w:rFonts w:cs="Simplified Arabic"/>
          <w:sz w:val="28"/>
          <w:szCs w:val="28"/>
          <w:lang w:bidi="ar-MA"/>
        </w:rPr>
        <w:t>%</w:t>
      </w:r>
      <w:r w:rsidRPr="0065406B">
        <w:rPr>
          <w:rFonts w:cs="Simplified Arabic" w:hint="cs"/>
          <w:sz w:val="28"/>
          <w:szCs w:val="28"/>
          <w:rtl/>
          <w:lang w:bidi="ar-MA"/>
        </w:rPr>
        <w:t xml:space="preserve"> منتقلة من 437 مليار درهم سنة 2010 إلى 473 مليار درهم سنة 2011</w:t>
      </w:r>
      <w:r w:rsidR="002E274A" w:rsidRPr="0065406B">
        <w:rPr>
          <w:rFonts w:cs="Simplified Arabic" w:hint="cs"/>
          <w:sz w:val="28"/>
          <w:szCs w:val="28"/>
          <w:rtl/>
          <w:lang w:bidi="ar-MA"/>
        </w:rPr>
        <w:t>.</w:t>
      </w:r>
      <w:r w:rsidRPr="0065406B">
        <w:rPr>
          <w:rFonts w:cs="Simplified Arabic" w:hint="cs"/>
          <w:sz w:val="28"/>
          <w:szCs w:val="28"/>
          <w:rtl/>
          <w:lang w:bidi="ar-MA"/>
        </w:rPr>
        <w:t xml:space="preserve"> </w:t>
      </w:r>
      <w:r w:rsidR="002E274A" w:rsidRPr="0065406B">
        <w:rPr>
          <w:rFonts w:cs="Simplified Arabic" w:hint="cs"/>
          <w:sz w:val="28"/>
          <w:szCs w:val="28"/>
          <w:rtl/>
          <w:lang w:bidi="ar-MA"/>
        </w:rPr>
        <w:t>وفقد</w:t>
      </w:r>
      <w:r w:rsidRPr="0065406B">
        <w:rPr>
          <w:rFonts w:cs="Simplified Arabic" w:hint="cs"/>
          <w:sz w:val="28"/>
          <w:szCs w:val="28"/>
          <w:rtl/>
          <w:lang w:bidi="ar-MA"/>
        </w:rPr>
        <w:t xml:space="preserve"> معدل الادخار للأسر 0,8 نقطة</w:t>
      </w:r>
      <w:r w:rsidR="00583302">
        <w:rPr>
          <w:rFonts w:cs="Simplified Arabic" w:hint="cs"/>
          <w:sz w:val="28"/>
          <w:szCs w:val="28"/>
          <w:rtl/>
          <w:lang w:bidi="ar-MA"/>
        </w:rPr>
        <w:t xml:space="preserve">  ليصل</w:t>
      </w:r>
      <w:r w:rsidR="00F95968" w:rsidRPr="0065406B">
        <w:rPr>
          <w:rFonts w:cs="Simplified Arabic" w:hint="cs"/>
          <w:sz w:val="28"/>
          <w:szCs w:val="28"/>
          <w:rtl/>
          <w:lang w:bidi="ar-MA"/>
        </w:rPr>
        <w:t xml:space="preserve"> </w:t>
      </w:r>
      <w:r w:rsidRPr="0065406B">
        <w:rPr>
          <w:rFonts w:cs="Simplified Arabic" w:hint="cs"/>
          <w:sz w:val="28"/>
          <w:szCs w:val="28"/>
          <w:rtl/>
          <w:lang w:bidi="ar-MA"/>
        </w:rPr>
        <w:t>15,7</w:t>
      </w:r>
      <w:r w:rsidR="00583302" w:rsidRPr="0065406B">
        <w:rPr>
          <w:rFonts w:cs="Simplified Arabic"/>
          <w:sz w:val="28"/>
          <w:szCs w:val="28"/>
          <w:lang w:bidi="ar-MA"/>
        </w:rPr>
        <w:t>%</w:t>
      </w:r>
      <w:r w:rsidR="00583302">
        <w:rPr>
          <w:rFonts w:cs="Simplified Arabic" w:hint="cs"/>
          <w:sz w:val="28"/>
          <w:szCs w:val="28"/>
          <w:rtl/>
          <w:lang w:bidi="ar-MA"/>
        </w:rPr>
        <w:t xml:space="preserve">  </w:t>
      </w:r>
      <w:r w:rsidR="00107470" w:rsidRPr="0065406B">
        <w:rPr>
          <w:rFonts w:cs="Simplified Arabic" w:hint="cs"/>
          <w:sz w:val="28"/>
          <w:szCs w:val="28"/>
          <w:rtl/>
          <w:lang w:bidi="ar-MA"/>
        </w:rPr>
        <w:t xml:space="preserve">سنة </w:t>
      </w:r>
      <w:r w:rsidRPr="0065406B">
        <w:rPr>
          <w:rFonts w:cs="Simplified Arabic" w:hint="cs"/>
          <w:sz w:val="28"/>
          <w:szCs w:val="28"/>
          <w:rtl/>
          <w:lang w:bidi="ar-MA"/>
        </w:rPr>
        <w:t>2011 عوض 16,5</w:t>
      </w:r>
      <w:r w:rsidRPr="0065406B">
        <w:rPr>
          <w:rFonts w:cs="Simplified Arabic"/>
          <w:sz w:val="28"/>
          <w:szCs w:val="28"/>
          <w:lang w:bidi="ar-MA"/>
        </w:rPr>
        <w:t>%</w:t>
      </w:r>
      <w:r w:rsidRPr="0065406B">
        <w:rPr>
          <w:rFonts w:cs="Simplified Arabic" w:hint="cs"/>
          <w:sz w:val="28"/>
          <w:szCs w:val="28"/>
          <w:rtl/>
          <w:lang w:bidi="ar-MA"/>
        </w:rPr>
        <w:t xml:space="preserve"> سنة 2010.</w:t>
      </w:r>
    </w:p>
    <w:p w:rsidR="00F95968" w:rsidRPr="00440C8E" w:rsidRDefault="00F95968" w:rsidP="00F95968">
      <w:pPr>
        <w:bidi/>
        <w:jc w:val="both"/>
        <w:rPr>
          <w:rFonts w:cs="Simplified Arabic"/>
          <w:sz w:val="20"/>
          <w:szCs w:val="20"/>
          <w:rtl/>
          <w:lang w:bidi="ar-MA"/>
        </w:rPr>
      </w:pPr>
    </w:p>
    <w:p w:rsidR="00200125" w:rsidRPr="0065406B" w:rsidRDefault="00200125" w:rsidP="00EE1EB4">
      <w:pPr>
        <w:bidi/>
        <w:ind w:firstLine="708"/>
        <w:jc w:val="both"/>
        <w:rPr>
          <w:rFonts w:cs="Simplified Arabic"/>
          <w:sz w:val="28"/>
          <w:szCs w:val="28"/>
          <w:rtl/>
          <w:lang w:bidi="ar-MA"/>
        </w:rPr>
      </w:pPr>
      <w:r w:rsidRPr="0065406B">
        <w:rPr>
          <w:rFonts w:cs="Simplified Arabic" w:hint="cs"/>
          <w:sz w:val="28"/>
          <w:szCs w:val="28"/>
          <w:rtl/>
          <w:lang w:bidi="ar-MA"/>
        </w:rPr>
        <w:t>فيما يتعلق بتوزيع تكوين رأس المال الثابت حسب القطاعات المؤسساتية،</w:t>
      </w:r>
      <w:r w:rsidR="00F95968" w:rsidRPr="0065406B">
        <w:rPr>
          <w:rFonts w:cs="Simplified Arabic" w:hint="cs"/>
          <w:sz w:val="28"/>
          <w:szCs w:val="28"/>
          <w:rtl/>
          <w:lang w:bidi="ar-MA"/>
        </w:rPr>
        <w:t xml:space="preserve"> ساهمت الشركات غير المالية ب 56</w:t>
      </w:r>
      <w:r w:rsidRPr="0065406B">
        <w:rPr>
          <w:rFonts w:cs="Simplified Arabic"/>
          <w:sz w:val="28"/>
          <w:szCs w:val="28"/>
          <w:lang w:bidi="ar-MA"/>
        </w:rPr>
        <w:t>%</w:t>
      </w:r>
      <w:r w:rsidRPr="0065406B">
        <w:rPr>
          <w:rFonts w:cs="Simplified Arabic" w:hint="cs"/>
          <w:sz w:val="28"/>
          <w:szCs w:val="28"/>
          <w:rtl/>
          <w:lang w:bidi="ar-MA"/>
        </w:rPr>
        <w:t xml:space="preserve"> والأسر ب 31</w:t>
      </w:r>
      <w:r w:rsidRPr="0065406B">
        <w:rPr>
          <w:rFonts w:cs="Simplified Arabic"/>
          <w:sz w:val="28"/>
          <w:szCs w:val="28"/>
          <w:lang w:bidi="ar-MA"/>
        </w:rPr>
        <w:t>%</w:t>
      </w:r>
      <w:r w:rsidRPr="0065406B">
        <w:rPr>
          <w:rFonts w:cs="Simplified Arabic" w:hint="cs"/>
          <w:sz w:val="28"/>
          <w:szCs w:val="28"/>
          <w:rtl/>
          <w:lang w:bidi="ar-MA"/>
        </w:rPr>
        <w:t xml:space="preserve">  والإدارات العمومية ب 11 </w:t>
      </w:r>
      <w:r w:rsidRPr="0065406B">
        <w:rPr>
          <w:rFonts w:cs="Simplified Arabic"/>
          <w:sz w:val="28"/>
          <w:szCs w:val="28"/>
          <w:lang w:bidi="ar-MA"/>
        </w:rPr>
        <w:t>%</w:t>
      </w:r>
      <w:r w:rsidRPr="0065406B">
        <w:rPr>
          <w:rFonts w:cs="Simplified Arabic" w:hint="cs"/>
          <w:sz w:val="28"/>
          <w:szCs w:val="28"/>
          <w:rtl/>
          <w:lang w:bidi="ar-MA"/>
        </w:rPr>
        <w:t xml:space="preserve"> و</w:t>
      </w:r>
      <w:r w:rsidR="00E02C73" w:rsidRPr="0065406B">
        <w:rPr>
          <w:rFonts w:cs="Simplified Arabic" w:hint="cs"/>
          <w:sz w:val="28"/>
          <w:szCs w:val="28"/>
          <w:rtl/>
          <w:lang w:bidi="ar-MA"/>
        </w:rPr>
        <w:t xml:space="preserve">أخيرا </w:t>
      </w:r>
      <w:r w:rsidR="00F95968" w:rsidRPr="0065406B">
        <w:rPr>
          <w:rFonts w:cs="Simplified Arabic" w:hint="cs"/>
          <w:sz w:val="28"/>
          <w:szCs w:val="28"/>
          <w:rtl/>
          <w:lang w:bidi="ar-MA"/>
        </w:rPr>
        <w:t>الشركات المالية ب 1</w:t>
      </w:r>
      <w:r w:rsidRPr="0065406B">
        <w:rPr>
          <w:rFonts w:cs="Simplified Arabic"/>
          <w:sz w:val="28"/>
          <w:szCs w:val="28"/>
          <w:lang w:bidi="ar-MA"/>
        </w:rPr>
        <w:t>%</w:t>
      </w:r>
      <w:r w:rsidRPr="0065406B">
        <w:rPr>
          <w:rFonts w:cs="Simplified Arabic" w:hint="cs"/>
          <w:sz w:val="28"/>
          <w:szCs w:val="28"/>
          <w:rtl/>
          <w:lang w:bidi="ar-MA"/>
        </w:rPr>
        <w:t>.</w:t>
      </w:r>
    </w:p>
    <w:p w:rsidR="00F95968" w:rsidRPr="00440C8E" w:rsidRDefault="00F95968" w:rsidP="00F95968">
      <w:pPr>
        <w:bidi/>
        <w:jc w:val="both"/>
        <w:rPr>
          <w:rFonts w:cs="Simplified Arabic"/>
          <w:sz w:val="20"/>
          <w:szCs w:val="20"/>
          <w:rtl/>
          <w:lang w:bidi="ar-MA"/>
        </w:rPr>
      </w:pPr>
    </w:p>
    <w:p w:rsidR="006B4C68" w:rsidRPr="0065406B" w:rsidRDefault="007208DC" w:rsidP="00EE1EB4">
      <w:pPr>
        <w:bidi/>
        <w:ind w:firstLine="708"/>
        <w:jc w:val="both"/>
        <w:rPr>
          <w:rFonts w:cs="Simplified Arabic"/>
          <w:sz w:val="28"/>
          <w:szCs w:val="28"/>
          <w:rtl/>
          <w:lang w:bidi="ar-MA"/>
        </w:rPr>
      </w:pPr>
      <w:r w:rsidRPr="0065406B">
        <w:rPr>
          <w:rFonts w:cs="Simplified Arabic" w:hint="cs"/>
          <w:sz w:val="28"/>
          <w:szCs w:val="28"/>
          <w:rtl/>
          <w:lang w:bidi="ar-MA"/>
        </w:rPr>
        <w:t>و</w:t>
      </w:r>
      <w:r w:rsidR="00200125" w:rsidRPr="0065406B">
        <w:rPr>
          <w:rFonts w:cs="Simplified Arabic" w:hint="cs"/>
          <w:sz w:val="28"/>
          <w:szCs w:val="28"/>
          <w:rtl/>
          <w:lang w:bidi="ar-MA"/>
        </w:rPr>
        <w:t xml:space="preserve">أظهر </w:t>
      </w:r>
      <w:r w:rsidR="00C66C39" w:rsidRPr="0065406B">
        <w:rPr>
          <w:rFonts w:cs="Simplified Arabic" w:hint="cs"/>
          <w:sz w:val="28"/>
          <w:szCs w:val="28"/>
          <w:rtl/>
          <w:lang w:bidi="ar-MA"/>
        </w:rPr>
        <w:t>ال</w:t>
      </w:r>
      <w:r w:rsidR="00200125" w:rsidRPr="0065406B">
        <w:rPr>
          <w:rFonts w:cs="Simplified Arabic" w:hint="cs"/>
          <w:sz w:val="28"/>
          <w:szCs w:val="28"/>
          <w:rtl/>
          <w:lang w:bidi="ar-MA"/>
        </w:rPr>
        <w:t xml:space="preserve">رصيد </w:t>
      </w:r>
      <w:r w:rsidR="00C66C39" w:rsidRPr="0065406B">
        <w:rPr>
          <w:rFonts w:cs="Simplified Arabic" w:hint="cs"/>
          <w:sz w:val="28"/>
          <w:szCs w:val="28"/>
          <w:rtl/>
          <w:lang w:bidi="ar-MA"/>
        </w:rPr>
        <w:t>الجاري ل</w:t>
      </w:r>
      <w:r w:rsidR="00200125" w:rsidRPr="0065406B">
        <w:rPr>
          <w:rFonts w:cs="Simplified Arabic" w:hint="cs"/>
          <w:sz w:val="28"/>
          <w:szCs w:val="28"/>
          <w:rtl/>
          <w:lang w:bidi="ar-MA"/>
        </w:rPr>
        <w:t xml:space="preserve">لمعاملات الاقتصادية مع الخارج </w:t>
      </w:r>
      <w:r w:rsidR="00183FEB" w:rsidRPr="0065406B">
        <w:rPr>
          <w:rFonts w:cs="Simplified Arabic" w:hint="cs"/>
          <w:sz w:val="28"/>
          <w:szCs w:val="28"/>
          <w:rtl/>
          <w:lang w:bidi="ar-MA"/>
        </w:rPr>
        <w:t>ل</w:t>
      </w:r>
      <w:r w:rsidR="00200125" w:rsidRPr="0065406B">
        <w:rPr>
          <w:rFonts w:cs="Simplified Arabic" w:hint="cs"/>
          <w:sz w:val="28"/>
          <w:szCs w:val="28"/>
          <w:rtl/>
          <w:lang w:bidi="ar-MA"/>
        </w:rPr>
        <w:t>سنة 2011 عجزا في تمويل الاقتصاد الوطني فاق 64 مليار درهم عوض 34 مليار درهم سنة 2010.</w:t>
      </w:r>
      <w:r w:rsidRPr="0065406B">
        <w:rPr>
          <w:rFonts w:cs="Simplified Arabic" w:hint="cs"/>
          <w:sz w:val="28"/>
          <w:szCs w:val="28"/>
          <w:rtl/>
          <w:lang w:bidi="ar-MA"/>
        </w:rPr>
        <w:t xml:space="preserve"> وهكذا، فإن</w:t>
      </w:r>
      <w:r w:rsidR="00200125" w:rsidRPr="0065406B">
        <w:rPr>
          <w:rFonts w:cs="Simplified Arabic" w:hint="cs"/>
          <w:sz w:val="28"/>
          <w:szCs w:val="28"/>
          <w:rtl/>
          <w:lang w:bidi="ar-MA"/>
        </w:rPr>
        <w:t xml:space="preserve"> </w:t>
      </w:r>
      <w:r w:rsidR="00BE2B97" w:rsidRPr="0065406B">
        <w:rPr>
          <w:rFonts w:cs="Simplified Arabic" w:hint="cs"/>
          <w:sz w:val="28"/>
          <w:szCs w:val="28"/>
          <w:rtl/>
          <w:lang w:bidi="ar-MA"/>
        </w:rPr>
        <w:t xml:space="preserve">القطاعات المؤسساتية التي </w:t>
      </w:r>
      <w:r w:rsidR="00183FEB" w:rsidRPr="0065406B">
        <w:rPr>
          <w:rFonts w:cs="Simplified Arabic" w:hint="cs"/>
          <w:sz w:val="28"/>
          <w:szCs w:val="28"/>
          <w:rtl/>
          <w:lang w:bidi="ar-MA"/>
        </w:rPr>
        <w:t>سجلت</w:t>
      </w:r>
      <w:r w:rsidR="00200125" w:rsidRPr="0065406B">
        <w:rPr>
          <w:rFonts w:cs="Simplified Arabic" w:hint="cs"/>
          <w:sz w:val="28"/>
          <w:szCs w:val="28"/>
          <w:rtl/>
          <w:lang w:bidi="ar-MA"/>
        </w:rPr>
        <w:t xml:space="preserve"> عجز</w:t>
      </w:r>
      <w:r w:rsidR="00183FEB" w:rsidRPr="0065406B">
        <w:rPr>
          <w:rFonts w:cs="Simplified Arabic" w:hint="cs"/>
          <w:sz w:val="28"/>
          <w:szCs w:val="28"/>
          <w:rtl/>
          <w:lang w:bidi="ar-MA"/>
        </w:rPr>
        <w:t>ا</w:t>
      </w:r>
      <w:r w:rsidR="00200125" w:rsidRPr="0065406B">
        <w:rPr>
          <w:rFonts w:cs="Simplified Arabic" w:hint="cs"/>
          <w:sz w:val="28"/>
          <w:szCs w:val="28"/>
          <w:rtl/>
          <w:lang w:bidi="ar-MA"/>
        </w:rPr>
        <w:t xml:space="preserve"> في التمويل </w:t>
      </w:r>
      <w:r w:rsidR="00BE2B97" w:rsidRPr="0065406B">
        <w:rPr>
          <w:rFonts w:cs="Simplified Arabic" w:hint="cs"/>
          <w:sz w:val="28"/>
          <w:szCs w:val="28"/>
          <w:rtl/>
          <w:lang w:bidi="ar-MA"/>
        </w:rPr>
        <w:t>هي ا</w:t>
      </w:r>
      <w:r w:rsidR="00200125" w:rsidRPr="0065406B">
        <w:rPr>
          <w:rFonts w:cs="Simplified Arabic" w:hint="cs"/>
          <w:sz w:val="28"/>
          <w:szCs w:val="28"/>
          <w:rtl/>
          <w:lang w:bidi="ar-MA"/>
        </w:rPr>
        <w:t>لشركات غير المالي</w:t>
      </w:r>
      <w:r w:rsidR="00987673" w:rsidRPr="0065406B">
        <w:rPr>
          <w:rFonts w:cs="Simplified Arabic" w:hint="cs"/>
          <w:sz w:val="28"/>
          <w:szCs w:val="28"/>
          <w:rtl/>
          <w:lang w:bidi="ar-MA"/>
        </w:rPr>
        <w:t>ـ</w:t>
      </w:r>
      <w:r w:rsidR="00200125" w:rsidRPr="0065406B">
        <w:rPr>
          <w:rFonts w:cs="Simplified Arabic" w:hint="cs"/>
          <w:sz w:val="28"/>
          <w:szCs w:val="28"/>
          <w:rtl/>
          <w:lang w:bidi="ar-MA"/>
        </w:rPr>
        <w:t>ة</w:t>
      </w:r>
      <w:r w:rsidR="00BE2B97" w:rsidRPr="0065406B">
        <w:rPr>
          <w:rFonts w:cs="Simplified Arabic" w:hint="cs"/>
          <w:sz w:val="28"/>
          <w:szCs w:val="28"/>
          <w:rtl/>
          <w:lang w:bidi="ar-MA"/>
        </w:rPr>
        <w:t xml:space="preserve"> </w:t>
      </w:r>
      <w:r w:rsidR="00183FEB" w:rsidRPr="0065406B">
        <w:rPr>
          <w:rFonts w:cs="Simplified Arabic" w:hint="cs"/>
          <w:sz w:val="28"/>
          <w:szCs w:val="28"/>
          <w:rtl/>
          <w:lang w:bidi="ar-MA"/>
        </w:rPr>
        <w:t>(</w:t>
      </w:r>
      <w:r w:rsidR="006B4C68" w:rsidRPr="0065406B">
        <w:rPr>
          <w:rFonts w:cs="Simplified Arabic" w:hint="cs"/>
          <w:sz w:val="28"/>
          <w:szCs w:val="28"/>
          <w:rtl/>
          <w:lang w:bidi="ar-MA"/>
        </w:rPr>
        <w:t>61,7 مليار درهم</w:t>
      </w:r>
      <w:r w:rsidR="00183FEB" w:rsidRPr="0065406B">
        <w:rPr>
          <w:rFonts w:cs="Simplified Arabic" w:hint="cs"/>
          <w:sz w:val="28"/>
          <w:szCs w:val="28"/>
          <w:rtl/>
          <w:lang w:bidi="ar-MA"/>
        </w:rPr>
        <w:t>)</w:t>
      </w:r>
      <w:r w:rsidR="00200125" w:rsidRPr="0065406B">
        <w:rPr>
          <w:rFonts w:cs="Simplified Arabic" w:hint="cs"/>
          <w:sz w:val="28"/>
          <w:szCs w:val="28"/>
          <w:rtl/>
          <w:lang w:bidi="ar-MA"/>
        </w:rPr>
        <w:t xml:space="preserve"> والإدارات العمومي</w:t>
      </w:r>
      <w:r w:rsidR="003711D3" w:rsidRPr="0065406B">
        <w:rPr>
          <w:rFonts w:cs="Simplified Arabic" w:hint="cs"/>
          <w:sz w:val="28"/>
          <w:szCs w:val="28"/>
          <w:rtl/>
          <w:lang w:bidi="ar-MA"/>
        </w:rPr>
        <w:t>ـ</w:t>
      </w:r>
      <w:r w:rsidR="00200125" w:rsidRPr="0065406B">
        <w:rPr>
          <w:rFonts w:cs="Simplified Arabic" w:hint="cs"/>
          <w:sz w:val="28"/>
          <w:szCs w:val="28"/>
          <w:rtl/>
          <w:lang w:bidi="ar-MA"/>
        </w:rPr>
        <w:t xml:space="preserve">ة </w:t>
      </w:r>
      <w:r w:rsidR="00183FEB" w:rsidRPr="0065406B">
        <w:rPr>
          <w:rFonts w:cs="Simplified Arabic" w:hint="cs"/>
          <w:sz w:val="28"/>
          <w:szCs w:val="28"/>
          <w:rtl/>
          <w:lang w:bidi="ar-MA"/>
        </w:rPr>
        <w:t>(</w:t>
      </w:r>
      <w:r w:rsidR="006B4C68" w:rsidRPr="0065406B">
        <w:rPr>
          <w:rFonts w:cs="Simplified Arabic" w:hint="cs"/>
          <w:sz w:val="28"/>
          <w:szCs w:val="28"/>
          <w:rtl/>
          <w:lang w:bidi="ar-MA"/>
        </w:rPr>
        <w:t>20 مليار درهم</w:t>
      </w:r>
      <w:r w:rsidR="00183FEB" w:rsidRPr="0065406B">
        <w:rPr>
          <w:rFonts w:cs="Simplified Arabic" w:hint="cs"/>
          <w:sz w:val="28"/>
          <w:szCs w:val="28"/>
          <w:rtl/>
          <w:lang w:bidi="ar-MA"/>
        </w:rPr>
        <w:t>)</w:t>
      </w:r>
      <w:r w:rsidR="00200125" w:rsidRPr="0065406B">
        <w:rPr>
          <w:rFonts w:cs="Simplified Arabic" w:hint="cs"/>
          <w:sz w:val="28"/>
          <w:szCs w:val="28"/>
          <w:rtl/>
          <w:lang w:bidi="ar-MA"/>
        </w:rPr>
        <w:t xml:space="preserve">. </w:t>
      </w:r>
      <w:r w:rsidR="00BE2B97" w:rsidRPr="0065406B">
        <w:rPr>
          <w:rFonts w:cs="Simplified Arabic" w:hint="cs"/>
          <w:sz w:val="28"/>
          <w:szCs w:val="28"/>
          <w:rtl/>
          <w:lang w:bidi="ar-MA"/>
        </w:rPr>
        <w:t>بالمقابل، حققت الشركات المالية قدرة على التمويل بلغت</w:t>
      </w:r>
      <w:r w:rsidR="00200125" w:rsidRPr="0065406B">
        <w:rPr>
          <w:rFonts w:cs="Simplified Arabic" w:hint="cs"/>
          <w:sz w:val="28"/>
          <w:szCs w:val="28"/>
          <w:rtl/>
          <w:lang w:bidi="ar-MA"/>
        </w:rPr>
        <w:t xml:space="preserve"> 15,5 مليار درهم </w:t>
      </w:r>
      <w:r w:rsidR="00BE2B97" w:rsidRPr="0065406B">
        <w:rPr>
          <w:rFonts w:cs="Simplified Arabic" w:hint="cs"/>
          <w:sz w:val="28"/>
          <w:szCs w:val="28"/>
          <w:rtl/>
          <w:lang w:bidi="ar-MA"/>
        </w:rPr>
        <w:t>والأسر</w:t>
      </w:r>
      <w:r w:rsidR="00200125" w:rsidRPr="0065406B">
        <w:rPr>
          <w:rFonts w:cs="Simplified Arabic" w:hint="cs"/>
          <w:sz w:val="28"/>
          <w:szCs w:val="28"/>
          <w:rtl/>
          <w:lang w:bidi="ar-MA"/>
        </w:rPr>
        <w:t xml:space="preserve"> 4,5 مليار درهم. </w:t>
      </w:r>
    </w:p>
    <w:p w:rsidR="00200125" w:rsidRPr="00440C8E" w:rsidRDefault="00200125" w:rsidP="006B4C68">
      <w:pPr>
        <w:bidi/>
        <w:jc w:val="both"/>
        <w:rPr>
          <w:rFonts w:cs="Simplified Arabic"/>
          <w:sz w:val="20"/>
          <w:szCs w:val="20"/>
          <w:rtl/>
          <w:lang w:bidi="ar-MA"/>
        </w:rPr>
      </w:pPr>
      <w:r w:rsidRPr="00440C8E">
        <w:rPr>
          <w:rFonts w:cs="Simplified Arabic" w:hint="cs"/>
          <w:sz w:val="20"/>
          <w:szCs w:val="20"/>
          <w:rtl/>
          <w:lang w:bidi="ar-MA"/>
        </w:rPr>
        <w:t xml:space="preserve">    </w:t>
      </w:r>
    </w:p>
    <w:p w:rsidR="00200125" w:rsidRDefault="00200125" w:rsidP="00EE1EB4">
      <w:pPr>
        <w:bidi/>
        <w:ind w:firstLine="708"/>
        <w:jc w:val="both"/>
        <w:rPr>
          <w:rFonts w:cs="Simplified Arabic"/>
          <w:sz w:val="28"/>
          <w:szCs w:val="28"/>
          <w:rtl/>
          <w:lang w:bidi="ar-MA"/>
        </w:rPr>
      </w:pPr>
      <w:r w:rsidRPr="0065406B">
        <w:rPr>
          <w:rFonts w:cs="Simplified Arabic" w:hint="cs"/>
          <w:sz w:val="28"/>
          <w:szCs w:val="28"/>
          <w:rtl/>
          <w:lang w:bidi="ar-MA"/>
        </w:rPr>
        <w:t>و</w:t>
      </w:r>
      <w:r w:rsidR="00230DD0" w:rsidRPr="0065406B">
        <w:rPr>
          <w:rFonts w:cs="Simplified Arabic" w:hint="cs"/>
          <w:sz w:val="28"/>
          <w:szCs w:val="28"/>
          <w:rtl/>
          <w:lang w:bidi="ar-MA"/>
        </w:rPr>
        <w:t xml:space="preserve">حسب </w:t>
      </w:r>
      <w:r w:rsidRPr="0065406B">
        <w:rPr>
          <w:rFonts w:cs="Simplified Arabic" w:hint="cs"/>
          <w:sz w:val="28"/>
          <w:szCs w:val="28"/>
          <w:rtl/>
          <w:lang w:bidi="ar-MA"/>
        </w:rPr>
        <w:t xml:space="preserve">نتائج الحسابات </w:t>
      </w:r>
      <w:r w:rsidR="00506C85" w:rsidRPr="0065406B">
        <w:rPr>
          <w:rFonts w:cs="Simplified Arabic" w:hint="cs"/>
          <w:sz w:val="28"/>
          <w:szCs w:val="28"/>
          <w:rtl/>
          <w:lang w:bidi="ar-MA"/>
        </w:rPr>
        <w:t>المالية</w:t>
      </w:r>
      <w:r w:rsidR="007208DC" w:rsidRPr="0065406B">
        <w:rPr>
          <w:rFonts w:cs="Simplified Arabic" w:hint="cs"/>
          <w:sz w:val="28"/>
          <w:szCs w:val="28"/>
          <w:rtl/>
          <w:lang w:bidi="ar-MA"/>
        </w:rPr>
        <w:t>،</w:t>
      </w:r>
      <w:r w:rsidR="00506C85" w:rsidRPr="0065406B">
        <w:rPr>
          <w:rFonts w:cs="Simplified Arabic" w:hint="cs"/>
          <w:sz w:val="28"/>
          <w:szCs w:val="28"/>
          <w:rtl/>
          <w:lang w:bidi="ar-MA"/>
        </w:rPr>
        <w:t xml:space="preserve"> </w:t>
      </w:r>
      <w:r w:rsidR="007208DC" w:rsidRPr="0065406B">
        <w:rPr>
          <w:rFonts w:cs="Simplified Arabic" w:hint="cs"/>
          <w:sz w:val="28"/>
          <w:szCs w:val="28"/>
          <w:rtl/>
          <w:lang w:bidi="ar-MA"/>
        </w:rPr>
        <w:t>فقد</w:t>
      </w:r>
      <w:r w:rsidR="00506C85" w:rsidRPr="0065406B">
        <w:rPr>
          <w:rFonts w:cs="Simplified Arabic" w:hint="cs"/>
          <w:sz w:val="28"/>
          <w:szCs w:val="28"/>
          <w:rtl/>
          <w:lang w:bidi="ar-MA"/>
        </w:rPr>
        <w:t xml:space="preserve"> </w:t>
      </w:r>
      <w:r w:rsidRPr="0065406B">
        <w:rPr>
          <w:rFonts w:cs="Simplified Arabic" w:hint="cs"/>
          <w:sz w:val="28"/>
          <w:szCs w:val="28"/>
          <w:rtl/>
          <w:lang w:bidi="ar-MA"/>
        </w:rPr>
        <w:t>تم التخفيف من عجز الإدارات العمومية عن طريق اللجوء إلى سوق سندات الدين القابلة للتداول. وهكذا، قامت الخزينة العمومية بالرفع من إصداراتها من</w:t>
      </w:r>
      <w:r w:rsidR="008C34C5" w:rsidRPr="008C34C5">
        <w:rPr>
          <w:rFonts w:cs="Simplified Arabic" w:hint="cs"/>
          <w:sz w:val="28"/>
          <w:szCs w:val="28"/>
          <w:rtl/>
          <w:lang w:bidi="ar-MA"/>
        </w:rPr>
        <w:t xml:space="preserve"> </w:t>
      </w:r>
      <w:r w:rsidR="008C34C5" w:rsidRPr="0065406B">
        <w:rPr>
          <w:rFonts w:cs="Simplified Arabic" w:hint="cs"/>
          <w:sz w:val="28"/>
          <w:szCs w:val="28"/>
          <w:rtl/>
          <w:lang w:bidi="ar-MA"/>
        </w:rPr>
        <w:t xml:space="preserve">سندات </w:t>
      </w:r>
      <w:r w:rsidRPr="0065406B">
        <w:rPr>
          <w:rFonts w:cs="Simplified Arabic" w:hint="cs"/>
          <w:sz w:val="28"/>
          <w:szCs w:val="28"/>
          <w:rtl/>
          <w:lang w:bidi="ar-MA"/>
        </w:rPr>
        <w:t xml:space="preserve">الخزينة حيث </w:t>
      </w:r>
      <w:r w:rsidR="006B4C68" w:rsidRPr="0065406B">
        <w:rPr>
          <w:rFonts w:cs="Simplified Arabic" w:hint="cs"/>
          <w:sz w:val="28"/>
          <w:szCs w:val="28"/>
          <w:rtl/>
          <w:lang w:bidi="ar-MA"/>
        </w:rPr>
        <w:t xml:space="preserve">سجل </w:t>
      </w:r>
      <w:r w:rsidRPr="0065406B">
        <w:rPr>
          <w:rFonts w:cs="Simplified Arabic" w:hint="cs"/>
          <w:sz w:val="28"/>
          <w:szCs w:val="28"/>
          <w:rtl/>
          <w:lang w:bidi="ar-MA"/>
        </w:rPr>
        <w:t>التدفق الصافي مستوى قياسي سنة 2011 بلغ 40 مليار درهم عوض 19 مليار درهم سنة 2010.</w:t>
      </w:r>
    </w:p>
    <w:p w:rsidR="0065406B" w:rsidRPr="00440C8E" w:rsidRDefault="0065406B" w:rsidP="0065406B">
      <w:pPr>
        <w:bidi/>
        <w:jc w:val="both"/>
        <w:rPr>
          <w:rFonts w:cs="Simplified Arabic"/>
          <w:sz w:val="20"/>
          <w:szCs w:val="20"/>
          <w:rtl/>
          <w:lang w:bidi="ar-MA"/>
        </w:rPr>
      </w:pPr>
    </w:p>
    <w:p w:rsidR="00200125" w:rsidRDefault="00200125" w:rsidP="00EE1EB4">
      <w:pPr>
        <w:bidi/>
        <w:ind w:firstLine="708"/>
        <w:jc w:val="both"/>
        <w:rPr>
          <w:rFonts w:cs="Simplified Arabic"/>
          <w:sz w:val="28"/>
          <w:szCs w:val="28"/>
          <w:rtl/>
          <w:lang w:bidi="ar-MA"/>
        </w:rPr>
      </w:pPr>
      <w:r w:rsidRPr="0065406B">
        <w:rPr>
          <w:rFonts w:cs="Simplified Arabic" w:hint="cs"/>
          <w:sz w:val="28"/>
          <w:szCs w:val="28"/>
          <w:rtl/>
          <w:lang w:bidi="ar-MA"/>
        </w:rPr>
        <w:t xml:space="preserve">وبالنسبة للعجز في التمويل للشركات غير المالية، وبعد تسجيل تحسن نسبي سنة 2010 (منتقلا من 71 مليار درهم سنة 2009 إلى 54 مليار درهم سنة 2010)، فإنه تفاقم سنة 2011 ليبلغ 61 مليار درهم. هذا العجز في التمويل </w:t>
      </w:r>
      <w:r w:rsidR="007208DC" w:rsidRPr="0065406B">
        <w:rPr>
          <w:rFonts w:cs="Simplified Arabic" w:hint="cs"/>
          <w:sz w:val="28"/>
          <w:szCs w:val="28"/>
          <w:rtl/>
          <w:lang w:bidi="ar-MA"/>
        </w:rPr>
        <w:t>تمت</w:t>
      </w:r>
      <w:r w:rsidRPr="0065406B">
        <w:rPr>
          <w:rFonts w:cs="Simplified Arabic" w:hint="cs"/>
          <w:sz w:val="28"/>
          <w:szCs w:val="28"/>
          <w:rtl/>
          <w:lang w:bidi="ar-MA"/>
        </w:rPr>
        <w:t xml:space="preserve"> تغطيته بواسطة القروض البنكية التي سجلت تدفقا قيمته 50 مليار درهم وإصدار الأسهم الذي تزايد ليصل 48 مليار درهم.</w:t>
      </w:r>
    </w:p>
    <w:p w:rsidR="0065406B" w:rsidRPr="0065406B" w:rsidRDefault="0065406B" w:rsidP="0065406B">
      <w:pPr>
        <w:bidi/>
        <w:jc w:val="both"/>
        <w:rPr>
          <w:rFonts w:cs="Simplified Arabic"/>
          <w:sz w:val="28"/>
          <w:szCs w:val="28"/>
          <w:rtl/>
          <w:lang w:bidi="ar-MA"/>
        </w:rPr>
      </w:pPr>
    </w:p>
    <w:p w:rsidR="00200125" w:rsidRDefault="00200125" w:rsidP="009337F5">
      <w:pPr>
        <w:bidi/>
        <w:ind w:firstLine="708"/>
        <w:jc w:val="both"/>
        <w:rPr>
          <w:rFonts w:cs="Simplified Arabic"/>
          <w:sz w:val="28"/>
          <w:szCs w:val="28"/>
          <w:rtl/>
          <w:lang w:bidi="ar-MA"/>
        </w:rPr>
      </w:pPr>
      <w:r w:rsidRPr="0065406B">
        <w:rPr>
          <w:rFonts w:cs="Simplified Arabic" w:hint="cs"/>
          <w:sz w:val="28"/>
          <w:szCs w:val="28"/>
          <w:rtl/>
          <w:lang w:bidi="ar-MA"/>
        </w:rPr>
        <w:t>وبالنسبة للأسر فقد استمرت في الاقتراض بو</w:t>
      </w:r>
      <w:r w:rsidR="006B4C68" w:rsidRPr="0065406B">
        <w:rPr>
          <w:rFonts w:cs="Simplified Arabic" w:hint="cs"/>
          <w:sz w:val="28"/>
          <w:szCs w:val="28"/>
          <w:rtl/>
          <w:lang w:bidi="ar-MA"/>
        </w:rPr>
        <w:t>ث</w:t>
      </w:r>
      <w:r w:rsidRPr="0065406B">
        <w:rPr>
          <w:rFonts w:cs="Simplified Arabic" w:hint="cs"/>
          <w:sz w:val="28"/>
          <w:szCs w:val="28"/>
          <w:rtl/>
          <w:lang w:bidi="ar-MA"/>
        </w:rPr>
        <w:t xml:space="preserve">يرة سريعة على شكل ديون بنكية. وهكذا انتقل صافي تدفق الديون من 19 مليار درهم سنة 2009 إلى 29 مليار درهم سنة 2011. </w:t>
      </w:r>
      <w:r w:rsidR="00A91007" w:rsidRPr="0065406B">
        <w:rPr>
          <w:rFonts w:cs="Simplified Arabic" w:hint="cs"/>
          <w:sz w:val="28"/>
          <w:szCs w:val="28"/>
          <w:rtl/>
          <w:lang w:bidi="ar-MA"/>
        </w:rPr>
        <w:t>و</w:t>
      </w:r>
      <w:r w:rsidRPr="0065406B">
        <w:rPr>
          <w:rFonts w:cs="Simplified Arabic" w:hint="cs"/>
          <w:sz w:val="28"/>
          <w:szCs w:val="28"/>
          <w:rtl/>
          <w:lang w:bidi="ar-MA"/>
        </w:rPr>
        <w:t>عرفت تدفقات الودائع ارتفاعا كبيرا حيث انتقلت من 23,6 مليار درهم سنة 2009 إلى 42,6 مليار درهم سنة 2011.</w:t>
      </w:r>
    </w:p>
    <w:p w:rsidR="0065406B" w:rsidRPr="00440C8E" w:rsidRDefault="0065406B" w:rsidP="0065406B">
      <w:pPr>
        <w:bidi/>
        <w:jc w:val="both"/>
        <w:rPr>
          <w:rFonts w:cs="Simplified Arabic"/>
          <w:sz w:val="20"/>
          <w:szCs w:val="20"/>
          <w:rtl/>
          <w:lang w:bidi="ar-MA"/>
        </w:rPr>
      </w:pPr>
    </w:p>
    <w:p w:rsidR="00200125" w:rsidRPr="0065406B" w:rsidRDefault="00200125" w:rsidP="00A91007">
      <w:pPr>
        <w:bidi/>
        <w:jc w:val="both"/>
        <w:rPr>
          <w:rFonts w:cs="Simplified Arabic"/>
          <w:sz w:val="28"/>
          <w:szCs w:val="28"/>
          <w:lang w:bidi="ar-MA"/>
        </w:rPr>
      </w:pPr>
      <w:r w:rsidRPr="0065406B">
        <w:rPr>
          <w:rFonts w:cs="Simplified Arabic" w:hint="cs"/>
          <w:sz w:val="28"/>
          <w:szCs w:val="28"/>
          <w:rtl/>
          <w:lang w:bidi="ar-MA"/>
        </w:rPr>
        <w:t xml:space="preserve">من جهتها، </w:t>
      </w:r>
      <w:r w:rsidR="00A91007" w:rsidRPr="0065406B">
        <w:rPr>
          <w:rFonts w:cs="Simplified Arabic" w:hint="cs"/>
          <w:sz w:val="28"/>
          <w:szCs w:val="28"/>
          <w:rtl/>
          <w:lang w:bidi="ar-MA"/>
        </w:rPr>
        <w:t>واصلت</w:t>
      </w:r>
      <w:r w:rsidRPr="0065406B">
        <w:rPr>
          <w:rFonts w:cs="Simplified Arabic" w:hint="cs"/>
          <w:sz w:val="28"/>
          <w:szCs w:val="28"/>
          <w:rtl/>
          <w:lang w:bidi="ar-MA"/>
        </w:rPr>
        <w:t xml:space="preserve"> الشركات المالية </w:t>
      </w:r>
      <w:r w:rsidR="00A91007" w:rsidRPr="0065406B">
        <w:rPr>
          <w:rFonts w:cs="Simplified Arabic" w:hint="cs"/>
          <w:sz w:val="28"/>
          <w:szCs w:val="28"/>
          <w:rtl/>
          <w:lang w:bidi="ar-MA"/>
        </w:rPr>
        <w:t xml:space="preserve">،التي حققت قدرة على التمويل بلغت 12,5 مليار درهم سنة 2011،  </w:t>
      </w:r>
      <w:r w:rsidRPr="0065406B">
        <w:rPr>
          <w:rFonts w:cs="Simplified Arabic" w:hint="cs"/>
          <w:sz w:val="28"/>
          <w:szCs w:val="28"/>
          <w:rtl/>
          <w:lang w:bidi="ar-MA"/>
        </w:rPr>
        <w:t>الرفع من حص</w:t>
      </w:r>
      <w:r w:rsidR="00A91007" w:rsidRPr="0065406B">
        <w:rPr>
          <w:rFonts w:cs="Simplified Arabic" w:hint="cs"/>
          <w:sz w:val="28"/>
          <w:szCs w:val="28"/>
          <w:rtl/>
          <w:lang w:bidi="ar-MA"/>
        </w:rPr>
        <w:t>ص</w:t>
      </w:r>
      <w:r w:rsidRPr="0065406B">
        <w:rPr>
          <w:rFonts w:cs="Simplified Arabic" w:hint="cs"/>
          <w:sz w:val="28"/>
          <w:szCs w:val="28"/>
          <w:rtl/>
          <w:lang w:bidi="ar-MA"/>
        </w:rPr>
        <w:t xml:space="preserve">ها في إصدار سندات الدين لتلبية الطلب المتزايد على القروض. </w:t>
      </w:r>
      <w:r w:rsidR="00A91007" w:rsidRPr="0065406B">
        <w:rPr>
          <w:rFonts w:cs="Simplified Arabic" w:hint="cs"/>
          <w:sz w:val="28"/>
          <w:szCs w:val="28"/>
          <w:rtl/>
          <w:lang w:bidi="ar-MA"/>
        </w:rPr>
        <w:t>هذه ال</w:t>
      </w:r>
      <w:r w:rsidRPr="0065406B">
        <w:rPr>
          <w:rFonts w:cs="Simplified Arabic" w:hint="cs"/>
          <w:sz w:val="28"/>
          <w:szCs w:val="28"/>
          <w:rtl/>
          <w:lang w:bidi="ar-MA"/>
        </w:rPr>
        <w:t xml:space="preserve">إصدارات </w:t>
      </w:r>
      <w:r w:rsidR="00A91007" w:rsidRPr="0065406B">
        <w:rPr>
          <w:rFonts w:cs="Simplified Arabic" w:hint="cs"/>
          <w:sz w:val="28"/>
          <w:szCs w:val="28"/>
          <w:rtl/>
          <w:lang w:bidi="ar-MA"/>
        </w:rPr>
        <w:t>بلغت</w:t>
      </w:r>
      <w:r w:rsidRPr="0065406B">
        <w:rPr>
          <w:rFonts w:cs="Simplified Arabic" w:hint="cs"/>
          <w:sz w:val="28"/>
          <w:szCs w:val="28"/>
          <w:rtl/>
          <w:lang w:bidi="ar-MA"/>
        </w:rPr>
        <w:t xml:space="preserve"> 17,3 مليار درهم سنة 2011.   </w:t>
      </w:r>
    </w:p>
    <w:p w:rsidR="008B3E79" w:rsidRPr="0065406B" w:rsidRDefault="008B3E79" w:rsidP="00200125">
      <w:pPr>
        <w:bidi/>
        <w:jc w:val="both"/>
        <w:rPr>
          <w:rFonts w:cs="Simplified Arabic"/>
          <w:b/>
          <w:bCs/>
          <w:sz w:val="28"/>
          <w:szCs w:val="28"/>
          <w:rtl/>
          <w:lang w:bidi="ar-MA"/>
        </w:rPr>
      </w:pPr>
    </w:p>
    <w:p w:rsidR="008B3E79" w:rsidRPr="0065406B" w:rsidRDefault="008B3E79" w:rsidP="00200125">
      <w:pPr>
        <w:jc w:val="both"/>
        <w:rPr>
          <w:sz w:val="28"/>
          <w:szCs w:val="28"/>
        </w:rPr>
      </w:pPr>
    </w:p>
    <w:p w:rsidR="008B3E79" w:rsidRPr="0065406B" w:rsidRDefault="008B3E79" w:rsidP="00200125">
      <w:pPr>
        <w:jc w:val="both"/>
        <w:rPr>
          <w:sz w:val="28"/>
          <w:szCs w:val="28"/>
        </w:rPr>
      </w:pPr>
    </w:p>
    <w:p w:rsidR="008B3E79" w:rsidRPr="0065406B" w:rsidRDefault="008B3E79" w:rsidP="00200125">
      <w:pPr>
        <w:jc w:val="both"/>
        <w:rPr>
          <w:sz w:val="28"/>
          <w:szCs w:val="28"/>
        </w:rPr>
      </w:pPr>
    </w:p>
    <w:p w:rsidR="008B3E79" w:rsidRPr="0065406B" w:rsidRDefault="008B3E79" w:rsidP="00200125">
      <w:pPr>
        <w:jc w:val="both"/>
        <w:rPr>
          <w:sz w:val="28"/>
          <w:szCs w:val="28"/>
        </w:rPr>
      </w:pPr>
    </w:p>
    <w:p w:rsidR="008B3E79" w:rsidRPr="0065406B" w:rsidRDefault="008B3E79" w:rsidP="00200125">
      <w:pPr>
        <w:jc w:val="both"/>
        <w:rPr>
          <w:sz w:val="28"/>
          <w:szCs w:val="28"/>
        </w:rPr>
      </w:pPr>
    </w:p>
    <w:p w:rsidR="008B3E79" w:rsidRPr="0065406B" w:rsidRDefault="008B3E79" w:rsidP="00200125">
      <w:pPr>
        <w:jc w:val="both"/>
        <w:rPr>
          <w:sz w:val="28"/>
          <w:szCs w:val="28"/>
        </w:rPr>
      </w:pPr>
    </w:p>
    <w:p w:rsidR="008B3E79" w:rsidRPr="0065406B" w:rsidRDefault="008B3E79" w:rsidP="00200125">
      <w:pPr>
        <w:jc w:val="both"/>
        <w:rPr>
          <w:sz w:val="28"/>
          <w:szCs w:val="28"/>
        </w:rPr>
      </w:pPr>
    </w:p>
    <w:p w:rsidR="008B3E79" w:rsidRPr="0065406B" w:rsidRDefault="008B3E79" w:rsidP="00200125">
      <w:pPr>
        <w:tabs>
          <w:tab w:val="left" w:pos="4065"/>
        </w:tabs>
        <w:jc w:val="both"/>
        <w:rPr>
          <w:sz w:val="28"/>
          <w:szCs w:val="28"/>
        </w:rPr>
      </w:pPr>
      <w:r w:rsidRPr="0065406B">
        <w:rPr>
          <w:sz w:val="28"/>
          <w:szCs w:val="28"/>
        </w:rPr>
        <w:tab/>
      </w:r>
    </w:p>
    <w:p w:rsidR="008B3E79" w:rsidRPr="0065406B" w:rsidRDefault="008B3E79" w:rsidP="00200125">
      <w:pPr>
        <w:jc w:val="both"/>
        <w:rPr>
          <w:sz w:val="28"/>
          <w:szCs w:val="28"/>
        </w:rPr>
      </w:pPr>
    </w:p>
    <w:p w:rsidR="008B3E79" w:rsidRPr="0065406B" w:rsidRDefault="008B3E79" w:rsidP="00200125">
      <w:pPr>
        <w:tabs>
          <w:tab w:val="left" w:pos="6192"/>
        </w:tabs>
        <w:jc w:val="both"/>
        <w:rPr>
          <w:sz w:val="28"/>
          <w:szCs w:val="28"/>
        </w:rPr>
      </w:pPr>
      <w:r w:rsidRPr="0065406B">
        <w:rPr>
          <w:sz w:val="28"/>
          <w:szCs w:val="28"/>
        </w:rPr>
        <w:tab/>
      </w:r>
    </w:p>
    <w:sectPr w:rsidR="008B3E79" w:rsidRPr="0065406B" w:rsidSect="003C1C8D">
      <w:footerReference w:type="default" r:id="rId10"/>
      <w:pgSz w:w="11906" w:h="16838" w:code="9"/>
      <w:pgMar w:top="1418" w:right="1418" w:bottom="1418" w:left="1418"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683" w:rsidRDefault="00F07683">
      <w:r>
        <w:separator/>
      </w:r>
    </w:p>
  </w:endnote>
  <w:endnote w:type="continuationSeparator" w:id="1">
    <w:p w:rsidR="00F07683" w:rsidRDefault="00F07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8D" w:rsidRDefault="003C1C8D">
    <w:pPr>
      <w:pStyle w:val="Pieddepage"/>
      <w:jc w:val="center"/>
    </w:pPr>
    <w:fldSimple w:instr=" PAGE   \* MERGEFORMAT ">
      <w:r w:rsidR="00440C8E">
        <w:rPr>
          <w:noProof/>
        </w:rPr>
        <w:t>3</w:t>
      </w:r>
    </w:fldSimple>
  </w:p>
  <w:p w:rsidR="003C1C8D" w:rsidRDefault="003C1C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683" w:rsidRDefault="00F07683">
      <w:r>
        <w:separator/>
      </w:r>
    </w:p>
  </w:footnote>
  <w:footnote w:type="continuationSeparator" w:id="1">
    <w:p w:rsidR="00F07683" w:rsidRDefault="00F07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rsids>
    <w:rsidRoot w:val="00447B0C"/>
    <w:rsid w:val="000030B8"/>
    <w:rsid w:val="00005B3E"/>
    <w:rsid w:val="00012E3B"/>
    <w:rsid w:val="00030785"/>
    <w:rsid w:val="000439F8"/>
    <w:rsid w:val="0004771F"/>
    <w:rsid w:val="00053CC3"/>
    <w:rsid w:val="000543D3"/>
    <w:rsid w:val="000700D7"/>
    <w:rsid w:val="000A26A7"/>
    <w:rsid w:val="000A4291"/>
    <w:rsid w:val="000C1C6D"/>
    <w:rsid w:val="000D0B61"/>
    <w:rsid w:val="000D11E8"/>
    <w:rsid w:val="000D30A3"/>
    <w:rsid w:val="000D7488"/>
    <w:rsid w:val="000E1C0D"/>
    <w:rsid w:val="00107470"/>
    <w:rsid w:val="001242A7"/>
    <w:rsid w:val="00143EA2"/>
    <w:rsid w:val="00151B28"/>
    <w:rsid w:val="001574BD"/>
    <w:rsid w:val="001833D4"/>
    <w:rsid w:val="00183FEB"/>
    <w:rsid w:val="00186301"/>
    <w:rsid w:val="001B0897"/>
    <w:rsid w:val="001D623E"/>
    <w:rsid w:val="001E3106"/>
    <w:rsid w:val="001E378A"/>
    <w:rsid w:val="00200125"/>
    <w:rsid w:val="0020389A"/>
    <w:rsid w:val="002106B7"/>
    <w:rsid w:val="0021623E"/>
    <w:rsid w:val="00230DD0"/>
    <w:rsid w:val="00230F4C"/>
    <w:rsid w:val="00234609"/>
    <w:rsid w:val="002418DB"/>
    <w:rsid w:val="00241E4D"/>
    <w:rsid w:val="00255B10"/>
    <w:rsid w:val="00256E4B"/>
    <w:rsid w:val="00282CDB"/>
    <w:rsid w:val="00285BCF"/>
    <w:rsid w:val="002A47EB"/>
    <w:rsid w:val="002C307F"/>
    <w:rsid w:val="002C6A99"/>
    <w:rsid w:val="002E274A"/>
    <w:rsid w:val="00305430"/>
    <w:rsid w:val="00321746"/>
    <w:rsid w:val="00324861"/>
    <w:rsid w:val="00354FFA"/>
    <w:rsid w:val="00356E37"/>
    <w:rsid w:val="003711D3"/>
    <w:rsid w:val="003A6985"/>
    <w:rsid w:val="003B1CD3"/>
    <w:rsid w:val="003C128B"/>
    <w:rsid w:val="003C1C8D"/>
    <w:rsid w:val="003E775E"/>
    <w:rsid w:val="00417DF7"/>
    <w:rsid w:val="004208E3"/>
    <w:rsid w:val="0043284E"/>
    <w:rsid w:val="00435B1A"/>
    <w:rsid w:val="00440C8E"/>
    <w:rsid w:val="00444334"/>
    <w:rsid w:val="00447B0C"/>
    <w:rsid w:val="00453887"/>
    <w:rsid w:val="00453C0A"/>
    <w:rsid w:val="00460344"/>
    <w:rsid w:val="00470845"/>
    <w:rsid w:val="00473062"/>
    <w:rsid w:val="004A6310"/>
    <w:rsid w:val="00506C85"/>
    <w:rsid w:val="00514C29"/>
    <w:rsid w:val="00523083"/>
    <w:rsid w:val="00535BF7"/>
    <w:rsid w:val="00551E17"/>
    <w:rsid w:val="00552055"/>
    <w:rsid w:val="00570FDB"/>
    <w:rsid w:val="00583302"/>
    <w:rsid w:val="00593C23"/>
    <w:rsid w:val="005C4853"/>
    <w:rsid w:val="006029D0"/>
    <w:rsid w:val="0065406B"/>
    <w:rsid w:val="006A5A3D"/>
    <w:rsid w:val="006B4C68"/>
    <w:rsid w:val="006E3CF0"/>
    <w:rsid w:val="006E7AE4"/>
    <w:rsid w:val="007015DE"/>
    <w:rsid w:val="007039CB"/>
    <w:rsid w:val="007058F2"/>
    <w:rsid w:val="007162AB"/>
    <w:rsid w:val="007208DC"/>
    <w:rsid w:val="00725CC4"/>
    <w:rsid w:val="00777A1D"/>
    <w:rsid w:val="007D0F24"/>
    <w:rsid w:val="007D5965"/>
    <w:rsid w:val="008105D5"/>
    <w:rsid w:val="00827D3E"/>
    <w:rsid w:val="0083200C"/>
    <w:rsid w:val="00851FA9"/>
    <w:rsid w:val="0085637E"/>
    <w:rsid w:val="0086679C"/>
    <w:rsid w:val="00884183"/>
    <w:rsid w:val="008B12CB"/>
    <w:rsid w:val="008B3E79"/>
    <w:rsid w:val="008B6D74"/>
    <w:rsid w:val="008C34C5"/>
    <w:rsid w:val="008D0D98"/>
    <w:rsid w:val="008D5FDD"/>
    <w:rsid w:val="008E6E11"/>
    <w:rsid w:val="00933436"/>
    <w:rsid w:val="009337F5"/>
    <w:rsid w:val="009442D2"/>
    <w:rsid w:val="00965281"/>
    <w:rsid w:val="00973B6F"/>
    <w:rsid w:val="00987673"/>
    <w:rsid w:val="009A58EC"/>
    <w:rsid w:val="009A607F"/>
    <w:rsid w:val="00A06B8A"/>
    <w:rsid w:val="00A347D9"/>
    <w:rsid w:val="00A36438"/>
    <w:rsid w:val="00A52667"/>
    <w:rsid w:val="00A62EBF"/>
    <w:rsid w:val="00A74CB4"/>
    <w:rsid w:val="00A91007"/>
    <w:rsid w:val="00A94F01"/>
    <w:rsid w:val="00AA214E"/>
    <w:rsid w:val="00AC0EA7"/>
    <w:rsid w:val="00AD10CA"/>
    <w:rsid w:val="00AE1457"/>
    <w:rsid w:val="00B03C23"/>
    <w:rsid w:val="00B27A82"/>
    <w:rsid w:val="00B36B65"/>
    <w:rsid w:val="00B37251"/>
    <w:rsid w:val="00B4502B"/>
    <w:rsid w:val="00B61161"/>
    <w:rsid w:val="00B64783"/>
    <w:rsid w:val="00B95DE1"/>
    <w:rsid w:val="00B97239"/>
    <w:rsid w:val="00BB1890"/>
    <w:rsid w:val="00BD27B5"/>
    <w:rsid w:val="00BD6F44"/>
    <w:rsid w:val="00BE2B97"/>
    <w:rsid w:val="00C110E6"/>
    <w:rsid w:val="00C136A6"/>
    <w:rsid w:val="00C22C01"/>
    <w:rsid w:val="00C250F3"/>
    <w:rsid w:val="00C46D03"/>
    <w:rsid w:val="00C62E8A"/>
    <w:rsid w:val="00C66C39"/>
    <w:rsid w:val="00C970C5"/>
    <w:rsid w:val="00CA4465"/>
    <w:rsid w:val="00CD1499"/>
    <w:rsid w:val="00CF3779"/>
    <w:rsid w:val="00CF5DAF"/>
    <w:rsid w:val="00D01E6B"/>
    <w:rsid w:val="00D064EB"/>
    <w:rsid w:val="00D55F9E"/>
    <w:rsid w:val="00D618F4"/>
    <w:rsid w:val="00D61C08"/>
    <w:rsid w:val="00D74A4E"/>
    <w:rsid w:val="00D87F1A"/>
    <w:rsid w:val="00D914DD"/>
    <w:rsid w:val="00D96214"/>
    <w:rsid w:val="00D96E67"/>
    <w:rsid w:val="00DD6357"/>
    <w:rsid w:val="00DE7DA8"/>
    <w:rsid w:val="00DF464C"/>
    <w:rsid w:val="00E02C73"/>
    <w:rsid w:val="00E032AF"/>
    <w:rsid w:val="00E20CB6"/>
    <w:rsid w:val="00E26116"/>
    <w:rsid w:val="00E33961"/>
    <w:rsid w:val="00E71618"/>
    <w:rsid w:val="00E73AEE"/>
    <w:rsid w:val="00E846E8"/>
    <w:rsid w:val="00E901F8"/>
    <w:rsid w:val="00E93341"/>
    <w:rsid w:val="00E96B6B"/>
    <w:rsid w:val="00ED1E7B"/>
    <w:rsid w:val="00EE1EB4"/>
    <w:rsid w:val="00EE5088"/>
    <w:rsid w:val="00EF126A"/>
    <w:rsid w:val="00F03F74"/>
    <w:rsid w:val="00F07683"/>
    <w:rsid w:val="00F63284"/>
    <w:rsid w:val="00F6408E"/>
    <w:rsid w:val="00F86C0E"/>
    <w:rsid w:val="00F95968"/>
    <w:rsid w:val="00FA0A5D"/>
    <w:rsid w:val="00FC64DD"/>
    <w:rsid w:val="00FF76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6E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47B0C"/>
    <w:pPr>
      <w:tabs>
        <w:tab w:val="center" w:pos="4536"/>
        <w:tab w:val="right" w:pos="9072"/>
      </w:tabs>
    </w:pPr>
  </w:style>
  <w:style w:type="character" w:customStyle="1" w:styleId="En-tteCar">
    <w:name w:val="En-tête Car"/>
    <w:basedOn w:val="Policepardfaut"/>
    <w:link w:val="En-tte"/>
    <w:semiHidden/>
    <w:locked/>
    <w:rsid w:val="00E26116"/>
    <w:rPr>
      <w:rFonts w:cs="Times New Roman"/>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locked/>
    <w:rsid w:val="00E26116"/>
    <w:rPr>
      <w:rFonts w:cs="Times New Roman"/>
      <w:sz w:val="24"/>
      <w:szCs w:val="24"/>
    </w:rPr>
  </w:style>
  <w:style w:type="table" w:styleId="Grilledutableau">
    <w:name w:val="Table Grid"/>
    <w:basedOn w:val="TableauNormal"/>
    <w:rsid w:val="00EE50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rsid w:val="0083200C"/>
    <w:pPr>
      <w:spacing w:after="200" w:line="276" w:lineRule="auto"/>
      <w:ind w:left="720"/>
    </w:pPr>
    <w:rPr>
      <w:rFonts w:ascii="Calibri" w:hAnsi="Calibri" w:cs="Arial"/>
      <w:sz w:val="22"/>
      <w:szCs w:val="22"/>
      <w:lang w:eastAsia="en-US"/>
    </w:rPr>
  </w:style>
  <w:style w:type="character" w:styleId="Lienhypertexte">
    <w:name w:val="Hyperlink"/>
    <w:basedOn w:val="Policepardfaut"/>
    <w:rsid w:val="00C970C5"/>
    <w:rPr>
      <w:rFonts w:cs="Times New Roman"/>
      <w:color w:val="0000FF"/>
      <w:u w:val="single"/>
    </w:rPr>
  </w:style>
  <w:style w:type="paragraph" w:styleId="Textedebulles">
    <w:name w:val="Balloon Text"/>
    <w:basedOn w:val="Normal"/>
    <w:link w:val="TextedebullesCar"/>
    <w:semiHidden/>
    <w:rsid w:val="00E901F8"/>
    <w:rPr>
      <w:rFonts w:ascii="Tahoma" w:hAnsi="Tahoma" w:cs="Tahoma"/>
      <w:sz w:val="16"/>
      <w:szCs w:val="16"/>
    </w:rPr>
  </w:style>
  <w:style w:type="character" w:customStyle="1" w:styleId="TextedebullesCar">
    <w:name w:val="Texte de bulles Car"/>
    <w:basedOn w:val="Policepardfaut"/>
    <w:link w:val="Textedebulles"/>
    <w:locked/>
    <w:rsid w:val="00E90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602</Words>
  <Characters>3313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dpp-anas</dc:creator>
  <cp:keywords/>
  <cp:lastModifiedBy> </cp:lastModifiedBy>
  <cp:revision>3</cp:revision>
  <cp:lastPrinted>2013-03-26T09:39:00Z</cp:lastPrinted>
  <dcterms:created xsi:type="dcterms:W3CDTF">2013-04-01T12:47:00Z</dcterms:created>
  <dcterms:modified xsi:type="dcterms:W3CDTF">2013-04-01T12:53:00Z</dcterms:modified>
</cp:coreProperties>
</file>