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8" w:rsidRDefault="00AD0594">
      <w:r>
        <w:rPr>
          <w:noProof/>
        </w:rPr>
        <w:pict>
          <v:rect id="_x0000_s1027" style="position:absolute;margin-left:-96.4pt;margin-top:-69.4pt;width:685.25pt;height:431.25pt;z-index:-251660288" o:preferrelative="t" filled="f" stroked="f" insetpen="t" o:cliptowrap="t">
            <v:imagedata r:id="rId6" o:title=""/>
            <v:path o:extrusionok="f"/>
            <o:lock v:ext="edit" aspectratio="t"/>
            <w10:wrap anchorx="page"/>
          </v:rect>
          <o:OLEObject Type="Embed" ProgID="PBrush" ShapeID="_x0000_s1027" DrawAspect="Content" ObjectID="_1410876882" r:id="rId7"/>
        </w:pict>
      </w:r>
      <w:r>
        <w:rPr>
          <w:noProof/>
        </w:rPr>
        <w:pict>
          <v:rect id="_x0000_s1028" style="position:absolute;margin-left:-124.85pt;margin-top:309.4pt;width:684.15pt;height:403.5pt;z-index:-251658240" o:preferrelative="t" filled="f" stroked="f" insetpen="t" o:cliptowrap="t">
            <v:imagedata r:id="rId8" o:title=""/>
            <v:path o:extrusionok="f"/>
            <o:lock v:ext="edit" aspectratio="t"/>
            <w10:wrap anchorx="page"/>
          </v:rect>
          <o:OLEObject Type="Embed" ProgID="PBrush" ShapeID="_x0000_s1028" DrawAspect="Content" ObjectID="_1410876883" r:id="rId9"/>
        </w:pict>
      </w:r>
    </w:p>
    <w:p w:rsidR="002826A8" w:rsidRDefault="002826A8"/>
    <w:p w:rsidR="002826A8" w:rsidRDefault="002826A8"/>
    <w:p w:rsidR="002826A8" w:rsidRDefault="002826A8"/>
    <w:p w:rsidR="002826A8" w:rsidRDefault="00AD0594">
      <w:r>
        <w:rPr>
          <w:noProof/>
        </w:rPr>
        <w:pict>
          <v:shapetype id="_x0000_t202" coordsize="21600,21600" o:spt="202" path="m,l,21600r21600,l21600,xe">
            <v:stroke joinstyle="miter"/>
            <v:path gradientshapeok="t" o:connecttype="rect"/>
          </v:shapetype>
          <v:shape id="_x0000_s1029" type="#_x0000_t202" style="position:absolute;margin-left:-57.75pt;margin-top:6.3pt;width:189.35pt;height:63pt;z-index:-251659264" filled="f" stroked="f" insetpen="t">
            <v:textbox style="mso-next-textbox:#_x0000_s1029">
              <w:txbxContent>
                <w:p w:rsidR="002826A8" w:rsidRPr="006B238C" w:rsidRDefault="002826A8" w:rsidP="00881E73">
                  <w:pPr>
                    <w:jc w:val="center"/>
                    <w:rPr>
                      <w:rFonts w:ascii="Edwardian Script ITC" w:hAnsi="Edwardian Script ITC"/>
                      <w:b/>
                      <w:bCs/>
                      <w:color w:val="808080"/>
                      <w:sz w:val="40"/>
                      <w:szCs w:val="40"/>
                    </w:rPr>
                  </w:pPr>
                  <w:r w:rsidRPr="006B238C">
                    <w:rPr>
                      <w:rFonts w:ascii="Edwardian Script ITC" w:hAnsi="Edwardian Script ITC"/>
                      <w:b/>
                      <w:bCs/>
                      <w:color w:val="808080"/>
                      <w:sz w:val="40"/>
                      <w:szCs w:val="40"/>
                    </w:rPr>
                    <w:t>Secrétariat Général</w:t>
                  </w:r>
                </w:p>
                <w:p w:rsidR="002826A8" w:rsidRPr="006740F7" w:rsidRDefault="002826A8" w:rsidP="006740F7"/>
              </w:txbxContent>
            </v:textbox>
          </v:shape>
        </w:pict>
      </w:r>
      <w:r>
        <w:rPr>
          <w:noProof/>
        </w:rPr>
        <w:pict>
          <v:shape id="_x0000_s1030" type="#_x0000_t202" style="position:absolute;margin-left:382.8pt;margin-top:6.3pt;width:2in;height:63pt;z-index:251659264" filled="f" stroked="f" insetpen="t">
            <v:textbox style="mso-next-textbox:#_x0000_s1030">
              <w:txbxContent>
                <w:p w:rsidR="002826A8" w:rsidRPr="006B238C" w:rsidRDefault="002826A8" w:rsidP="00881E73">
                  <w:pPr>
                    <w:bidi/>
                    <w:jc w:val="center"/>
                    <w:rPr>
                      <w:rFonts w:cs="Andalus"/>
                      <w:color w:val="808080"/>
                      <w:sz w:val="36"/>
                      <w:szCs w:val="36"/>
                      <w:lang w:bidi="ar-MA"/>
                    </w:rPr>
                  </w:pPr>
                  <w:proofErr w:type="gramStart"/>
                  <w:r w:rsidRPr="006B238C">
                    <w:rPr>
                      <w:rFonts w:cs="Andalus"/>
                      <w:color w:val="808080"/>
                      <w:sz w:val="36"/>
                      <w:szCs w:val="36"/>
                      <w:rtl/>
                      <w:lang w:bidi="ar-MA"/>
                    </w:rPr>
                    <w:t>الكتابـة</w:t>
                  </w:r>
                  <w:proofErr w:type="gramEnd"/>
                  <w:r w:rsidRPr="006B238C">
                    <w:rPr>
                      <w:rFonts w:cs="Andalus"/>
                      <w:color w:val="808080"/>
                      <w:sz w:val="36"/>
                      <w:szCs w:val="36"/>
                      <w:rtl/>
                      <w:lang w:bidi="ar-MA"/>
                    </w:rPr>
                    <w:t xml:space="preserve"> العـامـة</w:t>
                  </w:r>
                </w:p>
                <w:p w:rsidR="002826A8" w:rsidRDefault="002826A8"/>
              </w:txbxContent>
            </v:textbox>
          </v:shape>
        </w:pict>
      </w:r>
    </w:p>
    <w:p w:rsidR="002826A8" w:rsidRDefault="002826A8"/>
    <w:p w:rsidR="002826A8" w:rsidRDefault="002826A8"/>
    <w:p w:rsidR="002826A8" w:rsidRDefault="002826A8"/>
    <w:p w:rsidR="00C73FCE" w:rsidRPr="00E16FBE" w:rsidRDefault="00C73FCE" w:rsidP="00E16FBE">
      <w:pPr>
        <w:pStyle w:val="NormalWeb"/>
        <w:spacing w:before="0" w:beforeAutospacing="0" w:after="0" w:afterAutospacing="0" w:line="360" w:lineRule="auto"/>
        <w:jc w:val="center"/>
        <w:rPr>
          <w:b/>
          <w:bCs/>
          <w:shadow/>
          <w:color w:val="FF9900"/>
          <w:sz w:val="26"/>
          <w:szCs w:val="26"/>
        </w:rPr>
      </w:pPr>
      <w:r w:rsidRPr="00E16FBE">
        <w:rPr>
          <w:b/>
          <w:bCs/>
          <w:shadow/>
          <w:color w:val="FF9900"/>
          <w:sz w:val="26"/>
          <w:szCs w:val="26"/>
        </w:rPr>
        <w:t xml:space="preserve">Communiqué de presse </w:t>
      </w:r>
    </w:p>
    <w:p w:rsidR="00C73FCE" w:rsidRPr="00E16FBE" w:rsidRDefault="00C73FCE" w:rsidP="00E16FBE">
      <w:pPr>
        <w:pStyle w:val="NormalWeb"/>
        <w:spacing w:before="0" w:beforeAutospacing="0" w:after="0" w:afterAutospacing="0" w:line="360" w:lineRule="auto"/>
        <w:jc w:val="center"/>
        <w:rPr>
          <w:b/>
          <w:bCs/>
          <w:shadow/>
          <w:color w:val="FF9900"/>
          <w:sz w:val="26"/>
          <w:szCs w:val="26"/>
        </w:rPr>
      </w:pPr>
      <w:r w:rsidRPr="00E16FBE">
        <w:rPr>
          <w:b/>
          <w:bCs/>
          <w:shadow/>
          <w:color w:val="FF9900"/>
          <w:sz w:val="26"/>
          <w:szCs w:val="26"/>
        </w:rPr>
        <w:t>La situation des femmes âgées au Maroc</w:t>
      </w:r>
    </w:p>
    <w:p w:rsidR="00C73FCE" w:rsidRPr="00C73FCE" w:rsidRDefault="00C73FCE" w:rsidP="00C73FCE">
      <w:pPr>
        <w:jc w:val="center"/>
        <w:rPr>
          <w:rFonts w:asciiTheme="majorBidi" w:hAnsiTheme="majorBidi" w:cstheme="majorBidi"/>
          <w:b/>
          <w:bCs/>
          <w:sz w:val="16"/>
          <w:szCs w:val="16"/>
        </w:rPr>
      </w:pPr>
    </w:p>
    <w:p w:rsidR="00C73FCE" w:rsidRPr="00C73FCE" w:rsidRDefault="00C73FCE" w:rsidP="00C73FCE">
      <w:pPr>
        <w:pStyle w:val="Corpsdetexte"/>
        <w:spacing w:before="60" w:beforeAutospacing="0" w:afterLines="150" w:afterAutospacing="0" w:line="320" w:lineRule="exact"/>
        <w:ind w:firstLine="720"/>
        <w:jc w:val="both"/>
        <w:rPr>
          <w:rFonts w:asciiTheme="majorBidi" w:hAnsiTheme="majorBidi" w:cstheme="majorBidi"/>
          <w:color w:val="404040" w:themeColor="text1" w:themeTint="BF"/>
          <w:sz w:val="22"/>
          <w:szCs w:val="22"/>
          <w:lang w:val="fr-CA" w:eastAsia="fr-CA"/>
        </w:rPr>
      </w:pPr>
      <w:r w:rsidRPr="00C73FCE">
        <w:rPr>
          <w:rFonts w:asciiTheme="majorBidi" w:hAnsiTheme="majorBidi" w:cstheme="majorBidi"/>
          <w:color w:val="404040" w:themeColor="text1" w:themeTint="BF"/>
          <w:sz w:val="22"/>
          <w:szCs w:val="22"/>
          <w:lang w:val="fr-CA" w:eastAsia="fr-CA"/>
        </w:rPr>
        <w:t xml:space="preserve">Le 1er octobre de chaque année, la communauté internationale célèbre la journée internationale des personnes âgées. Cette date coïncidant avec la journée nationale de la femme, le dix octobre, ce communiqué du </w:t>
      </w:r>
      <w:proofErr w:type="spellStart"/>
      <w:r w:rsidRPr="00C73FCE">
        <w:rPr>
          <w:rFonts w:asciiTheme="majorBidi" w:hAnsiTheme="majorBidi" w:cstheme="majorBidi"/>
          <w:color w:val="404040" w:themeColor="text1" w:themeTint="BF"/>
          <w:sz w:val="22"/>
          <w:szCs w:val="22"/>
          <w:lang w:val="fr-CA" w:eastAsia="fr-CA"/>
        </w:rPr>
        <w:t>Haut-Commissariat</w:t>
      </w:r>
      <w:proofErr w:type="spellEnd"/>
      <w:r w:rsidRPr="00C73FCE">
        <w:rPr>
          <w:rFonts w:asciiTheme="majorBidi" w:hAnsiTheme="majorBidi" w:cstheme="majorBidi"/>
          <w:color w:val="404040" w:themeColor="text1" w:themeTint="BF"/>
          <w:sz w:val="22"/>
          <w:szCs w:val="22"/>
          <w:lang w:val="fr-CA" w:eastAsia="fr-CA"/>
        </w:rPr>
        <w:t xml:space="preserve"> au Plan se propose de faire le point de la situation des femmes âgées au Maroc. </w:t>
      </w:r>
    </w:p>
    <w:p w:rsidR="00C73FCE" w:rsidRPr="00C73FCE" w:rsidRDefault="00C73FCE" w:rsidP="00C73FCE">
      <w:pPr>
        <w:pStyle w:val="Corpsdetexte"/>
        <w:spacing w:before="60" w:beforeAutospacing="0" w:afterLines="150" w:afterAutospacing="0" w:line="320" w:lineRule="exact"/>
        <w:ind w:firstLine="720"/>
        <w:jc w:val="both"/>
        <w:rPr>
          <w:rFonts w:asciiTheme="majorBidi" w:hAnsiTheme="majorBidi" w:cstheme="majorBidi"/>
          <w:color w:val="404040" w:themeColor="text1" w:themeTint="BF"/>
          <w:sz w:val="22"/>
          <w:szCs w:val="22"/>
          <w:lang w:val="fr-CA" w:eastAsia="fr-CA"/>
        </w:rPr>
      </w:pPr>
      <w:r w:rsidRPr="00C73FCE">
        <w:rPr>
          <w:rFonts w:asciiTheme="majorBidi" w:hAnsiTheme="majorBidi" w:cstheme="majorBidi"/>
          <w:color w:val="404040" w:themeColor="text1" w:themeTint="BF"/>
          <w:sz w:val="22"/>
          <w:szCs w:val="22"/>
          <w:lang w:val="fr-CA" w:eastAsia="fr-CA"/>
        </w:rPr>
        <w:t xml:space="preserve">L’effectif des personnes âgées est passé de 833 mille à 2,9 millions entre 1960 et 2012, soit un rythme annuel d’augmentation de 2,4%, supérieur à celui de l’ensemble de la population du Maroc qui se situe à 2,0%. A l’horizon de 2050, cet effectif devrait atteindre 10 millions, selon les projections du </w:t>
      </w:r>
      <w:proofErr w:type="spellStart"/>
      <w:r w:rsidRPr="00C73FCE">
        <w:rPr>
          <w:rFonts w:asciiTheme="majorBidi" w:hAnsiTheme="majorBidi" w:cstheme="majorBidi"/>
          <w:color w:val="404040" w:themeColor="text1" w:themeTint="BF"/>
          <w:sz w:val="22"/>
          <w:szCs w:val="22"/>
          <w:lang w:val="fr-CA" w:eastAsia="fr-CA"/>
        </w:rPr>
        <w:t>Haut-Commissariat</w:t>
      </w:r>
      <w:proofErr w:type="spellEnd"/>
      <w:r w:rsidRPr="00C73FCE">
        <w:rPr>
          <w:rFonts w:asciiTheme="majorBidi" w:hAnsiTheme="majorBidi" w:cstheme="majorBidi"/>
          <w:color w:val="404040" w:themeColor="text1" w:themeTint="BF"/>
          <w:sz w:val="22"/>
          <w:szCs w:val="22"/>
          <w:lang w:val="fr-CA" w:eastAsia="fr-CA"/>
        </w:rPr>
        <w:t xml:space="preserve"> au Plan, soit un accroissement annuel de 3,3% (contre 0,6% pour l’ensemble de la population du Maroc). Le poids démographique des personnes âgées serait alors de 24,5% au lieu de 9% actuellement. Cette évolution rapide s’explique par la progression de l’espérance de vie à la naissance de 47 ans au début des années soixante à 74,8 ans en 2010 et de l’arrivée aux âges avancés de cohortes nombreuses issues d’époques à fécondité élevée.</w:t>
      </w:r>
    </w:p>
    <w:p w:rsidR="00C73FCE" w:rsidRPr="00C73FCE" w:rsidRDefault="00C73FCE" w:rsidP="00C73FCE">
      <w:pPr>
        <w:pStyle w:val="Corpsdetexte"/>
        <w:spacing w:before="60" w:beforeAutospacing="0" w:afterLines="150" w:afterAutospacing="0" w:line="320" w:lineRule="exact"/>
        <w:ind w:firstLine="720"/>
        <w:jc w:val="both"/>
        <w:rPr>
          <w:rFonts w:asciiTheme="majorBidi" w:hAnsiTheme="majorBidi" w:cstheme="majorBidi"/>
          <w:color w:val="404040" w:themeColor="text1" w:themeTint="BF"/>
          <w:sz w:val="22"/>
          <w:szCs w:val="22"/>
          <w:lang w:val="fr-CA" w:eastAsia="fr-CA"/>
        </w:rPr>
      </w:pPr>
      <w:r w:rsidRPr="00C73FCE">
        <w:rPr>
          <w:rFonts w:asciiTheme="majorBidi" w:hAnsiTheme="majorBidi" w:cstheme="majorBidi"/>
          <w:color w:val="404040" w:themeColor="text1" w:themeTint="BF"/>
          <w:sz w:val="22"/>
          <w:szCs w:val="22"/>
          <w:lang w:val="fr-CA" w:eastAsia="fr-CA"/>
        </w:rPr>
        <w:t xml:space="preserve"> En 2012, l’effectif des femmes âgées s’élève à 1,5 million, soit 100 000 de plus que  les hommes et atteindrait 5,4 millions en 2050, soit 700 000 de plus. Ceci est dû au fait que les femmes ont une espérance de vie plus élevée qui est estimée à 75,6 ans à la naissance (contre 73,9 ans pour les hommes) et à 21,6 ans à 60 ans (contre 19,5 ans).</w:t>
      </w:r>
    </w:p>
    <w:p w:rsidR="000111F2" w:rsidRDefault="00C73FCE" w:rsidP="000111F2">
      <w:pPr>
        <w:pStyle w:val="Corpsdetexte"/>
        <w:spacing w:before="60" w:beforeAutospacing="0" w:afterLines="150" w:afterAutospacing="0" w:line="320" w:lineRule="exact"/>
        <w:ind w:firstLine="720"/>
        <w:jc w:val="both"/>
        <w:rPr>
          <w:rFonts w:asciiTheme="majorBidi" w:hAnsiTheme="majorBidi" w:cstheme="majorBidi"/>
          <w:color w:val="404040" w:themeColor="text1" w:themeTint="BF"/>
          <w:sz w:val="22"/>
          <w:szCs w:val="22"/>
          <w:lang w:val="fr-CA" w:eastAsia="fr-CA"/>
        </w:rPr>
      </w:pPr>
      <w:r w:rsidRPr="00C73FCE">
        <w:rPr>
          <w:rFonts w:asciiTheme="majorBidi" w:hAnsiTheme="majorBidi" w:cstheme="majorBidi"/>
          <w:color w:val="404040" w:themeColor="text1" w:themeTint="BF"/>
          <w:sz w:val="22"/>
          <w:szCs w:val="22"/>
          <w:lang w:val="fr-CA" w:eastAsia="fr-CA"/>
        </w:rPr>
        <w:t xml:space="preserve">Par ailleurs, l’âge d’entrée au premier mariage des femmes (26,6 ans en 2010) relativement précoce par rapport à celui des hommes (31,4 ans) conjugué à une proportion moins élevée de remariage des femmes ayant rompu leur première union (8,5% contre 14,5%) accroît le risque relatif pour la femme de se retrouver à 60 ans en situation de veuvage, voire de vivre seule. En effet, la proportion des personnes âgées veuves est dix fois plus élevée parmi les femmes (51%) que parmi les hommes (5%) et celle des personnes âgées vivant seules est près de quatre fois plus importante (7,7% et 2,0%, respectivement). Les femmes âgées sont ainsi beaucoup plus exposées que les hommes à finir seules leur vie, sans conjoint.  Une situation de vulnérabilité qui est exacerbée par une faible participation à la vie active et par une plus grande exposition aux maladies chroniques. En effet, 11% seulement des femmes âgées disposent d’un travail (contre 36% des hommes), souvent en tant qu’aides familiales (57%), et 66,6% d'entre elles souffrent d'au moins une maladie chronique (contre 53,3% pour les hommes).  Ce </w:t>
      </w:r>
      <w:r w:rsidRPr="00C73FCE">
        <w:rPr>
          <w:rFonts w:asciiTheme="majorBidi" w:hAnsiTheme="majorBidi" w:cstheme="majorBidi"/>
          <w:color w:val="404040" w:themeColor="text1" w:themeTint="BF"/>
          <w:sz w:val="22"/>
          <w:szCs w:val="22"/>
          <w:lang w:eastAsia="fr-CA"/>
        </w:rPr>
        <w:t>qui</w:t>
      </w:r>
      <w:r w:rsidRPr="00C73FCE">
        <w:rPr>
          <w:rFonts w:asciiTheme="majorBidi" w:hAnsiTheme="majorBidi" w:cstheme="majorBidi"/>
          <w:color w:val="404040" w:themeColor="text1" w:themeTint="BF"/>
          <w:sz w:val="22"/>
          <w:szCs w:val="22"/>
          <w:lang w:val="fr-CA" w:eastAsia="fr-CA"/>
        </w:rPr>
        <w:t xml:space="preserve"> traduit la dépendance d’une grande part des femmes âgées d’autres membres de la famille, d’autant plus que neuf sur dix d’entre elles sont analphabètes. </w:t>
      </w:r>
    </w:p>
    <w:p w:rsidR="000111F2" w:rsidRDefault="00C73FCE" w:rsidP="000111F2">
      <w:pPr>
        <w:pStyle w:val="Corpsdetexte"/>
        <w:spacing w:after="0" w:afterAutospacing="0"/>
        <w:ind w:firstLine="720"/>
        <w:jc w:val="both"/>
        <w:rPr>
          <w:rFonts w:asciiTheme="majorBidi" w:hAnsiTheme="majorBidi" w:cstheme="majorBidi"/>
          <w:b/>
          <w:bCs/>
          <w:color w:val="404040" w:themeColor="text1" w:themeTint="BF"/>
          <w:sz w:val="22"/>
          <w:szCs w:val="22"/>
          <w:lang w:val="fr-CA" w:eastAsia="fr-CA"/>
        </w:rPr>
      </w:pPr>
      <w:r>
        <w:rPr>
          <w:rFonts w:asciiTheme="majorBidi" w:hAnsiTheme="majorBidi" w:cstheme="majorBidi"/>
          <w:b/>
          <w:bCs/>
          <w:color w:val="404040" w:themeColor="text1" w:themeTint="BF"/>
          <w:sz w:val="22"/>
          <w:szCs w:val="22"/>
          <w:lang w:val="fr-CA" w:eastAsia="fr-CA"/>
        </w:rPr>
        <w:t xml:space="preserve">                                                                                                                                  </w:t>
      </w:r>
      <w:r w:rsidRPr="00C73FCE">
        <w:rPr>
          <w:rFonts w:asciiTheme="majorBidi" w:hAnsiTheme="majorBidi" w:cstheme="majorBidi"/>
          <w:b/>
          <w:bCs/>
          <w:color w:val="404040" w:themeColor="text1" w:themeTint="BF"/>
          <w:sz w:val="22"/>
          <w:szCs w:val="22"/>
          <w:lang w:val="fr-CA" w:eastAsia="fr-CA"/>
        </w:rPr>
        <w:t xml:space="preserve">Jamal </w:t>
      </w:r>
      <w:proofErr w:type="spellStart"/>
      <w:r w:rsidRPr="00C73FCE">
        <w:rPr>
          <w:rFonts w:asciiTheme="majorBidi" w:hAnsiTheme="majorBidi" w:cstheme="majorBidi"/>
          <w:b/>
          <w:bCs/>
          <w:color w:val="404040" w:themeColor="text1" w:themeTint="BF"/>
          <w:sz w:val="22"/>
          <w:szCs w:val="22"/>
          <w:lang w:val="fr-CA" w:eastAsia="fr-CA"/>
        </w:rPr>
        <w:t>Bourchachen</w:t>
      </w:r>
      <w:proofErr w:type="spellEnd"/>
      <w:r>
        <w:rPr>
          <w:rFonts w:asciiTheme="majorBidi" w:hAnsiTheme="majorBidi" w:cstheme="majorBidi"/>
          <w:b/>
          <w:bCs/>
          <w:color w:val="404040" w:themeColor="text1" w:themeTint="BF"/>
          <w:sz w:val="22"/>
          <w:szCs w:val="22"/>
          <w:lang w:val="fr-CA" w:eastAsia="fr-CA"/>
        </w:rPr>
        <w:t xml:space="preserve">                                                                                                                                </w:t>
      </w:r>
      <w:r w:rsidR="000111F2">
        <w:rPr>
          <w:rFonts w:asciiTheme="majorBidi" w:hAnsiTheme="majorBidi" w:cstheme="majorBidi"/>
          <w:b/>
          <w:bCs/>
          <w:color w:val="404040" w:themeColor="text1" w:themeTint="BF"/>
          <w:sz w:val="22"/>
          <w:szCs w:val="22"/>
          <w:lang w:val="fr-CA" w:eastAsia="fr-CA"/>
        </w:rPr>
        <w:t xml:space="preserve">                                         </w:t>
      </w:r>
    </w:p>
    <w:p w:rsidR="002826A8" w:rsidRDefault="000111F2" w:rsidP="000111F2">
      <w:pPr>
        <w:pStyle w:val="Corpsdetexte"/>
        <w:spacing w:before="60" w:beforeAutospacing="0" w:afterLines="150" w:afterAutospacing="0" w:line="320" w:lineRule="exact"/>
        <w:ind w:firstLine="720"/>
        <w:jc w:val="both"/>
      </w:pPr>
      <w:r>
        <w:rPr>
          <w:rFonts w:asciiTheme="majorBidi" w:hAnsiTheme="majorBidi" w:cstheme="majorBidi"/>
          <w:b/>
          <w:bCs/>
          <w:color w:val="404040" w:themeColor="text1" w:themeTint="BF"/>
          <w:sz w:val="22"/>
          <w:szCs w:val="22"/>
          <w:lang w:val="fr-CA" w:eastAsia="fr-CA"/>
        </w:rPr>
        <w:t xml:space="preserve">                                                                                                                        </w:t>
      </w:r>
      <w:r w:rsidR="00C73FCE" w:rsidRPr="00C73FCE">
        <w:rPr>
          <w:rFonts w:asciiTheme="majorBidi" w:hAnsiTheme="majorBidi" w:cstheme="majorBidi"/>
          <w:b/>
          <w:bCs/>
          <w:color w:val="404040" w:themeColor="text1" w:themeTint="BF"/>
          <w:sz w:val="22"/>
          <w:szCs w:val="22"/>
          <w:lang w:val="fr-CA" w:eastAsia="fr-CA"/>
        </w:rPr>
        <w:t>Secrétaire Général</w:t>
      </w:r>
    </w:p>
    <w:sectPr w:rsidR="002826A8" w:rsidSect="00881E73">
      <w:footerReference w:type="first" r:id="rId10"/>
      <w:pgSz w:w="11906" w:h="16838" w:code="9"/>
      <w:pgMar w:top="1418" w:right="926" w:bottom="1418"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F4B" w:rsidRDefault="00656F4B">
      <w:r>
        <w:separator/>
      </w:r>
    </w:p>
  </w:endnote>
  <w:endnote w:type="continuationSeparator" w:id="0">
    <w:p w:rsidR="00656F4B" w:rsidRDefault="00656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8" w:rsidRPr="00CA4465" w:rsidRDefault="00AD0594" w:rsidP="00CA4465">
    <w:pPr>
      <w:pStyle w:val="Pieddepage"/>
      <w:jc w:val="center"/>
      <w:rPr>
        <w:szCs w:val="20"/>
      </w:rPr>
    </w:pPr>
    <w:r>
      <w:rPr>
        <w:noProof/>
      </w:rPr>
      <w:pict>
        <v:shapetype id="_x0000_t202" coordsize="21600,21600" o:spt="202" path="m,l,21600r21600,l21600,xe">
          <v:stroke joinstyle="miter"/>
          <v:path gradientshapeok="t" o:connecttype="rect"/>
        </v:shapetype>
        <v:shape id="_x0000_s2049" type="#_x0000_t202" style="position:absolute;left:0;text-align:left;margin-left:-66.4pt;margin-top:-38.85pt;width:603.75pt;height:49.15pt;z-index:251657728" filled="f" stroked="f" insetpen="t">
          <v:textbox style="mso-next-textbox:#_x0000_s2049">
            <w:txbxContent>
              <w:p w:rsidR="002826A8" w:rsidRPr="00881E73" w:rsidRDefault="002826A8" w:rsidP="00881E73">
                <w:pPr>
                  <w:rPr>
                    <w:sz w:val="20"/>
                    <w:szCs w:val="20"/>
                  </w:rPr>
                </w:pPr>
                <w:r w:rsidRPr="000D11E8">
                  <w:rPr>
                    <w:color w:val="999999"/>
                    <w:rtl/>
                  </w:rPr>
                  <w:t xml:space="preserve">  </w:t>
                </w:r>
                <w:r w:rsidRPr="00881E73">
                  <w:rPr>
                    <w:color w:val="999999"/>
                    <w:sz w:val="20"/>
                    <w:szCs w:val="20"/>
                    <w:rtl/>
                  </w:rPr>
                  <w:t xml:space="preserve">    </w:t>
                </w:r>
                <w:r w:rsidRPr="00881E73">
                  <w:rPr>
                    <w:color w:val="999999"/>
                    <w:sz w:val="20"/>
                    <w:szCs w:val="20"/>
                  </w:rPr>
                  <w:t xml:space="preserve"> I</w:t>
                </w:r>
                <w:r w:rsidRPr="00881E73">
                  <w:rPr>
                    <w:sz w:val="20"/>
                    <w:szCs w:val="20"/>
                  </w:rPr>
                  <w:t xml:space="preserve"> Ilot 31-3, secteur 16, Hay Riad, 10001 Rabat Maroc B.P. :178 </w:t>
                </w:r>
                <w:r>
                  <w:rPr>
                    <w:sz w:val="20"/>
                    <w:szCs w:val="20"/>
                  </w:rPr>
                  <w:t xml:space="preserve">* </w:t>
                </w:r>
                <w:r w:rsidRPr="00881E73">
                  <w:rPr>
                    <w:sz w:val="20"/>
                    <w:szCs w:val="20"/>
                  </w:rPr>
                  <w:t xml:space="preserve">Tél. : (+212) 05 37 57 69 22/ 05 37 57 85 18 </w:t>
                </w:r>
                <w:r w:rsidRPr="00881E73">
                  <w:rPr>
                    <w:sz w:val="20"/>
                    <w:szCs w:val="20"/>
                    <w:rtl/>
                  </w:rPr>
                  <w:t xml:space="preserve"> </w:t>
                </w:r>
                <w:r w:rsidRPr="00881E73">
                  <w:rPr>
                    <w:sz w:val="20"/>
                    <w:szCs w:val="20"/>
                  </w:rPr>
                  <w:t>– Fax : (+212) 05 37 57 69 13</w:t>
                </w:r>
              </w:p>
              <w:p w:rsidR="002826A8" w:rsidRPr="00881E73" w:rsidRDefault="002826A8" w:rsidP="00CE3E42">
                <w:pPr>
                  <w:bidi/>
                  <w:jc w:val="center"/>
                  <w:rPr>
                    <w:sz w:val="20"/>
                    <w:szCs w:val="20"/>
                  </w:rPr>
                </w:pPr>
                <w:proofErr w:type="spellStart"/>
                <w:r w:rsidRPr="00881E73">
                  <w:rPr>
                    <w:sz w:val="20"/>
                    <w:szCs w:val="20"/>
                    <w:rtl/>
                    <w:lang w:bidi="ar-MA"/>
                  </w:rPr>
                  <w:t>ايـلو</w:t>
                </w:r>
                <w:proofErr w:type="spellEnd"/>
                <w:r w:rsidRPr="00881E73">
                  <w:rPr>
                    <w:sz w:val="20"/>
                    <w:szCs w:val="20"/>
                    <w:rtl/>
                    <w:lang w:bidi="ar-MA"/>
                  </w:rPr>
                  <w:t xml:space="preserve"> 31-3، قطـاع 16، حي الرياض 10001 الربـاط – المغـرب ص.ب. : 178</w:t>
                </w:r>
                <w:proofErr w:type="gramStart"/>
                <w:r>
                  <w:rPr>
                    <w:sz w:val="20"/>
                    <w:szCs w:val="20"/>
                  </w:rPr>
                  <w:t xml:space="preserve"> * </w:t>
                </w:r>
                <w:r w:rsidRPr="00881E73">
                  <w:rPr>
                    <w:sz w:val="20"/>
                    <w:szCs w:val="20"/>
                    <w:rtl/>
                  </w:rPr>
                  <w:t>الهات</w:t>
                </w:r>
                <w:proofErr w:type="gramEnd"/>
                <w:r w:rsidRPr="00881E73">
                  <w:rPr>
                    <w:sz w:val="20"/>
                    <w:szCs w:val="20"/>
                    <w:rtl/>
                  </w:rPr>
                  <w:t>ف :</w:t>
                </w:r>
                <w:r w:rsidRPr="00881E73">
                  <w:rPr>
                    <w:sz w:val="20"/>
                    <w:szCs w:val="20"/>
                  </w:rPr>
                  <w:t xml:space="preserve">(+212) 05 37 57 69 22/ 05 37 57 85 18 </w:t>
                </w:r>
                <w:r w:rsidRPr="00881E73">
                  <w:rPr>
                    <w:sz w:val="20"/>
                    <w:szCs w:val="20"/>
                    <w:rtl/>
                  </w:rPr>
                  <w:t xml:space="preserve"> – الفاكس</w:t>
                </w:r>
                <w:r w:rsidRPr="00881E73">
                  <w:rPr>
                    <w:sz w:val="20"/>
                    <w:szCs w:val="20"/>
                  </w:rPr>
                  <w:t xml:space="preserve"> </w:t>
                </w:r>
                <w:r w:rsidRPr="00881E73">
                  <w:rPr>
                    <w:sz w:val="20"/>
                    <w:szCs w:val="20"/>
                    <w:rtl/>
                  </w:rPr>
                  <w:t>:</w:t>
                </w:r>
                <w:r w:rsidRPr="00881E73">
                  <w:rPr>
                    <w:sz w:val="20"/>
                    <w:szCs w:val="20"/>
                  </w:rPr>
                  <w:t xml:space="preserve">    (+212) 05 37 57 69 13 </w:t>
                </w:r>
                <w:hyperlink r:id="rId1" w:history="1">
                  <w:r w:rsidRPr="00881E73">
                    <w:rPr>
                      <w:rStyle w:val="Lienhypertexte"/>
                      <w:color w:val="auto"/>
                      <w:sz w:val="20"/>
                      <w:szCs w:val="20"/>
                      <w:u w:val="none"/>
                    </w:rPr>
                    <w:t>hcp@hcp.ma</w:t>
                  </w:r>
                </w:hyperlink>
                <w:r w:rsidRPr="00881E73">
                  <w:rPr>
                    <w:sz w:val="20"/>
                    <w:szCs w:val="20"/>
                  </w:rPr>
                  <w:t>www.hcp.ma</w:t>
                </w:r>
              </w:p>
              <w:p w:rsidR="002826A8" w:rsidRPr="000D11E8" w:rsidRDefault="002826A8" w:rsidP="006740F7">
                <w:pPr>
                  <w:rPr>
                    <w:color w:val="999999"/>
                    <w:sz w:val="20"/>
                    <w:szCs w:val="20"/>
                  </w:rPr>
                </w:pPr>
              </w:p>
              <w:p w:rsidR="002826A8" w:rsidRPr="000D11E8" w:rsidRDefault="002826A8" w:rsidP="006740F7">
                <w:pPr>
                  <w:bidi/>
                  <w:rPr>
                    <w:color w:val="999999"/>
                    <w:sz w:val="20"/>
                    <w:szCs w:val="20"/>
                  </w:rPr>
                </w:pPr>
                <w:r w:rsidRPr="000D11E8">
                  <w:rPr>
                    <w:color w:val="999999"/>
                    <w:sz w:val="20"/>
                    <w:szCs w:val="20"/>
                    <w:rtl/>
                    <w:lang w:bidi="ar-MA"/>
                  </w:rPr>
                  <w:t xml:space="preserve">  </w:t>
                </w:r>
              </w:p>
            </w:txbxContent>
          </v:textbox>
        </v:shape>
      </w:pict>
    </w:r>
  </w:p>
  <w:p w:rsidR="002826A8" w:rsidRPr="000543D3" w:rsidRDefault="002826A8" w:rsidP="000543D3">
    <w:pPr>
      <w:pStyle w:val="Pieddepage"/>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F4B" w:rsidRDefault="00656F4B">
      <w:r>
        <w:separator/>
      </w:r>
    </w:p>
  </w:footnote>
  <w:footnote w:type="continuationSeparator" w:id="0">
    <w:p w:rsidR="00656F4B" w:rsidRDefault="00656F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rsids>
    <w:rsidRoot w:val="00447B0C"/>
    <w:rsid w:val="00005E4D"/>
    <w:rsid w:val="000111F2"/>
    <w:rsid w:val="00030785"/>
    <w:rsid w:val="000543D3"/>
    <w:rsid w:val="000D11E8"/>
    <w:rsid w:val="001058A1"/>
    <w:rsid w:val="00143692"/>
    <w:rsid w:val="001E4C70"/>
    <w:rsid w:val="00234609"/>
    <w:rsid w:val="00256E4B"/>
    <w:rsid w:val="002826A8"/>
    <w:rsid w:val="0029352A"/>
    <w:rsid w:val="00316E58"/>
    <w:rsid w:val="00355783"/>
    <w:rsid w:val="00364C90"/>
    <w:rsid w:val="003A744C"/>
    <w:rsid w:val="003B6C0F"/>
    <w:rsid w:val="003C128B"/>
    <w:rsid w:val="00403841"/>
    <w:rsid w:val="00407BE8"/>
    <w:rsid w:val="00410112"/>
    <w:rsid w:val="00417DF7"/>
    <w:rsid w:val="00447B0C"/>
    <w:rsid w:val="00453C0A"/>
    <w:rsid w:val="00476E7A"/>
    <w:rsid w:val="004B2B85"/>
    <w:rsid w:val="00552055"/>
    <w:rsid w:val="00592BDE"/>
    <w:rsid w:val="005C4853"/>
    <w:rsid w:val="00656F4B"/>
    <w:rsid w:val="006740F7"/>
    <w:rsid w:val="006B238C"/>
    <w:rsid w:val="006E3CF0"/>
    <w:rsid w:val="006E7AE4"/>
    <w:rsid w:val="0072497D"/>
    <w:rsid w:val="00781320"/>
    <w:rsid w:val="00800439"/>
    <w:rsid w:val="00827D3E"/>
    <w:rsid w:val="008321BC"/>
    <w:rsid w:val="00881E73"/>
    <w:rsid w:val="008B12CB"/>
    <w:rsid w:val="009007CC"/>
    <w:rsid w:val="009901C0"/>
    <w:rsid w:val="009A58EC"/>
    <w:rsid w:val="009A607F"/>
    <w:rsid w:val="009D5243"/>
    <w:rsid w:val="009F24C6"/>
    <w:rsid w:val="00A225AE"/>
    <w:rsid w:val="00A415ED"/>
    <w:rsid w:val="00AD0594"/>
    <w:rsid w:val="00B03C23"/>
    <w:rsid w:val="00B37251"/>
    <w:rsid w:val="00BA6FD0"/>
    <w:rsid w:val="00C07EF5"/>
    <w:rsid w:val="00C250F3"/>
    <w:rsid w:val="00C46C87"/>
    <w:rsid w:val="00C46D03"/>
    <w:rsid w:val="00C62E8A"/>
    <w:rsid w:val="00C73FCE"/>
    <w:rsid w:val="00CA4465"/>
    <w:rsid w:val="00CE3E42"/>
    <w:rsid w:val="00CF2888"/>
    <w:rsid w:val="00D5362E"/>
    <w:rsid w:val="00D96E67"/>
    <w:rsid w:val="00E16FBE"/>
    <w:rsid w:val="00E71618"/>
    <w:rsid w:val="00EA1D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7B0C"/>
    <w:pPr>
      <w:tabs>
        <w:tab w:val="center" w:pos="4536"/>
        <w:tab w:val="right" w:pos="9072"/>
      </w:tabs>
    </w:pPr>
  </w:style>
  <w:style w:type="character" w:customStyle="1" w:styleId="En-tteCar">
    <w:name w:val="En-tête Car"/>
    <w:link w:val="En-tte"/>
    <w:uiPriority w:val="99"/>
    <w:semiHidden/>
    <w:rsid w:val="00DF413F"/>
    <w:rPr>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link w:val="Pieddepage"/>
    <w:uiPriority w:val="99"/>
    <w:semiHidden/>
    <w:rsid w:val="00DF413F"/>
    <w:rPr>
      <w:sz w:val="24"/>
      <w:szCs w:val="24"/>
    </w:rPr>
  </w:style>
  <w:style w:type="character" w:styleId="Lienhypertexte">
    <w:name w:val="Hyperlink"/>
    <w:uiPriority w:val="99"/>
    <w:rsid w:val="006740F7"/>
    <w:rPr>
      <w:rFonts w:cs="Times New Roman"/>
      <w:color w:val="0000FF"/>
      <w:u w:val="single"/>
    </w:rPr>
  </w:style>
  <w:style w:type="paragraph" w:styleId="Paragraphedeliste">
    <w:name w:val="List Paragraph"/>
    <w:basedOn w:val="Normal"/>
    <w:uiPriority w:val="99"/>
    <w:qFormat/>
    <w:rsid w:val="00881E73"/>
    <w:pPr>
      <w:spacing w:after="200" w:line="276" w:lineRule="auto"/>
      <w:ind w:left="720"/>
    </w:pPr>
    <w:rPr>
      <w:rFonts w:ascii="Calibri" w:hAnsi="Calibri" w:cs="Arial"/>
      <w:sz w:val="22"/>
      <w:szCs w:val="22"/>
      <w:lang w:eastAsia="en-US"/>
    </w:rPr>
  </w:style>
  <w:style w:type="paragraph" w:styleId="Corpsdetexte">
    <w:name w:val="Body Text"/>
    <w:basedOn w:val="Normal"/>
    <w:link w:val="CorpsdetexteCar"/>
    <w:rsid w:val="00C73FCE"/>
    <w:pPr>
      <w:spacing w:before="100" w:beforeAutospacing="1" w:after="100" w:afterAutospacing="1"/>
    </w:pPr>
  </w:style>
  <w:style w:type="character" w:customStyle="1" w:styleId="CorpsdetexteCar">
    <w:name w:val="Corps de texte Car"/>
    <w:basedOn w:val="Policepardfaut"/>
    <w:link w:val="Corpsdetexte"/>
    <w:rsid w:val="00C73FCE"/>
    <w:rPr>
      <w:sz w:val="24"/>
      <w:szCs w:val="24"/>
    </w:rPr>
  </w:style>
  <w:style w:type="paragraph" w:styleId="NormalWeb">
    <w:name w:val="Normal (Web)"/>
    <w:basedOn w:val="Normal"/>
    <w:uiPriority w:val="99"/>
    <w:rsid w:val="00E16FB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_rels/footer1.xml.rels><?xml version="1.0" encoding="UTF-8" standalone="yes"?>
<Relationships xmlns="http://schemas.openxmlformats.org/package/2006/relationships"><Relationship Id="rId1" Type="http://schemas.openxmlformats.org/officeDocument/2006/relationships/hyperlink" Target="mailto:hcp@hcp.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493</Words>
  <Characters>2712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3199</CharactersWithSpaces>
  <SharedDoc>false</SharedDoc>
  <HLinks>
    <vt:vector size="6" baseType="variant">
      <vt:variant>
        <vt:i4>983076</vt:i4>
      </vt:variant>
      <vt:variant>
        <vt:i4>0</vt:i4>
      </vt:variant>
      <vt:variant>
        <vt:i4>0</vt:i4>
      </vt:variant>
      <vt:variant>
        <vt:i4>5</vt:i4>
      </vt:variant>
      <vt:variant>
        <vt:lpwstr>mailto:hcp@hcp.ma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dpp-anas</dc:creator>
  <cp:lastModifiedBy>user</cp:lastModifiedBy>
  <cp:revision>4</cp:revision>
  <cp:lastPrinted>2010-09-13T10:21:00Z</cp:lastPrinted>
  <dcterms:created xsi:type="dcterms:W3CDTF">2012-10-04T17:24:00Z</dcterms:created>
  <dcterms:modified xsi:type="dcterms:W3CDTF">2012-10-04T17:28:00Z</dcterms:modified>
</cp:coreProperties>
</file>