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3166" w14:textId="5A9253C6" w:rsidR="00F56D20" w:rsidRDefault="00F95C6A" w:rsidP="00E7041A">
      <w:pPr>
        <w:pStyle w:val="MMTitle"/>
        <w:ind w:left="-180"/>
        <w:jc w:val="center"/>
        <w:outlineLvl w:val="0"/>
        <w:rPr>
          <w:rFonts w:ascii="Book Antiqua" w:hAnsi="Book Antiqua" w:cstheme="majorHAnsi"/>
          <w:b/>
          <w:bCs/>
          <w:color w:val="4472C4" w:themeColor="accent1"/>
          <w:sz w:val="28"/>
          <w:szCs w:val="28"/>
          <w:lang w:val="fr-FR"/>
        </w:rPr>
      </w:pPr>
      <w:r w:rsidRPr="00F56D20">
        <w:rPr>
          <w:rFonts w:ascii="Book Antiqua" w:hAnsi="Book Antiqua" w:cstheme="majorHAnsi"/>
          <w:b/>
          <w:bCs/>
          <w:noProof/>
          <w:color w:val="4472C4" w:themeColor="accent1"/>
          <w:sz w:val="28"/>
          <w:szCs w:val="28"/>
          <w:lang w:val="fr-FR"/>
        </w:rPr>
        <w:drawing>
          <wp:inline distT="0" distB="0" distL="0" distR="0" wp14:anchorId="3AA4AF51" wp14:editId="5AE68ED7">
            <wp:extent cx="1732547" cy="1500574"/>
            <wp:effectExtent l="0" t="0" r="127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721" cy="1506788"/>
                    </a:xfrm>
                    <a:prstGeom prst="rect">
                      <a:avLst/>
                    </a:prstGeom>
                    <a:noFill/>
                    <a:ln>
                      <a:noFill/>
                    </a:ln>
                  </pic:spPr>
                </pic:pic>
              </a:graphicData>
            </a:graphic>
          </wp:inline>
        </w:drawing>
      </w:r>
    </w:p>
    <w:p w14:paraId="5B5E8F36" w14:textId="77777777" w:rsidR="00F56D20" w:rsidRDefault="00F56D20" w:rsidP="00E7041A">
      <w:pPr>
        <w:pStyle w:val="MMTitle"/>
        <w:ind w:left="-180"/>
        <w:jc w:val="center"/>
        <w:outlineLvl w:val="0"/>
        <w:rPr>
          <w:rFonts w:ascii="Book Antiqua" w:hAnsi="Book Antiqua" w:cstheme="majorHAnsi"/>
          <w:b/>
          <w:bCs/>
          <w:color w:val="4472C4" w:themeColor="accent1"/>
          <w:sz w:val="28"/>
          <w:szCs w:val="28"/>
          <w:lang w:val="fr-FR"/>
        </w:rPr>
      </w:pPr>
    </w:p>
    <w:p w14:paraId="67D2E101" w14:textId="77777777" w:rsidR="00F56D20" w:rsidRDefault="00F56D20" w:rsidP="00E7041A">
      <w:pPr>
        <w:pStyle w:val="MMTitle"/>
        <w:ind w:left="-180"/>
        <w:jc w:val="center"/>
        <w:outlineLvl w:val="0"/>
        <w:rPr>
          <w:rFonts w:ascii="Book Antiqua" w:hAnsi="Book Antiqua" w:cstheme="majorHAnsi"/>
          <w:b/>
          <w:bCs/>
          <w:color w:val="4472C4" w:themeColor="accent1"/>
          <w:sz w:val="28"/>
          <w:szCs w:val="28"/>
          <w:lang w:val="fr-FR"/>
        </w:rPr>
      </w:pPr>
    </w:p>
    <w:p w14:paraId="26E15A02" w14:textId="5614677C" w:rsidR="00E7041A" w:rsidRDefault="00E7041A" w:rsidP="00E7041A">
      <w:pPr>
        <w:pStyle w:val="MMTitle"/>
        <w:ind w:left="-180"/>
        <w:jc w:val="center"/>
        <w:outlineLvl w:val="0"/>
        <w:rPr>
          <w:rFonts w:ascii="Book Antiqua" w:hAnsi="Book Antiqua" w:cstheme="majorHAnsi"/>
          <w:b/>
          <w:bCs/>
          <w:color w:val="4472C4" w:themeColor="accent1"/>
          <w:sz w:val="28"/>
          <w:szCs w:val="28"/>
          <w:lang w:val="fr-FR"/>
        </w:rPr>
      </w:pPr>
      <w:r w:rsidRPr="003513E8">
        <w:rPr>
          <w:rFonts w:ascii="Book Antiqua" w:hAnsi="Book Antiqua" w:cstheme="majorHAnsi"/>
          <w:b/>
          <w:bCs/>
          <w:color w:val="4472C4" w:themeColor="accent1"/>
          <w:sz w:val="28"/>
          <w:szCs w:val="28"/>
          <w:lang w:val="fr-FR"/>
        </w:rPr>
        <w:t xml:space="preserve">NOTE D’INFORMATION DU HAUT-COMMISSARIAT AU PLAN RELATIVE A LA SITUATION DU MARCHE DU TRAVAIL AU </w:t>
      </w:r>
      <w:r w:rsidRPr="00055130">
        <w:rPr>
          <w:rFonts w:ascii="Book Antiqua" w:hAnsi="Book Antiqua" w:cstheme="majorHAnsi"/>
          <w:b/>
          <w:bCs/>
          <w:color w:val="4472C4" w:themeColor="accent1"/>
          <w:sz w:val="28"/>
          <w:szCs w:val="28"/>
          <w:lang w:val="fr-FR"/>
        </w:rPr>
        <w:t>TROISIEME</w:t>
      </w:r>
      <w:r w:rsidRPr="003513E8">
        <w:rPr>
          <w:rFonts w:ascii="Book Antiqua" w:hAnsi="Book Antiqua" w:cstheme="majorHAnsi"/>
          <w:b/>
          <w:bCs/>
          <w:color w:val="4472C4" w:themeColor="accent1"/>
          <w:sz w:val="28"/>
          <w:szCs w:val="28"/>
          <w:lang w:val="fr-FR"/>
        </w:rPr>
        <w:t xml:space="preserve"> TRIMESTRE DE 2021</w:t>
      </w:r>
    </w:p>
    <w:p w14:paraId="27DD4BA7" w14:textId="77777777" w:rsidR="00AA6D7E" w:rsidRDefault="00AA6D7E" w:rsidP="00AA6D7E">
      <w:pPr>
        <w:autoSpaceDE w:val="0"/>
        <w:autoSpaceDN w:val="0"/>
        <w:adjustRightInd w:val="0"/>
        <w:spacing w:before="120" w:after="120" w:line="240" w:lineRule="auto"/>
        <w:jc w:val="both"/>
        <w:rPr>
          <w:rFonts w:ascii="Book Antiqua" w:eastAsia="Times New Roman" w:hAnsi="Book Antiqua"/>
          <w:noProof/>
          <w:color w:val="0070C0"/>
          <w:sz w:val="26"/>
          <w:szCs w:val="26"/>
          <w:lang w:eastAsia="fr-FR"/>
        </w:rPr>
      </w:pPr>
    </w:p>
    <w:p w14:paraId="00BE00E8" w14:textId="6E078A3D" w:rsidR="00E7041A" w:rsidRPr="0068654C" w:rsidRDefault="00E7041A" w:rsidP="00AA6D7E">
      <w:pPr>
        <w:autoSpaceDE w:val="0"/>
        <w:autoSpaceDN w:val="0"/>
        <w:adjustRightInd w:val="0"/>
        <w:spacing w:before="120" w:after="120" w:line="240" w:lineRule="auto"/>
        <w:jc w:val="both"/>
        <w:rPr>
          <w:rFonts w:ascii="Book Antiqua" w:eastAsia="Times New Roman" w:hAnsi="Book Antiqua"/>
          <w:noProof/>
          <w:color w:val="0070C0"/>
          <w:sz w:val="26"/>
          <w:szCs w:val="26"/>
          <w:lang w:eastAsia="fr-FR"/>
        </w:rPr>
      </w:pPr>
      <w:r w:rsidRPr="0068654C">
        <w:rPr>
          <w:rFonts w:ascii="Book Antiqua" w:eastAsia="Times New Roman" w:hAnsi="Book Antiqua"/>
          <w:noProof/>
          <w:color w:val="0070C0"/>
          <w:sz w:val="26"/>
          <w:szCs w:val="26"/>
          <w:lang w:eastAsia="fr-FR"/>
        </w:rPr>
        <w:t xml:space="preserve">Entre le </w:t>
      </w:r>
      <w:r w:rsidR="0062330B" w:rsidRPr="0068654C">
        <w:rPr>
          <w:rFonts w:ascii="Book Antiqua" w:eastAsia="Times New Roman" w:hAnsi="Book Antiqua"/>
          <w:noProof/>
          <w:color w:val="0070C0"/>
          <w:sz w:val="26"/>
          <w:szCs w:val="26"/>
          <w:lang w:eastAsia="fr-FR"/>
        </w:rPr>
        <w:t>troisième</w:t>
      </w:r>
      <w:r w:rsidRPr="0068654C">
        <w:rPr>
          <w:rFonts w:ascii="Book Antiqua" w:eastAsia="Times New Roman" w:hAnsi="Book Antiqua"/>
          <w:noProof/>
          <w:color w:val="0070C0"/>
          <w:sz w:val="26"/>
          <w:szCs w:val="26"/>
          <w:lang w:eastAsia="fr-FR"/>
        </w:rPr>
        <w:t xml:space="preserve"> trimestre de </w:t>
      </w:r>
      <w:r w:rsidRPr="000C573D">
        <w:rPr>
          <w:rFonts w:ascii="Book Antiqua" w:eastAsia="Times New Roman" w:hAnsi="Book Antiqua"/>
          <w:noProof/>
          <w:color w:val="0070C0"/>
          <w:sz w:val="26"/>
          <w:szCs w:val="26"/>
          <w:lang w:eastAsia="fr-FR"/>
        </w:rPr>
        <w:t>202</w:t>
      </w:r>
      <w:r w:rsidR="000C573D" w:rsidRPr="000C573D">
        <w:rPr>
          <w:rFonts w:ascii="Book Antiqua" w:eastAsia="Times New Roman" w:hAnsi="Book Antiqua"/>
          <w:noProof/>
          <w:color w:val="0070C0"/>
          <w:sz w:val="26"/>
          <w:szCs w:val="26"/>
          <w:lang w:eastAsia="fr-FR"/>
        </w:rPr>
        <w:t>0</w:t>
      </w:r>
      <w:r w:rsidRPr="000C573D">
        <w:rPr>
          <w:rFonts w:ascii="Book Antiqua" w:eastAsia="Times New Roman" w:hAnsi="Book Antiqua"/>
          <w:noProof/>
          <w:color w:val="0070C0"/>
          <w:sz w:val="26"/>
          <w:szCs w:val="26"/>
          <w:lang w:eastAsia="fr-FR"/>
        </w:rPr>
        <w:t xml:space="preserve"> et la même période de 202</w:t>
      </w:r>
      <w:r w:rsidR="000C573D" w:rsidRPr="000C573D">
        <w:rPr>
          <w:rFonts w:ascii="Book Antiqua" w:eastAsia="Times New Roman" w:hAnsi="Book Antiqua"/>
          <w:noProof/>
          <w:color w:val="0070C0"/>
          <w:sz w:val="26"/>
          <w:szCs w:val="26"/>
          <w:lang w:eastAsia="fr-FR"/>
        </w:rPr>
        <w:t>1</w:t>
      </w:r>
      <w:r w:rsidRPr="000C573D">
        <w:rPr>
          <w:rFonts w:ascii="Book Antiqua" w:eastAsia="Times New Roman" w:hAnsi="Book Antiqua"/>
          <w:noProof/>
          <w:color w:val="0070C0"/>
          <w:sz w:val="26"/>
          <w:szCs w:val="26"/>
          <w:lang w:eastAsia="fr-FR"/>
        </w:rPr>
        <w:t>,</w:t>
      </w:r>
      <w:r w:rsidRPr="0068654C">
        <w:rPr>
          <w:rFonts w:ascii="Book Antiqua" w:eastAsia="Times New Roman" w:hAnsi="Book Antiqua"/>
          <w:noProof/>
          <w:color w:val="0070C0"/>
          <w:sz w:val="26"/>
          <w:szCs w:val="26"/>
          <w:lang w:eastAsia="fr-FR"/>
        </w:rPr>
        <w:t xml:space="preserve"> </w:t>
      </w:r>
      <w:r w:rsidRPr="000C573D">
        <w:rPr>
          <w:rFonts w:ascii="Book Antiqua" w:eastAsia="Times New Roman" w:hAnsi="Book Antiqua"/>
          <w:b/>
          <w:bCs/>
          <w:noProof/>
          <w:color w:val="0070C0"/>
          <w:sz w:val="26"/>
          <w:szCs w:val="26"/>
          <w:lang w:eastAsia="fr-FR"/>
        </w:rPr>
        <w:t xml:space="preserve">l’économie nationale a créé </w:t>
      </w:r>
      <w:r w:rsidR="0062330B" w:rsidRPr="000C573D">
        <w:rPr>
          <w:rFonts w:ascii="Book Antiqua" w:eastAsia="Times New Roman" w:hAnsi="Book Antiqua"/>
          <w:b/>
          <w:bCs/>
          <w:noProof/>
          <w:color w:val="0070C0"/>
          <w:sz w:val="26"/>
          <w:szCs w:val="26"/>
          <w:lang w:eastAsia="fr-FR"/>
        </w:rPr>
        <w:t>642</w:t>
      </w:r>
      <w:r w:rsidRPr="000C573D">
        <w:rPr>
          <w:rFonts w:ascii="Book Antiqua" w:eastAsia="Times New Roman" w:hAnsi="Book Antiqua"/>
          <w:b/>
          <w:bCs/>
          <w:noProof/>
          <w:color w:val="0070C0"/>
          <w:sz w:val="26"/>
          <w:szCs w:val="26"/>
          <w:lang w:eastAsia="fr-FR"/>
        </w:rPr>
        <w:t>.000 postes d’emploi</w:t>
      </w:r>
      <w:r w:rsidRPr="0068654C">
        <w:rPr>
          <w:rFonts w:ascii="Book Antiqua" w:eastAsia="Times New Roman" w:hAnsi="Book Antiqua"/>
          <w:noProof/>
          <w:color w:val="0070C0"/>
          <w:sz w:val="26"/>
          <w:szCs w:val="26"/>
          <w:lang w:eastAsia="fr-FR"/>
        </w:rPr>
        <w:t xml:space="preserve">, résultant d’une création de </w:t>
      </w:r>
      <w:r w:rsidR="0062330B" w:rsidRPr="0068654C">
        <w:rPr>
          <w:rFonts w:ascii="Book Antiqua" w:eastAsia="Times New Roman" w:hAnsi="Book Antiqua"/>
          <w:noProof/>
          <w:color w:val="0070C0"/>
          <w:sz w:val="26"/>
          <w:szCs w:val="26"/>
          <w:lang w:eastAsia="fr-FR"/>
        </w:rPr>
        <w:t>274</w:t>
      </w:r>
      <w:r w:rsidRPr="0068654C">
        <w:rPr>
          <w:rFonts w:ascii="Book Antiqua" w:eastAsia="Times New Roman" w:hAnsi="Book Antiqua"/>
          <w:noProof/>
          <w:color w:val="0070C0"/>
          <w:sz w:val="26"/>
          <w:szCs w:val="26"/>
          <w:lang w:eastAsia="fr-FR"/>
        </w:rPr>
        <w:t xml:space="preserve">.000 en milieu rural et de </w:t>
      </w:r>
      <w:r w:rsidR="0062330B" w:rsidRPr="0068654C">
        <w:rPr>
          <w:rFonts w:ascii="Book Antiqua" w:eastAsia="Times New Roman" w:hAnsi="Book Antiqua"/>
          <w:noProof/>
          <w:color w:val="0070C0"/>
          <w:sz w:val="26"/>
          <w:szCs w:val="26"/>
          <w:lang w:eastAsia="fr-FR"/>
        </w:rPr>
        <w:t>36</w:t>
      </w:r>
      <w:r w:rsidR="001C4322">
        <w:rPr>
          <w:rFonts w:ascii="Book Antiqua" w:eastAsia="Times New Roman" w:hAnsi="Book Antiqua"/>
          <w:noProof/>
          <w:color w:val="0070C0"/>
          <w:sz w:val="26"/>
          <w:szCs w:val="26"/>
          <w:lang w:eastAsia="fr-FR"/>
        </w:rPr>
        <w:t>8</w:t>
      </w:r>
      <w:r w:rsidRPr="0068654C">
        <w:rPr>
          <w:rFonts w:ascii="Book Antiqua" w:eastAsia="Times New Roman" w:hAnsi="Book Antiqua"/>
          <w:noProof/>
          <w:color w:val="0070C0"/>
          <w:sz w:val="26"/>
          <w:szCs w:val="26"/>
          <w:lang w:eastAsia="fr-FR"/>
        </w:rPr>
        <w:t xml:space="preserve">.000 postes en milieu urbain, contre </w:t>
      </w:r>
      <w:r w:rsidR="002A0851" w:rsidRPr="0068654C">
        <w:rPr>
          <w:rFonts w:ascii="Book Antiqua" w:eastAsia="Times New Roman" w:hAnsi="Book Antiqua"/>
          <w:noProof/>
          <w:color w:val="0070C0"/>
          <w:sz w:val="26"/>
          <w:szCs w:val="26"/>
          <w:lang w:eastAsia="fr-FR"/>
        </w:rPr>
        <w:t xml:space="preserve">une perte de 581.000 postes d’emploi </w:t>
      </w:r>
      <w:r w:rsidRPr="0068654C">
        <w:rPr>
          <w:rFonts w:ascii="Book Antiqua" w:eastAsia="Times New Roman" w:hAnsi="Book Antiqua"/>
          <w:noProof/>
          <w:color w:val="0070C0"/>
          <w:sz w:val="26"/>
          <w:szCs w:val="26"/>
          <w:lang w:eastAsia="fr-FR"/>
        </w:rPr>
        <w:t>une année auparavant</w:t>
      </w:r>
      <w:r w:rsidR="006B2554" w:rsidRPr="0068654C">
        <w:rPr>
          <w:rFonts w:ascii="Book Antiqua" w:eastAsia="Times New Roman" w:hAnsi="Book Antiqua"/>
          <w:noProof/>
          <w:color w:val="0070C0"/>
          <w:sz w:val="26"/>
          <w:szCs w:val="26"/>
          <w:lang w:eastAsia="fr-FR"/>
        </w:rPr>
        <w:t xml:space="preserve"> </w:t>
      </w:r>
      <w:r w:rsidRPr="0068654C">
        <w:rPr>
          <w:rFonts w:ascii="Book Antiqua" w:eastAsia="Times New Roman" w:hAnsi="Book Antiqua"/>
          <w:noProof/>
          <w:color w:val="0070C0"/>
          <w:sz w:val="26"/>
          <w:szCs w:val="26"/>
          <w:lang w:eastAsia="fr-FR"/>
        </w:rPr>
        <w:t xml:space="preserve">et une création annuelle moyenne de </w:t>
      </w:r>
      <w:r w:rsidR="00DE5EB5" w:rsidRPr="00DE5EB5">
        <w:rPr>
          <w:rFonts w:ascii="Book Antiqua" w:eastAsia="Times New Roman" w:hAnsi="Book Antiqua"/>
          <w:noProof/>
          <w:color w:val="0070C0"/>
          <w:sz w:val="26"/>
          <w:szCs w:val="26"/>
          <w:lang w:eastAsia="fr-FR"/>
        </w:rPr>
        <w:t>145.000</w:t>
      </w:r>
      <w:r w:rsidRPr="00DE5EB5">
        <w:rPr>
          <w:rFonts w:ascii="Book Antiqua" w:eastAsia="Times New Roman" w:hAnsi="Book Antiqua"/>
          <w:noProof/>
          <w:color w:val="0070C0"/>
          <w:sz w:val="26"/>
          <w:szCs w:val="26"/>
          <w:lang w:eastAsia="fr-FR"/>
        </w:rPr>
        <w:t xml:space="preserve"> postes au</w:t>
      </w:r>
      <w:r w:rsidRPr="0068654C">
        <w:rPr>
          <w:rFonts w:ascii="Book Antiqua" w:eastAsia="Times New Roman" w:hAnsi="Book Antiqua"/>
          <w:noProof/>
          <w:color w:val="0070C0"/>
          <w:sz w:val="26"/>
          <w:szCs w:val="26"/>
          <w:lang w:eastAsia="fr-FR"/>
        </w:rPr>
        <w:t xml:space="preserve"> cours des trois années prépandémie.</w:t>
      </w:r>
    </w:p>
    <w:p w14:paraId="14358027" w14:textId="53499400" w:rsidR="00E7041A" w:rsidRPr="0068654C" w:rsidRDefault="00E7041A" w:rsidP="00AA6D7E">
      <w:pPr>
        <w:autoSpaceDE w:val="0"/>
        <w:autoSpaceDN w:val="0"/>
        <w:adjustRightInd w:val="0"/>
        <w:spacing w:before="120" w:after="120" w:line="240" w:lineRule="auto"/>
        <w:jc w:val="both"/>
        <w:rPr>
          <w:rFonts w:ascii="Book Antiqua" w:eastAsia="Times New Roman" w:hAnsi="Book Antiqua"/>
          <w:noProof/>
          <w:color w:val="0070C0"/>
          <w:sz w:val="26"/>
          <w:szCs w:val="26"/>
          <w:lang w:eastAsia="fr-FR"/>
        </w:rPr>
      </w:pPr>
      <w:r w:rsidRPr="0068654C">
        <w:rPr>
          <w:rFonts w:ascii="Book Antiqua" w:eastAsia="Times New Roman" w:hAnsi="Book Antiqua"/>
          <w:noProof/>
          <w:color w:val="0070C0"/>
          <w:sz w:val="26"/>
          <w:szCs w:val="26"/>
          <w:lang w:eastAsia="fr-FR"/>
        </w:rPr>
        <w:t xml:space="preserve">Le secteur </w:t>
      </w:r>
      <w:r w:rsidR="008F4C93" w:rsidRPr="0068654C">
        <w:rPr>
          <w:rFonts w:ascii="Book Antiqua" w:eastAsia="Times New Roman" w:hAnsi="Book Antiqua"/>
          <w:noProof/>
          <w:color w:val="0070C0"/>
          <w:sz w:val="26"/>
          <w:szCs w:val="26"/>
          <w:lang w:eastAsia="fr-FR"/>
        </w:rPr>
        <w:t xml:space="preserve"> des services </w:t>
      </w:r>
      <w:r w:rsidRPr="0068654C">
        <w:rPr>
          <w:rFonts w:ascii="Book Antiqua" w:eastAsia="Times New Roman" w:hAnsi="Book Antiqua"/>
          <w:noProof/>
          <w:color w:val="0070C0"/>
          <w:sz w:val="26"/>
          <w:szCs w:val="26"/>
          <w:lang w:eastAsia="fr-FR"/>
        </w:rPr>
        <w:t>a créé 3</w:t>
      </w:r>
      <w:r w:rsidR="008F4C93" w:rsidRPr="0068654C">
        <w:rPr>
          <w:rFonts w:ascii="Book Antiqua" w:eastAsia="Times New Roman" w:hAnsi="Book Antiqua"/>
          <w:noProof/>
          <w:color w:val="0070C0"/>
          <w:sz w:val="26"/>
          <w:szCs w:val="26"/>
          <w:lang w:eastAsia="fr-FR"/>
        </w:rPr>
        <w:t>0</w:t>
      </w:r>
      <w:r w:rsidR="001C4322">
        <w:rPr>
          <w:rFonts w:ascii="Book Antiqua" w:eastAsia="Times New Roman" w:hAnsi="Book Antiqua"/>
          <w:noProof/>
          <w:color w:val="0070C0"/>
          <w:sz w:val="26"/>
          <w:szCs w:val="26"/>
          <w:lang w:eastAsia="fr-FR"/>
        </w:rPr>
        <w:t>6</w:t>
      </w:r>
      <w:r w:rsidRPr="0068654C">
        <w:rPr>
          <w:rFonts w:ascii="Book Antiqua" w:eastAsia="Times New Roman" w:hAnsi="Book Antiqua"/>
          <w:noProof/>
          <w:color w:val="0070C0"/>
          <w:sz w:val="26"/>
          <w:szCs w:val="26"/>
          <w:lang w:eastAsia="fr-FR"/>
        </w:rPr>
        <w:t>.000 postes,</w:t>
      </w:r>
      <w:r w:rsidR="002A0851" w:rsidRPr="0068654C">
        <w:rPr>
          <w:rFonts w:ascii="Book Antiqua" w:eastAsia="Times New Roman" w:hAnsi="Book Antiqua"/>
          <w:noProof/>
          <w:color w:val="0070C0"/>
          <w:sz w:val="26"/>
          <w:szCs w:val="26"/>
          <w:lang w:eastAsia="fr-FR"/>
        </w:rPr>
        <w:t xml:space="preserve"> celui de</w:t>
      </w:r>
      <w:r w:rsidR="0068654C">
        <w:rPr>
          <w:rFonts w:ascii="Book Antiqua" w:eastAsia="Times New Roman" w:hAnsi="Book Antiqua"/>
          <w:noProof/>
          <w:color w:val="0070C0"/>
          <w:sz w:val="26"/>
          <w:szCs w:val="26"/>
          <w:lang w:eastAsia="fr-FR"/>
        </w:rPr>
        <w:t xml:space="preserve"> </w:t>
      </w:r>
      <w:r w:rsidR="008F4C93" w:rsidRPr="0068654C">
        <w:rPr>
          <w:rFonts w:ascii="Book Antiqua" w:eastAsia="Times New Roman" w:hAnsi="Book Antiqua"/>
          <w:noProof/>
          <w:color w:val="0070C0"/>
          <w:sz w:val="26"/>
          <w:szCs w:val="26"/>
          <w:lang w:eastAsia="fr-FR"/>
        </w:rPr>
        <w:t>l’"agriculture, forêt et pêche" 190.000</w:t>
      </w:r>
      <w:r w:rsidR="002A0851" w:rsidRPr="0068654C">
        <w:rPr>
          <w:rFonts w:ascii="Book Antiqua" w:eastAsia="Times New Roman" w:hAnsi="Book Antiqua"/>
          <w:noProof/>
          <w:color w:val="0070C0"/>
          <w:sz w:val="26"/>
          <w:szCs w:val="26"/>
          <w:lang w:eastAsia="fr-FR"/>
        </w:rPr>
        <w:t>,</w:t>
      </w:r>
      <w:r w:rsidRPr="0068654C">
        <w:rPr>
          <w:rFonts w:ascii="Book Antiqua" w:eastAsia="Times New Roman" w:hAnsi="Book Antiqua"/>
          <w:noProof/>
          <w:color w:val="0070C0"/>
          <w:sz w:val="26"/>
          <w:szCs w:val="26"/>
          <w:lang w:eastAsia="fr-FR"/>
        </w:rPr>
        <w:t xml:space="preserve"> les BTP </w:t>
      </w:r>
      <w:r w:rsidR="008F4C93" w:rsidRPr="0068654C">
        <w:rPr>
          <w:rFonts w:ascii="Book Antiqua" w:eastAsia="Times New Roman" w:hAnsi="Book Antiqua"/>
          <w:noProof/>
          <w:color w:val="0070C0"/>
          <w:sz w:val="26"/>
          <w:szCs w:val="26"/>
          <w:lang w:eastAsia="fr-FR"/>
        </w:rPr>
        <w:t>92.000</w:t>
      </w:r>
      <w:r w:rsidR="0068654C">
        <w:rPr>
          <w:rFonts w:ascii="Book Antiqua" w:eastAsia="Times New Roman" w:hAnsi="Book Antiqua"/>
          <w:noProof/>
          <w:color w:val="0070C0"/>
          <w:sz w:val="26"/>
          <w:szCs w:val="26"/>
          <w:lang w:eastAsia="fr-FR"/>
        </w:rPr>
        <w:t xml:space="preserve"> </w:t>
      </w:r>
      <w:r w:rsidR="002A0851" w:rsidRPr="0068654C">
        <w:rPr>
          <w:rFonts w:ascii="Book Antiqua" w:eastAsia="Times New Roman" w:hAnsi="Book Antiqua"/>
          <w:noProof/>
          <w:color w:val="0070C0"/>
          <w:sz w:val="26"/>
          <w:szCs w:val="26"/>
          <w:lang w:eastAsia="fr-FR"/>
        </w:rPr>
        <w:t>poste</w:t>
      </w:r>
      <w:r w:rsidR="00F36ECD">
        <w:rPr>
          <w:rFonts w:ascii="Book Antiqua" w:eastAsia="Times New Roman" w:hAnsi="Book Antiqua"/>
          <w:noProof/>
          <w:color w:val="0070C0"/>
          <w:sz w:val="26"/>
          <w:szCs w:val="26"/>
          <w:lang w:eastAsia="fr-FR"/>
        </w:rPr>
        <w:t>s</w:t>
      </w:r>
      <w:r w:rsidR="002F4B35">
        <w:rPr>
          <w:rFonts w:ascii="Book Antiqua" w:eastAsia="Times New Roman" w:hAnsi="Book Antiqua"/>
          <w:noProof/>
          <w:color w:val="0070C0"/>
          <w:sz w:val="26"/>
          <w:szCs w:val="26"/>
          <w:lang w:eastAsia="fr-FR"/>
        </w:rPr>
        <w:t xml:space="preserve"> et de</w:t>
      </w:r>
      <w:r w:rsidR="002A0851" w:rsidRPr="0068654C">
        <w:rPr>
          <w:rFonts w:ascii="Book Antiqua" w:eastAsia="Times New Roman" w:hAnsi="Book Antiqua"/>
          <w:noProof/>
          <w:color w:val="0070C0"/>
          <w:sz w:val="26"/>
          <w:szCs w:val="26"/>
          <w:lang w:eastAsia="fr-FR"/>
        </w:rPr>
        <w:t xml:space="preserve"> </w:t>
      </w:r>
      <w:r w:rsidRPr="0068654C">
        <w:rPr>
          <w:rFonts w:ascii="Book Antiqua" w:eastAsia="Times New Roman" w:hAnsi="Book Antiqua"/>
          <w:noProof/>
          <w:color w:val="0070C0"/>
          <w:sz w:val="26"/>
          <w:szCs w:val="26"/>
          <w:lang w:eastAsia="fr-FR"/>
        </w:rPr>
        <w:t xml:space="preserve">l’"industrie y compris l'artisanat" </w:t>
      </w:r>
      <w:r w:rsidR="002A0851" w:rsidRPr="0068654C">
        <w:rPr>
          <w:rFonts w:ascii="Book Antiqua" w:eastAsia="Times New Roman" w:hAnsi="Book Antiqua"/>
          <w:noProof/>
          <w:color w:val="0070C0"/>
          <w:sz w:val="26"/>
          <w:szCs w:val="26"/>
          <w:lang w:eastAsia="fr-FR"/>
        </w:rPr>
        <w:t xml:space="preserve"> en a cré</w:t>
      </w:r>
      <w:r w:rsidR="00F36ECD">
        <w:rPr>
          <w:rFonts w:ascii="Book Antiqua" w:eastAsia="Times New Roman" w:hAnsi="Book Antiqua"/>
          <w:noProof/>
          <w:color w:val="0070C0"/>
          <w:sz w:val="26"/>
          <w:szCs w:val="26"/>
          <w:lang w:eastAsia="fr-FR"/>
        </w:rPr>
        <w:t>é</w:t>
      </w:r>
      <w:r w:rsidR="0068654C">
        <w:rPr>
          <w:rFonts w:ascii="Book Antiqua" w:eastAsia="Times New Roman" w:hAnsi="Book Antiqua"/>
          <w:noProof/>
          <w:color w:val="0070C0"/>
          <w:sz w:val="26"/>
          <w:szCs w:val="26"/>
          <w:lang w:eastAsia="fr-FR"/>
        </w:rPr>
        <w:t xml:space="preserve"> </w:t>
      </w:r>
      <w:r w:rsidRPr="0068654C">
        <w:rPr>
          <w:rFonts w:ascii="Book Antiqua" w:eastAsia="Times New Roman" w:hAnsi="Book Antiqua"/>
          <w:noProof/>
          <w:color w:val="0070C0"/>
          <w:sz w:val="26"/>
          <w:szCs w:val="26"/>
          <w:lang w:eastAsia="fr-FR"/>
        </w:rPr>
        <w:t>5</w:t>
      </w:r>
      <w:r w:rsidR="001C4322">
        <w:rPr>
          <w:rFonts w:ascii="Book Antiqua" w:eastAsia="Times New Roman" w:hAnsi="Book Antiqua"/>
          <w:noProof/>
          <w:color w:val="0070C0"/>
          <w:sz w:val="26"/>
          <w:szCs w:val="26"/>
          <w:lang w:eastAsia="fr-FR"/>
        </w:rPr>
        <w:t>4</w:t>
      </w:r>
      <w:r w:rsidRPr="0068654C">
        <w:rPr>
          <w:rFonts w:ascii="Book Antiqua" w:eastAsia="Times New Roman" w:hAnsi="Book Antiqua"/>
          <w:noProof/>
          <w:color w:val="0070C0"/>
          <w:sz w:val="26"/>
          <w:szCs w:val="26"/>
          <w:lang w:eastAsia="fr-FR"/>
        </w:rPr>
        <w:t>.000.</w:t>
      </w:r>
    </w:p>
    <w:p w14:paraId="0FC62D74" w14:textId="0EEB9B6B" w:rsidR="00E7041A" w:rsidRPr="0068654C" w:rsidRDefault="00E7041A" w:rsidP="00AA6D7E">
      <w:pPr>
        <w:autoSpaceDE w:val="0"/>
        <w:autoSpaceDN w:val="0"/>
        <w:adjustRightInd w:val="0"/>
        <w:spacing w:before="120" w:after="120" w:line="240" w:lineRule="auto"/>
        <w:jc w:val="both"/>
        <w:rPr>
          <w:rFonts w:ascii="Book Antiqua" w:eastAsia="Times New Roman" w:hAnsi="Book Antiqua"/>
          <w:noProof/>
          <w:color w:val="0070C0"/>
          <w:sz w:val="26"/>
          <w:szCs w:val="26"/>
          <w:lang w:eastAsia="fr-FR"/>
        </w:rPr>
      </w:pPr>
      <w:r w:rsidRPr="0068654C">
        <w:rPr>
          <w:rFonts w:ascii="Book Antiqua" w:eastAsia="Times New Roman" w:hAnsi="Book Antiqua"/>
          <w:noProof/>
          <w:color w:val="0070C0"/>
          <w:sz w:val="26"/>
          <w:szCs w:val="26"/>
          <w:lang w:eastAsia="fr-FR"/>
        </w:rPr>
        <w:t xml:space="preserve">Avec une </w:t>
      </w:r>
      <w:r w:rsidR="00AA6D7E">
        <w:rPr>
          <w:rFonts w:ascii="Book Antiqua" w:eastAsia="Times New Roman" w:hAnsi="Book Antiqua"/>
          <w:noProof/>
          <w:color w:val="0070C0"/>
          <w:sz w:val="26"/>
          <w:szCs w:val="26"/>
          <w:lang w:eastAsia="fr-FR"/>
        </w:rPr>
        <w:t>baisse</w:t>
      </w:r>
      <w:r w:rsidRPr="0068654C">
        <w:rPr>
          <w:rFonts w:ascii="Book Antiqua" w:eastAsia="Times New Roman" w:hAnsi="Book Antiqua"/>
          <w:noProof/>
          <w:color w:val="0070C0"/>
          <w:sz w:val="26"/>
          <w:szCs w:val="26"/>
          <w:lang w:eastAsia="fr-FR"/>
        </w:rPr>
        <w:t xml:space="preserve"> de</w:t>
      </w:r>
      <w:r w:rsidR="00AA6D7E">
        <w:rPr>
          <w:rFonts w:ascii="Book Antiqua" w:eastAsia="Times New Roman" w:hAnsi="Book Antiqua"/>
          <w:noProof/>
          <w:color w:val="0070C0"/>
          <w:sz w:val="26"/>
          <w:szCs w:val="26"/>
          <w:lang w:eastAsia="fr-FR"/>
        </w:rPr>
        <w:t xml:space="preserve"> </w:t>
      </w:r>
      <w:r w:rsidRPr="0068654C">
        <w:rPr>
          <w:rFonts w:ascii="Book Antiqua" w:eastAsia="Times New Roman" w:hAnsi="Book Antiqua"/>
          <w:noProof/>
          <w:color w:val="0070C0"/>
          <w:sz w:val="26"/>
          <w:szCs w:val="26"/>
          <w:lang w:eastAsia="fr-FR"/>
        </w:rPr>
        <w:t xml:space="preserve">35.000 </w:t>
      </w:r>
      <w:r w:rsidR="00055130" w:rsidRPr="0068654C">
        <w:rPr>
          <w:rFonts w:ascii="Book Antiqua" w:eastAsia="Times New Roman" w:hAnsi="Book Antiqua"/>
          <w:noProof/>
          <w:color w:val="0070C0"/>
          <w:sz w:val="26"/>
          <w:szCs w:val="26"/>
          <w:lang w:eastAsia="fr-FR"/>
        </w:rPr>
        <w:t>chômeurs, résultant</w:t>
      </w:r>
      <w:r w:rsidRPr="0068654C">
        <w:rPr>
          <w:rFonts w:ascii="Book Antiqua" w:eastAsia="Times New Roman" w:hAnsi="Book Antiqua"/>
          <w:noProof/>
          <w:color w:val="0070C0"/>
          <w:sz w:val="26"/>
          <w:szCs w:val="26"/>
          <w:lang w:eastAsia="fr-FR"/>
        </w:rPr>
        <w:t xml:space="preserve"> d’une réduction de 60.000 chômeurs en milieu rural et d’une augmentation de 25.000 en milieu urbain, le volume de chômage a atteint 1.447.000</w:t>
      </w:r>
      <w:r w:rsidR="00AA6D7E">
        <w:rPr>
          <w:rFonts w:ascii="Book Antiqua" w:eastAsia="Times New Roman" w:hAnsi="Book Antiqua"/>
          <w:noProof/>
          <w:color w:val="0070C0"/>
          <w:sz w:val="26"/>
          <w:szCs w:val="26"/>
          <w:lang w:eastAsia="fr-FR"/>
        </w:rPr>
        <w:t xml:space="preserve"> </w:t>
      </w:r>
      <w:r w:rsidRPr="0068654C">
        <w:rPr>
          <w:rFonts w:ascii="Book Antiqua" w:eastAsia="Times New Roman" w:hAnsi="Book Antiqua"/>
          <w:noProof/>
          <w:color w:val="0070C0"/>
          <w:sz w:val="26"/>
          <w:szCs w:val="26"/>
          <w:lang w:eastAsia="fr-FR"/>
        </w:rPr>
        <w:t>personnes au niveau national.</w:t>
      </w:r>
    </w:p>
    <w:p w14:paraId="40CA7549" w14:textId="77777777" w:rsidR="00E7041A" w:rsidRPr="0068654C" w:rsidRDefault="00E7041A" w:rsidP="00AA6D7E">
      <w:pPr>
        <w:autoSpaceDE w:val="0"/>
        <w:autoSpaceDN w:val="0"/>
        <w:adjustRightInd w:val="0"/>
        <w:spacing w:before="120" w:after="120" w:line="240" w:lineRule="auto"/>
        <w:jc w:val="both"/>
        <w:rPr>
          <w:rFonts w:ascii="Book Antiqua" w:eastAsia="Times New Roman" w:hAnsi="Book Antiqua"/>
          <w:noProof/>
          <w:color w:val="0070C0"/>
          <w:sz w:val="26"/>
          <w:szCs w:val="26"/>
          <w:lang w:eastAsia="fr-FR"/>
        </w:rPr>
      </w:pPr>
      <w:r w:rsidRPr="000C573D">
        <w:rPr>
          <w:rFonts w:ascii="Book Antiqua" w:eastAsia="Times New Roman" w:hAnsi="Book Antiqua"/>
          <w:b/>
          <w:bCs/>
          <w:noProof/>
          <w:color w:val="0070C0"/>
          <w:sz w:val="26"/>
          <w:szCs w:val="26"/>
          <w:lang w:eastAsia="fr-FR"/>
        </w:rPr>
        <w:t>Le taux de chômage est ainsi passé de 12,7% à 11,8% au niveau national</w:t>
      </w:r>
      <w:r w:rsidRPr="0068654C">
        <w:rPr>
          <w:rFonts w:ascii="Book Antiqua" w:eastAsia="Times New Roman" w:hAnsi="Book Antiqua"/>
          <w:noProof/>
          <w:color w:val="0070C0"/>
          <w:sz w:val="26"/>
          <w:szCs w:val="26"/>
          <w:lang w:eastAsia="fr-FR"/>
        </w:rPr>
        <w:t>, de 16,5% à 16%  en milieu urbain et de 6,8% à 5,2% en</w:t>
      </w:r>
      <w:r w:rsidR="004C37C0" w:rsidRPr="0068654C">
        <w:rPr>
          <w:rFonts w:ascii="Book Antiqua" w:eastAsia="Times New Roman" w:hAnsi="Book Antiqua"/>
          <w:noProof/>
          <w:color w:val="0070C0"/>
          <w:sz w:val="26"/>
          <w:szCs w:val="26"/>
          <w:lang w:eastAsia="fr-FR"/>
        </w:rPr>
        <w:t xml:space="preserve"> </w:t>
      </w:r>
      <w:r w:rsidRPr="0068654C">
        <w:rPr>
          <w:rFonts w:ascii="Book Antiqua" w:eastAsia="Times New Roman" w:hAnsi="Book Antiqua"/>
          <w:noProof/>
          <w:color w:val="0070C0"/>
          <w:sz w:val="26"/>
          <w:szCs w:val="26"/>
          <w:lang w:eastAsia="fr-FR"/>
        </w:rPr>
        <w:t>milieu rural. Il est plus élevé parmi les jeunes âgés de 15 à 24 ans (31%), les diplômés (18,7%) et les femmes (16,5%).</w:t>
      </w:r>
    </w:p>
    <w:p w14:paraId="32024990" w14:textId="77777777" w:rsidR="00E7041A" w:rsidRPr="0068654C" w:rsidRDefault="00E7041A" w:rsidP="00AA6D7E">
      <w:pPr>
        <w:autoSpaceDE w:val="0"/>
        <w:autoSpaceDN w:val="0"/>
        <w:adjustRightInd w:val="0"/>
        <w:spacing w:before="120" w:after="120" w:line="240" w:lineRule="auto"/>
        <w:jc w:val="both"/>
        <w:rPr>
          <w:rFonts w:ascii="Book Antiqua" w:eastAsia="Times New Roman" w:hAnsi="Book Antiqua"/>
          <w:noProof/>
          <w:color w:val="0070C0"/>
          <w:sz w:val="26"/>
          <w:szCs w:val="26"/>
          <w:lang w:eastAsia="fr-FR"/>
        </w:rPr>
      </w:pPr>
      <w:r w:rsidRPr="0068654C">
        <w:rPr>
          <w:rFonts w:ascii="Book Antiqua" w:eastAsia="Times New Roman" w:hAnsi="Book Antiqua"/>
          <w:noProof/>
          <w:color w:val="0070C0"/>
          <w:sz w:val="26"/>
          <w:szCs w:val="26"/>
          <w:lang w:eastAsia="fr-FR"/>
        </w:rPr>
        <w:t xml:space="preserve">La population active occupée en situation de sous-emploi lié au nombre d’heures travaillées a atteint 495.000 personnes, avec un taux de 4,6%. Celle en situation de sous-emploi lié à l’insuffisance du revenu ou à l’inadéquation entre la formation et l’emploi exercé est de 531.000 personnes (4,9%). En somme, le volume du sous-emploi, dans ses deux composantes, a atteint 1.027.000 personnes.  </w:t>
      </w:r>
      <w:r w:rsidRPr="000C573D">
        <w:rPr>
          <w:rFonts w:ascii="Book Antiqua" w:eastAsia="Times New Roman" w:hAnsi="Book Antiqua"/>
          <w:b/>
          <w:bCs/>
          <w:noProof/>
          <w:color w:val="0070C0"/>
          <w:sz w:val="26"/>
          <w:szCs w:val="26"/>
          <w:lang w:eastAsia="fr-FR"/>
        </w:rPr>
        <w:t>Le taux global de sous-emploi est ainsi baissé</w:t>
      </w:r>
      <w:r w:rsidR="004C37C0" w:rsidRPr="000C573D">
        <w:rPr>
          <w:rFonts w:ascii="Book Antiqua" w:eastAsia="Times New Roman" w:hAnsi="Book Antiqua"/>
          <w:b/>
          <w:bCs/>
          <w:noProof/>
          <w:color w:val="0070C0"/>
          <w:sz w:val="26"/>
          <w:szCs w:val="26"/>
          <w:lang w:eastAsia="fr-FR"/>
        </w:rPr>
        <w:t xml:space="preserve"> </w:t>
      </w:r>
      <w:r w:rsidRPr="000C573D">
        <w:rPr>
          <w:rFonts w:ascii="Book Antiqua" w:eastAsia="Times New Roman" w:hAnsi="Book Antiqua"/>
          <w:b/>
          <w:bCs/>
          <w:noProof/>
          <w:color w:val="0070C0"/>
          <w:sz w:val="26"/>
          <w:szCs w:val="26"/>
          <w:lang w:eastAsia="fr-FR"/>
        </w:rPr>
        <w:t>de 11,6% à 9,5% au niveau national</w:t>
      </w:r>
      <w:r w:rsidRPr="0068654C">
        <w:rPr>
          <w:rFonts w:ascii="Book Antiqua" w:eastAsia="Times New Roman" w:hAnsi="Book Antiqua"/>
          <w:noProof/>
          <w:color w:val="0070C0"/>
          <w:sz w:val="26"/>
          <w:szCs w:val="26"/>
          <w:lang w:eastAsia="fr-FR"/>
        </w:rPr>
        <w:t>, de 10,5% à 8,6%  en milieu urbain et de 13,3% à 10,8% en milieu rural.</w:t>
      </w:r>
    </w:p>
    <w:p w14:paraId="1CCCDD33" w14:textId="77777777" w:rsidR="00E7041A" w:rsidRDefault="00E7041A">
      <w:pPr>
        <w:spacing w:line="259" w:lineRule="auto"/>
        <w:rPr>
          <w:rFonts w:ascii="Book Antiqua" w:eastAsiaTheme="majorEastAsi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br w:type="page"/>
      </w:r>
    </w:p>
    <w:p w14:paraId="7A4EB6BB" w14:textId="77777777" w:rsidR="003513E8" w:rsidRPr="003513E8" w:rsidRDefault="003513E8" w:rsidP="003513E8">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3513E8">
        <w:rPr>
          <w:rFonts w:ascii="Book Antiqua" w:hAnsi="Book Antiqua" w:cstheme="majorHAnsi"/>
          <w:b/>
          <w:bCs/>
          <w:color w:val="1F3864" w:themeColor="accent1" w:themeShade="80"/>
          <w:spacing w:val="-10"/>
          <w:kern w:val="28"/>
          <w:sz w:val="24"/>
          <w:szCs w:val="24"/>
          <w:lang w:val="fr-FR"/>
        </w:rPr>
        <w:lastRenderedPageBreak/>
        <w:t>I. Activité et emploi</w:t>
      </w:r>
    </w:p>
    <w:p w14:paraId="38C50F88" w14:textId="22D30670" w:rsidR="003513E8" w:rsidRDefault="003513E8" w:rsidP="004C37C0">
      <w:pPr>
        <w:rPr>
          <w:rFonts w:ascii="Book Antiqua" w:eastAsiaTheme="majorEastAsia" w:hAnsi="Book Antiqua" w:cstheme="majorHAnsi"/>
          <w:b/>
          <w:bCs/>
          <w:i/>
          <w:iCs/>
          <w:color w:val="2E74B5" w:themeColor="accent5" w:themeShade="BF"/>
          <w:spacing w:val="-10"/>
          <w:kern w:val="28"/>
          <w:sz w:val="24"/>
          <w:szCs w:val="24"/>
        </w:rPr>
      </w:pPr>
      <w:r w:rsidRPr="003B7438">
        <w:rPr>
          <w:rFonts w:ascii="Book Antiqua" w:eastAsiaTheme="majorEastAsia" w:hAnsi="Book Antiqua" w:cstheme="majorHAnsi"/>
          <w:b/>
          <w:bCs/>
          <w:i/>
          <w:iCs/>
          <w:color w:val="2E74B5" w:themeColor="accent5" w:themeShade="BF"/>
          <w:spacing w:val="-10"/>
          <w:kern w:val="28"/>
          <w:sz w:val="24"/>
          <w:szCs w:val="24"/>
        </w:rPr>
        <w:t xml:space="preserve">Hausse des taux d'activité </w:t>
      </w:r>
      <w:r w:rsidR="004C37C0">
        <w:rPr>
          <w:rFonts w:ascii="Book Antiqua" w:eastAsiaTheme="majorEastAsia" w:hAnsi="Book Antiqua" w:cstheme="majorHAnsi"/>
          <w:b/>
          <w:bCs/>
          <w:i/>
          <w:iCs/>
          <w:color w:val="2E74B5" w:themeColor="accent5" w:themeShade="BF"/>
          <w:spacing w:val="-10"/>
          <w:kern w:val="28"/>
          <w:sz w:val="24"/>
          <w:szCs w:val="24"/>
        </w:rPr>
        <w:t xml:space="preserve">et retour au </w:t>
      </w:r>
      <w:r w:rsidR="009402A2">
        <w:rPr>
          <w:rFonts w:ascii="Book Antiqua" w:eastAsiaTheme="majorEastAsia" w:hAnsi="Book Antiqua" w:cstheme="majorHAnsi"/>
          <w:b/>
          <w:bCs/>
          <w:i/>
          <w:iCs/>
          <w:color w:val="2E74B5" w:themeColor="accent5" w:themeShade="BF"/>
          <w:spacing w:val="-10"/>
          <w:kern w:val="28"/>
          <w:sz w:val="24"/>
          <w:szCs w:val="24"/>
        </w:rPr>
        <w:t xml:space="preserve">niveau </w:t>
      </w:r>
      <w:r w:rsidR="009402A2" w:rsidRPr="003B7438">
        <w:rPr>
          <w:rFonts w:ascii="Book Antiqua" w:eastAsiaTheme="majorEastAsia" w:hAnsi="Book Antiqua" w:cstheme="majorHAnsi"/>
          <w:b/>
          <w:bCs/>
          <w:i/>
          <w:iCs/>
          <w:color w:val="2E74B5" w:themeColor="accent5" w:themeShade="BF"/>
          <w:spacing w:val="-10"/>
          <w:kern w:val="28"/>
          <w:sz w:val="24"/>
          <w:szCs w:val="24"/>
        </w:rPr>
        <w:t>d’avant</w:t>
      </w:r>
      <w:r w:rsidR="00CC5142" w:rsidRPr="003B7438">
        <w:rPr>
          <w:rFonts w:ascii="Book Antiqua" w:eastAsiaTheme="majorEastAsia" w:hAnsi="Book Antiqua" w:cstheme="majorHAnsi"/>
          <w:b/>
          <w:bCs/>
          <w:i/>
          <w:iCs/>
          <w:color w:val="2E74B5" w:themeColor="accent5" w:themeShade="BF"/>
          <w:spacing w:val="-10"/>
          <w:kern w:val="28"/>
          <w:sz w:val="24"/>
          <w:szCs w:val="24"/>
        </w:rPr>
        <w:t xml:space="preserve"> la pandémie</w:t>
      </w:r>
    </w:p>
    <w:p w14:paraId="7AF1A7F3" w14:textId="15B63861" w:rsidR="003513E8" w:rsidRDefault="003513E8" w:rsidP="00B15BEF">
      <w:pPr>
        <w:spacing w:before="100" w:beforeAutospacing="1" w:after="100" w:afterAutospacing="1" w:line="276" w:lineRule="auto"/>
        <w:jc w:val="both"/>
        <w:rPr>
          <w:rFonts w:ascii="Book Antiqua" w:hAnsi="Book Antiqua" w:cs="Times New Roman"/>
          <w:sz w:val="24"/>
          <w:szCs w:val="24"/>
        </w:rPr>
      </w:pPr>
      <w:r w:rsidRPr="00571042">
        <w:rPr>
          <w:rFonts w:ascii="Book Antiqua" w:hAnsi="Book Antiqua" w:cs="Times New Roman"/>
          <w:sz w:val="24"/>
          <w:szCs w:val="24"/>
        </w:rPr>
        <w:t xml:space="preserve">Au </w:t>
      </w:r>
      <w:r w:rsidR="005C4CF8">
        <w:rPr>
          <w:rFonts w:ascii="Book Antiqua" w:hAnsi="Book Antiqua" w:cs="Times New Roman"/>
          <w:sz w:val="24"/>
          <w:szCs w:val="24"/>
        </w:rPr>
        <w:t>troisième</w:t>
      </w:r>
      <w:r w:rsidRPr="00571042">
        <w:rPr>
          <w:rFonts w:ascii="Book Antiqua" w:hAnsi="Book Antiqua" w:cs="Times New Roman"/>
          <w:sz w:val="24"/>
          <w:szCs w:val="24"/>
        </w:rPr>
        <w:t xml:space="preserve"> trimestre de 2021, la situation du marché du travail a été marquée par la hausse des taux d’activité. La population en âge d’activité (15 ans ou plus) s’est accrue de 1,4%, par rapport au </w:t>
      </w:r>
      <w:r w:rsidR="0019358C">
        <w:rPr>
          <w:rFonts w:ascii="Book Antiqua" w:hAnsi="Book Antiqua" w:cs="Times New Roman"/>
          <w:sz w:val="24"/>
          <w:szCs w:val="24"/>
        </w:rPr>
        <w:t>troisième</w:t>
      </w:r>
      <w:r w:rsidRPr="00571042">
        <w:rPr>
          <w:rFonts w:ascii="Book Antiqua" w:hAnsi="Book Antiqua" w:cs="Times New Roman"/>
          <w:sz w:val="24"/>
          <w:szCs w:val="24"/>
        </w:rPr>
        <w:t xml:space="preserve"> trimestre de 2020</w:t>
      </w:r>
      <w:r w:rsidR="00452E2B">
        <w:rPr>
          <w:rFonts w:ascii="Book Antiqua" w:hAnsi="Book Antiqua" w:cs="Times New Roman"/>
          <w:sz w:val="24"/>
          <w:szCs w:val="24"/>
        </w:rPr>
        <w:t>. A</w:t>
      </w:r>
      <w:r w:rsidRPr="00571042">
        <w:rPr>
          <w:rFonts w:ascii="Book Antiqua" w:hAnsi="Book Antiqua" w:cs="Times New Roman"/>
          <w:sz w:val="24"/>
          <w:szCs w:val="24"/>
        </w:rPr>
        <w:t xml:space="preserve">vec une hausse de la population </w:t>
      </w:r>
      <w:r w:rsidR="0019358C">
        <w:rPr>
          <w:rFonts w:ascii="Book Antiqua" w:hAnsi="Book Antiqua" w:cs="Times New Roman"/>
          <w:sz w:val="24"/>
          <w:szCs w:val="24"/>
        </w:rPr>
        <w:t>active de 5</w:t>
      </w:r>
      <w:r w:rsidRPr="00571042">
        <w:rPr>
          <w:rFonts w:ascii="Book Antiqua" w:hAnsi="Book Antiqua" w:cs="Times New Roman"/>
          <w:sz w:val="24"/>
          <w:szCs w:val="24"/>
        </w:rPr>
        <w:t>%</w:t>
      </w:r>
      <w:r w:rsidR="00CD407A">
        <w:rPr>
          <w:rFonts w:ascii="Book Antiqua" w:hAnsi="Book Antiqua" w:cs="Times New Roman"/>
          <w:sz w:val="24"/>
          <w:szCs w:val="24"/>
        </w:rPr>
        <w:t xml:space="preserve">, </w:t>
      </w:r>
      <w:r w:rsidR="00CD407A" w:rsidRPr="000C573D">
        <w:rPr>
          <w:rFonts w:ascii="Book Antiqua" w:hAnsi="Book Antiqua" w:cs="Times New Roman"/>
          <w:b/>
          <w:bCs/>
          <w:sz w:val="24"/>
          <w:szCs w:val="24"/>
        </w:rPr>
        <w:t>l</w:t>
      </w:r>
      <w:r w:rsidRPr="000C573D">
        <w:rPr>
          <w:rFonts w:ascii="Book Antiqua" w:hAnsi="Book Antiqua" w:cs="Times New Roman"/>
          <w:b/>
          <w:bCs/>
          <w:sz w:val="24"/>
          <w:szCs w:val="24"/>
        </w:rPr>
        <w:t xml:space="preserve">e taux d’activité a ainsi augmenté de </w:t>
      </w:r>
      <w:r w:rsidR="0019358C" w:rsidRPr="000C573D">
        <w:rPr>
          <w:rFonts w:ascii="Book Antiqua" w:hAnsi="Book Antiqua" w:cs="Times New Roman"/>
          <w:b/>
          <w:bCs/>
          <w:sz w:val="24"/>
          <w:szCs w:val="24"/>
        </w:rPr>
        <w:t>43</w:t>
      </w:r>
      <w:r w:rsidRPr="000C573D">
        <w:rPr>
          <w:rFonts w:ascii="Book Antiqua" w:hAnsi="Book Antiqua" w:cs="Times New Roman"/>
          <w:b/>
          <w:bCs/>
          <w:sz w:val="24"/>
          <w:szCs w:val="24"/>
        </w:rPr>
        <w:t>,</w:t>
      </w:r>
      <w:r w:rsidR="0019358C" w:rsidRPr="000C573D">
        <w:rPr>
          <w:rFonts w:ascii="Book Antiqua" w:hAnsi="Book Antiqua" w:cs="Times New Roman"/>
          <w:b/>
          <w:bCs/>
          <w:sz w:val="24"/>
          <w:szCs w:val="24"/>
        </w:rPr>
        <w:t>5</w:t>
      </w:r>
      <w:r w:rsidRPr="000C573D">
        <w:rPr>
          <w:rFonts w:ascii="Book Antiqua" w:hAnsi="Book Antiqua" w:cs="Times New Roman"/>
          <w:b/>
          <w:bCs/>
          <w:sz w:val="24"/>
          <w:szCs w:val="24"/>
        </w:rPr>
        <w:t>% à 4</w:t>
      </w:r>
      <w:r w:rsidR="0019358C" w:rsidRPr="000C573D">
        <w:rPr>
          <w:rFonts w:ascii="Book Antiqua" w:hAnsi="Book Antiqua" w:cs="Times New Roman"/>
          <w:b/>
          <w:bCs/>
          <w:sz w:val="24"/>
          <w:szCs w:val="24"/>
        </w:rPr>
        <w:t>5</w:t>
      </w:r>
      <w:r w:rsidRPr="000C573D">
        <w:rPr>
          <w:rFonts w:ascii="Book Antiqua" w:hAnsi="Book Antiqua" w:cs="Times New Roman"/>
          <w:b/>
          <w:bCs/>
          <w:sz w:val="24"/>
          <w:szCs w:val="24"/>
        </w:rPr>
        <w:t>,1%</w:t>
      </w:r>
      <w:r w:rsidRPr="00571042">
        <w:rPr>
          <w:rFonts w:ascii="Book Antiqua" w:hAnsi="Book Antiqua" w:cs="Times New Roman"/>
          <w:sz w:val="24"/>
          <w:szCs w:val="24"/>
        </w:rPr>
        <w:t xml:space="preserve"> entre les deux périodes. Il a augmenté de 4</w:t>
      </w:r>
      <w:r w:rsidR="0019358C">
        <w:rPr>
          <w:rFonts w:ascii="Book Antiqua" w:hAnsi="Book Antiqua" w:cs="Times New Roman"/>
          <w:sz w:val="24"/>
          <w:szCs w:val="24"/>
        </w:rPr>
        <w:t>1</w:t>
      </w:r>
      <w:r w:rsidRPr="00571042">
        <w:rPr>
          <w:rFonts w:ascii="Book Antiqua" w:hAnsi="Book Antiqua" w:cs="Times New Roman"/>
          <w:sz w:val="24"/>
          <w:szCs w:val="24"/>
        </w:rPr>
        <w:t>,</w:t>
      </w:r>
      <w:r w:rsidR="0019358C">
        <w:rPr>
          <w:rFonts w:ascii="Book Antiqua" w:hAnsi="Book Antiqua" w:cs="Times New Roman"/>
          <w:sz w:val="24"/>
          <w:szCs w:val="24"/>
        </w:rPr>
        <w:t>0</w:t>
      </w:r>
      <w:r w:rsidRPr="00571042">
        <w:rPr>
          <w:rFonts w:ascii="Book Antiqua" w:hAnsi="Book Antiqua" w:cs="Times New Roman"/>
          <w:sz w:val="24"/>
          <w:szCs w:val="24"/>
        </w:rPr>
        <w:t>% à 42,</w:t>
      </w:r>
      <w:r w:rsidR="0019358C">
        <w:rPr>
          <w:rFonts w:ascii="Book Antiqua" w:hAnsi="Book Antiqua" w:cs="Times New Roman"/>
          <w:sz w:val="24"/>
          <w:szCs w:val="24"/>
        </w:rPr>
        <w:t>4</w:t>
      </w:r>
      <w:r w:rsidRPr="00571042">
        <w:rPr>
          <w:rFonts w:ascii="Book Antiqua" w:hAnsi="Book Antiqua" w:cs="Times New Roman"/>
          <w:sz w:val="24"/>
          <w:szCs w:val="24"/>
        </w:rPr>
        <w:t>% en milieu urbain et de 4</w:t>
      </w:r>
      <w:r w:rsidR="0019358C">
        <w:rPr>
          <w:rFonts w:ascii="Book Antiqua" w:hAnsi="Book Antiqua" w:cs="Times New Roman"/>
          <w:sz w:val="24"/>
          <w:szCs w:val="24"/>
        </w:rPr>
        <w:t>8</w:t>
      </w:r>
      <w:r w:rsidRPr="00571042">
        <w:rPr>
          <w:rFonts w:ascii="Book Antiqua" w:hAnsi="Book Antiqua" w:cs="Times New Roman"/>
          <w:sz w:val="24"/>
          <w:szCs w:val="24"/>
        </w:rPr>
        <w:t>,</w:t>
      </w:r>
      <w:r w:rsidR="0019358C">
        <w:rPr>
          <w:rFonts w:ascii="Book Antiqua" w:hAnsi="Book Antiqua" w:cs="Times New Roman"/>
          <w:sz w:val="24"/>
          <w:szCs w:val="24"/>
        </w:rPr>
        <w:t>0</w:t>
      </w:r>
      <w:r w:rsidRPr="00571042">
        <w:rPr>
          <w:rFonts w:ascii="Book Antiqua" w:hAnsi="Book Antiqua" w:cs="Times New Roman"/>
          <w:sz w:val="24"/>
          <w:szCs w:val="24"/>
        </w:rPr>
        <w:t>% à 5</w:t>
      </w:r>
      <w:r w:rsidR="0019358C">
        <w:rPr>
          <w:rFonts w:ascii="Book Antiqua" w:hAnsi="Book Antiqua" w:cs="Times New Roman"/>
          <w:sz w:val="24"/>
          <w:szCs w:val="24"/>
        </w:rPr>
        <w:t>0</w:t>
      </w:r>
      <w:r w:rsidRPr="00571042">
        <w:rPr>
          <w:rFonts w:ascii="Book Antiqua" w:hAnsi="Book Antiqua" w:cs="Times New Roman"/>
          <w:sz w:val="24"/>
          <w:szCs w:val="24"/>
        </w:rPr>
        <w:t>,</w:t>
      </w:r>
      <w:r w:rsidR="0019358C">
        <w:rPr>
          <w:rFonts w:ascii="Book Antiqua" w:hAnsi="Book Antiqua" w:cs="Times New Roman"/>
          <w:sz w:val="24"/>
          <w:szCs w:val="24"/>
        </w:rPr>
        <w:t>3</w:t>
      </w:r>
      <w:r w:rsidRPr="00571042">
        <w:rPr>
          <w:rFonts w:ascii="Book Antiqua" w:hAnsi="Book Antiqua" w:cs="Times New Roman"/>
          <w:sz w:val="24"/>
          <w:szCs w:val="24"/>
        </w:rPr>
        <w:t>% en milieu rural.</w:t>
      </w:r>
      <w:r w:rsidR="004C37C0">
        <w:rPr>
          <w:rFonts w:ascii="Book Antiqua" w:hAnsi="Book Antiqua" w:cs="Times New Roman"/>
          <w:sz w:val="24"/>
          <w:szCs w:val="24"/>
        </w:rPr>
        <w:t xml:space="preserve"> </w:t>
      </w:r>
      <w:r w:rsidR="00452E2B">
        <w:rPr>
          <w:rFonts w:ascii="Book Antiqua" w:hAnsi="Book Antiqua" w:cs="Times New Roman"/>
          <w:sz w:val="24"/>
          <w:szCs w:val="24"/>
        </w:rPr>
        <w:t>Avec cette augmentation</w:t>
      </w:r>
      <w:r w:rsidR="009402A2">
        <w:rPr>
          <w:rFonts w:ascii="Book Antiqua" w:hAnsi="Book Antiqua" w:cs="Times New Roman"/>
          <w:sz w:val="24"/>
          <w:szCs w:val="24"/>
        </w:rPr>
        <w:t>,</w:t>
      </w:r>
      <w:r w:rsidR="00452E2B">
        <w:rPr>
          <w:rFonts w:ascii="Book Antiqua" w:hAnsi="Book Antiqua" w:cs="Times New Roman"/>
          <w:sz w:val="24"/>
          <w:szCs w:val="24"/>
        </w:rPr>
        <w:t xml:space="preserve"> le taux d’activité </w:t>
      </w:r>
      <w:r w:rsidR="00452E2B" w:rsidRPr="00452E2B">
        <w:rPr>
          <w:rFonts w:ascii="Book Antiqua" w:hAnsi="Book Antiqua" w:cs="Times New Roman"/>
          <w:sz w:val="24"/>
          <w:szCs w:val="24"/>
        </w:rPr>
        <w:t>a</w:t>
      </w:r>
      <w:r w:rsidR="00452E2B">
        <w:rPr>
          <w:rFonts w:ascii="Book Antiqua" w:hAnsi="Book Antiqua" w:cs="Times New Roman"/>
          <w:sz w:val="24"/>
          <w:szCs w:val="24"/>
        </w:rPr>
        <w:t xml:space="preserve"> atteint un</w:t>
      </w:r>
      <w:r w:rsidR="00452E2B" w:rsidRPr="00452E2B">
        <w:rPr>
          <w:rFonts w:ascii="Book Antiqua" w:hAnsi="Book Antiqua" w:cs="Times New Roman"/>
          <w:sz w:val="24"/>
          <w:szCs w:val="24"/>
        </w:rPr>
        <w:t xml:space="preserve"> niveau </w:t>
      </w:r>
      <w:r w:rsidR="009402A2">
        <w:rPr>
          <w:rFonts w:ascii="Book Antiqua" w:hAnsi="Book Antiqua" w:cs="Times New Roman"/>
          <w:sz w:val="24"/>
          <w:szCs w:val="24"/>
        </w:rPr>
        <w:t xml:space="preserve">avoisinant </w:t>
      </w:r>
      <w:r w:rsidR="00452E2B">
        <w:rPr>
          <w:rFonts w:ascii="Book Antiqua" w:hAnsi="Book Antiqua" w:cs="Times New Roman"/>
          <w:sz w:val="24"/>
          <w:szCs w:val="24"/>
        </w:rPr>
        <w:t>celui enregistré avant la pandémie</w:t>
      </w:r>
      <w:r w:rsidR="00B15BEF">
        <w:rPr>
          <w:rFonts w:ascii="Book Antiqua" w:hAnsi="Book Antiqua" w:cs="Times New Roman"/>
          <w:sz w:val="24"/>
          <w:szCs w:val="24"/>
        </w:rPr>
        <w:t xml:space="preserve"> (44</w:t>
      </w:r>
      <w:r w:rsidR="00452E2B" w:rsidRPr="00452E2B">
        <w:rPr>
          <w:rFonts w:ascii="Book Antiqua" w:hAnsi="Book Antiqua" w:cs="Times New Roman"/>
          <w:sz w:val="24"/>
          <w:szCs w:val="24"/>
        </w:rPr>
        <w:t>,</w:t>
      </w:r>
      <w:r w:rsidR="00B15BEF">
        <w:rPr>
          <w:rFonts w:ascii="Book Antiqua" w:hAnsi="Book Antiqua" w:cs="Times New Roman"/>
          <w:sz w:val="24"/>
          <w:szCs w:val="24"/>
        </w:rPr>
        <w:t>9</w:t>
      </w:r>
      <w:r w:rsidR="00452E2B" w:rsidRPr="00452E2B">
        <w:rPr>
          <w:rFonts w:ascii="Book Antiqua" w:hAnsi="Book Antiqua" w:cs="Times New Roman"/>
          <w:sz w:val="24"/>
          <w:szCs w:val="24"/>
        </w:rPr>
        <w:t>%</w:t>
      </w:r>
      <w:r w:rsidR="003671E9">
        <w:rPr>
          <w:rFonts w:ascii="Book Antiqua" w:hAnsi="Book Antiqua" w:cs="Times New Roman"/>
          <w:sz w:val="24"/>
          <w:szCs w:val="24"/>
        </w:rPr>
        <w:t xml:space="preserve"> au </w:t>
      </w:r>
      <w:r w:rsidR="00B15BEF">
        <w:rPr>
          <w:rFonts w:ascii="Book Antiqua" w:hAnsi="Book Antiqua" w:cs="Times New Roman"/>
          <w:sz w:val="24"/>
          <w:szCs w:val="24"/>
        </w:rPr>
        <w:t>troisième</w:t>
      </w:r>
      <w:r w:rsidR="00452E2B">
        <w:rPr>
          <w:rFonts w:ascii="Book Antiqua" w:hAnsi="Book Antiqua" w:cs="Times New Roman"/>
          <w:sz w:val="24"/>
          <w:szCs w:val="24"/>
        </w:rPr>
        <w:t xml:space="preserve"> trimestre de 2019</w:t>
      </w:r>
      <w:r w:rsidR="00452E2B" w:rsidRPr="00452E2B">
        <w:rPr>
          <w:rFonts w:ascii="Book Antiqua" w:hAnsi="Book Antiqua" w:cs="Times New Roman"/>
          <w:sz w:val="24"/>
          <w:szCs w:val="24"/>
        </w:rPr>
        <w:t>)</w:t>
      </w:r>
      <w:r w:rsidR="00E53D05">
        <w:rPr>
          <w:rFonts w:ascii="Book Antiqua" w:hAnsi="Book Antiqua" w:cs="Times New Roman"/>
          <w:sz w:val="24"/>
          <w:szCs w:val="24"/>
        </w:rPr>
        <w:t>.</w:t>
      </w:r>
    </w:p>
    <w:p w14:paraId="23C5036D" w14:textId="77777777" w:rsidR="00805346" w:rsidRPr="0072419D" w:rsidRDefault="00805346" w:rsidP="002A0851">
      <w:pPr>
        <w:spacing w:before="40" w:line="276" w:lineRule="auto"/>
        <w:jc w:val="center"/>
        <w:rPr>
          <w:rFonts w:ascii="Book Antiqua" w:hAnsi="Book Antiqua" w:cs="Times New Roman"/>
          <w:b/>
          <w:bCs/>
          <w:sz w:val="20"/>
          <w:szCs w:val="20"/>
        </w:rPr>
      </w:pPr>
      <w:r w:rsidRPr="0072419D">
        <w:rPr>
          <w:rFonts w:ascii="Book Antiqua" w:hAnsi="Book Antiqua" w:cs="Times New Roman"/>
          <w:b/>
          <w:bCs/>
          <w:sz w:val="20"/>
          <w:szCs w:val="20"/>
        </w:rPr>
        <w:t>Figure</w:t>
      </w:r>
      <w:r>
        <w:rPr>
          <w:rFonts w:ascii="Book Antiqua" w:hAnsi="Book Antiqua" w:cs="Times New Roman"/>
          <w:b/>
          <w:bCs/>
          <w:sz w:val="20"/>
          <w:szCs w:val="20"/>
        </w:rPr>
        <w:t xml:space="preserve"> 1</w:t>
      </w:r>
      <w:r w:rsidRPr="0072419D">
        <w:rPr>
          <w:rFonts w:ascii="Book Antiqua" w:hAnsi="Book Antiqua" w:cs="Times New Roman"/>
          <w:b/>
          <w:bCs/>
          <w:sz w:val="20"/>
          <w:szCs w:val="20"/>
        </w:rPr>
        <w:t xml:space="preserve">. Evolution du </w:t>
      </w:r>
      <w:r>
        <w:rPr>
          <w:rFonts w:ascii="Book Antiqua" w:hAnsi="Book Antiqua" w:cs="Times New Roman"/>
          <w:b/>
          <w:bCs/>
          <w:sz w:val="20"/>
          <w:szCs w:val="20"/>
        </w:rPr>
        <w:t>taux d’activité aux</w:t>
      </w:r>
      <w:r w:rsidR="0068654C">
        <w:rPr>
          <w:rFonts w:ascii="Book Antiqua" w:hAnsi="Book Antiqua" w:cs="Times New Roman"/>
          <w:b/>
          <w:bCs/>
          <w:sz w:val="20"/>
          <w:szCs w:val="20"/>
        </w:rPr>
        <w:t xml:space="preserve"> </w:t>
      </w:r>
      <w:r w:rsidR="00255A6C">
        <w:rPr>
          <w:rFonts w:ascii="Book Antiqua" w:hAnsi="Book Antiqua" w:cs="Times New Roman"/>
          <w:b/>
          <w:bCs/>
          <w:sz w:val="20"/>
          <w:szCs w:val="20"/>
        </w:rPr>
        <w:t xml:space="preserve">troisièmes </w:t>
      </w:r>
      <w:r w:rsidR="00255A6C" w:rsidRPr="0072419D">
        <w:rPr>
          <w:rFonts w:ascii="Book Antiqua" w:hAnsi="Book Antiqua" w:cs="Times New Roman"/>
          <w:b/>
          <w:bCs/>
          <w:sz w:val="20"/>
          <w:szCs w:val="20"/>
        </w:rPr>
        <w:t>trimestres</w:t>
      </w:r>
      <w:r w:rsidRPr="0072419D">
        <w:rPr>
          <w:rFonts w:ascii="Book Antiqua" w:hAnsi="Book Antiqua" w:cs="Times New Roman"/>
          <w:b/>
          <w:bCs/>
          <w:sz w:val="20"/>
          <w:szCs w:val="20"/>
        </w:rPr>
        <w:t xml:space="preserve"> par milieu de résidence (en%)</w:t>
      </w:r>
    </w:p>
    <w:p w14:paraId="582120AC" w14:textId="77777777" w:rsidR="00805346" w:rsidRPr="003B7438" w:rsidRDefault="00255A6C" w:rsidP="00805346">
      <w:pPr>
        <w:spacing w:before="100" w:beforeAutospacing="1" w:after="100" w:afterAutospacing="1" w:line="276" w:lineRule="auto"/>
        <w:jc w:val="center"/>
        <w:rPr>
          <w:rFonts w:ascii="Book Antiqua" w:eastAsiaTheme="majorEastAsia" w:hAnsi="Book Antiqua" w:cstheme="majorHAnsi"/>
          <w:b/>
          <w:bCs/>
          <w:i/>
          <w:iCs/>
          <w:color w:val="2E74B5" w:themeColor="accent5" w:themeShade="BF"/>
          <w:spacing w:val="-10"/>
          <w:kern w:val="28"/>
          <w:sz w:val="24"/>
          <w:szCs w:val="24"/>
        </w:rPr>
      </w:pPr>
      <w:r>
        <w:rPr>
          <w:noProof/>
          <w:lang w:eastAsia="fr-FR"/>
        </w:rPr>
        <w:drawing>
          <wp:inline distT="0" distB="0" distL="0" distR="0" wp14:anchorId="2640E154" wp14:editId="223AFAE7">
            <wp:extent cx="5521960" cy="2628900"/>
            <wp:effectExtent l="0" t="0" r="0" b="0"/>
            <wp:docPr id="6" name="Graphique 6">
              <a:extLst xmlns:a="http://schemas.openxmlformats.org/drawingml/2006/main">
                <a:ext uri="{FF2B5EF4-FFF2-40B4-BE49-F238E27FC236}">
                  <a16:creationId xmlns:a16="http://schemas.microsoft.com/office/drawing/2014/main" id="{BF0A581F-9AB8-4B91-811A-A28404AF23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EF498B" w14:textId="6E326571" w:rsidR="00CC5142" w:rsidRPr="003B7438" w:rsidRDefault="007D7AC6" w:rsidP="00CC5142">
      <w:pPr>
        <w:spacing w:before="100" w:beforeAutospacing="1" w:after="100" w:afterAutospacing="1" w:line="276" w:lineRule="auto"/>
        <w:jc w:val="both"/>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rPr>
        <w:t>Le taux d’emploi augmente et reste inférieur à son niveau avant la pandémie</w:t>
      </w:r>
    </w:p>
    <w:p w14:paraId="3BE511EB" w14:textId="72CC9AA7" w:rsidR="003513E8" w:rsidRDefault="003513E8" w:rsidP="00B15BEF">
      <w:pPr>
        <w:spacing w:before="100" w:beforeAutospacing="1" w:after="100" w:afterAutospacing="1" w:line="276" w:lineRule="auto"/>
        <w:jc w:val="both"/>
        <w:rPr>
          <w:rFonts w:ascii="Book Antiqua" w:hAnsi="Book Antiqua" w:cs="Times New Roman"/>
          <w:sz w:val="24"/>
          <w:szCs w:val="24"/>
        </w:rPr>
      </w:pPr>
      <w:r w:rsidRPr="00571042">
        <w:rPr>
          <w:rFonts w:ascii="Book Antiqua" w:hAnsi="Book Antiqua" w:cs="Times New Roman"/>
          <w:sz w:val="24"/>
          <w:szCs w:val="24"/>
        </w:rPr>
        <w:t>Le taux d’emploi a conn</w:t>
      </w:r>
      <w:r w:rsidR="0019358C">
        <w:rPr>
          <w:rFonts w:ascii="Book Antiqua" w:hAnsi="Book Antiqua" w:cs="Times New Roman"/>
          <w:sz w:val="24"/>
          <w:szCs w:val="24"/>
        </w:rPr>
        <w:t xml:space="preserve">u, de son côté, une </w:t>
      </w:r>
      <w:r w:rsidR="0019358C" w:rsidRPr="000C573D">
        <w:rPr>
          <w:rFonts w:ascii="Book Antiqua" w:hAnsi="Book Antiqua" w:cs="Times New Roman"/>
          <w:b/>
          <w:bCs/>
          <w:sz w:val="24"/>
          <w:szCs w:val="24"/>
        </w:rPr>
        <w:t>hausse de 37</w:t>
      </w:r>
      <w:r w:rsidRPr="000C573D">
        <w:rPr>
          <w:rFonts w:ascii="Book Antiqua" w:hAnsi="Book Antiqua" w:cs="Times New Roman"/>
          <w:b/>
          <w:bCs/>
          <w:sz w:val="24"/>
          <w:szCs w:val="24"/>
        </w:rPr>
        <w:t>,</w:t>
      </w:r>
      <w:r w:rsidR="0019358C" w:rsidRPr="000C573D">
        <w:rPr>
          <w:rFonts w:ascii="Book Antiqua" w:hAnsi="Book Antiqua" w:cs="Times New Roman"/>
          <w:b/>
          <w:bCs/>
          <w:sz w:val="24"/>
          <w:szCs w:val="24"/>
        </w:rPr>
        <w:t>9</w:t>
      </w:r>
      <w:r w:rsidRPr="000C573D">
        <w:rPr>
          <w:rFonts w:ascii="Book Antiqua" w:hAnsi="Book Antiqua" w:cs="Times New Roman"/>
          <w:b/>
          <w:bCs/>
          <w:sz w:val="24"/>
          <w:szCs w:val="24"/>
        </w:rPr>
        <w:t xml:space="preserve">% à </w:t>
      </w:r>
      <w:r w:rsidR="0019358C" w:rsidRPr="000C573D">
        <w:rPr>
          <w:rFonts w:ascii="Book Antiqua" w:hAnsi="Book Antiqua" w:cs="Times New Roman"/>
          <w:b/>
          <w:bCs/>
          <w:sz w:val="24"/>
          <w:szCs w:val="24"/>
        </w:rPr>
        <w:t>39</w:t>
      </w:r>
      <w:r w:rsidRPr="000C573D">
        <w:rPr>
          <w:rFonts w:ascii="Book Antiqua" w:hAnsi="Book Antiqua" w:cs="Times New Roman"/>
          <w:b/>
          <w:bCs/>
          <w:sz w:val="24"/>
          <w:szCs w:val="24"/>
        </w:rPr>
        <w:t>,</w:t>
      </w:r>
      <w:r w:rsidR="0019358C" w:rsidRPr="000C573D">
        <w:rPr>
          <w:rFonts w:ascii="Book Antiqua" w:hAnsi="Book Antiqua" w:cs="Times New Roman"/>
          <w:b/>
          <w:bCs/>
          <w:sz w:val="24"/>
          <w:szCs w:val="24"/>
        </w:rPr>
        <w:t>8%,</w:t>
      </w:r>
      <w:r w:rsidR="0019358C">
        <w:rPr>
          <w:rFonts w:ascii="Book Antiqua" w:hAnsi="Book Antiqua" w:cs="Times New Roman"/>
          <w:sz w:val="24"/>
          <w:szCs w:val="24"/>
        </w:rPr>
        <w:t xml:space="preserve"> au niveau national (+1</w:t>
      </w:r>
      <w:r w:rsidRPr="00571042">
        <w:rPr>
          <w:rFonts w:ascii="Book Antiqua" w:hAnsi="Book Antiqua" w:cs="Times New Roman"/>
          <w:sz w:val="24"/>
          <w:szCs w:val="24"/>
        </w:rPr>
        <w:t>,</w:t>
      </w:r>
      <w:r w:rsidR="0019358C">
        <w:rPr>
          <w:rFonts w:ascii="Book Antiqua" w:hAnsi="Book Antiqua" w:cs="Times New Roman"/>
          <w:sz w:val="24"/>
          <w:szCs w:val="24"/>
        </w:rPr>
        <w:t>8</w:t>
      </w:r>
      <w:r w:rsidRPr="00571042">
        <w:rPr>
          <w:rFonts w:ascii="Book Antiqua" w:hAnsi="Book Antiqua" w:cs="Times New Roman"/>
          <w:sz w:val="24"/>
          <w:szCs w:val="24"/>
        </w:rPr>
        <w:t xml:space="preserve"> point</w:t>
      </w:r>
      <w:r w:rsidR="00951BD4">
        <w:rPr>
          <w:rFonts w:ascii="Book Antiqua" w:hAnsi="Book Antiqua" w:cs="Times New Roman"/>
          <w:sz w:val="24"/>
          <w:szCs w:val="24"/>
        </w:rPr>
        <w:t>s</w:t>
      </w:r>
      <w:r w:rsidRPr="00571042">
        <w:rPr>
          <w:rFonts w:ascii="Book Antiqua" w:hAnsi="Book Antiqua" w:cs="Times New Roman"/>
          <w:sz w:val="24"/>
          <w:szCs w:val="24"/>
        </w:rPr>
        <w:t>). Il a augmenté de 4</w:t>
      </w:r>
      <w:r w:rsidR="00EC466E">
        <w:rPr>
          <w:rFonts w:ascii="Book Antiqua" w:hAnsi="Book Antiqua" w:cs="Times New Roman"/>
          <w:sz w:val="24"/>
          <w:szCs w:val="24"/>
        </w:rPr>
        <w:t>4</w:t>
      </w:r>
      <w:r w:rsidRPr="00571042">
        <w:rPr>
          <w:rFonts w:ascii="Book Antiqua" w:hAnsi="Book Antiqua" w:cs="Times New Roman"/>
          <w:sz w:val="24"/>
          <w:szCs w:val="24"/>
        </w:rPr>
        <w:t>,</w:t>
      </w:r>
      <w:r w:rsidR="00EC466E">
        <w:rPr>
          <w:rFonts w:ascii="Book Antiqua" w:hAnsi="Book Antiqua" w:cs="Times New Roman"/>
          <w:sz w:val="24"/>
          <w:szCs w:val="24"/>
        </w:rPr>
        <w:t>8</w:t>
      </w:r>
      <w:r w:rsidRPr="00571042">
        <w:rPr>
          <w:rFonts w:ascii="Book Antiqua" w:hAnsi="Book Antiqua" w:cs="Times New Roman"/>
          <w:sz w:val="24"/>
          <w:szCs w:val="24"/>
        </w:rPr>
        <w:t xml:space="preserve">% à </w:t>
      </w:r>
      <w:r w:rsidR="00EC466E">
        <w:rPr>
          <w:rFonts w:ascii="Book Antiqua" w:hAnsi="Book Antiqua" w:cs="Times New Roman"/>
          <w:sz w:val="24"/>
          <w:szCs w:val="24"/>
        </w:rPr>
        <w:t>47</w:t>
      </w:r>
      <w:r w:rsidRPr="00571042">
        <w:rPr>
          <w:rFonts w:ascii="Book Antiqua" w:hAnsi="Book Antiqua" w:cs="Times New Roman"/>
          <w:sz w:val="24"/>
          <w:szCs w:val="24"/>
        </w:rPr>
        <w:t>,</w:t>
      </w:r>
      <w:r w:rsidR="00EC466E">
        <w:rPr>
          <w:rFonts w:ascii="Book Antiqua" w:hAnsi="Book Antiqua" w:cs="Times New Roman"/>
          <w:sz w:val="24"/>
          <w:szCs w:val="24"/>
        </w:rPr>
        <w:t>7</w:t>
      </w:r>
      <w:r w:rsidRPr="00571042">
        <w:rPr>
          <w:rFonts w:ascii="Book Antiqua" w:hAnsi="Book Antiqua" w:cs="Times New Roman"/>
          <w:sz w:val="24"/>
          <w:szCs w:val="24"/>
        </w:rPr>
        <w:t>% en milieu rural, et de 3</w:t>
      </w:r>
      <w:r w:rsidR="00EC466E">
        <w:rPr>
          <w:rFonts w:ascii="Book Antiqua" w:hAnsi="Book Antiqua" w:cs="Times New Roman"/>
          <w:sz w:val="24"/>
          <w:szCs w:val="24"/>
        </w:rPr>
        <w:t>4</w:t>
      </w:r>
      <w:r w:rsidRPr="00571042">
        <w:rPr>
          <w:rFonts w:ascii="Book Antiqua" w:hAnsi="Book Antiqua" w:cs="Times New Roman"/>
          <w:sz w:val="24"/>
          <w:szCs w:val="24"/>
        </w:rPr>
        <w:t>,</w:t>
      </w:r>
      <w:r w:rsidR="00EC466E">
        <w:rPr>
          <w:rFonts w:ascii="Book Antiqua" w:hAnsi="Book Antiqua" w:cs="Times New Roman"/>
          <w:sz w:val="24"/>
          <w:szCs w:val="24"/>
        </w:rPr>
        <w:t>3</w:t>
      </w:r>
      <w:r w:rsidRPr="00571042">
        <w:rPr>
          <w:rFonts w:ascii="Book Antiqua" w:hAnsi="Book Antiqua" w:cs="Times New Roman"/>
          <w:sz w:val="24"/>
          <w:szCs w:val="24"/>
        </w:rPr>
        <w:t>% à 3</w:t>
      </w:r>
      <w:r w:rsidR="00EC466E">
        <w:rPr>
          <w:rFonts w:ascii="Book Antiqua" w:hAnsi="Book Antiqua" w:cs="Times New Roman"/>
          <w:sz w:val="24"/>
          <w:szCs w:val="24"/>
        </w:rPr>
        <w:t>5</w:t>
      </w:r>
      <w:r w:rsidRPr="00571042">
        <w:rPr>
          <w:rFonts w:ascii="Book Antiqua" w:hAnsi="Book Antiqua" w:cs="Times New Roman"/>
          <w:sz w:val="24"/>
          <w:szCs w:val="24"/>
        </w:rPr>
        <w:t>,</w:t>
      </w:r>
      <w:r w:rsidR="00EC466E">
        <w:rPr>
          <w:rFonts w:ascii="Book Antiqua" w:hAnsi="Book Antiqua" w:cs="Times New Roman"/>
          <w:sz w:val="24"/>
          <w:szCs w:val="24"/>
        </w:rPr>
        <w:t>6</w:t>
      </w:r>
      <w:r w:rsidRPr="00571042">
        <w:rPr>
          <w:rFonts w:ascii="Book Antiqua" w:hAnsi="Book Antiqua" w:cs="Times New Roman"/>
          <w:sz w:val="24"/>
          <w:szCs w:val="24"/>
        </w:rPr>
        <w:t>% en milieu urbain, et il a augmenté de 61,</w:t>
      </w:r>
      <w:r w:rsidR="00EC466E">
        <w:rPr>
          <w:rFonts w:ascii="Book Antiqua" w:hAnsi="Book Antiqua" w:cs="Times New Roman"/>
          <w:sz w:val="24"/>
          <w:szCs w:val="24"/>
        </w:rPr>
        <w:t>9</w:t>
      </w:r>
      <w:r w:rsidRPr="00571042">
        <w:rPr>
          <w:rFonts w:ascii="Book Antiqua" w:hAnsi="Book Antiqua" w:cs="Times New Roman"/>
          <w:sz w:val="24"/>
          <w:szCs w:val="24"/>
        </w:rPr>
        <w:t>% à 6</w:t>
      </w:r>
      <w:r w:rsidR="00EC466E">
        <w:rPr>
          <w:rFonts w:ascii="Book Antiqua" w:hAnsi="Book Antiqua" w:cs="Times New Roman"/>
          <w:sz w:val="24"/>
          <w:szCs w:val="24"/>
        </w:rPr>
        <w:t>3</w:t>
      </w:r>
      <w:r w:rsidRPr="00571042">
        <w:rPr>
          <w:rFonts w:ascii="Book Antiqua" w:hAnsi="Book Antiqua" w:cs="Times New Roman"/>
          <w:sz w:val="24"/>
          <w:szCs w:val="24"/>
        </w:rPr>
        <w:t>,</w:t>
      </w:r>
      <w:r w:rsidR="00EC466E">
        <w:rPr>
          <w:rFonts w:ascii="Book Antiqua" w:hAnsi="Book Antiqua" w:cs="Times New Roman"/>
          <w:sz w:val="24"/>
          <w:szCs w:val="24"/>
        </w:rPr>
        <w:t>1</w:t>
      </w:r>
      <w:r w:rsidRPr="00571042">
        <w:rPr>
          <w:rFonts w:ascii="Book Antiqua" w:hAnsi="Book Antiqua" w:cs="Times New Roman"/>
          <w:sz w:val="24"/>
          <w:szCs w:val="24"/>
        </w:rPr>
        <w:t>% parmi les hommes (+</w:t>
      </w:r>
      <w:r w:rsidR="00EC466E">
        <w:rPr>
          <w:rFonts w:ascii="Book Antiqua" w:hAnsi="Book Antiqua" w:cs="Times New Roman"/>
          <w:sz w:val="24"/>
          <w:szCs w:val="24"/>
        </w:rPr>
        <w:t>1</w:t>
      </w:r>
      <w:r w:rsidRPr="00571042">
        <w:rPr>
          <w:rFonts w:ascii="Book Antiqua" w:hAnsi="Book Antiqua" w:cs="Times New Roman"/>
          <w:sz w:val="24"/>
          <w:szCs w:val="24"/>
        </w:rPr>
        <w:t>,</w:t>
      </w:r>
      <w:r w:rsidR="00EC466E">
        <w:rPr>
          <w:rFonts w:ascii="Book Antiqua" w:hAnsi="Book Antiqua" w:cs="Times New Roman"/>
          <w:sz w:val="24"/>
          <w:szCs w:val="24"/>
        </w:rPr>
        <w:t>2</w:t>
      </w:r>
      <w:r w:rsidRPr="00571042">
        <w:rPr>
          <w:rFonts w:ascii="Book Antiqua" w:hAnsi="Book Antiqua" w:cs="Times New Roman"/>
          <w:sz w:val="24"/>
          <w:szCs w:val="24"/>
        </w:rPr>
        <w:t xml:space="preserve"> point) et de 1</w:t>
      </w:r>
      <w:r w:rsidR="00EC466E">
        <w:rPr>
          <w:rFonts w:ascii="Book Antiqua" w:hAnsi="Book Antiqua" w:cs="Times New Roman"/>
          <w:sz w:val="24"/>
          <w:szCs w:val="24"/>
        </w:rPr>
        <w:t>4</w:t>
      </w:r>
      <w:r w:rsidRPr="00571042">
        <w:rPr>
          <w:rFonts w:ascii="Book Antiqua" w:hAnsi="Book Antiqua" w:cs="Times New Roman"/>
          <w:sz w:val="24"/>
          <w:szCs w:val="24"/>
        </w:rPr>
        <w:t>,</w:t>
      </w:r>
      <w:r w:rsidR="00EC466E">
        <w:rPr>
          <w:rFonts w:ascii="Book Antiqua" w:hAnsi="Book Antiqua" w:cs="Times New Roman"/>
          <w:sz w:val="24"/>
          <w:szCs w:val="24"/>
        </w:rPr>
        <w:t>7</w:t>
      </w:r>
      <w:r w:rsidRPr="00571042">
        <w:rPr>
          <w:rFonts w:ascii="Book Antiqua" w:hAnsi="Book Antiqua" w:cs="Times New Roman"/>
          <w:sz w:val="24"/>
          <w:szCs w:val="24"/>
        </w:rPr>
        <w:t>% à 1</w:t>
      </w:r>
      <w:r w:rsidR="00EC466E">
        <w:rPr>
          <w:rFonts w:ascii="Book Antiqua" w:hAnsi="Book Antiqua" w:cs="Times New Roman"/>
          <w:sz w:val="24"/>
          <w:szCs w:val="24"/>
        </w:rPr>
        <w:t>7</w:t>
      </w:r>
      <w:r w:rsidRPr="00571042">
        <w:rPr>
          <w:rFonts w:ascii="Book Antiqua" w:hAnsi="Book Antiqua" w:cs="Times New Roman"/>
          <w:sz w:val="24"/>
          <w:szCs w:val="24"/>
        </w:rPr>
        <w:t>,</w:t>
      </w:r>
      <w:r w:rsidR="00EC466E">
        <w:rPr>
          <w:rFonts w:ascii="Book Antiqua" w:hAnsi="Book Antiqua" w:cs="Times New Roman"/>
          <w:sz w:val="24"/>
          <w:szCs w:val="24"/>
        </w:rPr>
        <w:t>1</w:t>
      </w:r>
      <w:r w:rsidRPr="00571042">
        <w:rPr>
          <w:rFonts w:ascii="Book Antiqua" w:hAnsi="Book Antiqua" w:cs="Times New Roman"/>
          <w:sz w:val="24"/>
          <w:szCs w:val="24"/>
        </w:rPr>
        <w:t>% parmi les femmes (+</w:t>
      </w:r>
      <w:r w:rsidR="00EC466E">
        <w:rPr>
          <w:rFonts w:ascii="Book Antiqua" w:hAnsi="Book Antiqua" w:cs="Times New Roman"/>
          <w:sz w:val="24"/>
          <w:szCs w:val="24"/>
        </w:rPr>
        <w:t>2</w:t>
      </w:r>
      <w:r w:rsidRPr="00571042">
        <w:rPr>
          <w:rFonts w:ascii="Book Antiqua" w:hAnsi="Book Antiqua" w:cs="Times New Roman"/>
          <w:sz w:val="24"/>
          <w:szCs w:val="24"/>
        </w:rPr>
        <w:t>,4</w:t>
      </w:r>
      <w:r w:rsidR="009402A2">
        <w:rPr>
          <w:rFonts w:ascii="Book Antiqua" w:hAnsi="Book Antiqua" w:cs="Times New Roman"/>
          <w:sz w:val="24"/>
          <w:szCs w:val="24"/>
        </w:rPr>
        <w:t xml:space="preserve"> </w:t>
      </w:r>
      <w:r w:rsidRPr="00571042">
        <w:rPr>
          <w:rFonts w:ascii="Book Antiqua" w:hAnsi="Book Antiqua" w:cs="Times New Roman"/>
          <w:sz w:val="24"/>
          <w:szCs w:val="24"/>
        </w:rPr>
        <w:t>point</w:t>
      </w:r>
      <w:r w:rsidR="009402A2">
        <w:rPr>
          <w:rFonts w:ascii="Book Antiqua" w:hAnsi="Book Antiqua" w:cs="Times New Roman"/>
          <w:sz w:val="24"/>
          <w:szCs w:val="24"/>
        </w:rPr>
        <w:t>s</w:t>
      </w:r>
      <w:r w:rsidR="009402A2" w:rsidRPr="00571042">
        <w:rPr>
          <w:rFonts w:ascii="Book Antiqua" w:hAnsi="Book Antiqua" w:cs="Times New Roman"/>
          <w:sz w:val="24"/>
          <w:szCs w:val="24"/>
        </w:rPr>
        <w:t>).</w:t>
      </w:r>
      <w:r w:rsidR="009402A2" w:rsidRPr="00452E2B">
        <w:rPr>
          <w:rFonts w:ascii="Book Antiqua" w:hAnsi="Book Antiqua" w:cs="Times New Roman"/>
          <w:sz w:val="24"/>
          <w:szCs w:val="24"/>
        </w:rPr>
        <w:t xml:space="preserve"> Toutefois</w:t>
      </w:r>
      <w:r w:rsidR="004A43A3" w:rsidRPr="00452E2B">
        <w:rPr>
          <w:rFonts w:ascii="Book Antiqua" w:hAnsi="Book Antiqua" w:cs="Times New Roman"/>
          <w:sz w:val="24"/>
          <w:szCs w:val="24"/>
        </w:rPr>
        <w:t xml:space="preserve">, </w:t>
      </w:r>
      <w:r w:rsidR="004A43A3">
        <w:rPr>
          <w:rFonts w:ascii="Book Antiqua" w:hAnsi="Book Antiqua" w:cs="Times New Roman"/>
          <w:sz w:val="24"/>
          <w:szCs w:val="24"/>
        </w:rPr>
        <w:t>le taux d’emploi</w:t>
      </w:r>
      <w:r w:rsidR="004A43A3" w:rsidRPr="00452E2B">
        <w:rPr>
          <w:rFonts w:ascii="Book Antiqua" w:hAnsi="Book Antiqua" w:cs="Times New Roman"/>
          <w:sz w:val="24"/>
          <w:szCs w:val="24"/>
        </w:rPr>
        <w:t xml:space="preserve"> demeure inférieur au niveau enregistré </w:t>
      </w:r>
      <w:r w:rsidR="004A43A3">
        <w:rPr>
          <w:rFonts w:ascii="Book Antiqua" w:hAnsi="Book Antiqua" w:cs="Times New Roman"/>
          <w:sz w:val="24"/>
          <w:szCs w:val="24"/>
        </w:rPr>
        <w:t>avant la pandémie (</w:t>
      </w:r>
      <w:r w:rsidR="00B15BEF">
        <w:rPr>
          <w:rFonts w:ascii="Book Antiqua" w:hAnsi="Book Antiqua" w:cs="Times New Roman"/>
          <w:sz w:val="24"/>
          <w:szCs w:val="24"/>
        </w:rPr>
        <w:t>40</w:t>
      </w:r>
      <w:r w:rsidR="004A43A3" w:rsidRPr="00452E2B">
        <w:rPr>
          <w:rFonts w:ascii="Book Antiqua" w:hAnsi="Book Antiqua" w:cs="Times New Roman"/>
          <w:sz w:val="24"/>
          <w:szCs w:val="24"/>
        </w:rPr>
        <w:t>,</w:t>
      </w:r>
      <w:r w:rsidR="00B15BEF">
        <w:rPr>
          <w:rFonts w:ascii="Book Antiqua" w:hAnsi="Book Antiqua" w:cs="Times New Roman"/>
          <w:sz w:val="24"/>
          <w:szCs w:val="24"/>
        </w:rPr>
        <w:t>7</w:t>
      </w:r>
      <w:r w:rsidR="004A43A3" w:rsidRPr="00452E2B">
        <w:rPr>
          <w:rFonts w:ascii="Book Antiqua" w:hAnsi="Book Antiqua" w:cs="Times New Roman"/>
          <w:sz w:val="24"/>
          <w:szCs w:val="24"/>
        </w:rPr>
        <w:t>%</w:t>
      </w:r>
      <w:r w:rsidR="003671E9">
        <w:rPr>
          <w:rFonts w:ascii="Book Antiqua" w:hAnsi="Book Antiqua" w:cs="Times New Roman"/>
          <w:sz w:val="24"/>
          <w:szCs w:val="24"/>
        </w:rPr>
        <w:t xml:space="preserve"> au </w:t>
      </w:r>
      <w:r w:rsidR="00B15BEF">
        <w:rPr>
          <w:rFonts w:ascii="Book Antiqua" w:hAnsi="Book Antiqua" w:cs="Times New Roman"/>
          <w:sz w:val="24"/>
          <w:szCs w:val="24"/>
        </w:rPr>
        <w:t>troisième</w:t>
      </w:r>
      <w:r w:rsidR="004A43A3">
        <w:rPr>
          <w:rFonts w:ascii="Book Antiqua" w:hAnsi="Book Antiqua" w:cs="Times New Roman"/>
          <w:sz w:val="24"/>
          <w:szCs w:val="24"/>
        </w:rPr>
        <w:t xml:space="preserve"> trimestre de 2019</w:t>
      </w:r>
      <w:r w:rsidR="004A43A3" w:rsidRPr="00452E2B">
        <w:rPr>
          <w:rFonts w:ascii="Book Antiqua" w:hAnsi="Book Antiqua" w:cs="Times New Roman"/>
          <w:sz w:val="24"/>
          <w:szCs w:val="24"/>
        </w:rPr>
        <w:t>).</w:t>
      </w:r>
    </w:p>
    <w:p w14:paraId="5DED3598" w14:textId="77777777" w:rsidR="00255A6C" w:rsidRDefault="00255A6C">
      <w:pPr>
        <w:spacing w:line="259" w:lineRule="auto"/>
        <w:rPr>
          <w:rFonts w:ascii="Book Antiqua" w:hAnsi="Book Antiqua" w:cs="Times New Roman"/>
          <w:b/>
          <w:bCs/>
          <w:sz w:val="20"/>
          <w:szCs w:val="20"/>
          <w:highlight w:val="yellow"/>
        </w:rPr>
      </w:pPr>
      <w:r>
        <w:rPr>
          <w:rFonts w:ascii="Book Antiqua" w:hAnsi="Book Antiqua" w:cs="Times New Roman"/>
          <w:b/>
          <w:bCs/>
          <w:sz w:val="20"/>
          <w:szCs w:val="20"/>
          <w:highlight w:val="yellow"/>
        </w:rPr>
        <w:br w:type="page"/>
      </w:r>
    </w:p>
    <w:p w14:paraId="702DDE29" w14:textId="77777777" w:rsidR="00805346" w:rsidRPr="0072419D" w:rsidRDefault="00805346" w:rsidP="0076710C">
      <w:pPr>
        <w:spacing w:before="40" w:line="276" w:lineRule="auto"/>
        <w:jc w:val="center"/>
        <w:rPr>
          <w:rFonts w:ascii="Book Antiqua" w:hAnsi="Book Antiqua" w:cs="Times New Roman"/>
          <w:b/>
          <w:bCs/>
          <w:sz w:val="20"/>
          <w:szCs w:val="20"/>
        </w:rPr>
      </w:pPr>
      <w:r w:rsidRPr="00255A6C">
        <w:rPr>
          <w:rFonts w:ascii="Book Antiqua" w:hAnsi="Book Antiqua" w:cs="Times New Roman"/>
          <w:b/>
          <w:bCs/>
          <w:sz w:val="20"/>
          <w:szCs w:val="20"/>
        </w:rPr>
        <w:lastRenderedPageBreak/>
        <w:t xml:space="preserve">Figure 2. Evolution du taux d’emploi aux </w:t>
      </w:r>
      <w:r w:rsidR="0076710C" w:rsidRPr="00255A6C">
        <w:rPr>
          <w:rFonts w:ascii="Book Antiqua" w:hAnsi="Book Antiqua" w:cs="Times New Roman"/>
          <w:b/>
          <w:bCs/>
          <w:sz w:val="20"/>
          <w:szCs w:val="20"/>
        </w:rPr>
        <w:t>troisièmes</w:t>
      </w:r>
      <w:r w:rsidRPr="00255A6C">
        <w:rPr>
          <w:rFonts w:ascii="Book Antiqua" w:hAnsi="Book Antiqua" w:cs="Times New Roman"/>
          <w:b/>
          <w:bCs/>
          <w:sz w:val="20"/>
          <w:szCs w:val="20"/>
        </w:rPr>
        <w:t xml:space="preserve"> trimestres par milieu de résidence (en%)</w:t>
      </w:r>
    </w:p>
    <w:p w14:paraId="2AB0B1D9" w14:textId="77777777" w:rsidR="00805346" w:rsidRPr="00571042" w:rsidRDefault="00255A6C" w:rsidP="00805346">
      <w:pPr>
        <w:spacing w:before="100" w:beforeAutospacing="1" w:after="100" w:afterAutospacing="1" w:line="276" w:lineRule="auto"/>
        <w:jc w:val="center"/>
        <w:rPr>
          <w:rFonts w:ascii="Book Antiqua" w:hAnsi="Book Antiqua" w:cs="Times New Roman"/>
          <w:sz w:val="24"/>
          <w:szCs w:val="24"/>
        </w:rPr>
      </w:pPr>
      <w:r>
        <w:rPr>
          <w:noProof/>
          <w:lang w:eastAsia="fr-FR"/>
        </w:rPr>
        <w:drawing>
          <wp:inline distT="0" distB="0" distL="0" distR="0" wp14:anchorId="05EF25CA" wp14:editId="111296F7">
            <wp:extent cx="5572125" cy="2000250"/>
            <wp:effectExtent l="0" t="0" r="0" b="0"/>
            <wp:docPr id="1" name="Graphique 1">
              <a:extLst xmlns:a="http://schemas.openxmlformats.org/drawingml/2006/main">
                <a:ext uri="{FF2B5EF4-FFF2-40B4-BE49-F238E27FC236}">
                  <a16:creationId xmlns:a16="http://schemas.microsoft.com/office/drawing/2014/main" id="{F257B07A-CCBD-448E-A6F9-462FBCD8F1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A39B7C" w14:textId="77777777" w:rsidR="003513E8" w:rsidRDefault="003513E8" w:rsidP="00581577">
      <w:pPr>
        <w:spacing w:before="100" w:beforeAutospacing="1" w:after="100" w:afterAutospacing="1" w:line="276" w:lineRule="auto"/>
        <w:jc w:val="both"/>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rPr>
        <w:t>Une hausse de l’emploi</w:t>
      </w:r>
    </w:p>
    <w:p w14:paraId="3A90D317" w14:textId="06AEE5C4" w:rsidR="003513E8" w:rsidRPr="00571042" w:rsidRDefault="003513E8" w:rsidP="00904E2B">
      <w:pPr>
        <w:shd w:val="clear" w:color="auto" w:fill="FFFFFF" w:themeFill="background1"/>
        <w:autoSpaceDE w:val="0"/>
        <w:autoSpaceDN w:val="0"/>
        <w:adjustRightInd w:val="0"/>
        <w:spacing w:before="120" w:after="120" w:line="276" w:lineRule="auto"/>
        <w:jc w:val="both"/>
        <w:rPr>
          <w:rFonts w:ascii="Book Antiqua" w:hAnsi="Book Antiqua" w:cs="Times New Roman"/>
          <w:sz w:val="24"/>
          <w:szCs w:val="24"/>
        </w:rPr>
      </w:pPr>
      <w:r w:rsidRPr="000C573D">
        <w:rPr>
          <w:rFonts w:ascii="Book Antiqua" w:hAnsi="Book Antiqua" w:cs="Times New Roman"/>
          <w:b/>
          <w:bCs/>
          <w:sz w:val="24"/>
          <w:szCs w:val="24"/>
          <w:shd w:val="clear" w:color="auto" w:fill="FFFFFF" w:themeFill="background1"/>
        </w:rPr>
        <w:t xml:space="preserve">Le volume de l’emploi a augmenté de </w:t>
      </w:r>
      <w:r w:rsidR="00B15BEF" w:rsidRPr="000C573D">
        <w:rPr>
          <w:rFonts w:ascii="Book Antiqua" w:hAnsi="Book Antiqua" w:cs="Times New Roman"/>
          <w:b/>
          <w:bCs/>
          <w:sz w:val="24"/>
          <w:szCs w:val="24"/>
          <w:shd w:val="clear" w:color="auto" w:fill="FFFFFF" w:themeFill="background1"/>
        </w:rPr>
        <w:t>642</w:t>
      </w:r>
      <w:r w:rsidRPr="000C573D">
        <w:rPr>
          <w:rFonts w:ascii="Book Antiqua" w:hAnsi="Book Antiqua" w:cs="Times New Roman"/>
          <w:b/>
          <w:bCs/>
          <w:sz w:val="24"/>
          <w:szCs w:val="24"/>
          <w:shd w:val="clear" w:color="auto" w:fill="FFFFFF" w:themeFill="background1"/>
        </w:rPr>
        <w:t>.000 postes,</w:t>
      </w:r>
      <w:r w:rsidRPr="00571042">
        <w:rPr>
          <w:rFonts w:ascii="Book Antiqua" w:hAnsi="Book Antiqua" w:cs="Times New Roman"/>
          <w:sz w:val="24"/>
          <w:szCs w:val="24"/>
          <w:shd w:val="clear" w:color="auto" w:fill="FFFFFF" w:themeFill="background1"/>
        </w:rPr>
        <w:t xml:space="preserve"> résultant </w:t>
      </w:r>
      <w:r w:rsidR="0011152E" w:rsidRPr="00571042">
        <w:rPr>
          <w:rFonts w:ascii="Book Antiqua" w:hAnsi="Book Antiqua" w:cs="Times New Roman"/>
          <w:sz w:val="24"/>
          <w:szCs w:val="24"/>
          <w:shd w:val="clear" w:color="auto" w:fill="FFFFFF" w:themeFill="background1"/>
        </w:rPr>
        <w:t xml:space="preserve">d’une création de </w:t>
      </w:r>
      <w:r w:rsidR="00B15BEF">
        <w:rPr>
          <w:rFonts w:ascii="Book Antiqua" w:hAnsi="Book Antiqua" w:cs="Times New Roman"/>
          <w:sz w:val="24"/>
          <w:szCs w:val="24"/>
          <w:shd w:val="clear" w:color="auto" w:fill="FFFFFF" w:themeFill="background1"/>
        </w:rPr>
        <w:t xml:space="preserve">274.000 postes en milieu rural et </w:t>
      </w:r>
      <w:r w:rsidRPr="00571042">
        <w:rPr>
          <w:rFonts w:ascii="Book Antiqua" w:hAnsi="Book Antiqua" w:cs="Times New Roman"/>
          <w:sz w:val="24"/>
          <w:szCs w:val="24"/>
          <w:shd w:val="clear" w:color="auto" w:fill="FFFFFF" w:themeFill="background1"/>
        </w:rPr>
        <w:t xml:space="preserve">de </w:t>
      </w:r>
      <w:r w:rsidR="00B15BEF">
        <w:rPr>
          <w:rFonts w:ascii="Book Antiqua" w:hAnsi="Book Antiqua" w:cs="Times New Roman"/>
          <w:sz w:val="24"/>
          <w:szCs w:val="24"/>
          <w:shd w:val="clear" w:color="auto" w:fill="FFFFFF" w:themeFill="background1"/>
        </w:rPr>
        <w:t>36</w:t>
      </w:r>
      <w:r w:rsidR="001C4322">
        <w:rPr>
          <w:rFonts w:ascii="Book Antiqua" w:hAnsi="Book Antiqua" w:cs="Times New Roman"/>
          <w:sz w:val="24"/>
          <w:szCs w:val="24"/>
          <w:shd w:val="clear" w:color="auto" w:fill="FFFFFF" w:themeFill="background1"/>
        </w:rPr>
        <w:t>8</w:t>
      </w:r>
      <w:r w:rsidRPr="00571042">
        <w:rPr>
          <w:rFonts w:ascii="Book Antiqua" w:hAnsi="Book Antiqua" w:cs="Times New Roman"/>
          <w:sz w:val="24"/>
          <w:szCs w:val="24"/>
          <w:shd w:val="clear" w:color="auto" w:fill="FFFFFF" w:themeFill="background1"/>
        </w:rPr>
        <w:t xml:space="preserve">.000 en milieu </w:t>
      </w:r>
      <w:r w:rsidR="005D1CF2" w:rsidRPr="00571042">
        <w:rPr>
          <w:rFonts w:ascii="Book Antiqua" w:hAnsi="Book Antiqua" w:cs="Times New Roman"/>
          <w:sz w:val="24"/>
          <w:szCs w:val="24"/>
          <w:shd w:val="clear" w:color="auto" w:fill="FFFFFF" w:themeFill="background1"/>
        </w:rPr>
        <w:t>urbain</w:t>
      </w:r>
      <w:r w:rsidRPr="00571042">
        <w:rPr>
          <w:rFonts w:ascii="Book Antiqua" w:hAnsi="Book Antiqua" w:cs="Times New Roman"/>
          <w:sz w:val="24"/>
          <w:szCs w:val="24"/>
          <w:shd w:val="clear" w:color="auto" w:fill="FFFFFF" w:themeFill="background1"/>
        </w:rPr>
        <w:t>,</w:t>
      </w:r>
      <w:r w:rsidRPr="00571042">
        <w:rPr>
          <w:rFonts w:ascii="Book Antiqua" w:hAnsi="Book Antiqua" w:cs="Times New Roman"/>
          <w:sz w:val="24"/>
          <w:szCs w:val="24"/>
        </w:rPr>
        <w:t xml:space="preserve"> contre une perte</w:t>
      </w:r>
      <w:r w:rsidR="000A7A59" w:rsidRPr="00571042">
        <w:rPr>
          <w:rFonts w:ascii="Book Antiqua" w:hAnsi="Book Antiqua" w:cs="Times New Roman"/>
          <w:sz w:val="24"/>
          <w:szCs w:val="24"/>
        </w:rPr>
        <w:t> </w:t>
      </w:r>
      <w:r w:rsidR="00904E2B">
        <w:rPr>
          <w:rFonts w:ascii="Book Antiqua" w:hAnsi="Book Antiqua" w:cs="Times New Roman"/>
          <w:sz w:val="24"/>
          <w:szCs w:val="24"/>
        </w:rPr>
        <w:t>581</w:t>
      </w:r>
      <w:r w:rsidR="00571042" w:rsidRPr="00571042">
        <w:rPr>
          <w:rFonts w:ascii="Book Antiqua" w:hAnsi="Book Antiqua" w:cs="Times New Roman"/>
          <w:sz w:val="24"/>
          <w:szCs w:val="24"/>
        </w:rPr>
        <w:t>.000 au</w:t>
      </w:r>
      <w:r w:rsidR="004C37C0">
        <w:rPr>
          <w:rFonts w:ascii="Book Antiqua" w:hAnsi="Book Antiqua" w:cs="Times New Roman"/>
          <w:sz w:val="24"/>
          <w:szCs w:val="24"/>
        </w:rPr>
        <w:t xml:space="preserve"> </w:t>
      </w:r>
      <w:r w:rsidR="00904E2B">
        <w:rPr>
          <w:rFonts w:ascii="Book Antiqua" w:hAnsi="Book Antiqua" w:cs="Times New Roman"/>
          <w:sz w:val="24"/>
          <w:szCs w:val="24"/>
        </w:rPr>
        <w:t>troisième</w:t>
      </w:r>
      <w:r w:rsidR="000A7A59" w:rsidRPr="00571042">
        <w:rPr>
          <w:rFonts w:ascii="Book Antiqua" w:hAnsi="Book Antiqua" w:cs="Times New Roman"/>
          <w:sz w:val="24"/>
          <w:szCs w:val="24"/>
        </w:rPr>
        <w:t xml:space="preserve"> trimestre de 2020.</w:t>
      </w:r>
    </w:p>
    <w:p w14:paraId="60FEFA89" w14:textId="363A8FD9" w:rsidR="003513E8" w:rsidRPr="00571042" w:rsidRDefault="003513E8" w:rsidP="00904E2B">
      <w:pPr>
        <w:spacing w:before="100" w:beforeAutospacing="1" w:after="100" w:afterAutospacing="1" w:line="276" w:lineRule="auto"/>
        <w:jc w:val="both"/>
        <w:rPr>
          <w:rFonts w:ascii="Book Antiqua" w:hAnsi="Book Antiqua" w:cs="Times New Roman"/>
          <w:sz w:val="24"/>
          <w:szCs w:val="24"/>
        </w:rPr>
      </w:pPr>
      <w:r w:rsidRPr="000C573D">
        <w:rPr>
          <w:rFonts w:ascii="Book Antiqua" w:hAnsi="Book Antiqua" w:cs="Times New Roman"/>
          <w:b/>
          <w:bCs/>
          <w:sz w:val="24"/>
          <w:szCs w:val="24"/>
        </w:rPr>
        <w:t xml:space="preserve">L'emploi rémunéré a enregistré une </w:t>
      </w:r>
      <w:r w:rsidR="002F4B35" w:rsidRPr="000C573D">
        <w:rPr>
          <w:rFonts w:ascii="Book Antiqua" w:hAnsi="Book Antiqua" w:cs="Times New Roman"/>
          <w:b/>
          <w:bCs/>
          <w:sz w:val="24"/>
          <w:szCs w:val="24"/>
        </w:rPr>
        <w:t>hausse</w:t>
      </w:r>
      <w:r w:rsidRPr="000C573D">
        <w:rPr>
          <w:rFonts w:ascii="Book Antiqua" w:hAnsi="Book Antiqua" w:cs="Times New Roman"/>
          <w:b/>
          <w:bCs/>
          <w:sz w:val="24"/>
          <w:szCs w:val="24"/>
        </w:rPr>
        <w:t xml:space="preserve"> de </w:t>
      </w:r>
      <w:r w:rsidR="00904E2B" w:rsidRPr="000C573D">
        <w:rPr>
          <w:rFonts w:ascii="Book Antiqua" w:hAnsi="Book Antiqua" w:cs="Times New Roman"/>
          <w:b/>
          <w:bCs/>
          <w:sz w:val="24"/>
          <w:szCs w:val="24"/>
        </w:rPr>
        <w:t>572</w:t>
      </w:r>
      <w:r w:rsidRPr="000C573D">
        <w:rPr>
          <w:rFonts w:ascii="Book Antiqua" w:hAnsi="Book Antiqua" w:cs="Times New Roman"/>
          <w:b/>
          <w:bCs/>
          <w:sz w:val="24"/>
          <w:szCs w:val="24"/>
        </w:rPr>
        <w:t>.000 poste</w:t>
      </w:r>
      <w:r w:rsidRPr="00571042">
        <w:rPr>
          <w:rFonts w:ascii="Book Antiqua" w:hAnsi="Book Antiqua" w:cs="Times New Roman"/>
          <w:sz w:val="24"/>
          <w:szCs w:val="24"/>
        </w:rPr>
        <w:t xml:space="preserve">s au niveau national, résultant </w:t>
      </w:r>
      <w:r w:rsidR="0011152E" w:rsidRPr="00571042">
        <w:rPr>
          <w:rFonts w:ascii="Book Antiqua" w:hAnsi="Book Antiqua" w:cs="Times New Roman"/>
          <w:sz w:val="24"/>
          <w:szCs w:val="24"/>
        </w:rPr>
        <w:t xml:space="preserve">d’une création de </w:t>
      </w:r>
      <w:r w:rsidR="00904E2B">
        <w:rPr>
          <w:rFonts w:ascii="Book Antiqua" w:hAnsi="Book Antiqua" w:cs="Times New Roman"/>
          <w:sz w:val="24"/>
          <w:szCs w:val="24"/>
        </w:rPr>
        <w:t>187</w:t>
      </w:r>
      <w:r w:rsidR="0011152E" w:rsidRPr="00571042">
        <w:rPr>
          <w:rFonts w:ascii="Book Antiqua" w:hAnsi="Book Antiqua" w:cs="Times New Roman"/>
          <w:sz w:val="24"/>
          <w:szCs w:val="24"/>
        </w:rPr>
        <w:t xml:space="preserve">.000 en milieu rural et </w:t>
      </w:r>
      <w:r w:rsidRPr="00571042">
        <w:rPr>
          <w:rFonts w:ascii="Book Antiqua" w:hAnsi="Book Antiqua" w:cs="Times New Roman"/>
          <w:sz w:val="24"/>
          <w:szCs w:val="24"/>
        </w:rPr>
        <w:t xml:space="preserve">de </w:t>
      </w:r>
      <w:r w:rsidR="002266D0">
        <w:rPr>
          <w:rFonts w:ascii="Book Antiqua" w:hAnsi="Book Antiqua" w:cs="Times New Roman"/>
          <w:sz w:val="24"/>
          <w:szCs w:val="24"/>
        </w:rPr>
        <w:t>3</w:t>
      </w:r>
      <w:r w:rsidR="00904E2B">
        <w:rPr>
          <w:rFonts w:ascii="Book Antiqua" w:hAnsi="Book Antiqua" w:cs="Times New Roman"/>
          <w:sz w:val="24"/>
          <w:szCs w:val="24"/>
        </w:rPr>
        <w:t>85</w:t>
      </w:r>
      <w:r w:rsidRPr="00571042">
        <w:rPr>
          <w:rFonts w:ascii="Book Antiqua" w:hAnsi="Book Antiqua" w:cs="Times New Roman"/>
          <w:sz w:val="24"/>
          <w:szCs w:val="24"/>
        </w:rPr>
        <w:t>.000 postes en milieu urbain. L’emploi non rémunéré a connu, de son côté, une création</w:t>
      </w:r>
      <w:r w:rsidR="00BD416B">
        <w:rPr>
          <w:rFonts w:ascii="Book Antiqua" w:hAnsi="Book Antiqua" w:cs="Times New Roman"/>
          <w:sz w:val="24"/>
          <w:szCs w:val="24"/>
        </w:rPr>
        <w:t xml:space="preserve"> de </w:t>
      </w:r>
      <w:r w:rsidR="00904E2B">
        <w:rPr>
          <w:rFonts w:ascii="Book Antiqua" w:hAnsi="Book Antiqua" w:cs="Times New Roman"/>
          <w:sz w:val="24"/>
          <w:szCs w:val="24"/>
        </w:rPr>
        <w:t>70</w:t>
      </w:r>
      <w:r w:rsidR="00BD416B">
        <w:rPr>
          <w:rFonts w:ascii="Book Antiqua" w:hAnsi="Book Antiqua" w:cs="Times New Roman"/>
          <w:sz w:val="24"/>
          <w:szCs w:val="24"/>
        </w:rPr>
        <w:t xml:space="preserve">.000 postes, conséquence </w:t>
      </w:r>
      <w:r w:rsidR="00BD416B" w:rsidRPr="00571042">
        <w:rPr>
          <w:rFonts w:ascii="Book Antiqua" w:hAnsi="Book Antiqua" w:cs="Times New Roman"/>
          <w:sz w:val="24"/>
          <w:szCs w:val="24"/>
        </w:rPr>
        <w:t xml:space="preserve">d’une création </w:t>
      </w:r>
      <w:r w:rsidR="00904E2B">
        <w:rPr>
          <w:rFonts w:ascii="Book Antiqua" w:hAnsi="Book Antiqua" w:cs="Times New Roman"/>
          <w:sz w:val="24"/>
          <w:szCs w:val="24"/>
        </w:rPr>
        <w:t>87</w:t>
      </w:r>
      <w:r w:rsidR="00BD416B" w:rsidRPr="00571042">
        <w:rPr>
          <w:rFonts w:ascii="Book Antiqua" w:hAnsi="Book Antiqua" w:cs="Times New Roman"/>
          <w:sz w:val="24"/>
          <w:szCs w:val="24"/>
        </w:rPr>
        <w:t xml:space="preserve">.000 en zones rurales et </w:t>
      </w:r>
      <w:r w:rsidRPr="00571042">
        <w:rPr>
          <w:rFonts w:ascii="Book Antiqua" w:hAnsi="Book Antiqua" w:cs="Times New Roman"/>
          <w:sz w:val="24"/>
          <w:szCs w:val="24"/>
        </w:rPr>
        <w:t xml:space="preserve">d’une perte de </w:t>
      </w:r>
      <w:r w:rsidR="00904E2B">
        <w:rPr>
          <w:rFonts w:ascii="Book Antiqua" w:hAnsi="Book Antiqua" w:cs="Times New Roman"/>
          <w:sz w:val="24"/>
          <w:szCs w:val="24"/>
        </w:rPr>
        <w:t>17</w:t>
      </w:r>
      <w:r w:rsidRPr="00571042">
        <w:rPr>
          <w:rFonts w:ascii="Book Antiqua" w:hAnsi="Book Antiqua" w:cs="Times New Roman"/>
          <w:sz w:val="24"/>
          <w:szCs w:val="24"/>
        </w:rPr>
        <w:t>.000 emplois en zones urbaines.</w:t>
      </w:r>
    </w:p>
    <w:p w14:paraId="30DE4A2A" w14:textId="77777777" w:rsidR="00150ED6" w:rsidRPr="003904BF" w:rsidRDefault="00150ED6" w:rsidP="00150ED6">
      <w:pPr>
        <w:spacing w:before="240" w:line="312" w:lineRule="auto"/>
        <w:jc w:val="both"/>
        <w:rPr>
          <w:b/>
          <w:bCs/>
          <w:i/>
          <w:iCs/>
          <w:color w:val="2F5496" w:themeColor="accent1" w:themeShade="BF"/>
          <w:sz w:val="24"/>
          <w:szCs w:val="24"/>
        </w:rPr>
      </w:pPr>
      <w:r w:rsidRPr="003904BF">
        <w:rPr>
          <w:b/>
          <w:bCs/>
          <w:i/>
          <w:iCs/>
          <w:color w:val="2F5496" w:themeColor="accent1" w:themeShade="BF"/>
          <w:sz w:val="24"/>
          <w:szCs w:val="24"/>
        </w:rPr>
        <w:t>Les secteurs des services et de l’"agriculture, forêt et pêche" demeurent les premiers pourvoyeurs d'emploi</w:t>
      </w:r>
    </w:p>
    <w:p w14:paraId="5ACFF26A" w14:textId="40E51A85" w:rsidR="00B05BD0" w:rsidRPr="003904BF" w:rsidRDefault="00B05BD0" w:rsidP="00255A6C">
      <w:pPr>
        <w:spacing w:after="200" w:line="276" w:lineRule="auto"/>
        <w:jc w:val="both"/>
        <w:rPr>
          <w:rFonts w:ascii="Book Antiqua" w:hAnsi="Book Antiqua" w:cs="Times New Roman"/>
          <w:sz w:val="24"/>
          <w:szCs w:val="24"/>
        </w:rPr>
      </w:pPr>
      <w:r w:rsidRPr="003904BF">
        <w:rPr>
          <w:rFonts w:ascii="Book Antiqua" w:hAnsi="Book Antiqua" w:cs="Times New Roman"/>
          <w:sz w:val="24"/>
          <w:szCs w:val="24"/>
        </w:rPr>
        <w:t xml:space="preserve">Parmi les </w:t>
      </w:r>
      <w:bookmarkStart w:id="0" w:name="_Hlk86257546"/>
      <w:r w:rsidRPr="003904BF">
        <w:rPr>
          <w:rFonts w:ascii="Book Antiqua" w:hAnsi="Book Antiqua" w:cs="Times New Roman"/>
          <w:sz w:val="24"/>
          <w:szCs w:val="24"/>
        </w:rPr>
        <w:t>10.8</w:t>
      </w:r>
      <w:r w:rsidR="00BF607D">
        <w:rPr>
          <w:rFonts w:ascii="Book Antiqua" w:hAnsi="Book Antiqua" w:cs="Times New Roman"/>
          <w:sz w:val="24"/>
          <w:szCs w:val="24"/>
        </w:rPr>
        <w:t>07</w:t>
      </w:r>
      <w:r w:rsidRPr="003904BF">
        <w:rPr>
          <w:rFonts w:ascii="Book Antiqua" w:hAnsi="Book Antiqua" w:cs="Times New Roman"/>
          <w:sz w:val="24"/>
          <w:szCs w:val="24"/>
        </w:rPr>
        <w:t xml:space="preserve">.000 actifs occupés </w:t>
      </w:r>
      <w:bookmarkEnd w:id="0"/>
      <w:r w:rsidRPr="003904BF">
        <w:rPr>
          <w:rFonts w:ascii="Book Antiqua" w:hAnsi="Book Antiqua" w:cs="Times New Roman"/>
          <w:sz w:val="24"/>
          <w:szCs w:val="24"/>
        </w:rPr>
        <w:t xml:space="preserve">estimés au </w:t>
      </w:r>
      <w:r w:rsidR="00BF607D">
        <w:rPr>
          <w:rFonts w:ascii="Book Antiqua" w:hAnsi="Book Antiqua" w:cs="Times New Roman"/>
          <w:sz w:val="24"/>
          <w:szCs w:val="24"/>
        </w:rPr>
        <w:t>troisième</w:t>
      </w:r>
      <w:r w:rsidRPr="003904BF">
        <w:rPr>
          <w:rFonts w:ascii="Book Antiqua" w:hAnsi="Book Antiqua" w:cs="Times New Roman"/>
          <w:sz w:val="24"/>
          <w:szCs w:val="24"/>
        </w:rPr>
        <w:t xml:space="preserve"> trimestre de 2021,</w:t>
      </w:r>
      <w:r w:rsidR="00150ED6" w:rsidRPr="003904BF">
        <w:rPr>
          <w:rFonts w:ascii="Book Antiqua" w:hAnsi="Book Antiqua" w:cs="Times New Roman"/>
          <w:sz w:val="24"/>
          <w:szCs w:val="24"/>
        </w:rPr>
        <w:t xml:space="preserve"> le secteur des </w:t>
      </w:r>
      <w:bookmarkStart w:id="1" w:name="_Hlk86257528"/>
      <w:r w:rsidR="00150ED6" w:rsidRPr="003904BF">
        <w:rPr>
          <w:rFonts w:ascii="Book Antiqua" w:hAnsi="Book Antiqua" w:cs="Times New Roman"/>
          <w:sz w:val="24"/>
          <w:szCs w:val="24"/>
        </w:rPr>
        <w:t>"</w:t>
      </w:r>
      <w:r w:rsidR="002F4B35">
        <w:rPr>
          <w:rFonts w:ascii="Book Antiqua" w:hAnsi="Book Antiqua" w:cs="Times New Roman"/>
          <w:sz w:val="24"/>
          <w:szCs w:val="24"/>
        </w:rPr>
        <w:t>s</w:t>
      </w:r>
      <w:r w:rsidR="00150ED6" w:rsidRPr="003904BF">
        <w:rPr>
          <w:rFonts w:ascii="Book Antiqua" w:hAnsi="Book Antiqua" w:cs="Times New Roman"/>
          <w:sz w:val="24"/>
          <w:szCs w:val="24"/>
        </w:rPr>
        <w:t>ervices" emploie</w:t>
      </w:r>
      <w:r w:rsidR="00BF607D">
        <w:rPr>
          <w:rFonts w:ascii="Book Antiqua" w:hAnsi="Book Antiqua" w:cs="Times New Roman"/>
          <w:sz w:val="24"/>
          <w:szCs w:val="24"/>
        </w:rPr>
        <w:t xml:space="preserve"> 46</w:t>
      </w:r>
      <w:r w:rsidRPr="003904BF">
        <w:rPr>
          <w:rFonts w:ascii="Book Antiqua" w:hAnsi="Book Antiqua" w:cs="Times New Roman"/>
          <w:sz w:val="24"/>
          <w:szCs w:val="24"/>
        </w:rPr>
        <w:t>,</w:t>
      </w:r>
      <w:r w:rsidR="00BF607D">
        <w:rPr>
          <w:rFonts w:ascii="Book Antiqua" w:hAnsi="Book Antiqua" w:cs="Times New Roman"/>
          <w:sz w:val="24"/>
          <w:szCs w:val="24"/>
        </w:rPr>
        <w:t>7</w:t>
      </w:r>
      <w:r w:rsidRPr="003904BF">
        <w:rPr>
          <w:rFonts w:ascii="Book Antiqua" w:hAnsi="Book Antiqua" w:cs="Times New Roman"/>
          <w:sz w:val="24"/>
          <w:szCs w:val="24"/>
        </w:rPr>
        <w:t>%</w:t>
      </w:r>
      <w:r w:rsidR="00150ED6" w:rsidRPr="003904BF">
        <w:rPr>
          <w:rFonts w:ascii="Book Antiqua" w:hAnsi="Book Antiqua" w:cs="Times New Roman"/>
          <w:sz w:val="24"/>
          <w:szCs w:val="24"/>
        </w:rPr>
        <w:t>,</w:t>
      </w:r>
      <w:r w:rsidRPr="003904BF">
        <w:rPr>
          <w:rFonts w:ascii="Book Antiqua" w:hAnsi="Book Antiqua" w:cs="Times New Roman"/>
          <w:sz w:val="24"/>
          <w:szCs w:val="24"/>
        </w:rPr>
        <w:t xml:space="preserve"> suivi d</w:t>
      </w:r>
      <w:r w:rsidR="00150ED6" w:rsidRPr="003904BF">
        <w:rPr>
          <w:rFonts w:ascii="Book Antiqua" w:hAnsi="Book Antiqua" w:cs="Times New Roman"/>
          <w:sz w:val="24"/>
          <w:szCs w:val="24"/>
        </w:rPr>
        <w:t>e l</w:t>
      </w:r>
      <w:r w:rsidRPr="003904BF">
        <w:rPr>
          <w:rFonts w:ascii="Book Antiqua" w:hAnsi="Book Antiqua" w:cs="Times New Roman"/>
          <w:sz w:val="24"/>
          <w:szCs w:val="24"/>
        </w:rPr>
        <w:t>’"agriculture, forêt et pêche" avec 3</w:t>
      </w:r>
      <w:r w:rsidR="00BF607D">
        <w:rPr>
          <w:rFonts w:ascii="Book Antiqua" w:hAnsi="Book Antiqua" w:cs="Times New Roman"/>
          <w:sz w:val="24"/>
          <w:szCs w:val="24"/>
        </w:rPr>
        <w:t>0</w:t>
      </w:r>
      <w:r w:rsidRPr="003904BF">
        <w:rPr>
          <w:rFonts w:ascii="Book Antiqua" w:hAnsi="Book Antiqua" w:cs="Times New Roman"/>
          <w:sz w:val="24"/>
          <w:szCs w:val="24"/>
        </w:rPr>
        <w:t>,</w:t>
      </w:r>
      <w:r w:rsidR="00BF607D">
        <w:rPr>
          <w:rFonts w:ascii="Book Antiqua" w:hAnsi="Book Antiqua" w:cs="Times New Roman"/>
          <w:sz w:val="24"/>
          <w:szCs w:val="24"/>
        </w:rPr>
        <w:t>0</w:t>
      </w:r>
      <w:r w:rsidRPr="003904BF">
        <w:rPr>
          <w:rFonts w:ascii="Book Antiqua" w:hAnsi="Book Antiqua" w:cs="Times New Roman"/>
          <w:sz w:val="24"/>
          <w:szCs w:val="24"/>
        </w:rPr>
        <w:t xml:space="preserve">%, </w:t>
      </w:r>
      <w:r w:rsidR="00BF607D">
        <w:rPr>
          <w:rFonts w:ascii="Book Antiqua" w:hAnsi="Book Antiqua" w:cs="Times New Roman"/>
          <w:sz w:val="24"/>
          <w:szCs w:val="24"/>
        </w:rPr>
        <w:t>des</w:t>
      </w:r>
      <w:r w:rsidR="00BF607D" w:rsidRPr="003904BF">
        <w:rPr>
          <w:rFonts w:ascii="Book Antiqua" w:hAnsi="Book Antiqua" w:cs="Times New Roman"/>
          <w:sz w:val="24"/>
          <w:szCs w:val="24"/>
        </w:rPr>
        <w:t xml:space="preserve"> "BTP" </w:t>
      </w:r>
      <w:r w:rsidR="00BF607D">
        <w:rPr>
          <w:rFonts w:ascii="Book Antiqua" w:hAnsi="Book Antiqua" w:cs="Times New Roman"/>
          <w:sz w:val="24"/>
          <w:szCs w:val="24"/>
        </w:rPr>
        <w:t xml:space="preserve">avec </w:t>
      </w:r>
      <w:r w:rsidR="00BF607D" w:rsidRPr="003904BF">
        <w:rPr>
          <w:rFonts w:ascii="Book Antiqua" w:hAnsi="Book Antiqua" w:cs="Times New Roman"/>
          <w:sz w:val="24"/>
          <w:szCs w:val="24"/>
        </w:rPr>
        <w:t>1</w:t>
      </w:r>
      <w:r w:rsidR="00BF607D">
        <w:rPr>
          <w:rFonts w:ascii="Book Antiqua" w:hAnsi="Book Antiqua" w:cs="Times New Roman"/>
          <w:sz w:val="24"/>
          <w:szCs w:val="24"/>
        </w:rPr>
        <w:t>1</w:t>
      </w:r>
      <w:r w:rsidR="00BF607D" w:rsidRPr="003904BF">
        <w:rPr>
          <w:rFonts w:ascii="Book Antiqua" w:hAnsi="Book Antiqua" w:cs="Times New Roman"/>
          <w:sz w:val="24"/>
          <w:szCs w:val="24"/>
        </w:rPr>
        <w:t>,</w:t>
      </w:r>
      <w:r w:rsidR="00BF607D">
        <w:rPr>
          <w:rFonts w:ascii="Book Antiqua" w:hAnsi="Book Antiqua" w:cs="Times New Roman"/>
          <w:sz w:val="24"/>
          <w:szCs w:val="24"/>
        </w:rPr>
        <w:t>7</w:t>
      </w:r>
      <w:r w:rsidR="00BF607D" w:rsidRPr="003904BF">
        <w:rPr>
          <w:rFonts w:ascii="Book Antiqua" w:hAnsi="Book Antiqua" w:cs="Times New Roman"/>
          <w:sz w:val="24"/>
          <w:szCs w:val="24"/>
        </w:rPr>
        <w:t>%</w:t>
      </w:r>
      <w:r w:rsidR="009402A2">
        <w:rPr>
          <w:rFonts w:ascii="Book Antiqua" w:hAnsi="Book Antiqua" w:cs="Times New Roman"/>
          <w:sz w:val="24"/>
          <w:szCs w:val="24"/>
        </w:rPr>
        <w:t xml:space="preserve"> </w:t>
      </w:r>
      <w:r w:rsidR="00BF607D">
        <w:rPr>
          <w:rFonts w:ascii="Book Antiqua" w:hAnsi="Book Antiqua" w:cs="Times New Roman"/>
          <w:sz w:val="24"/>
          <w:szCs w:val="24"/>
        </w:rPr>
        <w:t xml:space="preserve">et de </w:t>
      </w:r>
      <w:r w:rsidRPr="003904BF">
        <w:rPr>
          <w:rFonts w:ascii="Book Antiqua" w:hAnsi="Book Antiqua" w:cs="Times New Roman"/>
          <w:sz w:val="24"/>
          <w:szCs w:val="24"/>
        </w:rPr>
        <w:t>l'</w:t>
      </w:r>
      <w:r w:rsidR="003904BF">
        <w:rPr>
          <w:rFonts w:ascii="Book Antiqua" w:hAnsi="Book Antiqua" w:cs="Times New Roman"/>
          <w:sz w:val="24"/>
          <w:szCs w:val="24"/>
        </w:rPr>
        <w:t> </w:t>
      </w:r>
      <w:r w:rsidR="003904BF" w:rsidRPr="003904BF">
        <w:rPr>
          <w:rFonts w:ascii="Book Antiqua" w:hAnsi="Book Antiqua" w:cs="Times New Roman"/>
          <w:sz w:val="24"/>
          <w:szCs w:val="24"/>
        </w:rPr>
        <w:t>"</w:t>
      </w:r>
      <w:r w:rsidRPr="003904BF">
        <w:rPr>
          <w:rFonts w:ascii="Book Antiqua" w:hAnsi="Book Antiqua" w:cs="Times New Roman"/>
          <w:sz w:val="24"/>
          <w:szCs w:val="24"/>
        </w:rPr>
        <w:t>industrie y compris l'artisanat</w:t>
      </w:r>
      <w:r w:rsidR="003904BF">
        <w:rPr>
          <w:rFonts w:ascii="Book Antiqua" w:hAnsi="Book Antiqua" w:cs="Times New Roman"/>
          <w:sz w:val="24"/>
          <w:szCs w:val="24"/>
        </w:rPr>
        <w:t>"</w:t>
      </w:r>
      <w:r w:rsidR="00150ED6" w:rsidRPr="003904BF">
        <w:rPr>
          <w:rFonts w:ascii="Book Antiqua" w:hAnsi="Book Antiqua" w:cs="Times New Roman"/>
          <w:sz w:val="24"/>
          <w:szCs w:val="24"/>
        </w:rPr>
        <w:t xml:space="preserve"> avec </w:t>
      </w:r>
      <w:r w:rsidRPr="003904BF">
        <w:rPr>
          <w:rFonts w:ascii="Book Antiqua" w:hAnsi="Book Antiqua" w:cs="Times New Roman"/>
          <w:sz w:val="24"/>
          <w:szCs w:val="24"/>
        </w:rPr>
        <w:t>11,</w:t>
      </w:r>
      <w:r w:rsidR="00BF607D">
        <w:rPr>
          <w:rFonts w:ascii="Book Antiqua" w:hAnsi="Book Antiqua" w:cs="Times New Roman"/>
          <w:sz w:val="24"/>
          <w:szCs w:val="24"/>
        </w:rPr>
        <w:t>6</w:t>
      </w:r>
      <w:r w:rsidR="00255A6C">
        <w:rPr>
          <w:rFonts w:ascii="Book Antiqua" w:hAnsi="Book Antiqua" w:cs="Times New Roman"/>
          <w:sz w:val="24"/>
          <w:szCs w:val="24"/>
        </w:rPr>
        <w:t>%.</w:t>
      </w:r>
      <w:bookmarkEnd w:id="1"/>
    </w:p>
    <w:p w14:paraId="7693BF72" w14:textId="77777777" w:rsidR="00B05BD0" w:rsidRPr="003B7438" w:rsidRDefault="00BF607D" w:rsidP="00BF607D">
      <w:pPr>
        <w:spacing w:after="240" w:line="312" w:lineRule="auto"/>
        <w:jc w:val="both"/>
        <w:rPr>
          <w:rFonts w:ascii="Book Antiqua" w:hAnsi="Book Antiqua" w:cs="Times New Roman"/>
          <w:sz w:val="24"/>
          <w:szCs w:val="24"/>
        </w:rPr>
      </w:pPr>
      <w:r>
        <w:rPr>
          <w:rFonts w:ascii="Book Antiqua" w:hAnsi="Book Antiqua" w:cs="Times New Roman"/>
          <w:sz w:val="24"/>
          <w:szCs w:val="24"/>
        </w:rPr>
        <w:t>Près</w:t>
      </w:r>
      <w:r w:rsidR="00B05BD0" w:rsidRPr="003B7438">
        <w:rPr>
          <w:rFonts w:ascii="Book Antiqua" w:hAnsi="Book Antiqua" w:cs="Times New Roman"/>
          <w:sz w:val="24"/>
          <w:szCs w:val="24"/>
        </w:rPr>
        <w:t xml:space="preserve"> de </w:t>
      </w:r>
      <w:r>
        <w:rPr>
          <w:rFonts w:ascii="Book Antiqua" w:hAnsi="Book Antiqua" w:cs="Times New Roman"/>
          <w:sz w:val="24"/>
          <w:szCs w:val="24"/>
        </w:rPr>
        <w:t>deux tiers des</w:t>
      </w:r>
      <w:r w:rsidR="004C37C0">
        <w:rPr>
          <w:rFonts w:ascii="Book Antiqua" w:hAnsi="Book Antiqua" w:cs="Times New Roman"/>
          <w:sz w:val="24"/>
          <w:szCs w:val="24"/>
        </w:rPr>
        <w:t xml:space="preserve"> </w:t>
      </w:r>
      <w:r>
        <w:rPr>
          <w:rFonts w:ascii="Book Antiqua" w:hAnsi="Book Antiqua" w:cs="Times New Roman"/>
          <w:sz w:val="24"/>
          <w:szCs w:val="24"/>
        </w:rPr>
        <w:t>actifs occupés ruraux (66</w:t>
      </w:r>
      <w:r w:rsidR="00B05BD0" w:rsidRPr="003B7438">
        <w:rPr>
          <w:rFonts w:ascii="Book Antiqua" w:hAnsi="Book Antiqua" w:cs="Times New Roman"/>
          <w:sz w:val="24"/>
          <w:szCs w:val="24"/>
        </w:rPr>
        <w:t>,</w:t>
      </w:r>
      <w:r>
        <w:rPr>
          <w:rFonts w:ascii="Book Antiqua" w:hAnsi="Book Antiqua" w:cs="Times New Roman"/>
          <w:sz w:val="24"/>
          <w:szCs w:val="24"/>
        </w:rPr>
        <w:t>4</w:t>
      </w:r>
      <w:r w:rsidR="00B05BD0" w:rsidRPr="003B7438">
        <w:rPr>
          <w:rFonts w:ascii="Book Antiqua" w:hAnsi="Book Antiqua" w:cs="Times New Roman"/>
          <w:sz w:val="24"/>
          <w:szCs w:val="24"/>
        </w:rPr>
        <w:t xml:space="preserve">%) exercent dans le secteur de l’agriculture, forêts et pêche, et près de deux tiers </w:t>
      </w:r>
      <w:r w:rsidR="00BD416B" w:rsidRPr="003B7438">
        <w:rPr>
          <w:rFonts w:ascii="Book Antiqua" w:hAnsi="Book Antiqua" w:cs="Times New Roman"/>
          <w:sz w:val="24"/>
          <w:szCs w:val="24"/>
        </w:rPr>
        <w:t xml:space="preserve">des </w:t>
      </w:r>
      <w:r w:rsidR="00B05BD0" w:rsidRPr="003B7438">
        <w:rPr>
          <w:rFonts w:ascii="Book Antiqua" w:hAnsi="Book Antiqua" w:cs="Times New Roman"/>
          <w:sz w:val="24"/>
          <w:szCs w:val="24"/>
        </w:rPr>
        <w:t>actifs occupés citadins (66,</w:t>
      </w:r>
      <w:r>
        <w:rPr>
          <w:rFonts w:ascii="Book Antiqua" w:hAnsi="Book Antiqua" w:cs="Times New Roman"/>
          <w:sz w:val="24"/>
          <w:szCs w:val="24"/>
        </w:rPr>
        <w:t>4</w:t>
      </w:r>
      <w:r w:rsidR="00B05BD0" w:rsidRPr="003B7438">
        <w:rPr>
          <w:rFonts w:ascii="Book Antiqua" w:hAnsi="Book Antiqua" w:cs="Times New Roman"/>
          <w:sz w:val="24"/>
          <w:szCs w:val="24"/>
        </w:rPr>
        <w:t xml:space="preserve">%) travaillent dans le secteur des services. </w:t>
      </w:r>
    </w:p>
    <w:p w14:paraId="1D246AAF" w14:textId="77777777" w:rsidR="00B05BD0" w:rsidRPr="00BD416B" w:rsidRDefault="00B05BD0" w:rsidP="00B05BD0">
      <w:pPr>
        <w:spacing w:after="200" w:line="276" w:lineRule="auto"/>
        <w:rPr>
          <w:b/>
          <w:bCs/>
          <w:i/>
          <w:iCs/>
          <w:color w:val="2F5496" w:themeColor="accent1" w:themeShade="BF"/>
          <w:sz w:val="24"/>
          <w:szCs w:val="24"/>
        </w:rPr>
      </w:pPr>
      <w:r w:rsidRPr="00BD416B">
        <w:rPr>
          <w:b/>
          <w:bCs/>
          <w:i/>
          <w:iCs/>
          <w:color w:val="2F5496" w:themeColor="accent1" w:themeShade="BF"/>
          <w:sz w:val="24"/>
          <w:szCs w:val="24"/>
        </w:rPr>
        <w:t>Création de l’emploi selon les secteurs</w:t>
      </w:r>
    </w:p>
    <w:p w14:paraId="191D6F34" w14:textId="10C7C406" w:rsidR="001B5566" w:rsidRPr="00571042" w:rsidRDefault="003513E8" w:rsidP="002B6B5C">
      <w:pPr>
        <w:autoSpaceDE w:val="0"/>
        <w:autoSpaceDN w:val="0"/>
        <w:adjustRightInd w:val="0"/>
        <w:spacing w:before="120" w:after="120" w:line="276" w:lineRule="auto"/>
        <w:jc w:val="both"/>
        <w:rPr>
          <w:rFonts w:ascii="Book Antiqua" w:hAnsi="Book Antiqua" w:cs="Times New Roman"/>
          <w:sz w:val="24"/>
          <w:szCs w:val="24"/>
        </w:rPr>
      </w:pPr>
      <w:r w:rsidRPr="00571042">
        <w:rPr>
          <w:rFonts w:ascii="Book Antiqua" w:hAnsi="Book Antiqua" w:cs="Times New Roman"/>
          <w:sz w:val="24"/>
          <w:szCs w:val="24"/>
        </w:rPr>
        <w:t xml:space="preserve">Entre le </w:t>
      </w:r>
      <w:r w:rsidR="00BF607D">
        <w:rPr>
          <w:rFonts w:ascii="Book Antiqua" w:hAnsi="Book Antiqua" w:cs="Times New Roman"/>
          <w:sz w:val="24"/>
          <w:szCs w:val="24"/>
        </w:rPr>
        <w:t>troisième</w:t>
      </w:r>
      <w:r w:rsidRPr="00571042">
        <w:rPr>
          <w:rFonts w:ascii="Book Antiqua" w:hAnsi="Book Antiqua" w:cs="Times New Roman"/>
          <w:sz w:val="24"/>
          <w:szCs w:val="24"/>
        </w:rPr>
        <w:t xml:space="preserve"> trimestre de 2020 et la même période de 2021, le secteur de l’"agriculture forêt et pêche", a vu son volume d'emploi augmenter de </w:t>
      </w:r>
      <w:r w:rsidR="00751129">
        <w:rPr>
          <w:rFonts w:ascii="Book Antiqua" w:hAnsi="Book Antiqua" w:cs="Times New Roman"/>
          <w:sz w:val="24"/>
          <w:szCs w:val="24"/>
        </w:rPr>
        <w:t>190</w:t>
      </w:r>
      <w:r w:rsidRPr="00571042">
        <w:rPr>
          <w:rFonts w:ascii="Book Antiqua" w:hAnsi="Book Antiqua" w:cs="Times New Roman"/>
          <w:sz w:val="24"/>
          <w:szCs w:val="24"/>
        </w:rPr>
        <w:t xml:space="preserve">.000 postes, contre une perte </w:t>
      </w:r>
      <w:r w:rsidR="002B6B5C" w:rsidRPr="002B6B5C">
        <w:rPr>
          <w:rFonts w:ascii="Book Antiqua" w:hAnsi="Book Antiqua" w:cs="Times New Roman"/>
          <w:sz w:val="24"/>
          <w:szCs w:val="24"/>
        </w:rPr>
        <w:t>258</w:t>
      </w:r>
      <w:r w:rsidR="001B5566" w:rsidRPr="002B6B5C">
        <w:rPr>
          <w:rFonts w:ascii="Book Antiqua" w:hAnsi="Book Antiqua" w:cs="Times New Roman"/>
          <w:sz w:val="24"/>
          <w:szCs w:val="24"/>
        </w:rPr>
        <w:t>.000</w:t>
      </w:r>
      <w:r w:rsidR="001B5566" w:rsidRPr="00571042">
        <w:rPr>
          <w:rFonts w:ascii="Book Antiqua" w:hAnsi="Book Antiqua" w:cs="Times New Roman"/>
          <w:sz w:val="24"/>
          <w:szCs w:val="24"/>
        </w:rPr>
        <w:t xml:space="preserve"> </w:t>
      </w:r>
      <w:r w:rsidR="00CA3966">
        <w:rPr>
          <w:rFonts w:ascii="Book Antiqua" w:hAnsi="Book Antiqua" w:cs="Times New Roman"/>
          <w:sz w:val="24"/>
          <w:szCs w:val="24"/>
        </w:rPr>
        <w:t>une année auparavant</w:t>
      </w:r>
      <w:r w:rsidR="0068654C">
        <w:rPr>
          <w:rFonts w:ascii="Book Antiqua" w:hAnsi="Book Antiqua" w:cs="Times New Roman"/>
          <w:sz w:val="24"/>
          <w:szCs w:val="24"/>
        </w:rPr>
        <w:t xml:space="preserve"> </w:t>
      </w:r>
      <w:r w:rsidR="00AC22F3" w:rsidRPr="004A43A3">
        <w:rPr>
          <w:rFonts w:ascii="Book Antiqua" w:hAnsi="Book Antiqua" w:cs="Times New Roman"/>
          <w:sz w:val="24"/>
          <w:szCs w:val="24"/>
        </w:rPr>
        <w:t xml:space="preserve">et une perte annuelle moyenne de </w:t>
      </w:r>
      <w:r w:rsidR="00DE5EB5" w:rsidRPr="00DE5EB5">
        <w:rPr>
          <w:rFonts w:ascii="Book Antiqua" w:hAnsi="Book Antiqua" w:cs="Times New Roman"/>
          <w:sz w:val="24"/>
          <w:szCs w:val="24"/>
        </w:rPr>
        <w:t>49</w:t>
      </w:r>
      <w:r w:rsidR="00AC22F3" w:rsidRPr="00DE5EB5">
        <w:rPr>
          <w:rFonts w:ascii="Book Antiqua" w:hAnsi="Book Antiqua" w:cs="Times New Roman"/>
          <w:sz w:val="24"/>
          <w:szCs w:val="24"/>
        </w:rPr>
        <w:t>.000</w:t>
      </w:r>
      <w:r w:rsidR="00AC22F3" w:rsidRPr="004A43A3">
        <w:rPr>
          <w:rFonts w:ascii="Book Antiqua" w:hAnsi="Book Antiqua" w:cs="Times New Roman"/>
          <w:sz w:val="24"/>
          <w:szCs w:val="24"/>
        </w:rPr>
        <w:t xml:space="preserve"> postes entre les </w:t>
      </w:r>
      <w:r w:rsidR="002B6B5C">
        <w:rPr>
          <w:rFonts w:ascii="Book Antiqua" w:hAnsi="Book Antiqua" w:cs="Times New Roman"/>
          <w:sz w:val="24"/>
          <w:szCs w:val="24"/>
        </w:rPr>
        <w:t>troisièmes</w:t>
      </w:r>
      <w:r w:rsidR="00AC22F3" w:rsidRPr="004A43A3">
        <w:rPr>
          <w:rFonts w:ascii="Book Antiqua" w:hAnsi="Book Antiqua" w:cs="Times New Roman"/>
          <w:sz w:val="24"/>
          <w:szCs w:val="24"/>
        </w:rPr>
        <w:t xml:space="preserve"> trimestres des trois années </w:t>
      </w:r>
      <w:r w:rsidR="00BD416B">
        <w:rPr>
          <w:rFonts w:ascii="Book Antiqua" w:hAnsi="Book Antiqua" w:cs="Times New Roman"/>
          <w:sz w:val="24"/>
          <w:szCs w:val="24"/>
        </w:rPr>
        <w:t>précéd</w:t>
      </w:r>
      <w:r w:rsidR="00535E49">
        <w:rPr>
          <w:rFonts w:ascii="Book Antiqua" w:hAnsi="Book Antiqua" w:cs="Times New Roman"/>
          <w:sz w:val="24"/>
          <w:szCs w:val="24"/>
        </w:rPr>
        <w:t>a</w:t>
      </w:r>
      <w:r w:rsidR="00BD416B">
        <w:rPr>
          <w:rFonts w:ascii="Book Antiqua" w:hAnsi="Book Antiqua" w:cs="Times New Roman"/>
          <w:sz w:val="24"/>
          <w:szCs w:val="24"/>
        </w:rPr>
        <w:t xml:space="preserve">nt la </w:t>
      </w:r>
      <w:r w:rsidR="00AC22F3" w:rsidRPr="004A43A3">
        <w:rPr>
          <w:rFonts w:ascii="Book Antiqua" w:hAnsi="Book Antiqua" w:cs="Times New Roman"/>
          <w:sz w:val="24"/>
          <w:szCs w:val="24"/>
        </w:rPr>
        <w:t>pandémie</w:t>
      </w:r>
      <w:r w:rsidR="001B5566" w:rsidRPr="004A43A3">
        <w:rPr>
          <w:rFonts w:ascii="Book Antiqua" w:hAnsi="Book Antiqua" w:cs="Times New Roman"/>
          <w:sz w:val="24"/>
          <w:szCs w:val="24"/>
        </w:rPr>
        <w:t>.</w:t>
      </w:r>
    </w:p>
    <w:p w14:paraId="193FD723" w14:textId="5AB7FC6A" w:rsidR="003513E8" w:rsidRPr="00571042" w:rsidRDefault="003513E8" w:rsidP="00751129">
      <w:pPr>
        <w:autoSpaceDE w:val="0"/>
        <w:autoSpaceDN w:val="0"/>
        <w:adjustRightInd w:val="0"/>
        <w:spacing w:before="120" w:after="120" w:line="276" w:lineRule="auto"/>
        <w:jc w:val="both"/>
        <w:rPr>
          <w:rFonts w:ascii="Book Antiqua" w:hAnsi="Book Antiqua" w:cs="Times New Roman"/>
          <w:sz w:val="24"/>
          <w:szCs w:val="24"/>
        </w:rPr>
      </w:pPr>
      <w:r w:rsidRPr="00571042">
        <w:rPr>
          <w:rFonts w:ascii="Book Antiqua" w:hAnsi="Book Antiqua" w:cs="Times New Roman"/>
          <w:sz w:val="24"/>
          <w:szCs w:val="24"/>
        </w:rPr>
        <w:lastRenderedPageBreak/>
        <w:t>Le secteur de l’"industrie y</w:t>
      </w:r>
      <w:r w:rsidR="00751129">
        <w:rPr>
          <w:rFonts w:ascii="Book Antiqua" w:hAnsi="Book Antiqua" w:cs="Times New Roman"/>
          <w:sz w:val="24"/>
          <w:szCs w:val="24"/>
        </w:rPr>
        <w:t xml:space="preserve"> compris l’artisanat" a cré</w:t>
      </w:r>
      <w:r w:rsidR="00E53D05">
        <w:rPr>
          <w:rFonts w:ascii="Book Antiqua" w:hAnsi="Book Antiqua" w:cs="Times New Roman"/>
          <w:sz w:val="24"/>
          <w:szCs w:val="24"/>
        </w:rPr>
        <w:t>é</w:t>
      </w:r>
      <w:r w:rsidR="00751129">
        <w:rPr>
          <w:rFonts w:ascii="Book Antiqua" w:hAnsi="Book Antiqua" w:cs="Times New Roman"/>
          <w:sz w:val="24"/>
          <w:szCs w:val="24"/>
        </w:rPr>
        <w:t xml:space="preserve"> 54</w:t>
      </w:r>
      <w:r w:rsidRPr="00571042">
        <w:rPr>
          <w:rFonts w:ascii="Book Antiqua" w:hAnsi="Book Antiqua" w:cs="Times New Roman"/>
          <w:sz w:val="24"/>
          <w:szCs w:val="24"/>
        </w:rPr>
        <w:t>.000 postes d'emploi</w:t>
      </w:r>
      <w:r w:rsidR="00222044">
        <w:rPr>
          <w:rFonts w:ascii="Book Antiqua" w:hAnsi="Book Antiqua" w:cs="Times New Roman"/>
          <w:sz w:val="24"/>
          <w:szCs w:val="24"/>
        </w:rPr>
        <w:t xml:space="preserve">, </w:t>
      </w:r>
      <w:r w:rsidRPr="00571042">
        <w:rPr>
          <w:rFonts w:ascii="Book Antiqua" w:hAnsi="Book Antiqua" w:cs="Times New Roman"/>
          <w:sz w:val="24"/>
          <w:szCs w:val="24"/>
        </w:rPr>
        <w:t xml:space="preserve">contre </w:t>
      </w:r>
      <w:r w:rsidR="000A7A59" w:rsidRPr="00571042">
        <w:rPr>
          <w:rFonts w:ascii="Book Antiqua" w:hAnsi="Book Antiqua" w:cs="Times New Roman"/>
          <w:sz w:val="24"/>
          <w:szCs w:val="24"/>
        </w:rPr>
        <w:t>une perte de </w:t>
      </w:r>
      <w:r w:rsidR="00BB74D9" w:rsidRPr="00BB74D9">
        <w:rPr>
          <w:rFonts w:ascii="Book Antiqua" w:hAnsi="Book Antiqua" w:cs="Times New Roman"/>
          <w:sz w:val="24"/>
          <w:szCs w:val="24"/>
        </w:rPr>
        <w:t>61</w:t>
      </w:r>
      <w:r w:rsidR="001B5566" w:rsidRPr="00BB74D9">
        <w:rPr>
          <w:rFonts w:ascii="Book Antiqua" w:hAnsi="Book Antiqua" w:cs="Times New Roman"/>
          <w:sz w:val="24"/>
          <w:szCs w:val="24"/>
        </w:rPr>
        <w:t>.000</w:t>
      </w:r>
      <w:r w:rsidR="00951BD4">
        <w:rPr>
          <w:rFonts w:ascii="Book Antiqua" w:hAnsi="Book Antiqua" w:cs="Times New Roman"/>
          <w:sz w:val="24"/>
          <w:szCs w:val="24"/>
        </w:rPr>
        <w:t xml:space="preserve"> </w:t>
      </w:r>
      <w:r w:rsidR="00CA3966">
        <w:rPr>
          <w:rFonts w:ascii="Book Antiqua" w:hAnsi="Book Antiqua" w:cs="Times New Roman"/>
          <w:sz w:val="24"/>
          <w:szCs w:val="24"/>
        </w:rPr>
        <w:t>une année auparavant</w:t>
      </w:r>
      <w:r w:rsidR="009402A2">
        <w:rPr>
          <w:rFonts w:ascii="Book Antiqua" w:hAnsi="Book Antiqua" w:cs="Times New Roman"/>
          <w:sz w:val="24"/>
          <w:szCs w:val="24"/>
        </w:rPr>
        <w:t xml:space="preserve"> </w:t>
      </w:r>
      <w:r w:rsidR="00AC22F3" w:rsidRPr="004A43A3">
        <w:rPr>
          <w:rFonts w:ascii="Book Antiqua" w:hAnsi="Book Antiqua" w:cs="Times New Roman"/>
          <w:sz w:val="24"/>
          <w:szCs w:val="24"/>
        </w:rPr>
        <w:t xml:space="preserve">et une création annuelle moyenne de </w:t>
      </w:r>
      <w:r w:rsidR="00DE5EB5" w:rsidRPr="00DE5EB5">
        <w:rPr>
          <w:rFonts w:ascii="Book Antiqua" w:hAnsi="Book Antiqua" w:cs="Times New Roman"/>
          <w:sz w:val="24"/>
          <w:szCs w:val="24"/>
        </w:rPr>
        <w:t>1</w:t>
      </w:r>
      <w:r w:rsidR="00AC22F3" w:rsidRPr="00DE5EB5">
        <w:rPr>
          <w:rFonts w:ascii="Book Antiqua" w:hAnsi="Book Antiqua" w:cs="Times New Roman"/>
          <w:sz w:val="24"/>
          <w:szCs w:val="24"/>
        </w:rPr>
        <w:t>2.000</w:t>
      </w:r>
      <w:r w:rsidR="00AC22F3" w:rsidRPr="004A43A3">
        <w:rPr>
          <w:rFonts w:ascii="Book Antiqua" w:hAnsi="Book Antiqua" w:cs="Times New Roman"/>
          <w:sz w:val="24"/>
          <w:szCs w:val="24"/>
        </w:rPr>
        <w:t xml:space="preserve"> postes entre </w:t>
      </w:r>
      <w:r w:rsidR="00951BD4" w:rsidRPr="004A43A3">
        <w:rPr>
          <w:rFonts w:ascii="Book Antiqua" w:hAnsi="Book Antiqua" w:cs="Times New Roman"/>
          <w:sz w:val="24"/>
          <w:szCs w:val="24"/>
        </w:rPr>
        <w:t xml:space="preserve">les </w:t>
      </w:r>
      <w:r w:rsidR="00951BD4">
        <w:rPr>
          <w:rFonts w:ascii="Book Antiqua" w:hAnsi="Book Antiqua" w:cs="Times New Roman"/>
          <w:sz w:val="24"/>
          <w:szCs w:val="24"/>
        </w:rPr>
        <w:t>troisièmes</w:t>
      </w:r>
      <w:r w:rsidR="00AC22F3" w:rsidRPr="004A43A3">
        <w:rPr>
          <w:rFonts w:ascii="Book Antiqua" w:hAnsi="Book Antiqua" w:cs="Times New Roman"/>
          <w:sz w:val="24"/>
          <w:szCs w:val="24"/>
        </w:rPr>
        <w:t xml:space="preserve"> des trois années </w:t>
      </w:r>
      <w:r w:rsidR="003904BF" w:rsidRPr="004A43A3">
        <w:rPr>
          <w:rFonts w:ascii="Book Antiqua" w:hAnsi="Book Antiqua" w:cs="Times New Roman"/>
          <w:sz w:val="24"/>
          <w:szCs w:val="24"/>
        </w:rPr>
        <w:t>pré</w:t>
      </w:r>
      <w:r w:rsidR="003904BF">
        <w:rPr>
          <w:rFonts w:ascii="Book Antiqua" w:hAnsi="Book Antiqua" w:cs="Times New Roman"/>
          <w:sz w:val="24"/>
          <w:szCs w:val="24"/>
        </w:rPr>
        <w:t>p</w:t>
      </w:r>
      <w:r w:rsidR="003904BF" w:rsidRPr="004A43A3">
        <w:rPr>
          <w:rFonts w:ascii="Book Antiqua" w:hAnsi="Book Antiqua" w:cs="Times New Roman"/>
          <w:sz w:val="24"/>
          <w:szCs w:val="24"/>
        </w:rPr>
        <w:t>andémie</w:t>
      </w:r>
      <w:r w:rsidR="000A7A59" w:rsidRPr="004A43A3">
        <w:rPr>
          <w:rFonts w:ascii="Book Antiqua" w:hAnsi="Book Antiqua" w:cs="Times New Roman"/>
          <w:sz w:val="24"/>
          <w:szCs w:val="24"/>
        </w:rPr>
        <w:t>.</w:t>
      </w:r>
    </w:p>
    <w:p w14:paraId="412D2ADD" w14:textId="00858C6E" w:rsidR="003513E8" w:rsidRPr="00571042" w:rsidRDefault="003513E8" w:rsidP="00751129">
      <w:pPr>
        <w:autoSpaceDE w:val="0"/>
        <w:autoSpaceDN w:val="0"/>
        <w:adjustRightInd w:val="0"/>
        <w:spacing w:before="120" w:after="120" w:line="276" w:lineRule="auto"/>
        <w:jc w:val="both"/>
        <w:rPr>
          <w:rFonts w:ascii="Book Antiqua" w:hAnsi="Book Antiqua" w:cs="Times New Roman"/>
          <w:sz w:val="24"/>
          <w:szCs w:val="24"/>
        </w:rPr>
      </w:pPr>
      <w:r w:rsidRPr="00571042">
        <w:rPr>
          <w:rFonts w:ascii="Book Antiqua" w:hAnsi="Book Antiqua" w:cs="Times New Roman"/>
          <w:sz w:val="24"/>
          <w:szCs w:val="24"/>
        </w:rPr>
        <w:t xml:space="preserve">De son côté, le secteur des "services" a créé </w:t>
      </w:r>
      <w:r w:rsidR="00751129">
        <w:rPr>
          <w:rFonts w:ascii="Book Antiqua" w:hAnsi="Book Antiqua" w:cs="Times New Roman"/>
          <w:sz w:val="24"/>
          <w:szCs w:val="24"/>
        </w:rPr>
        <w:t>306</w:t>
      </w:r>
      <w:r w:rsidRPr="00571042">
        <w:rPr>
          <w:rFonts w:ascii="Book Antiqua" w:hAnsi="Book Antiqua" w:cs="Times New Roman"/>
          <w:sz w:val="24"/>
          <w:szCs w:val="24"/>
        </w:rPr>
        <w:t>.000 postes d'emploi, contre une perte de</w:t>
      </w:r>
      <w:r w:rsidR="000A7A59" w:rsidRPr="00571042">
        <w:rPr>
          <w:rFonts w:ascii="Book Antiqua" w:hAnsi="Book Antiqua" w:cs="Times New Roman"/>
          <w:sz w:val="24"/>
          <w:szCs w:val="24"/>
        </w:rPr>
        <w:t> </w:t>
      </w:r>
      <w:r w:rsidR="00BB74D9" w:rsidRPr="00BB74D9">
        <w:rPr>
          <w:rFonts w:ascii="Book Antiqua" w:hAnsi="Book Antiqua" w:cs="Times New Roman"/>
          <w:sz w:val="24"/>
          <w:szCs w:val="24"/>
        </w:rPr>
        <w:t>260</w:t>
      </w:r>
      <w:r w:rsidR="00571042" w:rsidRPr="00BB74D9">
        <w:rPr>
          <w:rFonts w:ascii="Book Antiqua" w:hAnsi="Book Antiqua" w:cs="Times New Roman"/>
          <w:sz w:val="24"/>
          <w:szCs w:val="24"/>
        </w:rPr>
        <w:t>.000</w:t>
      </w:r>
      <w:r w:rsidR="005072FB">
        <w:rPr>
          <w:rFonts w:ascii="Book Antiqua" w:hAnsi="Book Antiqua" w:cs="Times New Roman"/>
          <w:sz w:val="24"/>
          <w:szCs w:val="24"/>
        </w:rPr>
        <w:t xml:space="preserve"> </w:t>
      </w:r>
      <w:r w:rsidR="00AC22F3" w:rsidRPr="004A43A3">
        <w:rPr>
          <w:rFonts w:ascii="Book Antiqua" w:hAnsi="Book Antiqua" w:cs="Times New Roman"/>
          <w:sz w:val="24"/>
          <w:szCs w:val="24"/>
        </w:rPr>
        <w:t xml:space="preserve">au cours de la même période de </w:t>
      </w:r>
      <w:r w:rsidR="00571042" w:rsidRPr="004A43A3">
        <w:rPr>
          <w:rFonts w:ascii="Book Antiqua" w:hAnsi="Book Antiqua" w:cs="Times New Roman"/>
          <w:sz w:val="24"/>
          <w:szCs w:val="24"/>
        </w:rPr>
        <w:t>l’année</w:t>
      </w:r>
      <w:r w:rsidR="000A7A59" w:rsidRPr="004A43A3">
        <w:rPr>
          <w:rFonts w:ascii="Book Antiqua" w:hAnsi="Book Antiqua" w:cs="Times New Roman"/>
          <w:sz w:val="24"/>
          <w:szCs w:val="24"/>
        </w:rPr>
        <w:t xml:space="preserve"> dernière</w:t>
      </w:r>
      <w:r w:rsidR="00AC22F3" w:rsidRPr="004A43A3">
        <w:rPr>
          <w:rFonts w:ascii="Book Antiqua" w:hAnsi="Book Antiqua" w:cs="Times New Roman"/>
          <w:sz w:val="24"/>
          <w:szCs w:val="24"/>
        </w:rPr>
        <w:t xml:space="preserve"> et une création annuelle moyenne de </w:t>
      </w:r>
      <w:r w:rsidR="00DE5EB5" w:rsidRPr="00DE5EB5">
        <w:rPr>
          <w:rFonts w:ascii="Book Antiqua" w:hAnsi="Book Antiqua" w:cs="Times New Roman"/>
          <w:sz w:val="24"/>
          <w:szCs w:val="24"/>
        </w:rPr>
        <w:t>176.</w:t>
      </w:r>
      <w:r w:rsidR="00AC22F3" w:rsidRPr="00DE5EB5">
        <w:rPr>
          <w:rFonts w:ascii="Book Antiqua" w:hAnsi="Book Antiqua" w:cs="Times New Roman"/>
          <w:sz w:val="24"/>
          <w:szCs w:val="24"/>
        </w:rPr>
        <w:t>000</w:t>
      </w:r>
      <w:r w:rsidR="00AC22F3" w:rsidRPr="004A43A3">
        <w:rPr>
          <w:rFonts w:ascii="Book Antiqua" w:hAnsi="Book Antiqua" w:cs="Times New Roman"/>
          <w:sz w:val="24"/>
          <w:szCs w:val="24"/>
        </w:rPr>
        <w:t xml:space="preserve"> postes entre les </w:t>
      </w:r>
      <w:r w:rsidR="00951BD4">
        <w:rPr>
          <w:rFonts w:ascii="Book Antiqua" w:hAnsi="Book Antiqua" w:cs="Times New Roman"/>
          <w:sz w:val="24"/>
          <w:szCs w:val="24"/>
        </w:rPr>
        <w:t>troisièmes</w:t>
      </w:r>
      <w:r w:rsidR="00AC22F3" w:rsidRPr="004A43A3">
        <w:rPr>
          <w:rFonts w:ascii="Book Antiqua" w:hAnsi="Book Antiqua" w:cs="Times New Roman"/>
          <w:sz w:val="24"/>
          <w:szCs w:val="24"/>
        </w:rPr>
        <w:t xml:space="preserve"> trimestres des trois années </w:t>
      </w:r>
      <w:r w:rsidR="003904BF" w:rsidRPr="004A43A3">
        <w:rPr>
          <w:rFonts w:ascii="Book Antiqua" w:hAnsi="Book Antiqua" w:cs="Times New Roman"/>
          <w:sz w:val="24"/>
          <w:szCs w:val="24"/>
        </w:rPr>
        <w:t>pré</w:t>
      </w:r>
      <w:r w:rsidR="003904BF">
        <w:rPr>
          <w:rFonts w:ascii="Book Antiqua" w:hAnsi="Book Antiqua" w:cs="Times New Roman"/>
          <w:sz w:val="24"/>
          <w:szCs w:val="24"/>
        </w:rPr>
        <w:t>p</w:t>
      </w:r>
      <w:r w:rsidR="003904BF" w:rsidRPr="004A43A3">
        <w:rPr>
          <w:rFonts w:ascii="Book Antiqua" w:hAnsi="Book Antiqua" w:cs="Times New Roman"/>
          <w:sz w:val="24"/>
          <w:szCs w:val="24"/>
        </w:rPr>
        <w:t>andémie</w:t>
      </w:r>
      <w:r w:rsidR="000A7A59" w:rsidRPr="004A43A3">
        <w:rPr>
          <w:rFonts w:ascii="Book Antiqua" w:hAnsi="Book Antiqua" w:cs="Times New Roman"/>
          <w:sz w:val="24"/>
          <w:szCs w:val="24"/>
        </w:rPr>
        <w:t>.</w:t>
      </w:r>
    </w:p>
    <w:p w14:paraId="7CD22F42" w14:textId="4D6C4A58" w:rsidR="003513E8" w:rsidRDefault="003513E8" w:rsidP="00BB74D9">
      <w:pPr>
        <w:autoSpaceDE w:val="0"/>
        <w:autoSpaceDN w:val="0"/>
        <w:adjustRightInd w:val="0"/>
        <w:spacing w:after="120" w:line="276" w:lineRule="auto"/>
        <w:jc w:val="both"/>
        <w:rPr>
          <w:rFonts w:ascii="Book Antiqua" w:hAnsi="Book Antiqua" w:cs="Times New Roman"/>
          <w:sz w:val="24"/>
          <w:szCs w:val="24"/>
        </w:rPr>
      </w:pPr>
      <w:r w:rsidRPr="00F2381A">
        <w:rPr>
          <w:rFonts w:ascii="Book Antiqua" w:hAnsi="Book Antiqua" w:cs="Times New Roman"/>
          <w:sz w:val="24"/>
          <w:szCs w:val="24"/>
        </w:rPr>
        <w:t>Enfin, le secteur d</w:t>
      </w:r>
      <w:r w:rsidR="000133A2">
        <w:rPr>
          <w:rFonts w:ascii="Book Antiqua" w:hAnsi="Book Antiqua" w:cs="Times New Roman"/>
          <w:sz w:val="24"/>
          <w:szCs w:val="24"/>
        </w:rPr>
        <w:t xml:space="preserve">es </w:t>
      </w:r>
      <w:r w:rsidR="00751129">
        <w:rPr>
          <w:rFonts w:ascii="Book Antiqua" w:hAnsi="Book Antiqua" w:cs="Times New Roman"/>
          <w:sz w:val="24"/>
          <w:szCs w:val="24"/>
        </w:rPr>
        <w:t>BTP a créé 92</w:t>
      </w:r>
      <w:r w:rsidRPr="00F2381A">
        <w:rPr>
          <w:rFonts w:ascii="Book Antiqua" w:hAnsi="Book Antiqua" w:cs="Times New Roman"/>
          <w:sz w:val="24"/>
          <w:szCs w:val="24"/>
        </w:rPr>
        <w:t xml:space="preserve">.000 postes d’emploi, contre une </w:t>
      </w:r>
      <w:r w:rsidR="00BB74D9">
        <w:rPr>
          <w:rFonts w:ascii="Book Antiqua" w:hAnsi="Book Antiqua" w:cs="Times New Roman"/>
          <w:sz w:val="24"/>
          <w:szCs w:val="24"/>
        </w:rPr>
        <w:t>création de</w:t>
      </w:r>
      <w:r w:rsidR="000A7A59" w:rsidRPr="00F2381A">
        <w:rPr>
          <w:rFonts w:ascii="Book Antiqua" w:hAnsi="Book Antiqua" w:cs="Times New Roman"/>
          <w:sz w:val="24"/>
          <w:szCs w:val="24"/>
        </w:rPr>
        <w:t> </w:t>
      </w:r>
      <w:r w:rsidR="00BB74D9" w:rsidRPr="00BB74D9">
        <w:rPr>
          <w:rFonts w:ascii="Book Antiqua" w:hAnsi="Book Antiqua" w:cs="Times New Roman"/>
          <w:sz w:val="24"/>
          <w:szCs w:val="24"/>
        </w:rPr>
        <w:t>1</w:t>
      </w:r>
      <w:r w:rsidR="00571042" w:rsidRPr="00BB74D9">
        <w:rPr>
          <w:rFonts w:ascii="Book Antiqua" w:hAnsi="Book Antiqua" w:cs="Times New Roman"/>
          <w:sz w:val="24"/>
          <w:szCs w:val="24"/>
        </w:rPr>
        <w:t>.000</w:t>
      </w:r>
      <w:r w:rsidR="00571042" w:rsidRPr="00F2381A">
        <w:rPr>
          <w:rFonts w:ascii="Book Antiqua" w:hAnsi="Book Antiqua" w:cs="Times New Roman"/>
          <w:sz w:val="24"/>
          <w:szCs w:val="24"/>
        </w:rPr>
        <w:t xml:space="preserve"> postes</w:t>
      </w:r>
      <w:r w:rsidR="0068654C">
        <w:rPr>
          <w:rFonts w:ascii="Book Antiqua" w:hAnsi="Book Antiqua" w:cs="Times New Roman"/>
          <w:sz w:val="24"/>
          <w:szCs w:val="24"/>
        </w:rPr>
        <w:t xml:space="preserve"> </w:t>
      </w:r>
      <w:r w:rsidR="00AC22F3" w:rsidRPr="004A43A3">
        <w:rPr>
          <w:rFonts w:ascii="Book Antiqua" w:hAnsi="Book Antiqua" w:cs="Times New Roman"/>
          <w:sz w:val="24"/>
          <w:szCs w:val="24"/>
        </w:rPr>
        <w:t>au cours de la même période de</w:t>
      </w:r>
      <w:r w:rsidR="000A7A59" w:rsidRPr="004A43A3">
        <w:rPr>
          <w:rFonts w:ascii="Book Antiqua" w:hAnsi="Book Antiqua" w:cs="Times New Roman"/>
          <w:sz w:val="24"/>
          <w:szCs w:val="24"/>
        </w:rPr>
        <w:t xml:space="preserve"> l’année dernière</w:t>
      </w:r>
      <w:r w:rsidR="0068654C">
        <w:rPr>
          <w:rFonts w:ascii="Book Antiqua" w:hAnsi="Book Antiqua" w:cs="Times New Roman"/>
          <w:sz w:val="24"/>
          <w:szCs w:val="24"/>
        </w:rPr>
        <w:t xml:space="preserve"> </w:t>
      </w:r>
      <w:r w:rsidR="00DE0885">
        <w:rPr>
          <w:rFonts w:ascii="Book Antiqua" w:hAnsi="Book Antiqua" w:cs="Times New Roman"/>
          <w:sz w:val="24"/>
          <w:szCs w:val="24"/>
        </w:rPr>
        <w:t xml:space="preserve">et </w:t>
      </w:r>
      <w:r w:rsidR="00AC22F3" w:rsidRPr="004A43A3">
        <w:rPr>
          <w:rFonts w:ascii="Book Antiqua" w:hAnsi="Book Antiqua" w:cs="Times New Roman"/>
          <w:sz w:val="24"/>
          <w:szCs w:val="24"/>
        </w:rPr>
        <w:t xml:space="preserve">une </w:t>
      </w:r>
      <w:r w:rsidR="00C77002">
        <w:rPr>
          <w:rFonts w:ascii="Book Antiqua" w:hAnsi="Book Antiqua" w:cs="Times New Roman"/>
          <w:sz w:val="24"/>
          <w:szCs w:val="24"/>
        </w:rPr>
        <w:t>création</w:t>
      </w:r>
      <w:r w:rsidR="00AC22F3" w:rsidRPr="004A43A3">
        <w:rPr>
          <w:rFonts w:ascii="Book Antiqua" w:hAnsi="Book Antiqua" w:cs="Times New Roman"/>
          <w:sz w:val="24"/>
          <w:szCs w:val="24"/>
        </w:rPr>
        <w:t xml:space="preserve"> annuelle moyenne </w:t>
      </w:r>
      <w:r w:rsidR="00AC22F3" w:rsidRPr="00DE5EB5">
        <w:rPr>
          <w:rFonts w:ascii="Book Antiqua" w:hAnsi="Book Antiqua" w:cs="Times New Roman"/>
          <w:sz w:val="24"/>
          <w:szCs w:val="24"/>
        </w:rPr>
        <w:t xml:space="preserve">de </w:t>
      </w:r>
      <w:r w:rsidR="00DE5EB5" w:rsidRPr="00DE5EB5">
        <w:rPr>
          <w:rFonts w:ascii="Book Antiqua" w:hAnsi="Book Antiqua" w:cs="Times New Roman"/>
          <w:sz w:val="24"/>
          <w:szCs w:val="24"/>
        </w:rPr>
        <w:t>4.</w:t>
      </w:r>
      <w:r w:rsidR="00AC22F3" w:rsidRPr="00DE5EB5">
        <w:rPr>
          <w:rFonts w:ascii="Book Antiqua" w:hAnsi="Book Antiqua" w:cs="Times New Roman"/>
          <w:sz w:val="24"/>
          <w:szCs w:val="24"/>
        </w:rPr>
        <w:t>000 postes</w:t>
      </w:r>
      <w:r w:rsidR="00AC22F3" w:rsidRPr="004A43A3">
        <w:rPr>
          <w:rFonts w:ascii="Book Antiqua" w:hAnsi="Book Antiqua" w:cs="Times New Roman"/>
          <w:sz w:val="24"/>
          <w:szCs w:val="24"/>
        </w:rPr>
        <w:t xml:space="preserve"> entre les </w:t>
      </w:r>
      <w:r w:rsidR="00951BD4">
        <w:rPr>
          <w:rFonts w:ascii="Book Antiqua" w:hAnsi="Book Antiqua" w:cs="Times New Roman"/>
          <w:sz w:val="24"/>
          <w:szCs w:val="24"/>
        </w:rPr>
        <w:t>troisièmes</w:t>
      </w:r>
      <w:r w:rsidR="00535E49">
        <w:rPr>
          <w:rFonts w:ascii="Book Antiqua" w:hAnsi="Book Antiqua" w:cs="Times New Roman"/>
          <w:sz w:val="24"/>
          <w:szCs w:val="24"/>
        </w:rPr>
        <w:t xml:space="preserve"> </w:t>
      </w:r>
      <w:r w:rsidR="00535E49" w:rsidRPr="003904BF">
        <w:rPr>
          <w:rFonts w:ascii="Book Antiqua" w:hAnsi="Book Antiqua" w:cs="Times New Roman"/>
          <w:sz w:val="24"/>
          <w:szCs w:val="24"/>
        </w:rPr>
        <w:t xml:space="preserve">trimestres des trois années </w:t>
      </w:r>
      <w:r w:rsidR="00BD416B" w:rsidRPr="003904BF">
        <w:rPr>
          <w:rFonts w:ascii="Book Antiqua" w:hAnsi="Book Antiqua" w:cs="Times New Roman"/>
          <w:sz w:val="24"/>
          <w:szCs w:val="24"/>
        </w:rPr>
        <w:t>précéd</w:t>
      </w:r>
      <w:r w:rsidR="00535E49" w:rsidRPr="003904BF">
        <w:rPr>
          <w:rFonts w:ascii="Book Antiqua" w:hAnsi="Book Antiqua" w:cs="Times New Roman"/>
          <w:sz w:val="24"/>
          <w:szCs w:val="24"/>
        </w:rPr>
        <w:t>a</w:t>
      </w:r>
      <w:r w:rsidR="00BD416B" w:rsidRPr="003904BF">
        <w:rPr>
          <w:rFonts w:ascii="Book Antiqua" w:hAnsi="Book Antiqua" w:cs="Times New Roman"/>
          <w:sz w:val="24"/>
          <w:szCs w:val="24"/>
        </w:rPr>
        <w:t>nt la p</w:t>
      </w:r>
      <w:r w:rsidR="004A43A3" w:rsidRPr="003904BF">
        <w:rPr>
          <w:rFonts w:ascii="Book Antiqua" w:hAnsi="Book Antiqua" w:cs="Times New Roman"/>
          <w:sz w:val="24"/>
          <w:szCs w:val="24"/>
        </w:rPr>
        <w:t>andémie</w:t>
      </w:r>
      <w:r w:rsidR="000A7A59" w:rsidRPr="003904BF">
        <w:rPr>
          <w:rFonts w:ascii="Book Antiqua" w:hAnsi="Book Antiqua" w:cs="Times New Roman"/>
          <w:sz w:val="24"/>
          <w:szCs w:val="24"/>
        </w:rPr>
        <w:t>.</w:t>
      </w:r>
    </w:p>
    <w:p w14:paraId="13CBD5EE" w14:textId="7D22689C" w:rsidR="003513E8" w:rsidRDefault="003513E8" w:rsidP="001D797A">
      <w:pPr>
        <w:spacing w:before="100" w:beforeAutospacing="1" w:after="100" w:afterAutospacing="1" w:line="276" w:lineRule="auto"/>
        <w:ind w:left="180"/>
        <w:jc w:val="center"/>
        <w:rPr>
          <w:rFonts w:ascii="Book Antiqua" w:hAnsi="Book Antiqua" w:cstheme="majorHAnsi"/>
          <w:sz w:val="24"/>
          <w:szCs w:val="24"/>
        </w:rPr>
      </w:pPr>
      <w:r>
        <w:rPr>
          <w:rFonts w:ascii="Book Antiqua" w:eastAsia="Times New Roman" w:hAnsi="Book Antiqua" w:cstheme="majorHAnsi"/>
          <w:b/>
          <w:bCs/>
          <w:color w:val="000000"/>
          <w:sz w:val="20"/>
          <w:szCs w:val="20"/>
        </w:rPr>
        <w:t xml:space="preserve">Figure </w:t>
      </w:r>
      <w:r w:rsidR="00805346">
        <w:rPr>
          <w:rFonts w:ascii="Book Antiqua" w:eastAsia="Times New Roman" w:hAnsi="Book Antiqua" w:cstheme="majorHAnsi"/>
          <w:b/>
          <w:bCs/>
          <w:color w:val="000000"/>
          <w:sz w:val="20"/>
          <w:szCs w:val="20"/>
        </w:rPr>
        <w:t>3</w:t>
      </w:r>
      <w:r>
        <w:rPr>
          <w:rFonts w:ascii="Book Antiqua" w:eastAsia="Times New Roman" w:hAnsi="Book Antiqua" w:cstheme="majorHAnsi"/>
          <w:b/>
          <w:bCs/>
          <w:color w:val="000000"/>
          <w:sz w:val="20"/>
          <w:szCs w:val="20"/>
        </w:rPr>
        <w:t xml:space="preserve">. </w:t>
      </w:r>
      <w:r w:rsidR="00F2381A">
        <w:rPr>
          <w:rFonts w:ascii="Book Antiqua" w:eastAsia="Times New Roman" w:hAnsi="Book Antiqua" w:cstheme="majorHAnsi"/>
          <w:b/>
          <w:bCs/>
          <w:color w:val="000000"/>
          <w:sz w:val="20"/>
          <w:szCs w:val="20"/>
        </w:rPr>
        <w:t xml:space="preserve"> Variation</w:t>
      </w:r>
      <w:r>
        <w:rPr>
          <w:rFonts w:ascii="Book Antiqua" w:eastAsia="Times New Roman" w:hAnsi="Book Antiqua" w:cstheme="majorHAnsi"/>
          <w:b/>
          <w:bCs/>
          <w:color w:val="000000"/>
          <w:sz w:val="20"/>
          <w:szCs w:val="20"/>
        </w:rPr>
        <w:t xml:space="preserve"> de</w:t>
      </w:r>
      <w:r w:rsidR="004F0B83">
        <w:rPr>
          <w:rFonts w:ascii="Book Antiqua" w:eastAsia="Times New Roman" w:hAnsi="Book Antiqua" w:cstheme="majorHAnsi"/>
          <w:b/>
          <w:bCs/>
          <w:color w:val="000000"/>
          <w:sz w:val="20"/>
          <w:szCs w:val="20"/>
        </w:rPr>
        <w:t xml:space="preserve"> l’emploi</w:t>
      </w:r>
      <w:r>
        <w:rPr>
          <w:rFonts w:ascii="Book Antiqua" w:eastAsia="Times New Roman" w:hAnsi="Book Antiqua" w:cstheme="majorHAnsi"/>
          <w:b/>
          <w:bCs/>
          <w:color w:val="000000"/>
          <w:sz w:val="20"/>
          <w:szCs w:val="20"/>
        </w:rPr>
        <w:t xml:space="preserve"> entre le </w:t>
      </w:r>
      <w:r w:rsidR="001D797A">
        <w:rPr>
          <w:rFonts w:ascii="Book Antiqua" w:eastAsia="Times New Roman" w:hAnsi="Book Antiqua" w:cstheme="majorHAnsi"/>
          <w:b/>
          <w:bCs/>
          <w:color w:val="000000"/>
          <w:sz w:val="20"/>
          <w:szCs w:val="20"/>
        </w:rPr>
        <w:t>troisième</w:t>
      </w:r>
      <w:r>
        <w:rPr>
          <w:rFonts w:ascii="Book Antiqua" w:eastAsia="Times New Roman" w:hAnsi="Book Antiqua" w:cstheme="majorHAnsi"/>
          <w:b/>
          <w:bCs/>
          <w:color w:val="000000"/>
          <w:sz w:val="20"/>
          <w:szCs w:val="20"/>
        </w:rPr>
        <w:t xml:space="preserve"> trimestre de 2020 et celui de 2021 selon le milieu de résidence</w:t>
      </w:r>
    </w:p>
    <w:p w14:paraId="0DDAD0B3" w14:textId="77777777" w:rsidR="00E7041A" w:rsidRDefault="00555FC1" w:rsidP="003513E8">
      <w:pPr>
        <w:pStyle w:val="MMTopic2"/>
        <w:numPr>
          <w:ilvl w:val="0"/>
          <w:numId w:val="0"/>
        </w:numPr>
        <w:spacing w:line="276" w:lineRule="auto"/>
        <w:jc w:val="both"/>
        <w:rPr>
          <w:rFonts w:ascii="Book Antiqua" w:hAnsi="Book Antiqua" w:cstheme="majorHAnsi"/>
          <w:b/>
          <w:bCs/>
          <w:i/>
          <w:iCs/>
          <w:color w:val="2E74B5" w:themeColor="accent5" w:themeShade="BF"/>
          <w:spacing w:val="-10"/>
          <w:kern w:val="28"/>
          <w:sz w:val="24"/>
          <w:szCs w:val="24"/>
          <w:lang w:val="fr-FR"/>
        </w:rPr>
      </w:pPr>
      <w:r>
        <w:rPr>
          <w:noProof/>
          <w:lang w:val="fr-FR" w:eastAsia="fr-FR"/>
        </w:rPr>
        <w:drawing>
          <wp:inline distT="0" distB="0" distL="0" distR="0" wp14:anchorId="2C80F0AA" wp14:editId="0D9C39B5">
            <wp:extent cx="5760720" cy="2703195"/>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851036" w14:textId="77777777" w:rsidR="00E7041A" w:rsidRPr="00E7041A" w:rsidRDefault="00E7041A" w:rsidP="00E7041A"/>
    <w:p w14:paraId="669D4E12" w14:textId="77777777" w:rsidR="00E7041A" w:rsidRPr="0082638E" w:rsidRDefault="00E7041A" w:rsidP="00E7041A">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82638E">
        <w:rPr>
          <w:rFonts w:ascii="Book Antiqua" w:hAnsi="Book Antiqua" w:cstheme="majorHAnsi"/>
          <w:b/>
          <w:bCs/>
          <w:color w:val="1F3864" w:themeColor="accent1" w:themeShade="80"/>
          <w:spacing w:val="-10"/>
          <w:kern w:val="28"/>
          <w:sz w:val="24"/>
          <w:szCs w:val="24"/>
          <w:lang w:val="fr-FR"/>
        </w:rPr>
        <w:t>II. Chômage et sous-emploi</w:t>
      </w:r>
    </w:p>
    <w:p w14:paraId="3BC8EED1" w14:textId="546145FF" w:rsidR="00E7041A" w:rsidRPr="008877A4" w:rsidRDefault="009402A2" w:rsidP="00E7041A">
      <w:pPr>
        <w:spacing w:before="40" w:line="276" w:lineRule="auto"/>
        <w:jc w:val="both"/>
        <w:rPr>
          <w:rFonts w:ascii="Book Antiqua" w:hAnsi="Book Antiqua" w:cstheme="majorHAnsi"/>
          <w:b/>
          <w:bCs/>
          <w:i/>
          <w:iCs/>
          <w:color w:val="2E74B5" w:themeColor="accent5" w:themeShade="BF"/>
          <w:spacing w:val="-10"/>
          <w:kern w:val="28"/>
          <w:sz w:val="24"/>
          <w:szCs w:val="24"/>
        </w:rPr>
      </w:pPr>
      <w:r w:rsidRPr="009402A2">
        <w:rPr>
          <w:rFonts w:ascii="Book Antiqua" w:hAnsi="Book Antiqua" w:cstheme="majorHAnsi"/>
          <w:b/>
          <w:bCs/>
          <w:i/>
          <w:iCs/>
          <w:color w:val="2E74B5" w:themeColor="accent5" w:themeShade="BF"/>
          <w:spacing w:val="-10"/>
          <w:kern w:val="28"/>
          <w:sz w:val="24"/>
          <w:szCs w:val="24"/>
        </w:rPr>
        <w:t xml:space="preserve">Baisse </w:t>
      </w:r>
      <w:r>
        <w:rPr>
          <w:rFonts w:ascii="Book Antiqua" w:hAnsi="Book Antiqua" w:cstheme="majorHAnsi"/>
          <w:b/>
          <w:bCs/>
          <w:i/>
          <w:iCs/>
          <w:color w:val="2E74B5" w:themeColor="accent5" w:themeShade="BF"/>
          <w:spacing w:val="-10"/>
          <w:kern w:val="28"/>
          <w:sz w:val="24"/>
          <w:szCs w:val="24"/>
        </w:rPr>
        <w:t>du</w:t>
      </w:r>
      <w:r w:rsidR="004C37C0">
        <w:rPr>
          <w:rFonts w:ascii="Book Antiqua" w:hAnsi="Book Antiqua" w:cstheme="majorHAnsi"/>
          <w:b/>
          <w:bCs/>
          <w:i/>
          <w:iCs/>
          <w:color w:val="2E74B5" w:themeColor="accent5" w:themeShade="BF"/>
          <w:spacing w:val="-10"/>
          <w:kern w:val="28"/>
          <w:sz w:val="24"/>
          <w:szCs w:val="24"/>
        </w:rPr>
        <w:t xml:space="preserve"> chômage</w:t>
      </w:r>
    </w:p>
    <w:p w14:paraId="267E9F72" w14:textId="11D82CB3" w:rsidR="00E7041A" w:rsidRPr="008877A4" w:rsidRDefault="00E7041A" w:rsidP="00E7041A">
      <w:pPr>
        <w:spacing w:before="40" w:line="276" w:lineRule="auto"/>
        <w:jc w:val="both"/>
        <w:rPr>
          <w:rFonts w:ascii="Book Antiqua" w:hAnsi="Book Antiqua" w:cs="Times New Roman"/>
          <w:sz w:val="24"/>
          <w:szCs w:val="24"/>
        </w:rPr>
      </w:pPr>
      <w:r w:rsidRPr="008877A4">
        <w:rPr>
          <w:rFonts w:ascii="Book Antiqua" w:hAnsi="Book Antiqua" w:cs="Times New Roman"/>
          <w:sz w:val="24"/>
          <w:szCs w:val="24"/>
        </w:rPr>
        <w:t xml:space="preserve">Le nombre de chômeurs a baissé de 35.000 personnes entre le troisième trimestre de l’année 2020 et celui de 2021, passant de 1.482.000 chômeurs à </w:t>
      </w:r>
      <w:bookmarkStart w:id="2" w:name="_Hlk86257462"/>
      <w:r w:rsidRPr="008877A4">
        <w:rPr>
          <w:rFonts w:ascii="Book Antiqua" w:hAnsi="Book Antiqua" w:cs="Times New Roman"/>
          <w:sz w:val="24"/>
          <w:szCs w:val="24"/>
        </w:rPr>
        <w:t>1.447.000</w:t>
      </w:r>
      <w:bookmarkEnd w:id="2"/>
      <w:r w:rsidRPr="008877A4">
        <w:rPr>
          <w:rFonts w:ascii="Book Antiqua" w:hAnsi="Book Antiqua" w:cs="Times New Roman"/>
          <w:sz w:val="24"/>
          <w:szCs w:val="24"/>
        </w:rPr>
        <w:t xml:space="preserve">, ce qui correspond à une </w:t>
      </w:r>
      <w:r w:rsidR="00951BD4">
        <w:rPr>
          <w:rFonts w:ascii="Book Antiqua" w:hAnsi="Book Antiqua" w:cs="Times New Roman"/>
          <w:sz w:val="24"/>
          <w:szCs w:val="24"/>
        </w:rPr>
        <w:t>b</w:t>
      </w:r>
      <w:r w:rsidRPr="008877A4">
        <w:rPr>
          <w:rFonts w:ascii="Book Antiqua" w:hAnsi="Book Antiqua" w:cs="Times New Roman"/>
          <w:sz w:val="24"/>
          <w:szCs w:val="24"/>
        </w:rPr>
        <w:t>aisse de 2%.</w:t>
      </w:r>
    </w:p>
    <w:p w14:paraId="62B791E2" w14:textId="7AA0D249" w:rsidR="00E7041A" w:rsidRPr="008877A4" w:rsidRDefault="00E7041A" w:rsidP="00E7041A">
      <w:pPr>
        <w:spacing w:before="40" w:line="276" w:lineRule="auto"/>
        <w:jc w:val="both"/>
        <w:rPr>
          <w:rFonts w:ascii="Book Antiqua" w:hAnsi="Book Antiqua" w:cs="Times New Roman"/>
          <w:sz w:val="24"/>
          <w:szCs w:val="24"/>
        </w:rPr>
      </w:pPr>
      <w:r w:rsidRPr="008877A4">
        <w:rPr>
          <w:rFonts w:ascii="Book Antiqua" w:hAnsi="Book Antiqua" w:cs="Times New Roman"/>
          <w:sz w:val="24"/>
          <w:szCs w:val="24"/>
        </w:rPr>
        <w:t xml:space="preserve">Cette </w:t>
      </w:r>
      <w:r w:rsidR="00951BD4">
        <w:rPr>
          <w:rFonts w:ascii="Book Antiqua" w:hAnsi="Book Antiqua" w:cs="Times New Roman"/>
          <w:sz w:val="24"/>
          <w:szCs w:val="24"/>
        </w:rPr>
        <w:t>baisse</w:t>
      </w:r>
      <w:r w:rsidR="002F4B35">
        <w:rPr>
          <w:rFonts w:ascii="Book Antiqua" w:hAnsi="Book Antiqua" w:cs="Times New Roman"/>
          <w:sz w:val="24"/>
          <w:szCs w:val="24"/>
        </w:rPr>
        <w:t xml:space="preserve"> est le </w:t>
      </w:r>
      <w:r w:rsidRPr="008877A4">
        <w:rPr>
          <w:rFonts w:ascii="Book Antiqua" w:hAnsi="Book Antiqua" w:cs="Times New Roman"/>
          <w:sz w:val="24"/>
          <w:szCs w:val="24"/>
        </w:rPr>
        <w:t>résultant d’une réduction de 60.000 chômeurs en milieu rural et d’une augmentation de 25.000 en milieu urbain.</w:t>
      </w:r>
    </w:p>
    <w:p w14:paraId="37647128" w14:textId="72B70643" w:rsidR="00E7041A" w:rsidRPr="00F2381A" w:rsidRDefault="00E7041A" w:rsidP="00E7041A">
      <w:pPr>
        <w:spacing w:before="40" w:line="276" w:lineRule="auto"/>
        <w:jc w:val="both"/>
        <w:rPr>
          <w:rFonts w:ascii="Book Antiqua" w:hAnsi="Book Antiqua" w:cs="Times New Roman"/>
          <w:sz w:val="24"/>
          <w:szCs w:val="24"/>
        </w:rPr>
      </w:pPr>
      <w:r w:rsidRPr="000C573D">
        <w:rPr>
          <w:rFonts w:ascii="Book Antiqua" w:hAnsi="Book Antiqua" w:cs="Times New Roman"/>
          <w:b/>
          <w:bCs/>
          <w:sz w:val="24"/>
          <w:szCs w:val="24"/>
        </w:rPr>
        <w:t xml:space="preserve">Le taux de chômage a décru de </w:t>
      </w:r>
      <w:bookmarkStart w:id="3" w:name="_Hlk86257371"/>
      <w:r w:rsidRPr="000C573D">
        <w:rPr>
          <w:rFonts w:ascii="Book Antiqua" w:hAnsi="Book Antiqua" w:cs="Times New Roman"/>
          <w:b/>
          <w:bCs/>
          <w:sz w:val="24"/>
          <w:szCs w:val="24"/>
        </w:rPr>
        <w:t>0,9 point entre les troisièmes trimestres de 2020 et de 2021, passant de 12,7% à 11,8% au niveau national</w:t>
      </w:r>
      <w:bookmarkEnd w:id="3"/>
      <w:r w:rsidR="002F4B35">
        <w:rPr>
          <w:rFonts w:ascii="Book Antiqua" w:hAnsi="Book Antiqua" w:cs="Times New Roman"/>
          <w:sz w:val="24"/>
          <w:szCs w:val="24"/>
        </w:rPr>
        <w:t xml:space="preserve">. Cette baisse est partagée entre les </w:t>
      </w:r>
      <w:r w:rsidR="002F4B35">
        <w:rPr>
          <w:rFonts w:ascii="Book Antiqua" w:hAnsi="Book Antiqua" w:cs="Times New Roman"/>
          <w:sz w:val="24"/>
          <w:szCs w:val="24"/>
        </w:rPr>
        <w:lastRenderedPageBreak/>
        <w:t>deux milieux d</w:t>
      </w:r>
      <w:r w:rsidR="00B11DE5">
        <w:rPr>
          <w:rFonts w:ascii="Book Antiqua" w:hAnsi="Book Antiqua" w:cs="Times New Roman"/>
          <w:sz w:val="24"/>
          <w:szCs w:val="24"/>
        </w:rPr>
        <w:t>e</w:t>
      </w:r>
      <w:r w:rsidR="002F4B35">
        <w:rPr>
          <w:rFonts w:ascii="Book Antiqua" w:hAnsi="Book Antiqua" w:cs="Times New Roman"/>
          <w:sz w:val="24"/>
          <w:szCs w:val="24"/>
        </w:rPr>
        <w:t xml:space="preserve"> résidence. En effet, le taux de chômage est passé </w:t>
      </w:r>
      <w:r w:rsidRPr="008877A4">
        <w:rPr>
          <w:rFonts w:ascii="Book Antiqua" w:hAnsi="Book Antiqua" w:cs="Times New Roman"/>
          <w:sz w:val="24"/>
          <w:szCs w:val="24"/>
        </w:rPr>
        <w:t>de 16,5% à 16% dans les villes</w:t>
      </w:r>
      <w:r w:rsidR="00AB700C">
        <w:rPr>
          <w:rFonts w:ascii="Book Antiqua" w:hAnsi="Book Antiqua" w:cs="Times New Roman"/>
          <w:sz w:val="24"/>
          <w:szCs w:val="24"/>
        </w:rPr>
        <w:t xml:space="preserve"> </w:t>
      </w:r>
      <w:r w:rsidRPr="008877A4">
        <w:rPr>
          <w:rFonts w:ascii="Book Antiqua" w:hAnsi="Book Antiqua" w:cs="Times New Roman"/>
          <w:sz w:val="24"/>
          <w:szCs w:val="24"/>
        </w:rPr>
        <w:t xml:space="preserve">et de 6,8% à 5,2% dans </w:t>
      </w:r>
      <w:r w:rsidR="009402A2">
        <w:rPr>
          <w:rFonts w:ascii="Book Antiqua" w:hAnsi="Book Antiqua" w:cs="Times New Roman"/>
          <w:sz w:val="24"/>
          <w:szCs w:val="24"/>
        </w:rPr>
        <w:t>la</w:t>
      </w:r>
      <w:r w:rsidRPr="008877A4">
        <w:rPr>
          <w:rFonts w:ascii="Book Antiqua" w:hAnsi="Book Antiqua" w:cs="Times New Roman"/>
          <w:sz w:val="24"/>
          <w:szCs w:val="24"/>
        </w:rPr>
        <w:t xml:space="preserve"> c</w:t>
      </w:r>
      <w:r w:rsidR="009402A2">
        <w:rPr>
          <w:rFonts w:ascii="Book Antiqua" w:hAnsi="Book Antiqua" w:cs="Times New Roman"/>
          <w:sz w:val="24"/>
          <w:szCs w:val="24"/>
        </w:rPr>
        <w:t>a</w:t>
      </w:r>
      <w:r w:rsidRPr="008877A4">
        <w:rPr>
          <w:rFonts w:ascii="Book Antiqua" w:hAnsi="Book Antiqua" w:cs="Times New Roman"/>
          <w:sz w:val="24"/>
          <w:szCs w:val="24"/>
        </w:rPr>
        <w:t>mpagne.</w:t>
      </w:r>
    </w:p>
    <w:p w14:paraId="2355CE25" w14:textId="373B43EB" w:rsidR="00E7041A" w:rsidRPr="0072419D" w:rsidRDefault="00E7041A" w:rsidP="00E7041A">
      <w:pPr>
        <w:spacing w:before="40" w:line="276" w:lineRule="auto"/>
        <w:jc w:val="center"/>
        <w:rPr>
          <w:rFonts w:ascii="Book Antiqua" w:hAnsi="Book Antiqua" w:cs="Times New Roman"/>
          <w:b/>
          <w:bCs/>
          <w:sz w:val="20"/>
          <w:szCs w:val="20"/>
        </w:rPr>
      </w:pPr>
      <w:r w:rsidRPr="0072419D">
        <w:rPr>
          <w:rFonts w:ascii="Book Antiqua" w:hAnsi="Book Antiqua" w:cs="Times New Roman"/>
          <w:b/>
          <w:bCs/>
          <w:sz w:val="20"/>
          <w:szCs w:val="20"/>
        </w:rPr>
        <w:t>Figure </w:t>
      </w:r>
      <w:r w:rsidR="00D7240C">
        <w:rPr>
          <w:rFonts w:ascii="Book Antiqua" w:hAnsi="Book Antiqua" w:cs="Times New Roman" w:hint="cs"/>
          <w:b/>
          <w:bCs/>
          <w:sz w:val="20"/>
          <w:szCs w:val="20"/>
          <w:rtl/>
          <w:lang w:bidi="tzm-Arab-MA"/>
        </w:rPr>
        <w:t>4</w:t>
      </w:r>
      <w:r>
        <w:rPr>
          <w:rFonts w:ascii="Book Antiqua" w:hAnsi="Book Antiqua" w:cs="Times New Roman"/>
          <w:b/>
          <w:bCs/>
          <w:sz w:val="20"/>
          <w:szCs w:val="20"/>
        </w:rPr>
        <w:t>.</w:t>
      </w:r>
      <w:r w:rsidRPr="0072419D">
        <w:rPr>
          <w:rFonts w:ascii="Book Antiqua" w:hAnsi="Book Antiqua" w:cs="Times New Roman"/>
          <w:b/>
          <w:bCs/>
          <w:sz w:val="20"/>
          <w:szCs w:val="20"/>
        </w:rPr>
        <w:t xml:space="preserve"> Evolution du taux de chômage aux </w:t>
      </w:r>
      <w:r w:rsidR="00D7240C">
        <w:rPr>
          <w:rFonts w:ascii="Book Antiqua" w:hAnsi="Book Antiqua" w:cs="Times New Roman"/>
          <w:b/>
          <w:bCs/>
          <w:sz w:val="20"/>
          <w:szCs w:val="20"/>
          <w:lang w:bidi="tzm-Arab-MA"/>
        </w:rPr>
        <w:t>troisièmes</w:t>
      </w:r>
      <w:r w:rsidRPr="0072419D">
        <w:rPr>
          <w:rFonts w:ascii="Book Antiqua" w:hAnsi="Book Antiqua" w:cs="Times New Roman"/>
          <w:b/>
          <w:bCs/>
          <w:sz w:val="20"/>
          <w:szCs w:val="20"/>
        </w:rPr>
        <w:t xml:space="preserve"> trimestres par milieu de résidence (en%)</w:t>
      </w:r>
    </w:p>
    <w:p w14:paraId="2DD22747" w14:textId="77777777" w:rsidR="00E7041A" w:rsidRDefault="00581577" w:rsidP="00E7041A">
      <w:pPr>
        <w:spacing w:before="40" w:line="276" w:lineRule="auto"/>
        <w:jc w:val="center"/>
        <w:rPr>
          <w:rFonts w:ascii="Book Antiqua" w:hAnsi="Book Antiqua" w:cs="Times New Roman"/>
          <w:sz w:val="24"/>
          <w:szCs w:val="24"/>
        </w:rPr>
      </w:pPr>
      <w:r>
        <w:rPr>
          <w:noProof/>
          <w:lang w:eastAsia="fr-FR"/>
        </w:rPr>
        <w:drawing>
          <wp:inline distT="0" distB="0" distL="0" distR="0" wp14:anchorId="2974572D" wp14:editId="3EB30FF6">
            <wp:extent cx="5857875" cy="1809750"/>
            <wp:effectExtent l="0" t="0" r="0" b="0"/>
            <wp:docPr id="8" name="Graphique 8">
              <a:extLst xmlns:a="http://schemas.openxmlformats.org/drawingml/2006/main">
                <a:ext uri="{FF2B5EF4-FFF2-40B4-BE49-F238E27FC236}">
                  <a16:creationId xmlns:a16="http://schemas.microsoft.com/office/drawing/2014/main" id="{F6D55168-95BA-475E-8B27-6A2405CC2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398D5B" w14:textId="0D78B516" w:rsidR="00E7041A" w:rsidRPr="008877A4" w:rsidRDefault="00E7041A" w:rsidP="00E7041A">
      <w:pPr>
        <w:spacing w:line="276" w:lineRule="auto"/>
        <w:jc w:val="both"/>
        <w:rPr>
          <w:rFonts w:ascii="Book Antiqua" w:hAnsi="Book Antiqua" w:cs="Times New Roman"/>
          <w:sz w:val="24"/>
          <w:szCs w:val="24"/>
        </w:rPr>
      </w:pPr>
      <w:r w:rsidRPr="008877A4">
        <w:rPr>
          <w:rFonts w:ascii="Book Antiqua" w:hAnsi="Book Antiqua" w:cs="Times New Roman"/>
          <w:sz w:val="24"/>
          <w:szCs w:val="24"/>
        </w:rPr>
        <w:t xml:space="preserve">Ce taux a enregistré une diminution d’environ 1 </w:t>
      </w:r>
      <w:r w:rsidR="00AA6D7E" w:rsidRPr="008877A4">
        <w:rPr>
          <w:rFonts w:ascii="Book Antiqua" w:hAnsi="Book Antiqua" w:cs="Times New Roman"/>
          <w:sz w:val="24"/>
          <w:szCs w:val="24"/>
        </w:rPr>
        <w:t>point parmi</w:t>
      </w:r>
      <w:r w:rsidRPr="008877A4">
        <w:rPr>
          <w:rFonts w:ascii="Book Antiqua" w:hAnsi="Book Antiqua" w:cs="Times New Roman"/>
          <w:sz w:val="24"/>
          <w:szCs w:val="24"/>
        </w:rPr>
        <w:t xml:space="preserve"> les hommes, de 11,4% à 10,4%, et les femmes, de 17,6% à 16,5%. Il a connu une baisse de 1,3 point parmi les jeunes âgés de 15 à 24 ans, passant de 32,3% à 31%.</w:t>
      </w:r>
    </w:p>
    <w:p w14:paraId="24F0CF9A" w14:textId="69AB1931" w:rsidR="00E7041A" w:rsidRPr="0072419D" w:rsidRDefault="00E7041A" w:rsidP="00E7041A">
      <w:pPr>
        <w:spacing w:line="259" w:lineRule="auto"/>
        <w:rPr>
          <w:rFonts w:ascii="Book Antiqua" w:hAnsi="Book Antiqua" w:cs="Times New Roman"/>
          <w:b/>
          <w:bCs/>
          <w:sz w:val="20"/>
          <w:szCs w:val="20"/>
        </w:rPr>
      </w:pPr>
      <w:r w:rsidRPr="008877A4">
        <w:rPr>
          <w:rFonts w:ascii="Book Antiqua" w:hAnsi="Book Antiqua" w:cs="Times New Roman"/>
          <w:b/>
          <w:bCs/>
          <w:sz w:val="20"/>
          <w:szCs w:val="20"/>
        </w:rPr>
        <w:t xml:space="preserve">Figure </w:t>
      </w:r>
      <w:r w:rsidR="00D7240C">
        <w:rPr>
          <w:rFonts w:ascii="Book Antiqua" w:hAnsi="Book Antiqua" w:cs="Times New Roman" w:hint="cs"/>
          <w:b/>
          <w:bCs/>
          <w:sz w:val="20"/>
          <w:szCs w:val="20"/>
          <w:rtl/>
          <w:lang w:bidi="tzm-Arab-MA"/>
        </w:rPr>
        <w:t>5</w:t>
      </w:r>
      <w:r w:rsidRPr="008877A4">
        <w:rPr>
          <w:rFonts w:ascii="Book Antiqua" w:hAnsi="Book Antiqua" w:cs="Times New Roman"/>
          <w:b/>
          <w:bCs/>
          <w:sz w:val="20"/>
          <w:szCs w:val="20"/>
        </w:rPr>
        <w:t xml:space="preserve">. Evolution du taux de chômage entre les </w:t>
      </w:r>
      <w:r w:rsidR="000C573D">
        <w:rPr>
          <w:rFonts w:ascii="Book Antiqua" w:hAnsi="Book Antiqua" w:cs="Times New Roman"/>
          <w:b/>
          <w:bCs/>
          <w:sz w:val="20"/>
          <w:szCs w:val="20"/>
        </w:rPr>
        <w:t>t</w:t>
      </w:r>
      <w:r w:rsidRPr="008877A4">
        <w:rPr>
          <w:rFonts w:ascii="Book Antiqua" w:hAnsi="Book Antiqua" w:cs="Times New Roman"/>
          <w:b/>
          <w:bCs/>
          <w:sz w:val="20"/>
          <w:szCs w:val="20"/>
        </w:rPr>
        <w:t>roisièmes trimestres de 2020 et de 2021 pour certaines catégories de la population (en %)</w:t>
      </w:r>
    </w:p>
    <w:p w14:paraId="4558FE05" w14:textId="77777777" w:rsidR="00E7041A" w:rsidRDefault="00E7041A" w:rsidP="00E7041A">
      <w:pPr>
        <w:spacing w:line="276" w:lineRule="auto"/>
        <w:jc w:val="center"/>
        <w:rPr>
          <w:rFonts w:ascii="Book Antiqua" w:hAnsi="Book Antiqua" w:cs="Times New Roman"/>
          <w:sz w:val="24"/>
          <w:szCs w:val="24"/>
        </w:rPr>
      </w:pPr>
      <w:r>
        <w:rPr>
          <w:noProof/>
          <w:lang w:eastAsia="fr-FR"/>
        </w:rPr>
        <w:drawing>
          <wp:inline distT="0" distB="0" distL="0" distR="0" wp14:anchorId="2FE5F1AF" wp14:editId="4B850712">
            <wp:extent cx="5600700" cy="1924050"/>
            <wp:effectExtent l="0" t="0" r="0" b="0"/>
            <wp:docPr id="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15CCB4" w14:textId="68AC54AF" w:rsidR="00E7041A" w:rsidRPr="00951BD4" w:rsidRDefault="00E7041A" w:rsidP="00E7041A">
      <w:pPr>
        <w:spacing w:before="120" w:after="120" w:line="240" w:lineRule="auto"/>
        <w:jc w:val="both"/>
        <w:rPr>
          <w:rFonts w:ascii="Book Antiqua" w:hAnsi="Book Antiqua" w:cs="Times New Roman"/>
          <w:sz w:val="24"/>
          <w:szCs w:val="24"/>
        </w:rPr>
      </w:pPr>
      <w:r w:rsidRPr="008877A4">
        <w:rPr>
          <w:rFonts w:ascii="Book Antiqua" w:hAnsi="Book Antiqua" w:cs="Times New Roman"/>
          <w:sz w:val="24"/>
          <w:szCs w:val="24"/>
        </w:rPr>
        <w:t xml:space="preserve">S’agissant des diplômés, le taux de chômage a maintenu le même </w:t>
      </w:r>
      <w:r w:rsidR="00AA6D7E" w:rsidRPr="008877A4">
        <w:rPr>
          <w:rFonts w:ascii="Book Antiqua" w:hAnsi="Book Antiqua" w:cs="Times New Roman"/>
          <w:sz w:val="24"/>
          <w:szCs w:val="24"/>
        </w:rPr>
        <w:t>niveau enregistré</w:t>
      </w:r>
      <w:r w:rsidRPr="008877A4">
        <w:rPr>
          <w:rFonts w:ascii="Book Antiqua" w:hAnsi="Book Antiqua" w:cs="Times New Roman"/>
          <w:sz w:val="24"/>
          <w:szCs w:val="24"/>
        </w:rPr>
        <w:t xml:space="preserve"> pendant le même trimestre de l’année précédente (18,7%). Cette stagnation est le résultat d’une hausse de 2,2 points du taux de chômage des diplômés de niveau supérieur</w:t>
      </w:r>
      <w:r w:rsidRPr="00951BD4">
        <w:rPr>
          <w:rFonts w:ascii="Book Antiqua" w:hAnsi="Book Antiqua" w:cs="Times New Roman"/>
          <w:sz w:val="24"/>
          <w:szCs w:val="24"/>
          <w:vertAlign w:val="superscript"/>
        </w:rPr>
        <w:footnoteReference w:id="1"/>
      </w:r>
      <w:r w:rsidRPr="008877A4">
        <w:rPr>
          <w:rFonts w:ascii="Book Antiqua" w:hAnsi="Book Antiqua" w:cs="Times New Roman"/>
          <w:sz w:val="24"/>
          <w:szCs w:val="24"/>
        </w:rPr>
        <w:t xml:space="preserve">, </w:t>
      </w:r>
      <w:r w:rsidR="002F4B35">
        <w:rPr>
          <w:rFonts w:ascii="Book Antiqua" w:hAnsi="Book Antiqua" w:cs="Times New Roman"/>
          <w:sz w:val="24"/>
          <w:szCs w:val="24"/>
        </w:rPr>
        <w:t xml:space="preserve"> </w:t>
      </w:r>
      <w:r w:rsidRPr="008877A4">
        <w:rPr>
          <w:rFonts w:ascii="Book Antiqua" w:hAnsi="Book Antiqua" w:cs="Times New Roman"/>
          <w:sz w:val="24"/>
          <w:szCs w:val="24"/>
        </w:rPr>
        <w:t>passant de 23,5% à 25,7%, et une baisse de 1,4 point pour les diplômés de niveau moyen</w:t>
      </w:r>
      <w:r w:rsidRPr="002F4B35">
        <w:rPr>
          <w:rFonts w:ascii="Book Antiqua" w:hAnsi="Book Antiqua" w:cs="Times New Roman"/>
          <w:sz w:val="24"/>
          <w:szCs w:val="24"/>
          <w:vertAlign w:val="superscript"/>
        </w:rPr>
        <w:footnoteReference w:id="2"/>
      </w:r>
      <w:r w:rsidRPr="002F4B35">
        <w:rPr>
          <w:rFonts w:ascii="Book Antiqua" w:hAnsi="Book Antiqua" w:cs="Times New Roman"/>
          <w:sz w:val="24"/>
          <w:szCs w:val="24"/>
          <w:vertAlign w:val="superscript"/>
        </w:rPr>
        <w:t xml:space="preserve"> </w:t>
      </w:r>
      <w:r w:rsidRPr="008877A4">
        <w:rPr>
          <w:rFonts w:ascii="Book Antiqua" w:hAnsi="Book Antiqua" w:cs="Times New Roman"/>
          <w:sz w:val="24"/>
          <w:szCs w:val="24"/>
        </w:rPr>
        <w:t>(14,7% contre 16,1% une année auparavant)</w:t>
      </w:r>
      <w:r w:rsidR="002F4B35">
        <w:rPr>
          <w:rFonts w:ascii="Book Antiqua" w:hAnsi="Book Antiqua" w:cs="Times New Roman"/>
          <w:sz w:val="24"/>
          <w:szCs w:val="24"/>
        </w:rPr>
        <w:t>.  Le taux de chômage des non diplômés, quant à lui, a baissé d</w:t>
      </w:r>
      <w:r w:rsidRPr="008877A4">
        <w:rPr>
          <w:rFonts w:ascii="Book Antiqua" w:hAnsi="Book Antiqua" w:cs="Times New Roman"/>
          <w:sz w:val="24"/>
          <w:szCs w:val="24"/>
        </w:rPr>
        <w:t>e 2,5 points</w:t>
      </w:r>
      <w:r w:rsidR="002F4B35">
        <w:rPr>
          <w:rFonts w:ascii="Book Antiqua" w:hAnsi="Book Antiqua" w:cs="Times New Roman"/>
          <w:sz w:val="24"/>
          <w:szCs w:val="24"/>
        </w:rPr>
        <w:t>, passant de</w:t>
      </w:r>
      <w:r w:rsidR="001747B8">
        <w:rPr>
          <w:rFonts w:ascii="Book Antiqua" w:hAnsi="Book Antiqua" w:cs="Times New Roman"/>
          <w:sz w:val="24"/>
          <w:szCs w:val="24"/>
        </w:rPr>
        <w:t xml:space="preserve"> 6,9% à 4,4%.</w:t>
      </w:r>
    </w:p>
    <w:p w14:paraId="195AC26D" w14:textId="77777777" w:rsidR="00E7041A" w:rsidRDefault="00E7041A" w:rsidP="00E7041A">
      <w:pPr>
        <w:spacing w:after="0" w:line="240" w:lineRule="auto"/>
        <w:rPr>
          <w:rFonts w:ascii="Times New Roman" w:hAnsi="Times New Roman" w:cs="Times New Roman"/>
          <w:sz w:val="24"/>
          <w:szCs w:val="24"/>
        </w:rPr>
      </w:pPr>
    </w:p>
    <w:p w14:paraId="67D9EA9A" w14:textId="77777777" w:rsidR="0033209A" w:rsidRDefault="0033209A" w:rsidP="00E7041A">
      <w:pPr>
        <w:spacing w:line="259" w:lineRule="auto"/>
        <w:rPr>
          <w:rFonts w:ascii="Book Antiqua" w:eastAsiaTheme="majorEastAsia" w:hAnsi="Book Antiqua"/>
          <w:b/>
          <w:bCs/>
          <w:i/>
          <w:iCs/>
          <w:color w:val="0070C0"/>
          <w:spacing w:val="-10"/>
          <w:kern w:val="28"/>
        </w:rPr>
      </w:pPr>
    </w:p>
    <w:p w14:paraId="502F2D72" w14:textId="77777777" w:rsidR="0033209A" w:rsidRDefault="0033209A" w:rsidP="00E7041A">
      <w:pPr>
        <w:spacing w:line="259" w:lineRule="auto"/>
        <w:rPr>
          <w:rFonts w:ascii="Book Antiqua" w:eastAsiaTheme="majorEastAsia" w:hAnsi="Book Antiqua"/>
          <w:b/>
          <w:bCs/>
          <w:i/>
          <w:iCs/>
          <w:color w:val="0070C0"/>
          <w:spacing w:val="-10"/>
          <w:kern w:val="28"/>
        </w:rPr>
      </w:pPr>
    </w:p>
    <w:p w14:paraId="6C62AD95" w14:textId="2E09FCAC" w:rsidR="00E7041A" w:rsidRPr="00F2381A" w:rsidRDefault="00E7041A" w:rsidP="00E7041A">
      <w:pPr>
        <w:spacing w:line="259" w:lineRule="auto"/>
        <w:rPr>
          <w:rFonts w:ascii="Times New Roman" w:hAnsi="Times New Roman" w:cs="Times New Roman"/>
          <w:sz w:val="24"/>
          <w:szCs w:val="24"/>
        </w:rPr>
      </w:pPr>
      <w:r>
        <w:rPr>
          <w:rFonts w:ascii="Book Antiqua" w:eastAsiaTheme="majorEastAsia" w:hAnsi="Book Antiqua"/>
          <w:b/>
          <w:bCs/>
          <w:i/>
          <w:iCs/>
          <w:color w:val="0070C0"/>
          <w:spacing w:val="-10"/>
          <w:kern w:val="28"/>
        </w:rPr>
        <w:lastRenderedPageBreak/>
        <w:t xml:space="preserve">Baisse du sous-emploi </w:t>
      </w:r>
    </w:p>
    <w:p w14:paraId="20AA1ECC" w14:textId="77777777" w:rsidR="00E7041A" w:rsidRPr="008877A4" w:rsidRDefault="00E7041A" w:rsidP="00E7041A">
      <w:pPr>
        <w:spacing w:before="120" w:after="120" w:line="240" w:lineRule="auto"/>
        <w:jc w:val="both"/>
        <w:rPr>
          <w:rFonts w:ascii="Book Antiqua" w:hAnsi="Book Antiqua" w:cs="Times New Roman"/>
          <w:sz w:val="24"/>
          <w:szCs w:val="24"/>
        </w:rPr>
      </w:pPr>
      <w:r w:rsidRPr="008877A4">
        <w:rPr>
          <w:rFonts w:ascii="Book Antiqua" w:hAnsi="Book Antiqua" w:cs="Times New Roman"/>
          <w:sz w:val="24"/>
          <w:szCs w:val="24"/>
        </w:rPr>
        <w:t xml:space="preserve">Le volume des actifs occupés en situation de </w:t>
      </w:r>
      <w:r w:rsidRPr="000C573D">
        <w:rPr>
          <w:rFonts w:ascii="Book Antiqua" w:hAnsi="Book Antiqua" w:cs="Times New Roman"/>
          <w:b/>
          <w:bCs/>
          <w:sz w:val="24"/>
          <w:szCs w:val="24"/>
        </w:rPr>
        <w:t xml:space="preserve">sous-emploi a baissé de 155.000 </w:t>
      </w:r>
      <w:r w:rsidRPr="008877A4">
        <w:rPr>
          <w:rFonts w:ascii="Book Antiqua" w:hAnsi="Book Antiqua" w:cs="Times New Roman"/>
          <w:sz w:val="24"/>
          <w:szCs w:val="24"/>
        </w:rPr>
        <w:t xml:space="preserve">au niveau national, entre le troisième trimestre de 2020 et la même période de 2021, passant de 1.182.000 à </w:t>
      </w:r>
      <w:bookmarkStart w:id="4" w:name="_Hlk86257781"/>
      <w:r w:rsidRPr="008877A4">
        <w:rPr>
          <w:rFonts w:ascii="Book Antiqua" w:hAnsi="Book Antiqua" w:cs="Times New Roman"/>
          <w:sz w:val="24"/>
          <w:szCs w:val="24"/>
        </w:rPr>
        <w:t>1.027.000 personnes</w:t>
      </w:r>
      <w:bookmarkEnd w:id="4"/>
      <w:r w:rsidRPr="008877A4">
        <w:rPr>
          <w:rFonts w:ascii="Book Antiqua" w:hAnsi="Book Antiqua" w:cs="Times New Roman"/>
          <w:sz w:val="24"/>
          <w:szCs w:val="24"/>
        </w:rPr>
        <w:t xml:space="preserve">, de 627.000 à 543.000 personnes dans les villes et de 556.000 à 484.000 à la campagne. </w:t>
      </w:r>
    </w:p>
    <w:p w14:paraId="396C40B7" w14:textId="77777777" w:rsidR="00E7041A" w:rsidRPr="008877A4" w:rsidRDefault="00E7041A" w:rsidP="00E7041A">
      <w:pPr>
        <w:autoSpaceDE w:val="0"/>
        <w:autoSpaceDN w:val="0"/>
        <w:adjustRightInd w:val="0"/>
        <w:spacing w:before="120" w:after="120" w:line="240" w:lineRule="auto"/>
        <w:jc w:val="both"/>
        <w:rPr>
          <w:rFonts w:ascii="Book Antiqua" w:hAnsi="Book Antiqua" w:cs="Times New Roman"/>
          <w:sz w:val="24"/>
          <w:szCs w:val="24"/>
        </w:rPr>
      </w:pPr>
      <w:bookmarkStart w:id="5" w:name="_Hlk86257405"/>
      <w:r w:rsidRPr="008877A4">
        <w:rPr>
          <w:rFonts w:ascii="Book Antiqua" w:hAnsi="Book Antiqua" w:cs="Times New Roman"/>
          <w:sz w:val="24"/>
          <w:szCs w:val="24"/>
        </w:rPr>
        <w:t xml:space="preserve">Le taux de sous-emploi est ainsi passé de 11,6% à 9,5% </w:t>
      </w:r>
      <w:bookmarkEnd w:id="5"/>
      <w:r w:rsidRPr="008877A4">
        <w:rPr>
          <w:rFonts w:ascii="Book Antiqua" w:hAnsi="Book Antiqua" w:cs="Times New Roman"/>
          <w:sz w:val="24"/>
          <w:szCs w:val="24"/>
        </w:rPr>
        <w:t>au niveau national, de 10,5% à 8,6% en milieu urbain et de 13,3% à 10,8% en milieu rural.</w:t>
      </w:r>
    </w:p>
    <w:p w14:paraId="08FB86B3" w14:textId="77777777" w:rsidR="00E7041A" w:rsidRPr="008877A4" w:rsidRDefault="00E7041A" w:rsidP="00E7041A">
      <w:pPr>
        <w:shd w:val="clear" w:color="auto" w:fill="FFFFFF" w:themeFill="background1"/>
        <w:spacing w:before="120" w:after="120" w:line="240" w:lineRule="auto"/>
        <w:jc w:val="both"/>
        <w:rPr>
          <w:rFonts w:ascii="Book Antiqua" w:hAnsi="Book Antiqua" w:cs="Times New Roman"/>
          <w:sz w:val="24"/>
          <w:szCs w:val="24"/>
        </w:rPr>
      </w:pPr>
      <w:r w:rsidRPr="008877A4">
        <w:rPr>
          <w:rFonts w:ascii="Book Antiqua" w:hAnsi="Book Antiqua" w:cs="Times New Roman"/>
          <w:sz w:val="24"/>
          <w:szCs w:val="24"/>
        </w:rPr>
        <w:t xml:space="preserve">S’agissant du volume de la population active occupée en situation de sous-emploi lié au nombre d’heures travaillées, il a baissé de 687.000 à 495.000 personnes au niveau national. Le taux correspondant est passé de 6,8% à 4,6%. </w:t>
      </w:r>
    </w:p>
    <w:p w14:paraId="346B28D1" w14:textId="42855F4E" w:rsidR="00E7041A" w:rsidRPr="00F2381A" w:rsidRDefault="00E7041A" w:rsidP="00E7041A">
      <w:pPr>
        <w:shd w:val="clear" w:color="auto" w:fill="FFFFFF" w:themeFill="background1"/>
        <w:spacing w:before="120" w:after="120" w:line="240" w:lineRule="auto"/>
        <w:jc w:val="both"/>
        <w:rPr>
          <w:rFonts w:ascii="Book Antiqua" w:hAnsi="Book Antiqua" w:cs="Times New Roman"/>
          <w:sz w:val="24"/>
          <w:szCs w:val="24"/>
        </w:rPr>
      </w:pPr>
      <w:r w:rsidRPr="008877A4">
        <w:rPr>
          <w:rFonts w:ascii="Book Antiqua" w:hAnsi="Book Antiqua" w:cs="Times New Roman"/>
          <w:sz w:val="24"/>
          <w:szCs w:val="24"/>
        </w:rPr>
        <w:t>La population active occupée en situation de sous-emploi lié à l’insuffisance du revenu ou à l’inadéquation entre la formation et l’emploi exercé est passée de 495.000 à 531.000 personnes au niveau national. Le taux correspondant a stagné autour de 4,9% entre le</w:t>
      </w:r>
      <w:r w:rsidR="00E53D05">
        <w:rPr>
          <w:rFonts w:ascii="Book Antiqua" w:hAnsi="Book Antiqua" w:cs="Times New Roman"/>
          <w:sz w:val="24"/>
          <w:szCs w:val="24"/>
        </w:rPr>
        <w:t>s</w:t>
      </w:r>
      <w:r w:rsidRPr="008877A4">
        <w:rPr>
          <w:rFonts w:ascii="Book Antiqua" w:hAnsi="Book Antiqua" w:cs="Times New Roman"/>
          <w:sz w:val="24"/>
          <w:szCs w:val="24"/>
        </w:rPr>
        <w:t xml:space="preserve"> troisième</w:t>
      </w:r>
      <w:r w:rsidR="00E53D05">
        <w:rPr>
          <w:rFonts w:ascii="Book Antiqua" w:hAnsi="Book Antiqua" w:cs="Times New Roman"/>
          <w:sz w:val="24"/>
          <w:szCs w:val="24"/>
        </w:rPr>
        <w:t>s</w:t>
      </w:r>
      <w:r w:rsidRPr="008877A4">
        <w:rPr>
          <w:rFonts w:ascii="Book Antiqua" w:hAnsi="Book Antiqua" w:cs="Times New Roman"/>
          <w:sz w:val="24"/>
          <w:szCs w:val="24"/>
        </w:rPr>
        <w:t xml:space="preserve"> trimestre</w:t>
      </w:r>
      <w:r w:rsidR="00E53D05">
        <w:rPr>
          <w:rFonts w:ascii="Book Antiqua" w:hAnsi="Book Antiqua" w:cs="Times New Roman"/>
          <w:sz w:val="24"/>
          <w:szCs w:val="24"/>
        </w:rPr>
        <w:t>s de</w:t>
      </w:r>
      <w:r w:rsidRPr="008877A4">
        <w:rPr>
          <w:rFonts w:ascii="Book Antiqua" w:hAnsi="Book Antiqua" w:cs="Times New Roman"/>
          <w:sz w:val="24"/>
          <w:szCs w:val="24"/>
        </w:rPr>
        <w:t xml:space="preserve"> 2020 et 2021.</w:t>
      </w:r>
    </w:p>
    <w:p w14:paraId="0E099EB7" w14:textId="77777777" w:rsidR="00E7041A" w:rsidRPr="008877A4" w:rsidRDefault="00E7041A" w:rsidP="00E7041A">
      <w:pPr>
        <w:spacing w:before="120" w:after="120" w:line="240" w:lineRule="auto"/>
        <w:jc w:val="both"/>
        <w:rPr>
          <w:rFonts w:ascii="Book Antiqua" w:hAnsi="Book Antiqua"/>
          <w:sz w:val="24"/>
          <w:szCs w:val="24"/>
        </w:rPr>
      </w:pPr>
      <w:r w:rsidRPr="008877A4">
        <w:rPr>
          <w:rFonts w:ascii="Book Antiqua" w:hAnsi="Book Antiqua"/>
          <w:sz w:val="24"/>
          <w:szCs w:val="24"/>
        </w:rPr>
        <w:t xml:space="preserve">Les catégories de la population qui ont connu les plus grandes baisses du taux de sous-emploi sont les personnes âgées de 35 à 44 ans (-3 points), les personnes âgées de 15 à 24 ans (-2,8 points), les personnes titulaires d’un diplôme de niveau moyen (-3 points) et les hommes (-2,2 points). </w:t>
      </w:r>
    </w:p>
    <w:p w14:paraId="221A7C38" w14:textId="245C913C" w:rsidR="00E7041A" w:rsidRPr="00E32D14" w:rsidRDefault="00E7041A" w:rsidP="00E7041A">
      <w:pPr>
        <w:rPr>
          <w:noProof/>
        </w:rPr>
      </w:pPr>
      <w:r w:rsidRPr="008877A4">
        <w:rPr>
          <w:rFonts w:ascii="Book Antiqua" w:hAnsi="Book Antiqua" w:cs="Times New Roman"/>
          <w:b/>
          <w:bCs/>
          <w:sz w:val="20"/>
          <w:szCs w:val="20"/>
        </w:rPr>
        <w:t xml:space="preserve">Figure </w:t>
      </w:r>
      <w:r w:rsidR="00D7240C">
        <w:rPr>
          <w:rFonts w:ascii="Book Antiqua" w:hAnsi="Book Antiqua" w:cs="Times New Roman" w:hint="cs"/>
          <w:b/>
          <w:bCs/>
          <w:sz w:val="20"/>
          <w:szCs w:val="20"/>
          <w:rtl/>
          <w:lang w:bidi="tzm-Arab-MA"/>
        </w:rPr>
        <w:t>6</w:t>
      </w:r>
      <w:r w:rsidRPr="008877A4">
        <w:rPr>
          <w:rFonts w:ascii="Book Antiqua" w:hAnsi="Book Antiqua" w:cs="Times New Roman"/>
          <w:b/>
          <w:bCs/>
          <w:sz w:val="20"/>
          <w:szCs w:val="20"/>
        </w:rPr>
        <w:t xml:space="preserve">. Evolution du taux de sous-emploi entre les troisièmes trimestres de 2020 et </w:t>
      </w:r>
      <w:r w:rsidR="00D7240C">
        <w:rPr>
          <w:rFonts w:ascii="Book Antiqua" w:hAnsi="Book Antiqua" w:cs="Times New Roman"/>
          <w:b/>
          <w:bCs/>
          <w:sz w:val="20"/>
          <w:szCs w:val="20"/>
        </w:rPr>
        <w:t xml:space="preserve">de </w:t>
      </w:r>
      <w:r w:rsidRPr="008877A4">
        <w:rPr>
          <w:rFonts w:ascii="Book Antiqua" w:hAnsi="Book Antiqua" w:cs="Times New Roman"/>
          <w:b/>
          <w:bCs/>
          <w:sz w:val="20"/>
          <w:szCs w:val="20"/>
        </w:rPr>
        <w:t>2021 parmi certaines catégories de la population active occupée (en %)</w:t>
      </w:r>
    </w:p>
    <w:p w14:paraId="6D1C2A7C" w14:textId="77777777" w:rsidR="00E7041A" w:rsidRDefault="00E7041A" w:rsidP="00E7041A">
      <w:pPr>
        <w:jc w:val="center"/>
        <w:rPr>
          <w:rFonts w:ascii="Book Antiqua" w:hAnsi="Book Antiqua"/>
          <w:sz w:val="24"/>
          <w:szCs w:val="24"/>
        </w:rPr>
      </w:pPr>
      <w:r>
        <w:rPr>
          <w:noProof/>
          <w:lang w:eastAsia="fr-FR"/>
        </w:rPr>
        <w:drawing>
          <wp:inline distT="0" distB="0" distL="0" distR="0" wp14:anchorId="71C8DD7D" wp14:editId="40D0E1CD">
            <wp:extent cx="5705475" cy="210502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96D573" w14:textId="77777777" w:rsidR="00E7041A" w:rsidRPr="00255A6C" w:rsidRDefault="00E7041A" w:rsidP="00E7041A">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255A6C">
        <w:rPr>
          <w:rFonts w:ascii="Book Antiqua" w:hAnsi="Book Antiqua" w:cstheme="majorHAnsi"/>
          <w:b/>
          <w:bCs/>
          <w:color w:val="1F3864" w:themeColor="accent1" w:themeShade="80"/>
          <w:spacing w:val="-10"/>
          <w:kern w:val="28"/>
          <w:sz w:val="24"/>
          <w:szCs w:val="24"/>
          <w:lang w:val="fr-FR"/>
        </w:rPr>
        <w:t>III. Situation régionale du marché du travail</w:t>
      </w:r>
    </w:p>
    <w:p w14:paraId="71878719" w14:textId="77777777" w:rsidR="00E7041A" w:rsidRPr="00F2381A" w:rsidRDefault="00E7041A" w:rsidP="00E7041A">
      <w:pPr>
        <w:jc w:val="both"/>
        <w:rPr>
          <w:rFonts w:ascii="Book Antiqua" w:hAnsi="Book Antiqua"/>
          <w:sz w:val="24"/>
          <w:szCs w:val="24"/>
        </w:rPr>
      </w:pPr>
      <w:r w:rsidRPr="00F2381A">
        <w:rPr>
          <w:rFonts w:ascii="Book Antiqua" w:hAnsi="Book Antiqua"/>
          <w:sz w:val="24"/>
          <w:szCs w:val="24"/>
        </w:rPr>
        <w:t>Cinq régions abritent 72,1% de l’ensemble des actifs âgés de 15 ans et plus. La région de Casablanca-Settat vien</w:t>
      </w:r>
      <w:r>
        <w:rPr>
          <w:rFonts w:ascii="Book Antiqua" w:hAnsi="Book Antiqua"/>
          <w:sz w:val="24"/>
          <w:szCs w:val="24"/>
        </w:rPr>
        <w:t>t en première position avec 22,3</w:t>
      </w:r>
      <w:r w:rsidRPr="00F2381A">
        <w:rPr>
          <w:rFonts w:ascii="Book Antiqua" w:hAnsi="Book Antiqua"/>
          <w:sz w:val="24"/>
          <w:szCs w:val="24"/>
        </w:rPr>
        <w:t xml:space="preserve">% d’actifs, suivie de </w:t>
      </w:r>
      <w:r>
        <w:rPr>
          <w:rFonts w:ascii="Book Antiqua" w:hAnsi="Book Antiqua"/>
          <w:sz w:val="24"/>
          <w:szCs w:val="24"/>
        </w:rPr>
        <w:t>Rabat-Salé-Kénitra (13,3</w:t>
      </w:r>
      <w:r w:rsidRPr="00F2381A">
        <w:rPr>
          <w:rFonts w:ascii="Book Antiqua" w:hAnsi="Book Antiqua"/>
          <w:sz w:val="24"/>
          <w:szCs w:val="24"/>
        </w:rPr>
        <w:t>%),</w:t>
      </w:r>
      <w:r>
        <w:rPr>
          <w:rFonts w:ascii="Book Antiqua" w:hAnsi="Book Antiqua"/>
          <w:sz w:val="24"/>
          <w:szCs w:val="24"/>
        </w:rPr>
        <w:t xml:space="preserve"> de Marrakech-Safi (13,2</w:t>
      </w:r>
      <w:r w:rsidRPr="00F2381A">
        <w:rPr>
          <w:rFonts w:ascii="Book Antiqua" w:hAnsi="Book Antiqua"/>
          <w:sz w:val="24"/>
          <w:szCs w:val="24"/>
        </w:rPr>
        <w:t>%), de Tanger-Tétouan-Al Hoceima (11,9%</w:t>
      </w:r>
      <w:r>
        <w:rPr>
          <w:rFonts w:ascii="Book Antiqua" w:hAnsi="Book Antiqua"/>
          <w:sz w:val="24"/>
          <w:szCs w:val="24"/>
        </w:rPr>
        <w:t>) et de Fès-Meknès (11,5</w:t>
      </w:r>
      <w:r w:rsidRPr="00F2381A">
        <w:rPr>
          <w:rFonts w:ascii="Book Antiqua" w:hAnsi="Book Antiqua"/>
          <w:sz w:val="24"/>
          <w:szCs w:val="24"/>
        </w:rPr>
        <w:t xml:space="preserve">%). </w:t>
      </w:r>
    </w:p>
    <w:p w14:paraId="7756C0B1" w14:textId="77777777" w:rsidR="00E7041A" w:rsidRPr="00F2381A" w:rsidRDefault="00E7041A" w:rsidP="00E7041A">
      <w:pPr>
        <w:jc w:val="both"/>
        <w:rPr>
          <w:rFonts w:ascii="Book Antiqua" w:hAnsi="Book Antiqua"/>
          <w:sz w:val="24"/>
          <w:szCs w:val="24"/>
        </w:rPr>
      </w:pPr>
      <w:r>
        <w:rPr>
          <w:rFonts w:ascii="Book Antiqua" w:hAnsi="Book Antiqua"/>
          <w:sz w:val="24"/>
          <w:szCs w:val="24"/>
        </w:rPr>
        <w:t>Trois</w:t>
      </w:r>
      <w:r w:rsidRPr="00F2381A">
        <w:rPr>
          <w:rFonts w:ascii="Book Antiqua" w:hAnsi="Book Antiqua"/>
          <w:sz w:val="24"/>
          <w:szCs w:val="24"/>
        </w:rPr>
        <w:t xml:space="preserve"> régions affichent des taux d’activité plus éle</w:t>
      </w:r>
      <w:r>
        <w:rPr>
          <w:rFonts w:ascii="Book Antiqua" w:hAnsi="Book Antiqua"/>
          <w:sz w:val="24"/>
          <w:szCs w:val="24"/>
        </w:rPr>
        <w:t>vés que la moyenne nationale (45</w:t>
      </w:r>
      <w:r w:rsidRPr="00F2381A">
        <w:rPr>
          <w:rFonts w:ascii="Book Antiqua" w:hAnsi="Book Antiqua"/>
          <w:sz w:val="24"/>
          <w:szCs w:val="24"/>
        </w:rPr>
        <w:t>,1%);</w:t>
      </w:r>
      <w:r>
        <w:rPr>
          <w:rFonts w:ascii="Book Antiqua" w:hAnsi="Book Antiqua"/>
          <w:sz w:val="24"/>
          <w:szCs w:val="24"/>
        </w:rPr>
        <w:t xml:space="preserve"> Tanger-Tétouan-Al Hoceima (50,9</w:t>
      </w:r>
      <w:r w:rsidRPr="00F2381A">
        <w:rPr>
          <w:rFonts w:ascii="Book Antiqua" w:hAnsi="Book Antiqua"/>
          <w:sz w:val="24"/>
          <w:szCs w:val="24"/>
        </w:rPr>
        <w:t xml:space="preserve">%), Casablanca-Settat </w:t>
      </w:r>
      <w:r>
        <w:rPr>
          <w:rFonts w:ascii="Book Antiqua" w:hAnsi="Book Antiqua"/>
          <w:sz w:val="24"/>
          <w:szCs w:val="24"/>
        </w:rPr>
        <w:t>avec 47,7</w:t>
      </w:r>
      <w:r w:rsidRPr="00F2381A">
        <w:rPr>
          <w:rFonts w:ascii="Book Antiqua" w:hAnsi="Book Antiqua"/>
          <w:sz w:val="24"/>
          <w:szCs w:val="24"/>
        </w:rPr>
        <w:t>%</w:t>
      </w:r>
      <w:r>
        <w:rPr>
          <w:rFonts w:ascii="Book Antiqua" w:hAnsi="Book Antiqua"/>
          <w:sz w:val="24"/>
          <w:szCs w:val="24"/>
        </w:rPr>
        <w:t xml:space="preserve"> et </w:t>
      </w:r>
      <w:r w:rsidRPr="00F2381A">
        <w:rPr>
          <w:rFonts w:ascii="Book Antiqua" w:hAnsi="Book Antiqua"/>
          <w:sz w:val="24"/>
          <w:szCs w:val="24"/>
        </w:rPr>
        <w:t>Marrakech-Safi</w:t>
      </w:r>
      <w:r>
        <w:rPr>
          <w:rFonts w:ascii="Book Antiqua" w:hAnsi="Book Antiqua"/>
          <w:sz w:val="24"/>
          <w:szCs w:val="24"/>
        </w:rPr>
        <w:t xml:space="preserve"> (46,0</w:t>
      </w:r>
      <w:r w:rsidRPr="00F2381A">
        <w:rPr>
          <w:rFonts w:ascii="Book Antiqua" w:hAnsi="Book Antiqua"/>
          <w:sz w:val="24"/>
          <w:szCs w:val="24"/>
        </w:rPr>
        <w:t>%</w:t>
      </w:r>
      <w:r>
        <w:rPr>
          <w:rFonts w:ascii="Book Antiqua" w:hAnsi="Book Antiqua"/>
          <w:sz w:val="24"/>
          <w:szCs w:val="24"/>
        </w:rPr>
        <w:t>)</w:t>
      </w:r>
      <w:r w:rsidRPr="00F2381A">
        <w:rPr>
          <w:rFonts w:ascii="Book Antiqua" w:hAnsi="Book Antiqua"/>
          <w:sz w:val="24"/>
          <w:szCs w:val="24"/>
        </w:rPr>
        <w:t>. En revanche, les taux les plus bas sont enregistrés dans les régions</w:t>
      </w:r>
      <w:r>
        <w:rPr>
          <w:rFonts w:ascii="Book Antiqua" w:hAnsi="Book Antiqua"/>
          <w:sz w:val="24"/>
          <w:szCs w:val="24"/>
        </w:rPr>
        <w:t xml:space="preserve"> de l’Oriental (42,1</w:t>
      </w:r>
      <w:r w:rsidRPr="00F2381A">
        <w:rPr>
          <w:rFonts w:ascii="Book Antiqua" w:hAnsi="Book Antiqua"/>
          <w:sz w:val="24"/>
          <w:szCs w:val="24"/>
        </w:rPr>
        <w:t xml:space="preserve">%), </w:t>
      </w:r>
      <w:r>
        <w:rPr>
          <w:rFonts w:ascii="Book Antiqua" w:hAnsi="Book Antiqua"/>
          <w:sz w:val="24"/>
          <w:szCs w:val="24"/>
        </w:rPr>
        <w:t>de Souss-Massa (41,2</w:t>
      </w:r>
      <w:r w:rsidRPr="00F2381A">
        <w:rPr>
          <w:rFonts w:ascii="Book Antiqua" w:hAnsi="Book Antiqua"/>
          <w:sz w:val="24"/>
          <w:szCs w:val="24"/>
        </w:rPr>
        <w:t>%)</w:t>
      </w:r>
      <w:r>
        <w:rPr>
          <w:rFonts w:ascii="Book Antiqua" w:hAnsi="Book Antiqua"/>
          <w:sz w:val="24"/>
          <w:szCs w:val="24"/>
        </w:rPr>
        <w:t xml:space="preserve"> et de </w:t>
      </w:r>
      <w:proofErr w:type="spellStart"/>
      <w:r>
        <w:rPr>
          <w:rFonts w:ascii="Book Antiqua" w:hAnsi="Book Antiqua"/>
          <w:sz w:val="24"/>
          <w:szCs w:val="24"/>
        </w:rPr>
        <w:t>Drâa</w:t>
      </w:r>
      <w:proofErr w:type="spellEnd"/>
      <w:r>
        <w:rPr>
          <w:rFonts w:ascii="Book Antiqua" w:hAnsi="Book Antiqua"/>
          <w:sz w:val="24"/>
          <w:szCs w:val="24"/>
        </w:rPr>
        <w:t>-Tafilalet (40,9%).</w:t>
      </w:r>
    </w:p>
    <w:p w14:paraId="5CEAF2BA" w14:textId="77777777" w:rsidR="001747B8" w:rsidRDefault="001747B8">
      <w:pPr>
        <w:spacing w:line="259" w:lineRule="auto"/>
        <w:rPr>
          <w:rFonts w:ascii="Book Antiqua" w:hAnsi="Book Antiqua" w:cs="Times New Roman"/>
          <w:b/>
          <w:bCs/>
          <w:sz w:val="20"/>
          <w:szCs w:val="20"/>
        </w:rPr>
      </w:pPr>
      <w:r>
        <w:rPr>
          <w:rFonts w:ascii="Book Antiqua" w:hAnsi="Book Antiqua" w:cs="Times New Roman"/>
          <w:b/>
          <w:bCs/>
          <w:sz w:val="20"/>
          <w:szCs w:val="20"/>
        </w:rPr>
        <w:br w:type="page"/>
      </w:r>
    </w:p>
    <w:p w14:paraId="562B34D2" w14:textId="7E7B0B7E" w:rsidR="00E7041A" w:rsidRPr="00307174" w:rsidRDefault="00E7041A" w:rsidP="00951BD4">
      <w:pPr>
        <w:jc w:val="center"/>
        <w:rPr>
          <w:rFonts w:ascii="Book Antiqua" w:hAnsi="Book Antiqua" w:cs="Times New Roman"/>
          <w:b/>
          <w:bCs/>
          <w:sz w:val="20"/>
          <w:szCs w:val="20"/>
        </w:rPr>
      </w:pPr>
      <w:r w:rsidRPr="00307174">
        <w:rPr>
          <w:rFonts w:ascii="Book Antiqua" w:hAnsi="Book Antiqua" w:cs="Times New Roman"/>
          <w:b/>
          <w:bCs/>
          <w:sz w:val="20"/>
          <w:szCs w:val="20"/>
        </w:rPr>
        <w:lastRenderedPageBreak/>
        <w:t xml:space="preserve">Figure </w:t>
      </w:r>
      <w:r w:rsidR="00D7240C">
        <w:rPr>
          <w:rFonts w:ascii="Book Antiqua" w:hAnsi="Book Antiqua" w:cs="Times New Roman" w:hint="cs"/>
          <w:b/>
          <w:bCs/>
          <w:sz w:val="20"/>
          <w:szCs w:val="20"/>
          <w:rtl/>
          <w:lang w:bidi="tzm-Arab-MA"/>
        </w:rPr>
        <w:t>7</w:t>
      </w:r>
      <w:r>
        <w:rPr>
          <w:rFonts w:ascii="Book Antiqua" w:hAnsi="Book Antiqua" w:cs="Times New Roman"/>
          <w:b/>
          <w:bCs/>
          <w:sz w:val="20"/>
          <w:szCs w:val="20"/>
        </w:rPr>
        <w:t xml:space="preserve">. </w:t>
      </w:r>
      <w:r w:rsidRPr="00307174">
        <w:rPr>
          <w:rFonts w:ascii="Book Antiqua" w:hAnsi="Book Antiqua" w:cs="Times New Roman"/>
          <w:b/>
          <w:bCs/>
          <w:sz w:val="20"/>
          <w:szCs w:val="20"/>
        </w:rPr>
        <w:t xml:space="preserve">Taux d’activité selon les régions au </w:t>
      </w:r>
      <w:r>
        <w:rPr>
          <w:rFonts w:ascii="Book Antiqua" w:hAnsi="Book Antiqua" w:cs="Times New Roman"/>
          <w:b/>
          <w:bCs/>
          <w:sz w:val="20"/>
          <w:szCs w:val="20"/>
        </w:rPr>
        <w:t>troisième</w:t>
      </w:r>
      <w:r w:rsidRPr="00307174">
        <w:rPr>
          <w:rFonts w:ascii="Book Antiqua" w:hAnsi="Book Antiqua" w:cs="Times New Roman"/>
          <w:b/>
          <w:bCs/>
          <w:sz w:val="20"/>
          <w:szCs w:val="20"/>
        </w:rPr>
        <w:t xml:space="preserve"> trimestre de 2021 (en%).</w:t>
      </w:r>
    </w:p>
    <w:p w14:paraId="52963321" w14:textId="77777777" w:rsidR="00E7041A" w:rsidRDefault="00E7041A" w:rsidP="00E7041A">
      <w:pPr>
        <w:spacing w:before="240" w:after="240" w:line="312" w:lineRule="auto"/>
        <w:jc w:val="center"/>
        <w:rPr>
          <w:rFonts w:ascii="Book Antiqua" w:eastAsia="Book Antiqua" w:hAnsi="Book Antiqua" w:cs="Book Antiqua"/>
          <w:b/>
          <w:color w:val="0070C0"/>
          <w:sz w:val="20"/>
          <w:szCs w:val="20"/>
        </w:rPr>
      </w:pPr>
      <w:r w:rsidRPr="008C7924">
        <w:rPr>
          <w:rFonts w:ascii="Book Antiqua" w:eastAsia="Book Antiqua" w:hAnsi="Book Antiqua" w:cs="Book Antiqua"/>
          <w:b/>
          <w:noProof/>
          <w:color w:val="0070C0"/>
          <w:sz w:val="20"/>
          <w:szCs w:val="20"/>
          <w:lang w:eastAsia="fr-FR"/>
        </w:rPr>
        <w:drawing>
          <wp:inline distT="0" distB="0" distL="0" distR="0" wp14:anchorId="2EB39F26" wp14:editId="3BED388A">
            <wp:extent cx="4985468" cy="2138901"/>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3466D5" w14:textId="77777777" w:rsidR="00E7041A" w:rsidRPr="003513E8" w:rsidRDefault="00E7041A" w:rsidP="00E7041A">
      <w:pPr>
        <w:jc w:val="both"/>
        <w:rPr>
          <w:rFonts w:ascii="Book Antiqua" w:hAnsi="Book Antiqua"/>
          <w:sz w:val="24"/>
          <w:szCs w:val="24"/>
        </w:rPr>
      </w:pPr>
      <w:r>
        <w:rPr>
          <w:rFonts w:ascii="Book Antiqua" w:hAnsi="Book Antiqua"/>
          <w:sz w:val="24"/>
          <w:szCs w:val="24"/>
        </w:rPr>
        <w:t xml:space="preserve">Presque sept chômeurs parmi dix chômeurs (69,6%) sont concentrés </w:t>
      </w:r>
      <w:r w:rsidRPr="003513E8">
        <w:rPr>
          <w:rFonts w:ascii="Book Antiqua" w:hAnsi="Book Antiqua"/>
          <w:sz w:val="24"/>
          <w:szCs w:val="24"/>
        </w:rPr>
        <w:t>dans cinq régions ; Casablanca-Settat vien</w:t>
      </w:r>
      <w:r>
        <w:rPr>
          <w:rFonts w:ascii="Book Antiqua" w:hAnsi="Book Antiqua"/>
          <w:sz w:val="24"/>
          <w:szCs w:val="24"/>
        </w:rPr>
        <w:t>t en première position avec 24,2</w:t>
      </w:r>
      <w:r w:rsidRPr="003513E8">
        <w:rPr>
          <w:rFonts w:ascii="Book Antiqua" w:hAnsi="Book Antiqua"/>
          <w:sz w:val="24"/>
          <w:szCs w:val="24"/>
        </w:rPr>
        <w:t>% de chômeurs, suivie de</w:t>
      </w:r>
      <w:r w:rsidR="004C37C0">
        <w:rPr>
          <w:rFonts w:ascii="Book Antiqua" w:hAnsi="Book Antiqua"/>
          <w:sz w:val="24"/>
          <w:szCs w:val="24"/>
        </w:rPr>
        <w:t xml:space="preserve"> </w:t>
      </w:r>
      <w:r w:rsidRPr="003513E8">
        <w:rPr>
          <w:rFonts w:ascii="Book Antiqua" w:hAnsi="Book Antiqua"/>
          <w:sz w:val="24"/>
          <w:szCs w:val="24"/>
        </w:rPr>
        <w:t>Rabat-Salé-Kénitra</w:t>
      </w:r>
      <w:r>
        <w:rPr>
          <w:rFonts w:ascii="Book Antiqua" w:hAnsi="Book Antiqua"/>
          <w:sz w:val="24"/>
          <w:szCs w:val="24"/>
        </w:rPr>
        <w:t xml:space="preserve"> (12,9</w:t>
      </w:r>
      <w:r w:rsidRPr="003513E8">
        <w:rPr>
          <w:rFonts w:ascii="Book Antiqua" w:hAnsi="Book Antiqua"/>
          <w:sz w:val="24"/>
          <w:szCs w:val="24"/>
        </w:rPr>
        <w:t>%),</w:t>
      </w:r>
      <w:r>
        <w:rPr>
          <w:rFonts w:ascii="Book Antiqua" w:hAnsi="Book Antiqua"/>
          <w:sz w:val="24"/>
          <w:szCs w:val="24"/>
        </w:rPr>
        <w:t xml:space="preserve"> de Fès-Meknès (12,8%), </w:t>
      </w:r>
      <w:r w:rsidRPr="003513E8">
        <w:rPr>
          <w:rFonts w:ascii="Book Antiqua" w:hAnsi="Book Antiqua"/>
          <w:sz w:val="24"/>
          <w:szCs w:val="24"/>
        </w:rPr>
        <w:t>d</w:t>
      </w:r>
      <w:r>
        <w:rPr>
          <w:rFonts w:ascii="Book Antiqua" w:hAnsi="Book Antiqua"/>
          <w:sz w:val="24"/>
          <w:szCs w:val="24"/>
        </w:rPr>
        <w:t>e Tanger-Tétouan-Al Hoceima (10,1</w:t>
      </w:r>
      <w:r w:rsidRPr="003513E8">
        <w:rPr>
          <w:rFonts w:ascii="Book Antiqua" w:hAnsi="Book Antiqua"/>
          <w:sz w:val="24"/>
          <w:szCs w:val="24"/>
        </w:rPr>
        <w:t>%) et de l’Orie</w:t>
      </w:r>
      <w:r>
        <w:rPr>
          <w:rFonts w:ascii="Book Antiqua" w:hAnsi="Book Antiqua"/>
          <w:sz w:val="24"/>
          <w:szCs w:val="24"/>
        </w:rPr>
        <w:t>ntal (9,6</w:t>
      </w:r>
      <w:r w:rsidRPr="003513E8">
        <w:rPr>
          <w:rFonts w:ascii="Book Antiqua" w:hAnsi="Book Antiqua"/>
          <w:sz w:val="24"/>
          <w:szCs w:val="24"/>
        </w:rPr>
        <w:t>%).</w:t>
      </w:r>
    </w:p>
    <w:p w14:paraId="6059DE28" w14:textId="287351F0" w:rsidR="00E7041A" w:rsidRPr="003513E8" w:rsidRDefault="00E7041A" w:rsidP="00E7041A">
      <w:pPr>
        <w:jc w:val="both"/>
        <w:rPr>
          <w:rFonts w:ascii="Book Antiqua" w:hAnsi="Book Antiqua"/>
          <w:sz w:val="24"/>
          <w:szCs w:val="24"/>
        </w:rPr>
      </w:pPr>
      <w:bookmarkStart w:id="6" w:name="_Hlk86257863"/>
      <w:r w:rsidRPr="003513E8">
        <w:rPr>
          <w:rFonts w:ascii="Book Antiqua" w:hAnsi="Book Antiqua"/>
          <w:sz w:val="24"/>
          <w:szCs w:val="24"/>
        </w:rPr>
        <w:t>Les taux de chômage les plus élevés sont observ</w:t>
      </w:r>
      <w:r>
        <w:rPr>
          <w:rFonts w:ascii="Book Antiqua" w:hAnsi="Book Antiqua"/>
          <w:sz w:val="24"/>
          <w:szCs w:val="24"/>
        </w:rPr>
        <w:t>és dans les régions du Sud (19,2%) et de l’Oriental (17,4%).</w:t>
      </w:r>
      <w:r w:rsidR="00951BD4">
        <w:rPr>
          <w:rFonts w:ascii="Book Antiqua" w:hAnsi="Book Antiqua"/>
          <w:sz w:val="24"/>
          <w:szCs w:val="24"/>
        </w:rPr>
        <w:t xml:space="preserve"> </w:t>
      </w:r>
      <w:r>
        <w:rPr>
          <w:rFonts w:ascii="Book Antiqua" w:hAnsi="Book Antiqua"/>
          <w:sz w:val="24"/>
          <w:szCs w:val="24"/>
        </w:rPr>
        <w:t>Avec moins d’acuité, trois</w:t>
      </w:r>
      <w:r w:rsidRPr="003513E8">
        <w:rPr>
          <w:rFonts w:ascii="Book Antiqua" w:hAnsi="Book Antiqua"/>
          <w:sz w:val="24"/>
          <w:szCs w:val="24"/>
        </w:rPr>
        <w:t xml:space="preserve"> autres régions dé</w:t>
      </w:r>
      <w:r>
        <w:rPr>
          <w:rFonts w:ascii="Book Antiqua" w:hAnsi="Book Antiqua"/>
          <w:sz w:val="24"/>
          <w:szCs w:val="24"/>
        </w:rPr>
        <w:t>passent la moyenne nationale (11</w:t>
      </w:r>
      <w:r w:rsidRPr="003513E8">
        <w:rPr>
          <w:rFonts w:ascii="Book Antiqua" w:hAnsi="Book Antiqua"/>
          <w:sz w:val="24"/>
          <w:szCs w:val="24"/>
        </w:rPr>
        <w:t>,8%) à savoir</w:t>
      </w:r>
      <w:r w:rsidR="004C37C0">
        <w:rPr>
          <w:rFonts w:ascii="Book Antiqua" w:hAnsi="Book Antiqua"/>
          <w:sz w:val="24"/>
          <w:szCs w:val="24"/>
        </w:rPr>
        <w:t xml:space="preserve"> </w:t>
      </w:r>
      <w:r>
        <w:rPr>
          <w:rFonts w:ascii="Book Antiqua" w:hAnsi="Book Antiqua"/>
          <w:sz w:val="24"/>
          <w:szCs w:val="24"/>
        </w:rPr>
        <w:t>Fès-Meknès (13,2</w:t>
      </w:r>
      <w:r w:rsidRPr="003513E8">
        <w:rPr>
          <w:rFonts w:ascii="Book Antiqua" w:hAnsi="Book Antiqua"/>
          <w:sz w:val="24"/>
          <w:szCs w:val="24"/>
        </w:rPr>
        <w:t>%)</w:t>
      </w:r>
      <w:r>
        <w:rPr>
          <w:rFonts w:ascii="Book Antiqua" w:hAnsi="Book Antiqua"/>
          <w:sz w:val="24"/>
          <w:szCs w:val="24"/>
        </w:rPr>
        <w:t>, Casablanca-Settat (12,8</w:t>
      </w:r>
      <w:r w:rsidRPr="003513E8">
        <w:rPr>
          <w:rFonts w:ascii="Book Antiqua" w:hAnsi="Book Antiqua"/>
          <w:sz w:val="24"/>
          <w:szCs w:val="24"/>
        </w:rPr>
        <w:t>%) et</w:t>
      </w:r>
      <w:r w:rsidR="004C37C0">
        <w:rPr>
          <w:rFonts w:ascii="Book Antiqua" w:hAnsi="Book Antiqua"/>
          <w:sz w:val="24"/>
          <w:szCs w:val="24"/>
        </w:rPr>
        <w:t xml:space="preserve"> </w:t>
      </w:r>
      <w:proofErr w:type="spellStart"/>
      <w:r w:rsidRPr="003513E8">
        <w:rPr>
          <w:rFonts w:ascii="Book Antiqua" w:hAnsi="Book Antiqua"/>
          <w:sz w:val="24"/>
          <w:szCs w:val="24"/>
        </w:rPr>
        <w:t>Drâa</w:t>
      </w:r>
      <w:proofErr w:type="spellEnd"/>
      <w:r w:rsidRPr="003513E8">
        <w:rPr>
          <w:rFonts w:ascii="Book Antiqua" w:hAnsi="Book Antiqua"/>
          <w:sz w:val="24"/>
          <w:szCs w:val="24"/>
        </w:rPr>
        <w:t>-Tafilalet</w:t>
      </w:r>
      <w:r>
        <w:rPr>
          <w:rFonts w:ascii="Book Antiqua" w:hAnsi="Book Antiqua"/>
          <w:sz w:val="24"/>
          <w:szCs w:val="24"/>
        </w:rPr>
        <w:t xml:space="preserve"> (12,5%)</w:t>
      </w:r>
      <w:r w:rsidRPr="003513E8">
        <w:rPr>
          <w:rFonts w:ascii="Book Antiqua" w:hAnsi="Book Antiqua"/>
          <w:sz w:val="24"/>
          <w:szCs w:val="24"/>
        </w:rPr>
        <w:t xml:space="preserve">. En revanche, les </w:t>
      </w:r>
      <w:r>
        <w:rPr>
          <w:rFonts w:ascii="Book Antiqua" w:hAnsi="Book Antiqua"/>
          <w:sz w:val="24"/>
          <w:szCs w:val="24"/>
        </w:rPr>
        <w:t xml:space="preserve">régions </w:t>
      </w:r>
      <w:r w:rsidRPr="003513E8">
        <w:rPr>
          <w:rFonts w:ascii="Book Antiqua" w:hAnsi="Book Antiqua"/>
          <w:sz w:val="24"/>
          <w:szCs w:val="24"/>
        </w:rPr>
        <w:t xml:space="preserve">de Marrakech-Safi, de Béni Mellal- </w:t>
      </w:r>
      <w:proofErr w:type="spellStart"/>
      <w:r w:rsidRPr="003513E8">
        <w:rPr>
          <w:rFonts w:ascii="Book Antiqua" w:hAnsi="Book Antiqua"/>
          <w:sz w:val="24"/>
          <w:szCs w:val="24"/>
        </w:rPr>
        <w:t>Khénifra</w:t>
      </w:r>
      <w:proofErr w:type="spellEnd"/>
      <w:r w:rsidRPr="003513E8">
        <w:rPr>
          <w:rFonts w:ascii="Book Antiqua" w:hAnsi="Book Antiqua"/>
          <w:sz w:val="24"/>
          <w:szCs w:val="24"/>
        </w:rPr>
        <w:t xml:space="preserve"> </w:t>
      </w:r>
      <w:r>
        <w:rPr>
          <w:rFonts w:ascii="Book Antiqua" w:hAnsi="Book Antiqua"/>
          <w:sz w:val="24"/>
          <w:szCs w:val="24"/>
        </w:rPr>
        <w:t>et de Tanger-Tétouan-Al Hoceima</w:t>
      </w:r>
      <w:r w:rsidRPr="003513E8">
        <w:rPr>
          <w:rFonts w:ascii="Book Antiqua" w:hAnsi="Book Antiqua"/>
          <w:sz w:val="24"/>
          <w:szCs w:val="24"/>
        </w:rPr>
        <w:t xml:space="preserve"> enregistrent les taux les </w:t>
      </w:r>
      <w:r>
        <w:rPr>
          <w:rFonts w:ascii="Book Antiqua" w:hAnsi="Book Antiqua"/>
          <w:sz w:val="24"/>
          <w:szCs w:val="24"/>
        </w:rPr>
        <w:t>plus bas avec respectivement 7,7%, 10,0% et 10,0</w:t>
      </w:r>
      <w:r w:rsidRPr="003513E8">
        <w:rPr>
          <w:rFonts w:ascii="Book Antiqua" w:hAnsi="Book Antiqua"/>
          <w:sz w:val="24"/>
          <w:szCs w:val="24"/>
        </w:rPr>
        <w:t xml:space="preserve">%. </w:t>
      </w:r>
    </w:p>
    <w:bookmarkEnd w:id="6"/>
    <w:p w14:paraId="72AC8A22" w14:textId="0A8BD84B" w:rsidR="00E7041A" w:rsidRPr="00307174" w:rsidRDefault="00E7041A" w:rsidP="001747B8">
      <w:pPr>
        <w:jc w:val="center"/>
        <w:rPr>
          <w:rFonts w:ascii="Book Antiqua" w:hAnsi="Book Antiqua" w:cs="Times New Roman"/>
          <w:b/>
          <w:bCs/>
          <w:sz w:val="20"/>
          <w:szCs w:val="20"/>
        </w:rPr>
      </w:pPr>
      <w:r w:rsidRPr="00307174">
        <w:rPr>
          <w:rFonts w:ascii="Book Antiqua" w:hAnsi="Book Antiqua" w:cs="Times New Roman"/>
          <w:b/>
          <w:bCs/>
          <w:sz w:val="20"/>
          <w:szCs w:val="20"/>
        </w:rPr>
        <w:t>Figure</w:t>
      </w:r>
      <w:r>
        <w:rPr>
          <w:rFonts w:ascii="Book Antiqua" w:hAnsi="Book Antiqua" w:cs="Times New Roman"/>
          <w:b/>
          <w:bCs/>
          <w:sz w:val="20"/>
          <w:szCs w:val="20"/>
        </w:rPr>
        <w:t xml:space="preserve"> </w:t>
      </w:r>
      <w:r w:rsidR="00D7240C">
        <w:rPr>
          <w:rFonts w:ascii="Book Antiqua" w:hAnsi="Book Antiqua" w:cs="Times New Roman" w:hint="cs"/>
          <w:b/>
          <w:bCs/>
          <w:sz w:val="20"/>
          <w:szCs w:val="20"/>
          <w:rtl/>
          <w:lang w:bidi="tzm-Arab-MA"/>
        </w:rPr>
        <w:t>8</w:t>
      </w:r>
      <w:r>
        <w:rPr>
          <w:rFonts w:ascii="Book Antiqua" w:hAnsi="Book Antiqua" w:cs="Times New Roman"/>
          <w:b/>
          <w:bCs/>
          <w:sz w:val="20"/>
          <w:szCs w:val="20"/>
        </w:rPr>
        <w:t xml:space="preserve">. </w:t>
      </w:r>
      <w:r w:rsidRPr="00307174">
        <w:rPr>
          <w:rFonts w:ascii="Book Antiqua" w:hAnsi="Book Antiqua" w:cs="Times New Roman"/>
          <w:b/>
          <w:bCs/>
          <w:sz w:val="20"/>
          <w:szCs w:val="20"/>
        </w:rPr>
        <w:t xml:space="preserve">Taux de chômage selon les régions au </w:t>
      </w:r>
      <w:r>
        <w:rPr>
          <w:rFonts w:ascii="Book Antiqua" w:hAnsi="Book Antiqua" w:cs="Times New Roman"/>
          <w:b/>
          <w:bCs/>
          <w:sz w:val="20"/>
          <w:szCs w:val="20"/>
        </w:rPr>
        <w:t>troisième</w:t>
      </w:r>
      <w:r w:rsidRPr="00307174">
        <w:rPr>
          <w:rFonts w:ascii="Book Antiqua" w:hAnsi="Book Antiqua" w:cs="Times New Roman"/>
          <w:b/>
          <w:bCs/>
          <w:sz w:val="20"/>
          <w:szCs w:val="20"/>
        </w:rPr>
        <w:t xml:space="preserve"> trimestre de 2021 (en%)</w:t>
      </w:r>
    </w:p>
    <w:p w14:paraId="603C1FE1" w14:textId="77777777" w:rsidR="00E7041A" w:rsidRDefault="00E7041A" w:rsidP="00E7041A">
      <w:pPr>
        <w:jc w:val="center"/>
        <w:rPr>
          <w:rFonts w:ascii="Book Antiqua" w:eastAsia="Book Antiqua" w:hAnsi="Book Antiqua" w:cs="Book Antiqua"/>
        </w:rPr>
      </w:pPr>
      <w:r w:rsidRPr="008C7924">
        <w:rPr>
          <w:rFonts w:ascii="Book Antiqua" w:eastAsia="Book Antiqua" w:hAnsi="Book Antiqua" w:cs="Book Antiqua"/>
          <w:noProof/>
          <w:lang w:eastAsia="fr-FR"/>
        </w:rPr>
        <w:drawing>
          <wp:inline distT="0" distB="0" distL="0" distR="0" wp14:anchorId="169EE7C4" wp14:editId="692E17AD">
            <wp:extent cx="4572000" cy="2210463"/>
            <wp:effectExtent l="0" t="0" r="0" b="0"/>
            <wp:docPr id="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9FD95F" w14:textId="77777777" w:rsidR="00E7041A" w:rsidRDefault="00E7041A" w:rsidP="00E7041A">
      <w:pPr>
        <w:rPr>
          <w:rFonts w:ascii="Book Antiqua" w:eastAsia="Book Antiqua" w:hAnsi="Book Antiqua" w:cs="Book Antiqua"/>
        </w:rPr>
      </w:pPr>
    </w:p>
    <w:p w14:paraId="7862FB28" w14:textId="77777777" w:rsidR="00E7041A" w:rsidRDefault="00E7041A" w:rsidP="00E7041A">
      <w:pPr>
        <w:spacing w:line="259" w:lineRule="auto"/>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14:paraId="084A323C" w14:textId="77777777" w:rsidR="00E7041A" w:rsidRDefault="00E7041A" w:rsidP="00E7041A">
      <w:pPr>
        <w:rPr>
          <w:rFonts w:ascii="Book Antiqua" w:eastAsia="Book Antiqua" w:hAnsi="Book Antiqua" w:cs="Book Antiqua"/>
          <w:b/>
          <w:color w:val="0070C0"/>
          <w:sz w:val="20"/>
          <w:szCs w:val="20"/>
          <w:vertAlign w:val="superscript"/>
        </w:rPr>
      </w:pPr>
      <w:r>
        <w:rPr>
          <w:rFonts w:ascii="Book Antiqua" w:eastAsia="Book Antiqua" w:hAnsi="Book Antiqua" w:cs="Book Antiqua"/>
          <w:b/>
          <w:color w:val="0070C0"/>
          <w:sz w:val="20"/>
          <w:szCs w:val="20"/>
        </w:rPr>
        <w:lastRenderedPageBreak/>
        <w:t xml:space="preserve">Tableau 1 : Indicateurs trimestriels d'activité, d’emploi et de chômage par milieu de résidence </w:t>
      </w:r>
      <w:r>
        <w:rPr>
          <w:rFonts w:ascii="Book Antiqua" w:eastAsia="Book Antiqua" w:hAnsi="Book Antiqua" w:cs="Book Antiqua"/>
          <w:b/>
          <w:color w:val="0070C0"/>
          <w:sz w:val="20"/>
          <w:szCs w:val="20"/>
          <w:vertAlign w:val="superscript"/>
        </w:rPr>
        <w:t>(1)</w:t>
      </w:r>
    </w:p>
    <w:tbl>
      <w:tblPr>
        <w:tblW w:w="9376" w:type="dxa"/>
        <w:tblInd w:w="57" w:type="dxa"/>
        <w:tblCellMar>
          <w:left w:w="70" w:type="dxa"/>
          <w:right w:w="70" w:type="dxa"/>
        </w:tblCellMar>
        <w:tblLook w:val="04A0" w:firstRow="1" w:lastRow="0" w:firstColumn="1" w:lastColumn="0" w:noHBand="0" w:noVBand="1"/>
      </w:tblPr>
      <w:tblGrid>
        <w:gridCol w:w="3856"/>
        <w:gridCol w:w="920"/>
        <w:gridCol w:w="920"/>
        <w:gridCol w:w="920"/>
        <w:gridCol w:w="920"/>
        <w:gridCol w:w="920"/>
        <w:gridCol w:w="920"/>
      </w:tblGrid>
      <w:tr w:rsidR="00E7041A" w:rsidRPr="00D03466" w14:paraId="03C91387" w14:textId="77777777" w:rsidTr="00714569">
        <w:trPr>
          <w:trHeight w:val="300"/>
        </w:trPr>
        <w:tc>
          <w:tcPr>
            <w:tcW w:w="385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175CF49" w14:textId="77777777" w:rsidR="00E7041A" w:rsidRPr="00D03466" w:rsidRDefault="00E7041A" w:rsidP="00714569">
            <w:pPr>
              <w:bidi/>
              <w:spacing w:after="0" w:line="240" w:lineRule="auto"/>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tl/>
              </w:rPr>
              <w:t> </w:t>
            </w:r>
          </w:p>
        </w:tc>
        <w:tc>
          <w:tcPr>
            <w:tcW w:w="2760" w:type="dxa"/>
            <w:gridSpan w:val="3"/>
            <w:tcBorders>
              <w:top w:val="single" w:sz="4" w:space="0" w:color="auto"/>
              <w:left w:val="nil"/>
              <w:bottom w:val="single" w:sz="4" w:space="0" w:color="auto"/>
              <w:right w:val="single" w:sz="4" w:space="0" w:color="auto"/>
            </w:tcBorders>
            <w:shd w:val="clear" w:color="auto" w:fill="auto"/>
            <w:noWrap/>
            <w:hideMark/>
          </w:tcPr>
          <w:p w14:paraId="3F9DF2CB" w14:textId="3FA5A54A" w:rsidR="00E7041A" w:rsidRPr="00D03466" w:rsidRDefault="009402A2" w:rsidP="00714569">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Troisième trimestre de </w:t>
            </w:r>
            <w:r w:rsidR="00E7041A" w:rsidRPr="00D03466">
              <w:rPr>
                <w:rFonts w:ascii="Times New Roman" w:eastAsia="Times New Roman" w:hAnsi="Times New Roman" w:cs="Times New Roman"/>
                <w:b/>
                <w:bCs/>
                <w:color w:val="000000"/>
                <w:sz w:val="16"/>
                <w:szCs w:val="16"/>
              </w:rPr>
              <w:t>2020</w:t>
            </w:r>
          </w:p>
        </w:tc>
        <w:tc>
          <w:tcPr>
            <w:tcW w:w="2760" w:type="dxa"/>
            <w:gridSpan w:val="3"/>
            <w:tcBorders>
              <w:top w:val="single" w:sz="4" w:space="0" w:color="auto"/>
              <w:left w:val="nil"/>
              <w:bottom w:val="single" w:sz="4" w:space="0" w:color="auto"/>
              <w:right w:val="single" w:sz="4" w:space="0" w:color="auto"/>
            </w:tcBorders>
            <w:shd w:val="clear" w:color="auto" w:fill="auto"/>
            <w:noWrap/>
            <w:hideMark/>
          </w:tcPr>
          <w:p w14:paraId="29783655" w14:textId="2C0BA502" w:rsidR="00E7041A" w:rsidRPr="00D03466" w:rsidRDefault="009402A2" w:rsidP="00714569">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Troisième trimestre de </w:t>
            </w:r>
            <w:r w:rsidRPr="00D03466">
              <w:rPr>
                <w:rFonts w:ascii="Times New Roman" w:eastAsia="Times New Roman" w:hAnsi="Times New Roman" w:cs="Times New Roman"/>
                <w:b/>
                <w:bCs/>
                <w:color w:val="000000"/>
                <w:sz w:val="16"/>
                <w:szCs w:val="16"/>
              </w:rPr>
              <w:t>202</w:t>
            </w:r>
            <w:r>
              <w:rPr>
                <w:rFonts w:ascii="Times New Roman" w:eastAsia="Times New Roman" w:hAnsi="Times New Roman" w:cs="Times New Roman"/>
                <w:b/>
                <w:bCs/>
                <w:color w:val="000000"/>
                <w:sz w:val="16"/>
                <w:szCs w:val="16"/>
              </w:rPr>
              <w:t>1</w:t>
            </w:r>
          </w:p>
        </w:tc>
      </w:tr>
      <w:tr w:rsidR="00E7041A" w:rsidRPr="00D03466" w14:paraId="1133AB5B" w14:textId="77777777" w:rsidTr="00714569">
        <w:trPr>
          <w:trHeight w:val="300"/>
        </w:trPr>
        <w:tc>
          <w:tcPr>
            <w:tcW w:w="3856" w:type="dxa"/>
            <w:vMerge/>
            <w:tcBorders>
              <w:top w:val="single" w:sz="4" w:space="0" w:color="auto"/>
              <w:left w:val="single" w:sz="4" w:space="0" w:color="auto"/>
              <w:bottom w:val="single" w:sz="4" w:space="0" w:color="auto"/>
              <w:right w:val="single" w:sz="4" w:space="0" w:color="auto"/>
            </w:tcBorders>
            <w:vAlign w:val="center"/>
            <w:hideMark/>
          </w:tcPr>
          <w:p w14:paraId="53FEE1CE" w14:textId="77777777" w:rsidR="00E7041A" w:rsidRPr="00D03466" w:rsidRDefault="00E7041A" w:rsidP="00714569">
            <w:pPr>
              <w:spacing w:after="0" w:line="240" w:lineRule="auto"/>
              <w:rPr>
                <w:rFonts w:ascii="Times New Roman" w:eastAsia="Times New Roman" w:hAnsi="Times New Roman" w:cs="Times New Roman"/>
                <w:b/>
                <w:bCs/>
                <w:color w:val="000000"/>
                <w:sz w:val="16"/>
                <w:szCs w:val="16"/>
              </w:rPr>
            </w:pPr>
          </w:p>
        </w:tc>
        <w:tc>
          <w:tcPr>
            <w:tcW w:w="920" w:type="dxa"/>
            <w:tcBorders>
              <w:top w:val="nil"/>
              <w:left w:val="nil"/>
              <w:bottom w:val="single" w:sz="4" w:space="0" w:color="auto"/>
              <w:right w:val="single" w:sz="4" w:space="0" w:color="auto"/>
            </w:tcBorders>
            <w:shd w:val="clear" w:color="auto" w:fill="auto"/>
            <w:hideMark/>
          </w:tcPr>
          <w:p w14:paraId="74298BC7"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Urbain</w:t>
            </w:r>
          </w:p>
        </w:tc>
        <w:tc>
          <w:tcPr>
            <w:tcW w:w="920" w:type="dxa"/>
            <w:tcBorders>
              <w:top w:val="nil"/>
              <w:left w:val="nil"/>
              <w:bottom w:val="single" w:sz="4" w:space="0" w:color="auto"/>
              <w:right w:val="single" w:sz="4" w:space="0" w:color="auto"/>
            </w:tcBorders>
            <w:shd w:val="clear" w:color="auto" w:fill="auto"/>
            <w:hideMark/>
          </w:tcPr>
          <w:p w14:paraId="78E4395D"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Rural</w:t>
            </w:r>
          </w:p>
        </w:tc>
        <w:tc>
          <w:tcPr>
            <w:tcW w:w="920" w:type="dxa"/>
            <w:tcBorders>
              <w:top w:val="nil"/>
              <w:left w:val="nil"/>
              <w:bottom w:val="single" w:sz="4" w:space="0" w:color="auto"/>
              <w:right w:val="single" w:sz="4" w:space="0" w:color="auto"/>
            </w:tcBorders>
            <w:shd w:val="clear" w:color="auto" w:fill="auto"/>
            <w:hideMark/>
          </w:tcPr>
          <w:p w14:paraId="6679B086"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Ensemble</w:t>
            </w:r>
          </w:p>
        </w:tc>
        <w:tc>
          <w:tcPr>
            <w:tcW w:w="920" w:type="dxa"/>
            <w:tcBorders>
              <w:top w:val="nil"/>
              <w:left w:val="nil"/>
              <w:bottom w:val="single" w:sz="4" w:space="0" w:color="auto"/>
              <w:right w:val="single" w:sz="4" w:space="0" w:color="auto"/>
            </w:tcBorders>
            <w:shd w:val="clear" w:color="auto" w:fill="auto"/>
            <w:hideMark/>
          </w:tcPr>
          <w:p w14:paraId="6575FBBD"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Urbain</w:t>
            </w:r>
          </w:p>
        </w:tc>
        <w:tc>
          <w:tcPr>
            <w:tcW w:w="920" w:type="dxa"/>
            <w:tcBorders>
              <w:top w:val="nil"/>
              <w:left w:val="nil"/>
              <w:bottom w:val="single" w:sz="4" w:space="0" w:color="auto"/>
              <w:right w:val="single" w:sz="4" w:space="0" w:color="auto"/>
            </w:tcBorders>
            <w:shd w:val="clear" w:color="auto" w:fill="auto"/>
            <w:hideMark/>
          </w:tcPr>
          <w:p w14:paraId="7A47738C"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Rural</w:t>
            </w:r>
          </w:p>
        </w:tc>
        <w:tc>
          <w:tcPr>
            <w:tcW w:w="920" w:type="dxa"/>
            <w:tcBorders>
              <w:top w:val="nil"/>
              <w:left w:val="nil"/>
              <w:bottom w:val="single" w:sz="4" w:space="0" w:color="auto"/>
              <w:right w:val="single" w:sz="4" w:space="0" w:color="auto"/>
            </w:tcBorders>
            <w:shd w:val="clear" w:color="auto" w:fill="auto"/>
            <w:hideMark/>
          </w:tcPr>
          <w:p w14:paraId="2228C5A9"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Ensemble</w:t>
            </w:r>
          </w:p>
        </w:tc>
      </w:tr>
      <w:tr w:rsidR="00E7041A" w:rsidRPr="00D03466" w14:paraId="185AF98A" w14:textId="77777777" w:rsidTr="00714569">
        <w:trPr>
          <w:trHeight w:val="300"/>
        </w:trPr>
        <w:tc>
          <w:tcPr>
            <w:tcW w:w="9376"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06417610" w14:textId="77777777" w:rsidR="00E7041A" w:rsidRPr="00D03466" w:rsidRDefault="00E7041A" w:rsidP="00714569">
            <w:pPr>
              <w:spacing w:after="0" w:line="240" w:lineRule="auto"/>
              <w:rPr>
                <w:rFonts w:ascii="Times New Roman" w:eastAsia="Times New Roman" w:hAnsi="Times New Roman" w:cs="Times New Roman"/>
                <w:b/>
                <w:bCs/>
                <w:sz w:val="16"/>
                <w:szCs w:val="16"/>
              </w:rPr>
            </w:pPr>
            <w:r w:rsidRPr="00D03466">
              <w:rPr>
                <w:rFonts w:ascii="Times New Roman" w:eastAsia="Times New Roman" w:hAnsi="Times New Roman" w:cs="Times New Roman"/>
                <w:b/>
                <w:bCs/>
                <w:sz w:val="16"/>
                <w:szCs w:val="16"/>
              </w:rPr>
              <w:t>Activité (des 15 ans et plus)</w:t>
            </w:r>
          </w:p>
        </w:tc>
      </w:tr>
      <w:tr w:rsidR="00E7041A" w:rsidRPr="00D03466" w14:paraId="188DA20C"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7523DFAC" w14:textId="49BDE908" w:rsidR="00E7041A" w:rsidRPr="00D03466" w:rsidRDefault="00E7041A" w:rsidP="00714569">
            <w:pPr>
              <w:spacing w:after="0" w:line="240" w:lineRule="auto"/>
              <w:ind w:firstLineChars="100" w:firstLine="161"/>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Population active</w:t>
            </w:r>
            <w:r w:rsidR="003671E9">
              <w:rPr>
                <w:rFonts w:ascii="Times New Roman" w:eastAsia="Times New Roman" w:hAnsi="Times New Roman" w:cs="Times New Roman"/>
                <w:b/>
                <w:bCs/>
                <w:color w:val="000000"/>
                <w:sz w:val="16"/>
                <w:szCs w:val="16"/>
              </w:rPr>
              <w:t xml:space="preserve"> (en milliers)</w:t>
            </w:r>
          </w:p>
        </w:tc>
        <w:tc>
          <w:tcPr>
            <w:tcW w:w="920" w:type="dxa"/>
            <w:tcBorders>
              <w:top w:val="nil"/>
              <w:left w:val="nil"/>
              <w:bottom w:val="single" w:sz="4" w:space="0" w:color="auto"/>
              <w:right w:val="single" w:sz="4" w:space="0" w:color="auto"/>
            </w:tcBorders>
            <w:shd w:val="clear" w:color="auto" w:fill="auto"/>
            <w:noWrap/>
            <w:hideMark/>
          </w:tcPr>
          <w:p w14:paraId="7C48C0B1"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7 154</w:t>
            </w:r>
          </w:p>
        </w:tc>
        <w:tc>
          <w:tcPr>
            <w:tcW w:w="920" w:type="dxa"/>
            <w:tcBorders>
              <w:top w:val="nil"/>
              <w:left w:val="nil"/>
              <w:bottom w:val="single" w:sz="4" w:space="0" w:color="auto"/>
              <w:right w:val="single" w:sz="4" w:space="0" w:color="auto"/>
            </w:tcBorders>
            <w:shd w:val="clear" w:color="auto" w:fill="auto"/>
            <w:noWrap/>
            <w:hideMark/>
          </w:tcPr>
          <w:p w14:paraId="0E154635"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4 494</w:t>
            </w:r>
          </w:p>
        </w:tc>
        <w:tc>
          <w:tcPr>
            <w:tcW w:w="920" w:type="dxa"/>
            <w:tcBorders>
              <w:top w:val="nil"/>
              <w:left w:val="nil"/>
              <w:bottom w:val="single" w:sz="4" w:space="0" w:color="auto"/>
              <w:right w:val="single" w:sz="4" w:space="0" w:color="auto"/>
            </w:tcBorders>
            <w:shd w:val="clear" w:color="auto" w:fill="auto"/>
            <w:noWrap/>
            <w:hideMark/>
          </w:tcPr>
          <w:p w14:paraId="61331520"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11 648</w:t>
            </w:r>
          </w:p>
        </w:tc>
        <w:tc>
          <w:tcPr>
            <w:tcW w:w="920" w:type="dxa"/>
            <w:tcBorders>
              <w:top w:val="nil"/>
              <w:left w:val="nil"/>
              <w:bottom w:val="single" w:sz="4" w:space="0" w:color="auto"/>
              <w:right w:val="single" w:sz="4" w:space="0" w:color="auto"/>
            </w:tcBorders>
            <w:shd w:val="clear" w:color="auto" w:fill="auto"/>
            <w:noWrap/>
            <w:hideMark/>
          </w:tcPr>
          <w:p w14:paraId="7FBE5D77"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7 546</w:t>
            </w:r>
          </w:p>
        </w:tc>
        <w:tc>
          <w:tcPr>
            <w:tcW w:w="920" w:type="dxa"/>
            <w:tcBorders>
              <w:top w:val="nil"/>
              <w:left w:val="nil"/>
              <w:bottom w:val="single" w:sz="4" w:space="0" w:color="auto"/>
              <w:right w:val="single" w:sz="4" w:space="0" w:color="auto"/>
            </w:tcBorders>
            <w:shd w:val="clear" w:color="auto" w:fill="auto"/>
            <w:noWrap/>
            <w:hideMark/>
          </w:tcPr>
          <w:p w14:paraId="45148D33"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4 708</w:t>
            </w:r>
          </w:p>
        </w:tc>
        <w:tc>
          <w:tcPr>
            <w:tcW w:w="920" w:type="dxa"/>
            <w:tcBorders>
              <w:top w:val="nil"/>
              <w:left w:val="nil"/>
              <w:bottom w:val="single" w:sz="4" w:space="0" w:color="auto"/>
              <w:right w:val="single" w:sz="4" w:space="0" w:color="auto"/>
            </w:tcBorders>
            <w:shd w:val="clear" w:color="auto" w:fill="auto"/>
            <w:noWrap/>
            <w:hideMark/>
          </w:tcPr>
          <w:p w14:paraId="4079B7D1"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12 255</w:t>
            </w:r>
          </w:p>
        </w:tc>
      </w:tr>
      <w:tr w:rsidR="00E7041A" w:rsidRPr="00D03466" w14:paraId="1B23382C"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0C8E6707" w14:textId="114DC3F7" w:rsidR="00E7041A" w:rsidRPr="00D03466"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Taux de féminisation de la population active</w:t>
            </w:r>
            <w:r w:rsidR="003671E9">
              <w:rPr>
                <w:rFonts w:ascii="Times New Roman" w:eastAsia="Times New Roman" w:hAnsi="Times New Roman" w:cs="Times New Roman"/>
                <w:color w:val="000000"/>
                <w:sz w:val="16"/>
                <w:szCs w:val="16"/>
              </w:rPr>
              <w:t xml:space="preserve"> (%)</w:t>
            </w:r>
          </w:p>
        </w:tc>
        <w:tc>
          <w:tcPr>
            <w:tcW w:w="920" w:type="dxa"/>
            <w:tcBorders>
              <w:top w:val="nil"/>
              <w:left w:val="nil"/>
              <w:bottom w:val="single" w:sz="4" w:space="0" w:color="auto"/>
              <w:right w:val="single" w:sz="4" w:space="0" w:color="auto"/>
            </w:tcBorders>
            <w:shd w:val="clear" w:color="auto" w:fill="auto"/>
            <w:noWrap/>
            <w:hideMark/>
          </w:tcPr>
          <w:p w14:paraId="4E1321A7"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20,5</w:t>
            </w:r>
          </w:p>
        </w:tc>
        <w:tc>
          <w:tcPr>
            <w:tcW w:w="920" w:type="dxa"/>
            <w:tcBorders>
              <w:top w:val="nil"/>
              <w:left w:val="nil"/>
              <w:bottom w:val="single" w:sz="4" w:space="0" w:color="auto"/>
              <w:right w:val="single" w:sz="4" w:space="0" w:color="auto"/>
            </w:tcBorders>
            <w:shd w:val="clear" w:color="auto" w:fill="auto"/>
            <w:noWrap/>
            <w:hideMark/>
          </w:tcPr>
          <w:p w14:paraId="4EFEE0A7"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21,4</w:t>
            </w:r>
          </w:p>
        </w:tc>
        <w:tc>
          <w:tcPr>
            <w:tcW w:w="920" w:type="dxa"/>
            <w:tcBorders>
              <w:top w:val="nil"/>
              <w:left w:val="nil"/>
              <w:bottom w:val="single" w:sz="4" w:space="0" w:color="auto"/>
              <w:right w:val="single" w:sz="4" w:space="0" w:color="auto"/>
            </w:tcBorders>
            <w:shd w:val="clear" w:color="auto" w:fill="auto"/>
            <w:noWrap/>
            <w:hideMark/>
          </w:tcPr>
          <w:p w14:paraId="22FD507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20,8</w:t>
            </w:r>
          </w:p>
        </w:tc>
        <w:tc>
          <w:tcPr>
            <w:tcW w:w="920" w:type="dxa"/>
            <w:tcBorders>
              <w:top w:val="nil"/>
              <w:left w:val="nil"/>
              <w:bottom w:val="single" w:sz="4" w:space="0" w:color="auto"/>
              <w:right w:val="single" w:sz="4" w:space="0" w:color="auto"/>
            </w:tcBorders>
            <w:shd w:val="clear" w:color="auto" w:fill="auto"/>
            <w:noWrap/>
            <w:hideMark/>
          </w:tcPr>
          <w:p w14:paraId="6B04D15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22,6</w:t>
            </w:r>
          </w:p>
        </w:tc>
        <w:tc>
          <w:tcPr>
            <w:tcW w:w="920" w:type="dxa"/>
            <w:tcBorders>
              <w:top w:val="nil"/>
              <w:left w:val="nil"/>
              <w:bottom w:val="single" w:sz="4" w:space="0" w:color="auto"/>
              <w:right w:val="single" w:sz="4" w:space="0" w:color="auto"/>
            </w:tcBorders>
            <w:shd w:val="clear" w:color="auto" w:fill="auto"/>
            <w:noWrap/>
            <w:hideMark/>
          </w:tcPr>
          <w:p w14:paraId="32E047A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23,9</w:t>
            </w:r>
          </w:p>
        </w:tc>
        <w:tc>
          <w:tcPr>
            <w:tcW w:w="920" w:type="dxa"/>
            <w:tcBorders>
              <w:top w:val="nil"/>
              <w:left w:val="nil"/>
              <w:bottom w:val="single" w:sz="4" w:space="0" w:color="auto"/>
              <w:right w:val="single" w:sz="4" w:space="0" w:color="auto"/>
            </w:tcBorders>
            <w:shd w:val="clear" w:color="auto" w:fill="auto"/>
            <w:noWrap/>
            <w:hideMark/>
          </w:tcPr>
          <w:p w14:paraId="6129C97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23,1</w:t>
            </w:r>
          </w:p>
        </w:tc>
      </w:tr>
      <w:tr w:rsidR="00E7041A" w:rsidRPr="00D03466" w14:paraId="5D6A61B8"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312EA436" w14:textId="59F87F3E" w:rsidR="00E7041A" w:rsidRPr="00D03466"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Taux d'activité</w:t>
            </w:r>
            <w:r w:rsidR="003671E9">
              <w:rPr>
                <w:rFonts w:ascii="Times New Roman" w:eastAsia="Times New Roman" w:hAnsi="Times New Roman" w:cs="Times New Roman"/>
                <w:color w:val="000000"/>
                <w:sz w:val="16"/>
                <w:szCs w:val="16"/>
              </w:rPr>
              <w:t xml:space="preserve"> (%)</w:t>
            </w:r>
          </w:p>
        </w:tc>
        <w:tc>
          <w:tcPr>
            <w:tcW w:w="920" w:type="dxa"/>
            <w:tcBorders>
              <w:top w:val="nil"/>
              <w:left w:val="nil"/>
              <w:bottom w:val="single" w:sz="4" w:space="0" w:color="auto"/>
              <w:right w:val="single" w:sz="4" w:space="0" w:color="auto"/>
            </w:tcBorders>
            <w:shd w:val="clear" w:color="auto" w:fill="auto"/>
            <w:noWrap/>
            <w:hideMark/>
          </w:tcPr>
          <w:p w14:paraId="655E763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41,0</w:t>
            </w:r>
          </w:p>
        </w:tc>
        <w:tc>
          <w:tcPr>
            <w:tcW w:w="920" w:type="dxa"/>
            <w:tcBorders>
              <w:top w:val="nil"/>
              <w:left w:val="nil"/>
              <w:bottom w:val="single" w:sz="4" w:space="0" w:color="auto"/>
              <w:right w:val="single" w:sz="4" w:space="0" w:color="auto"/>
            </w:tcBorders>
            <w:shd w:val="clear" w:color="auto" w:fill="auto"/>
            <w:noWrap/>
            <w:hideMark/>
          </w:tcPr>
          <w:p w14:paraId="73EB256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48,0</w:t>
            </w:r>
          </w:p>
        </w:tc>
        <w:tc>
          <w:tcPr>
            <w:tcW w:w="920" w:type="dxa"/>
            <w:tcBorders>
              <w:top w:val="nil"/>
              <w:left w:val="nil"/>
              <w:bottom w:val="single" w:sz="4" w:space="0" w:color="auto"/>
              <w:right w:val="single" w:sz="4" w:space="0" w:color="auto"/>
            </w:tcBorders>
            <w:shd w:val="clear" w:color="auto" w:fill="auto"/>
            <w:noWrap/>
            <w:hideMark/>
          </w:tcPr>
          <w:p w14:paraId="1F07BEE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43,5</w:t>
            </w:r>
          </w:p>
        </w:tc>
        <w:tc>
          <w:tcPr>
            <w:tcW w:w="920" w:type="dxa"/>
            <w:tcBorders>
              <w:top w:val="nil"/>
              <w:left w:val="nil"/>
              <w:bottom w:val="single" w:sz="4" w:space="0" w:color="auto"/>
              <w:right w:val="single" w:sz="4" w:space="0" w:color="auto"/>
            </w:tcBorders>
            <w:shd w:val="clear" w:color="auto" w:fill="auto"/>
            <w:noWrap/>
            <w:hideMark/>
          </w:tcPr>
          <w:p w14:paraId="0734A5E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42,4</w:t>
            </w:r>
          </w:p>
        </w:tc>
        <w:tc>
          <w:tcPr>
            <w:tcW w:w="920" w:type="dxa"/>
            <w:tcBorders>
              <w:top w:val="nil"/>
              <w:left w:val="nil"/>
              <w:bottom w:val="single" w:sz="4" w:space="0" w:color="auto"/>
              <w:right w:val="single" w:sz="4" w:space="0" w:color="auto"/>
            </w:tcBorders>
            <w:shd w:val="clear" w:color="auto" w:fill="auto"/>
            <w:noWrap/>
            <w:hideMark/>
          </w:tcPr>
          <w:p w14:paraId="09CC4E0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50,3</w:t>
            </w:r>
          </w:p>
        </w:tc>
        <w:tc>
          <w:tcPr>
            <w:tcW w:w="920" w:type="dxa"/>
            <w:tcBorders>
              <w:top w:val="nil"/>
              <w:left w:val="nil"/>
              <w:bottom w:val="single" w:sz="4" w:space="0" w:color="auto"/>
              <w:right w:val="single" w:sz="4" w:space="0" w:color="auto"/>
            </w:tcBorders>
            <w:shd w:val="clear" w:color="auto" w:fill="auto"/>
            <w:noWrap/>
            <w:hideMark/>
          </w:tcPr>
          <w:p w14:paraId="7DDB3417"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45,1</w:t>
            </w:r>
          </w:p>
        </w:tc>
      </w:tr>
      <w:tr w:rsidR="00E7041A" w:rsidRPr="00D03466" w14:paraId="3EE6B7DC" w14:textId="77777777" w:rsidTr="00714569">
        <w:trPr>
          <w:trHeight w:val="300"/>
        </w:trPr>
        <w:tc>
          <w:tcPr>
            <w:tcW w:w="93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533CA5A" w14:textId="77777777" w:rsidR="00E7041A" w:rsidRPr="00D03466" w:rsidRDefault="00E7041A" w:rsidP="00714569">
            <w:pPr>
              <w:spacing w:after="0" w:line="240" w:lineRule="auto"/>
              <w:ind w:firstLineChars="200" w:firstLine="320"/>
              <w:rPr>
                <w:rFonts w:ascii="Times New Roman" w:eastAsia="Times New Roman" w:hAnsi="Times New Roman" w:cs="Times New Roman"/>
                <w:i/>
                <w:iCs/>
                <w:color w:val="000000"/>
                <w:sz w:val="16"/>
                <w:szCs w:val="16"/>
              </w:rPr>
            </w:pPr>
            <w:r w:rsidRPr="00D03466">
              <w:rPr>
                <w:rFonts w:ascii="Times New Roman" w:eastAsia="Times New Roman" w:hAnsi="Times New Roman" w:cs="Times New Roman"/>
                <w:i/>
                <w:iCs/>
                <w:color w:val="000000"/>
                <w:sz w:val="16"/>
                <w:szCs w:val="16"/>
              </w:rPr>
              <w:t>• Selon le sexe</w:t>
            </w:r>
          </w:p>
        </w:tc>
      </w:tr>
      <w:tr w:rsidR="00E7041A" w:rsidRPr="00D03466" w14:paraId="0C35567B"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3428529B"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Hommes</w:t>
            </w:r>
          </w:p>
        </w:tc>
        <w:tc>
          <w:tcPr>
            <w:tcW w:w="920" w:type="dxa"/>
            <w:tcBorders>
              <w:top w:val="nil"/>
              <w:left w:val="nil"/>
              <w:bottom w:val="single" w:sz="4" w:space="0" w:color="auto"/>
              <w:right w:val="single" w:sz="4" w:space="0" w:color="auto"/>
            </w:tcBorders>
            <w:shd w:val="clear" w:color="auto" w:fill="auto"/>
            <w:noWrap/>
            <w:hideMark/>
          </w:tcPr>
          <w:p w14:paraId="09F5DC6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67,2</w:t>
            </w:r>
          </w:p>
        </w:tc>
        <w:tc>
          <w:tcPr>
            <w:tcW w:w="920" w:type="dxa"/>
            <w:tcBorders>
              <w:top w:val="nil"/>
              <w:left w:val="nil"/>
              <w:bottom w:val="single" w:sz="4" w:space="0" w:color="auto"/>
              <w:right w:val="single" w:sz="4" w:space="0" w:color="auto"/>
            </w:tcBorders>
            <w:shd w:val="clear" w:color="auto" w:fill="auto"/>
            <w:noWrap/>
            <w:hideMark/>
          </w:tcPr>
          <w:p w14:paraId="38160C7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74,8</w:t>
            </w:r>
          </w:p>
        </w:tc>
        <w:tc>
          <w:tcPr>
            <w:tcW w:w="920" w:type="dxa"/>
            <w:tcBorders>
              <w:top w:val="nil"/>
              <w:left w:val="nil"/>
              <w:bottom w:val="single" w:sz="4" w:space="0" w:color="auto"/>
              <w:right w:val="single" w:sz="4" w:space="0" w:color="auto"/>
            </w:tcBorders>
            <w:shd w:val="clear" w:color="auto" w:fill="auto"/>
            <w:noWrap/>
            <w:hideMark/>
          </w:tcPr>
          <w:p w14:paraId="40E8833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69,9</w:t>
            </w:r>
          </w:p>
        </w:tc>
        <w:tc>
          <w:tcPr>
            <w:tcW w:w="920" w:type="dxa"/>
            <w:tcBorders>
              <w:top w:val="nil"/>
              <w:left w:val="nil"/>
              <w:bottom w:val="single" w:sz="4" w:space="0" w:color="auto"/>
              <w:right w:val="single" w:sz="4" w:space="0" w:color="auto"/>
            </w:tcBorders>
            <w:shd w:val="clear" w:color="auto" w:fill="auto"/>
            <w:noWrap/>
            <w:hideMark/>
          </w:tcPr>
          <w:p w14:paraId="32FF0DA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67,7</w:t>
            </w:r>
          </w:p>
        </w:tc>
        <w:tc>
          <w:tcPr>
            <w:tcW w:w="920" w:type="dxa"/>
            <w:tcBorders>
              <w:top w:val="nil"/>
              <w:left w:val="nil"/>
              <w:bottom w:val="single" w:sz="4" w:space="0" w:color="auto"/>
              <w:right w:val="single" w:sz="4" w:space="0" w:color="auto"/>
            </w:tcBorders>
            <w:shd w:val="clear" w:color="auto" w:fill="auto"/>
            <w:noWrap/>
            <w:hideMark/>
          </w:tcPr>
          <w:p w14:paraId="7DBC9C3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75,5</w:t>
            </w:r>
          </w:p>
        </w:tc>
        <w:tc>
          <w:tcPr>
            <w:tcW w:w="920" w:type="dxa"/>
            <w:tcBorders>
              <w:top w:val="nil"/>
              <w:left w:val="nil"/>
              <w:bottom w:val="single" w:sz="4" w:space="0" w:color="auto"/>
              <w:right w:val="single" w:sz="4" w:space="0" w:color="auto"/>
            </w:tcBorders>
            <w:shd w:val="clear" w:color="auto" w:fill="auto"/>
            <w:noWrap/>
            <w:hideMark/>
          </w:tcPr>
          <w:p w14:paraId="47C2835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70,5</w:t>
            </w:r>
          </w:p>
        </w:tc>
      </w:tr>
      <w:tr w:rsidR="00E7041A" w:rsidRPr="00D03466" w14:paraId="34D65A12"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75437729"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Femmes</w:t>
            </w:r>
          </w:p>
        </w:tc>
        <w:tc>
          <w:tcPr>
            <w:tcW w:w="920" w:type="dxa"/>
            <w:tcBorders>
              <w:top w:val="nil"/>
              <w:left w:val="nil"/>
              <w:bottom w:val="single" w:sz="4" w:space="0" w:color="auto"/>
              <w:right w:val="single" w:sz="4" w:space="0" w:color="auto"/>
            </w:tcBorders>
            <w:shd w:val="clear" w:color="auto" w:fill="auto"/>
            <w:noWrap/>
            <w:hideMark/>
          </w:tcPr>
          <w:p w14:paraId="383F4ED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16,3</w:t>
            </w:r>
          </w:p>
        </w:tc>
        <w:tc>
          <w:tcPr>
            <w:tcW w:w="920" w:type="dxa"/>
            <w:tcBorders>
              <w:top w:val="nil"/>
              <w:left w:val="nil"/>
              <w:bottom w:val="single" w:sz="4" w:space="0" w:color="auto"/>
              <w:right w:val="single" w:sz="4" w:space="0" w:color="auto"/>
            </w:tcBorders>
            <w:shd w:val="clear" w:color="auto" w:fill="auto"/>
            <w:noWrap/>
            <w:hideMark/>
          </w:tcPr>
          <w:p w14:paraId="6FC14E9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20,7</w:t>
            </w:r>
          </w:p>
        </w:tc>
        <w:tc>
          <w:tcPr>
            <w:tcW w:w="920" w:type="dxa"/>
            <w:tcBorders>
              <w:top w:val="nil"/>
              <w:left w:val="nil"/>
              <w:bottom w:val="single" w:sz="4" w:space="0" w:color="auto"/>
              <w:right w:val="single" w:sz="4" w:space="0" w:color="auto"/>
            </w:tcBorders>
            <w:shd w:val="clear" w:color="auto" w:fill="auto"/>
            <w:noWrap/>
            <w:hideMark/>
          </w:tcPr>
          <w:p w14:paraId="65F03285"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17,8</w:t>
            </w:r>
          </w:p>
        </w:tc>
        <w:tc>
          <w:tcPr>
            <w:tcW w:w="920" w:type="dxa"/>
            <w:tcBorders>
              <w:top w:val="nil"/>
              <w:left w:val="nil"/>
              <w:bottom w:val="single" w:sz="4" w:space="0" w:color="auto"/>
              <w:right w:val="single" w:sz="4" w:space="0" w:color="auto"/>
            </w:tcBorders>
            <w:shd w:val="clear" w:color="auto" w:fill="auto"/>
            <w:noWrap/>
            <w:hideMark/>
          </w:tcPr>
          <w:p w14:paraId="4ACEFF5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18,6</w:t>
            </w:r>
          </w:p>
        </w:tc>
        <w:tc>
          <w:tcPr>
            <w:tcW w:w="920" w:type="dxa"/>
            <w:tcBorders>
              <w:top w:val="nil"/>
              <w:left w:val="nil"/>
              <w:bottom w:val="single" w:sz="4" w:space="0" w:color="auto"/>
              <w:right w:val="single" w:sz="4" w:space="0" w:color="auto"/>
            </w:tcBorders>
            <w:shd w:val="clear" w:color="auto" w:fill="auto"/>
            <w:noWrap/>
            <w:hideMark/>
          </w:tcPr>
          <w:p w14:paraId="0226A37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24,3</w:t>
            </w:r>
          </w:p>
        </w:tc>
        <w:tc>
          <w:tcPr>
            <w:tcW w:w="920" w:type="dxa"/>
            <w:tcBorders>
              <w:top w:val="nil"/>
              <w:left w:val="nil"/>
              <w:bottom w:val="single" w:sz="4" w:space="0" w:color="auto"/>
              <w:right w:val="single" w:sz="4" w:space="0" w:color="auto"/>
            </w:tcBorders>
            <w:shd w:val="clear" w:color="auto" w:fill="auto"/>
            <w:noWrap/>
            <w:hideMark/>
          </w:tcPr>
          <w:p w14:paraId="1F59030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20,5</w:t>
            </w:r>
          </w:p>
        </w:tc>
      </w:tr>
      <w:tr w:rsidR="00E7041A" w:rsidRPr="00D03466" w14:paraId="21B7FBDE" w14:textId="77777777" w:rsidTr="00714569">
        <w:trPr>
          <w:trHeight w:val="300"/>
        </w:trPr>
        <w:tc>
          <w:tcPr>
            <w:tcW w:w="9376"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1E4A414D" w14:textId="77777777" w:rsidR="00E7041A" w:rsidRPr="00D03466" w:rsidRDefault="00E7041A" w:rsidP="00714569">
            <w:pPr>
              <w:spacing w:after="0" w:line="240" w:lineRule="auto"/>
              <w:ind w:firstLineChars="200" w:firstLine="320"/>
              <w:rPr>
                <w:rFonts w:ascii="Times New Roman" w:eastAsia="Times New Roman" w:hAnsi="Times New Roman" w:cs="Times New Roman"/>
                <w:i/>
                <w:iCs/>
                <w:color w:val="000000"/>
                <w:sz w:val="16"/>
                <w:szCs w:val="16"/>
              </w:rPr>
            </w:pPr>
            <w:r w:rsidRPr="00D03466">
              <w:rPr>
                <w:rFonts w:ascii="Times New Roman" w:eastAsia="Times New Roman" w:hAnsi="Times New Roman" w:cs="Times New Roman"/>
                <w:i/>
                <w:iCs/>
                <w:color w:val="000000"/>
                <w:sz w:val="16"/>
                <w:szCs w:val="16"/>
              </w:rPr>
              <w:t>• Selon l'âge</w:t>
            </w:r>
          </w:p>
        </w:tc>
      </w:tr>
      <w:tr w:rsidR="00E7041A" w:rsidRPr="00D03466" w14:paraId="13CF8895"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2A4645C6"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15-24 ans</w:t>
            </w:r>
          </w:p>
        </w:tc>
        <w:tc>
          <w:tcPr>
            <w:tcW w:w="920" w:type="dxa"/>
            <w:tcBorders>
              <w:top w:val="nil"/>
              <w:left w:val="nil"/>
              <w:bottom w:val="single" w:sz="4" w:space="0" w:color="auto"/>
              <w:right w:val="single" w:sz="4" w:space="0" w:color="auto"/>
            </w:tcBorders>
            <w:shd w:val="clear" w:color="auto" w:fill="auto"/>
            <w:noWrap/>
            <w:hideMark/>
          </w:tcPr>
          <w:p w14:paraId="64EF7367"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19,3</w:t>
            </w:r>
          </w:p>
        </w:tc>
        <w:tc>
          <w:tcPr>
            <w:tcW w:w="920" w:type="dxa"/>
            <w:tcBorders>
              <w:top w:val="nil"/>
              <w:left w:val="nil"/>
              <w:bottom w:val="single" w:sz="4" w:space="0" w:color="auto"/>
              <w:right w:val="single" w:sz="4" w:space="0" w:color="auto"/>
            </w:tcBorders>
            <w:shd w:val="clear" w:color="auto" w:fill="auto"/>
            <w:noWrap/>
            <w:hideMark/>
          </w:tcPr>
          <w:p w14:paraId="512B124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26,7</w:t>
            </w:r>
          </w:p>
        </w:tc>
        <w:tc>
          <w:tcPr>
            <w:tcW w:w="920" w:type="dxa"/>
            <w:tcBorders>
              <w:top w:val="nil"/>
              <w:left w:val="nil"/>
              <w:bottom w:val="single" w:sz="4" w:space="0" w:color="auto"/>
              <w:right w:val="single" w:sz="4" w:space="0" w:color="auto"/>
            </w:tcBorders>
            <w:shd w:val="clear" w:color="auto" w:fill="auto"/>
            <w:noWrap/>
            <w:hideMark/>
          </w:tcPr>
          <w:p w14:paraId="7C692227"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22,3</w:t>
            </w:r>
          </w:p>
        </w:tc>
        <w:tc>
          <w:tcPr>
            <w:tcW w:w="920" w:type="dxa"/>
            <w:tcBorders>
              <w:top w:val="nil"/>
              <w:left w:val="nil"/>
              <w:bottom w:val="single" w:sz="4" w:space="0" w:color="auto"/>
              <w:right w:val="single" w:sz="4" w:space="0" w:color="auto"/>
            </w:tcBorders>
            <w:shd w:val="clear" w:color="auto" w:fill="auto"/>
            <w:noWrap/>
            <w:hideMark/>
          </w:tcPr>
          <w:p w14:paraId="685035B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21,1</w:t>
            </w:r>
          </w:p>
        </w:tc>
        <w:tc>
          <w:tcPr>
            <w:tcW w:w="920" w:type="dxa"/>
            <w:tcBorders>
              <w:top w:val="nil"/>
              <w:left w:val="nil"/>
              <w:bottom w:val="single" w:sz="4" w:space="0" w:color="auto"/>
              <w:right w:val="single" w:sz="4" w:space="0" w:color="auto"/>
            </w:tcBorders>
            <w:shd w:val="clear" w:color="auto" w:fill="auto"/>
            <w:noWrap/>
            <w:hideMark/>
          </w:tcPr>
          <w:p w14:paraId="682A925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29,0</w:t>
            </w:r>
          </w:p>
        </w:tc>
        <w:tc>
          <w:tcPr>
            <w:tcW w:w="920" w:type="dxa"/>
            <w:tcBorders>
              <w:top w:val="nil"/>
              <w:left w:val="nil"/>
              <w:bottom w:val="single" w:sz="4" w:space="0" w:color="auto"/>
              <w:right w:val="single" w:sz="4" w:space="0" w:color="auto"/>
            </w:tcBorders>
            <w:shd w:val="clear" w:color="auto" w:fill="auto"/>
            <w:noWrap/>
            <w:hideMark/>
          </w:tcPr>
          <w:p w14:paraId="443DD98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24,3</w:t>
            </w:r>
          </w:p>
        </w:tc>
      </w:tr>
      <w:tr w:rsidR="00E7041A" w:rsidRPr="00D03466" w14:paraId="36ACA33B"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1BB782DD"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25-34 ans</w:t>
            </w:r>
          </w:p>
        </w:tc>
        <w:tc>
          <w:tcPr>
            <w:tcW w:w="920" w:type="dxa"/>
            <w:tcBorders>
              <w:top w:val="nil"/>
              <w:left w:val="nil"/>
              <w:bottom w:val="single" w:sz="4" w:space="0" w:color="auto"/>
              <w:right w:val="single" w:sz="4" w:space="0" w:color="auto"/>
            </w:tcBorders>
            <w:shd w:val="clear" w:color="auto" w:fill="auto"/>
            <w:noWrap/>
            <w:hideMark/>
          </w:tcPr>
          <w:p w14:paraId="6A241DB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56,9</w:t>
            </w:r>
          </w:p>
        </w:tc>
        <w:tc>
          <w:tcPr>
            <w:tcW w:w="920" w:type="dxa"/>
            <w:tcBorders>
              <w:top w:val="nil"/>
              <w:left w:val="nil"/>
              <w:bottom w:val="single" w:sz="4" w:space="0" w:color="auto"/>
              <w:right w:val="single" w:sz="4" w:space="0" w:color="auto"/>
            </w:tcBorders>
            <w:shd w:val="clear" w:color="auto" w:fill="auto"/>
            <w:noWrap/>
            <w:hideMark/>
          </w:tcPr>
          <w:p w14:paraId="0695EA7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58,3</w:t>
            </w:r>
          </w:p>
        </w:tc>
        <w:tc>
          <w:tcPr>
            <w:tcW w:w="920" w:type="dxa"/>
            <w:tcBorders>
              <w:top w:val="nil"/>
              <w:left w:val="nil"/>
              <w:bottom w:val="single" w:sz="4" w:space="0" w:color="auto"/>
              <w:right w:val="single" w:sz="4" w:space="0" w:color="auto"/>
            </w:tcBorders>
            <w:shd w:val="clear" w:color="auto" w:fill="auto"/>
            <w:noWrap/>
            <w:hideMark/>
          </w:tcPr>
          <w:p w14:paraId="405105B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57,3</w:t>
            </w:r>
          </w:p>
        </w:tc>
        <w:tc>
          <w:tcPr>
            <w:tcW w:w="920" w:type="dxa"/>
            <w:tcBorders>
              <w:top w:val="nil"/>
              <w:left w:val="nil"/>
              <w:bottom w:val="single" w:sz="4" w:space="0" w:color="auto"/>
              <w:right w:val="single" w:sz="4" w:space="0" w:color="auto"/>
            </w:tcBorders>
            <w:shd w:val="clear" w:color="auto" w:fill="auto"/>
            <w:noWrap/>
            <w:hideMark/>
          </w:tcPr>
          <w:p w14:paraId="7F55FF1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59,7</w:t>
            </w:r>
          </w:p>
        </w:tc>
        <w:tc>
          <w:tcPr>
            <w:tcW w:w="920" w:type="dxa"/>
            <w:tcBorders>
              <w:top w:val="nil"/>
              <w:left w:val="nil"/>
              <w:bottom w:val="single" w:sz="4" w:space="0" w:color="auto"/>
              <w:right w:val="single" w:sz="4" w:space="0" w:color="auto"/>
            </w:tcBorders>
            <w:shd w:val="clear" w:color="auto" w:fill="auto"/>
            <w:noWrap/>
            <w:hideMark/>
          </w:tcPr>
          <w:p w14:paraId="21274675"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61,4</w:t>
            </w:r>
          </w:p>
        </w:tc>
        <w:tc>
          <w:tcPr>
            <w:tcW w:w="920" w:type="dxa"/>
            <w:tcBorders>
              <w:top w:val="nil"/>
              <w:left w:val="nil"/>
              <w:bottom w:val="single" w:sz="4" w:space="0" w:color="auto"/>
              <w:right w:val="single" w:sz="4" w:space="0" w:color="auto"/>
            </w:tcBorders>
            <w:shd w:val="clear" w:color="auto" w:fill="auto"/>
            <w:noWrap/>
            <w:hideMark/>
          </w:tcPr>
          <w:p w14:paraId="7AC6C62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60,2</w:t>
            </w:r>
          </w:p>
        </w:tc>
      </w:tr>
      <w:tr w:rsidR="00E7041A" w:rsidRPr="00D03466" w14:paraId="040908D7"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17FED8FD"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35-44 ans</w:t>
            </w:r>
          </w:p>
        </w:tc>
        <w:tc>
          <w:tcPr>
            <w:tcW w:w="920" w:type="dxa"/>
            <w:tcBorders>
              <w:top w:val="nil"/>
              <w:left w:val="nil"/>
              <w:bottom w:val="single" w:sz="4" w:space="0" w:color="auto"/>
              <w:right w:val="single" w:sz="4" w:space="0" w:color="auto"/>
            </w:tcBorders>
            <w:shd w:val="clear" w:color="auto" w:fill="auto"/>
            <w:noWrap/>
            <w:hideMark/>
          </w:tcPr>
          <w:p w14:paraId="26D7317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57,0</w:t>
            </w:r>
          </w:p>
        </w:tc>
        <w:tc>
          <w:tcPr>
            <w:tcW w:w="920" w:type="dxa"/>
            <w:tcBorders>
              <w:top w:val="nil"/>
              <w:left w:val="nil"/>
              <w:bottom w:val="single" w:sz="4" w:space="0" w:color="auto"/>
              <w:right w:val="single" w:sz="4" w:space="0" w:color="auto"/>
            </w:tcBorders>
            <w:shd w:val="clear" w:color="auto" w:fill="auto"/>
            <w:noWrap/>
            <w:hideMark/>
          </w:tcPr>
          <w:p w14:paraId="2892382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63,4</w:t>
            </w:r>
          </w:p>
        </w:tc>
        <w:tc>
          <w:tcPr>
            <w:tcW w:w="920" w:type="dxa"/>
            <w:tcBorders>
              <w:top w:val="nil"/>
              <w:left w:val="nil"/>
              <w:bottom w:val="single" w:sz="4" w:space="0" w:color="auto"/>
              <w:right w:val="single" w:sz="4" w:space="0" w:color="auto"/>
            </w:tcBorders>
            <w:shd w:val="clear" w:color="auto" w:fill="auto"/>
            <w:noWrap/>
            <w:hideMark/>
          </w:tcPr>
          <w:p w14:paraId="0C808B9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59,1</w:t>
            </w:r>
          </w:p>
        </w:tc>
        <w:tc>
          <w:tcPr>
            <w:tcW w:w="920" w:type="dxa"/>
            <w:tcBorders>
              <w:top w:val="nil"/>
              <w:left w:val="nil"/>
              <w:bottom w:val="single" w:sz="4" w:space="0" w:color="auto"/>
              <w:right w:val="single" w:sz="4" w:space="0" w:color="auto"/>
            </w:tcBorders>
            <w:shd w:val="clear" w:color="auto" w:fill="auto"/>
            <w:noWrap/>
            <w:hideMark/>
          </w:tcPr>
          <w:p w14:paraId="3A787A9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57,4</w:t>
            </w:r>
          </w:p>
        </w:tc>
        <w:tc>
          <w:tcPr>
            <w:tcW w:w="920" w:type="dxa"/>
            <w:tcBorders>
              <w:top w:val="nil"/>
              <w:left w:val="nil"/>
              <w:bottom w:val="single" w:sz="4" w:space="0" w:color="auto"/>
              <w:right w:val="single" w:sz="4" w:space="0" w:color="auto"/>
            </w:tcBorders>
            <w:shd w:val="clear" w:color="auto" w:fill="auto"/>
            <w:noWrap/>
            <w:hideMark/>
          </w:tcPr>
          <w:p w14:paraId="3B0314E5"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64,5</w:t>
            </w:r>
          </w:p>
        </w:tc>
        <w:tc>
          <w:tcPr>
            <w:tcW w:w="920" w:type="dxa"/>
            <w:tcBorders>
              <w:top w:val="nil"/>
              <w:left w:val="nil"/>
              <w:bottom w:val="single" w:sz="4" w:space="0" w:color="auto"/>
              <w:right w:val="single" w:sz="4" w:space="0" w:color="auto"/>
            </w:tcBorders>
            <w:shd w:val="clear" w:color="auto" w:fill="auto"/>
            <w:noWrap/>
            <w:hideMark/>
          </w:tcPr>
          <w:p w14:paraId="0045779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59,7</w:t>
            </w:r>
          </w:p>
        </w:tc>
      </w:tr>
      <w:tr w:rsidR="00E7041A" w:rsidRPr="00D03466" w14:paraId="59E40454"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69A4C9B1"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45 ans et plus</w:t>
            </w:r>
          </w:p>
        </w:tc>
        <w:tc>
          <w:tcPr>
            <w:tcW w:w="920" w:type="dxa"/>
            <w:tcBorders>
              <w:top w:val="nil"/>
              <w:left w:val="nil"/>
              <w:bottom w:val="single" w:sz="4" w:space="0" w:color="auto"/>
              <w:right w:val="single" w:sz="4" w:space="0" w:color="auto"/>
            </w:tcBorders>
            <w:shd w:val="clear" w:color="auto" w:fill="auto"/>
            <w:noWrap/>
            <w:hideMark/>
          </w:tcPr>
          <w:p w14:paraId="71DA6C3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35,4</w:t>
            </w:r>
          </w:p>
        </w:tc>
        <w:tc>
          <w:tcPr>
            <w:tcW w:w="920" w:type="dxa"/>
            <w:tcBorders>
              <w:top w:val="nil"/>
              <w:left w:val="nil"/>
              <w:bottom w:val="single" w:sz="4" w:space="0" w:color="auto"/>
              <w:right w:val="single" w:sz="4" w:space="0" w:color="auto"/>
            </w:tcBorders>
            <w:shd w:val="clear" w:color="auto" w:fill="auto"/>
            <w:noWrap/>
            <w:hideMark/>
          </w:tcPr>
          <w:p w14:paraId="63777185"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49,7</w:t>
            </w:r>
          </w:p>
        </w:tc>
        <w:tc>
          <w:tcPr>
            <w:tcW w:w="920" w:type="dxa"/>
            <w:tcBorders>
              <w:top w:val="nil"/>
              <w:left w:val="nil"/>
              <w:bottom w:val="single" w:sz="4" w:space="0" w:color="auto"/>
              <w:right w:val="single" w:sz="4" w:space="0" w:color="auto"/>
            </w:tcBorders>
            <w:shd w:val="clear" w:color="auto" w:fill="auto"/>
            <w:noWrap/>
            <w:hideMark/>
          </w:tcPr>
          <w:p w14:paraId="784AE3D7"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40,3</w:t>
            </w:r>
          </w:p>
        </w:tc>
        <w:tc>
          <w:tcPr>
            <w:tcW w:w="920" w:type="dxa"/>
            <w:tcBorders>
              <w:top w:val="nil"/>
              <w:left w:val="nil"/>
              <w:bottom w:val="single" w:sz="4" w:space="0" w:color="auto"/>
              <w:right w:val="single" w:sz="4" w:space="0" w:color="auto"/>
            </w:tcBorders>
            <w:shd w:val="clear" w:color="auto" w:fill="auto"/>
            <w:noWrap/>
            <w:hideMark/>
          </w:tcPr>
          <w:p w14:paraId="6C1397D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36,0</w:t>
            </w:r>
          </w:p>
        </w:tc>
        <w:tc>
          <w:tcPr>
            <w:tcW w:w="920" w:type="dxa"/>
            <w:tcBorders>
              <w:top w:val="nil"/>
              <w:left w:val="nil"/>
              <w:bottom w:val="single" w:sz="4" w:space="0" w:color="auto"/>
              <w:right w:val="single" w:sz="4" w:space="0" w:color="auto"/>
            </w:tcBorders>
            <w:shd w:val="clear" w:color="auto" w:fill="auto"/>
            <w:noWrap/>
            <w:hideMark/>
          </w:tcPr>
          <w:p w14:paraId="46B58400"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52,0</w:t>
            </w:r>
          </w:p>
        </w:tc>
        <w:tc>
          <w:tcPr>
            <w:tcW w:w="920" w:type="dxa"/>
            <w:tcBorders>
              <w:top w:val="nil"/>
              <w:left w:val="nil"/>
              <w:bottom w:val="single" w:sz="4" w:space="0" w:color="auto"/>
              <w:right w:val="single" w:sz="4" w:space="0" w:color="auto"/>
            </w:tcBorders>
            <w:shd w:val="clear" w:color="auto" w:fill="auto"/>
            <w:noWrap/>
            <w:hideMark/>
          </w:tcPr>
          <w:p w14:paraId="3C95CCF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41,4</w:t>
            </w:r>
          </w:p>
        </w:tc>
      </w:tr>
      <w:tr w:rsidR="00E7041A" w:rsidRPr="00D03466" w14:paraId="228B765E" w14:textId="77777777" w:rsidTr="00714569">
        <w:trPr>
          <w:trHeight w:val="300"/>
        </w:trPr>
        <w:tc>
          <w:tcPr>
            <w:tcW w:w="93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1B86EEFF" w14:textId="77777777" w:rsidR="00E7041A" w:rsidRPr="00D03466" w:rsidRDefault="00E7041A" w:rsidP="00714569">
            <w:pPr>
              <w:spacing w:after="0" w:line="240" w:lineRule="auto"/>
              <w:ind w:firstLineChars="200" w:firstLine="320"/>
              <w:rPr>
                <w:rFonts w:ascii="Times New Roman" w:eastAsia="Times New Roman" w:hAnsi="Times New Roman" w:cs="Times New Roman"/>
                <w:i/>
                <w:iCs/>
                <w:color w:val="000000"/>
                <w:sz w:val="16"/>
                <w:szCs w:val="16"/>
              </w:rPr>
            </w:pPr>
            <w:r w:rsidRPr="00D03466">
              <w:rPr>
                <w:rFonts w:ascii="Times New Roman" w:eastAsia="Times New Roman" w:hAnsi="Times New Roman" w:cs="Times New Roman"/>
                <w:i/>
                <w:iCs/>
                <w:color w:val="000000"/>
                <w:sz w:val="16"/>
                <w:szCs w:val="16"/>
              </w:rPr>
              <w:t>• Selon le diplôme</w:t>
            </w:r>
          </w:p>
        </w:tc>
      </w:tr>
      <w:tr w:rsidR="00E7041A" w:rsidRPr="00D03466" w14:paraId="71A6489D"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5B48C3CC"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Non diplômés</w:t>
            </w:r>
          </w:p>
        </w:tc>
        <w:tc>
          <w:tcPr>
            <w:tcW w:w="920" w:type="dxa"/>
            <w:tcBorders>
              <w:top w:val="nil"/>
              <w:left w:val="nil"/>
              <w:bottom w:val="single" w:sz="4" w:space="0" w:color="auto"/>
              <w:right w:val="single" w:sz="4" w:space="0" w:color="auto"/>
            </w:tcBorders>
            <w:shd w:val="clear" w:color="auto" w:fill="auto"/>
            <w:noWrap/>
            <w:hideMark/>
          </w:tcPr>
          <w:p w14:paraId="118C462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34,9</w:t>
            </w:r>
          </w:p>
        </w:tc>
        <w:tc>
          <w:tcPr>
            <w:tcW w:w="920" w:type="dxa"/>
            <w:tcBorders>
              <w:top w:val="nil"/>
              <w:left w:val="nil"/>
              <w:bottom w:val="single" w:sz="4" w:space="0" w:color="auto"/>
              <w:right w:val="single" w:sz="4" w:space="0" w:color="auto"/>
            </w:tcBorders>
            <w:shd w:val="clear" w:color="auto" w:fill="auto"/>
            <w:noWrap/>
            <w:hideMark/>
          </w:tcPr>
          <w:p w14:paraId="4D6CD063"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50,4</w:t>
            </w:r>
          </w:p>
        </w:tc>
        <w:tc>
          <w:tcPr>
            <w:tcW w:w="920" w:type="dxa"/>
            <w:tcBorders>
              <w:top w:val="nil"/>
              <w:left w:val="nil"/>
              <w:bottom w:val="single" w:sz="4" w:space="0" w:color="auto"/>
              <w:right w:val="single" w:sz="4" w:space="0" w:color="auto"/>
            </w:tcBorders>
            <w:shd w:val="clear" w:color="auto" w:fill="auto"/>
            <w:noWrap/>
            <w:hideMark/>
          </w:tcPr>
          <w:p w14:paraId="62834DF7"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42,1</w:t>
            </w:r>
          </w:p>
        </w:tc>
        <w:tc>
          <w:tcPr>
            <w:tcW w:w="920" w:type="dxa"/>
            <w:tcBorders>
              <w:top w:val="nil"/>
              <w:left w:val="nil"/>
              <w:bottom w:val="single" w:sz="4" w:space="0" w:color="auto"/>
              <w:right w:val="single" w:sz="4" w:space="0" w:color="auto"/>
            </w:tcBorders>
            <w:shd w:val="clear" w:color="auto" w:fill="auto"/>
            <w:noWrap/>
            <w:hideMark/>
          </w:tcPr>
          <w:p w14:paraId="6252DB10"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35,2</w:t>
            </w:r>
          </w:p>
        </w:tc>
        <w:tc>
          <w:tcPr>
            <w:tcW w:w="920" w:type="dxa"/>
            <w:tcBorders>
              <w:top w:val="nil"/>
              <w:left w:val="nil"/>
              <w:bottom w:val="single" w:sz="4" w:space="0" w:color="auto"/>
              <w:right w:val="single" w:sz="4" w:space="0" w:color="auto"/>
            </w:tcBorders>
            <w:shd w:val="clear" w:color="auto" w:fill="auto"/>
            <w:noWrap/>
            <w:hideMark/>
          </w:tcPr>
          <w:p w14:paraId="1FAAE8F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52,8</w:t>
            </w:r>
          </w:p>
        </w:tc>
        <w:tc>
          <w:tcPr>
            <w:tcW w:w="920" w:type="dxa"/>
            <w:tcBorders>
              <w:top w:val="nil"/>
              <w:left w:val="nil"/>
              <w:bottom w:val="single" w:sz="4" w:space="0" w:color="auto"/>
              <w:right w:val="single" w:sz="4" w:space="0" w:color="auto"/>
            </w:tcBorders>
            <w:shd w:val="clear" w:color="auto" w:fill="auto"/>
            <w:noWrap/>
            <w:hideMark/>
          </w:tcPr>
          <w:p w14:paraId="7AB7A0F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43,3</w:t>
            </w:r>
          </w:p>
        </w:tc>
      </w:tr>
      <w:tr w:rsidR="00E7041A" w:rsidRPr="00D03466" w14:paraId="4A7E5BCB"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133CB409"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Diplômés</w:t>
            </w:r>
          </w:p>
        </w:tc>
        <w:tc>
          <w:tcPr>
            <w:tcW w:w="920" w:type="dxa"/>
            <w:tcBorders>
              <w:top w:val="nil"/>
              <w:left w:val="nil"/>
              <w:bottom w:val="single" w:sz="4" w:space="0" w:color="auto"/>
              <w:right w:val="single" w:sz="4" w:space="0" w:color="auto"/>
            </w:tcBorders>
            <w:shd w:val="clear" w:color="auto" w:fill="auto"/>
            <w:noWrap/>
            <w:hideMark/>
          </w:tcPr>
          <w:p w14:paraId="1AD380A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45,7</w:t>
            </w:r>
          </w:p>
        </w:tc>
        <w:tc>
          <w:tcPr>
            <w:tcW w:w="920" w:type="dxa"/>
            <w:tcBorders>
              <w:top w:val="nil"/>
              <w:left w:val="nil"/>
              <w:bottom w:val="single" w:sz="4" w:space="0" w:color="auto"/>
              <w:right w:val="single" w:sz="4" w:space="0" w:color="auto"/>
            </w:tcBorders>
            <w:shd w:val="clear" w:color="auto" w:fill="auto"/>
            <w:noWrap/>
            <w:hideMark/>
          </w:tcPr>
          <w:p w14:paraId="3EFA85A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42,8</w:t>
            </w:r>
          </w:p>
        </w:tc>
        <w:tc>
          <w:tcPr>
            <w:tcW w:w="920" w:type="dxa"/>
            <w:tcBorders>
              <w:top w:val="nil"/>
              <w:left w:val="nil"/>
              <w:bottom w:val="single" w:sz="4" w:space="0" w:color="auto"/>
              <w:right w:val="single" w:sz="4" w:space="0" w:color="auto"/>
            </w:tcBorders>
            <w:shd w:val="clear" w:color="auto" w:fill="auto"/>
            <w:noWrap/>
            <w:hideMark/>
          </w:tcPr>
          <w:p w14:paraId="2BE5C6A9"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45,0</w:t>
            </w:r>
          </w:p>
        </w:tc>
        <w:tc>
          <w:tcPr>
            <w:tcW w:w="920" w:type="dxa"/>
            <w:tcBorders>
              <w:top w:val="nil"/>
              <w:left w:val="nil"/>
              <w:bottom w:val="single" w:sz="4" w:space="0" w:color="auto"/>
              <w:right w:val="single" w:sz="4" w:space="0" w:color="auto"/>
            </w:tcBorders>
            <w:shd w:val="clear" w:color="auto" w:fill="auto"/>
            <w:noWrap/>
            <w:hideMark/>
          </w:tcPr>
          <w:p w14:paraId="2903125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47,4</w:t>
            </w:r>
          </w:p>
        </w:tc>
        <w:tc>
          <w:tcPr>
            <w:tcW w:w="920" w:type="dxa"/>
            <w:tcBorders>
              <w:top w:val="nil"/>
              <w:left w:val="nil"/>
              <w:bottom w:val="single" w:sz="4" w:space="0" w:color="auto"/>
              <w:right w:val="single" w:sz="4" w:space="0" w:color="auto"/>
            </w:tcBorders>
            <w:shd w:val="clear" w:color="auto" w:fill="auto"/>
            <w:noWrap/>
            <w:hideMark/>
          </w:tcPr>
          <w:p w14:paraId="75E28DD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45,1</w:t>
            </w:r>
          </w:p>
        </w:tc>
        <w:tc>
          <w:tcPr>
            <w:tcW w:w="920" w:type="dxa"/>
            <w:tcBorders>
              <w:top w:val="nil"/>
              <w:left w:val="nil"/>
              <w:bottom w:val="single" w:sz="4" w:space="0" w:color="auto"/>
              <w:right w:val="single" w:sz="4" w:space="0" w:color="auto"/>
            </w:tcBorders>
            <w:shd w:val="clear" w:color="auto" w:fill="auto"/>
            <w:noWrap/>
            <w:hideMark/>
          </w:tcPr>
          <w:p w14:paraId="0F6901F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46,9</w:t>
            </w:r>
          </w:p>
        </w:tc>
      </w:tr>
      <w:tr w:rsidR="00E7041A" w:rsidRPr="00D03466" w14:paraId="1107F578" w14:textId="77777777" w:rsidTr="00714569">
        <w:trPr>
          <w:trHeight w:val="300"/>
        </w:trPr>
        <w:tc>
          <w:tcPr>
            <w:tcW w:w="93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C945183" w14:textId="77777777" w:rsidR="00E7041A" w:rsidRPr="00D03466" w:rsidRDefault="00E7041A" w:rsidP="00714569">
            <w:pPr>
              <w:spacing w:after="0" w:line="240" w:lineRule="auto"/>
              <w:rPr>
                <w:rFonts w:ascii="Times New Roman" w:eastAsia="Times New Roman" w:hAnsi="Times New Roman" w:cs="Times New Roman"/>
                <w:b/>
                <w:bCs/>
                <w:sz w:val="16"/>
                <w:szCs w:val="16"/>
              </w:rPr>
            </w:pPr>
            <w:r w:rsidRPr="00D03466">
              <w:rPr>
                <w:rFonts w:ascii="Times New Roman" w:eastAsia="Times New Roman" w:hAnsi="Times New Roman" w:cs="Times New Roman"/>
                <w:b/>
                <w:bCs/>
                <w:sz w:val="16"/>
                <w:szCs w:val="16"/>
              </w:rPr>
              <w:t>Emploi (des 15 ans et plus)</w:t>
            </w:r>
          </w:p>
        </w:tc>
      </w:tr>
      <w:tr w:rsidR="00E7041A" w:rsidRPr="00D03466" w14:paraId="4A929F59"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7960BF34" w14:textId="7C64DC61" w:rsidR="00E7041A" w:rsidRPr="00D03466" w:rsidRDefault="00E7041A" w:rsidP="00714569">
            <w:pPr>
              <w:spacing w:after="0" w:line="240" w:lineRule="auto"/>
              <w:ind w:firstLineChars="100" w:firstLine="161"/>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Population active occupée</w:t>
            </w:r>
            <w:r w:rsidR="003671E9">
              <w:rPr>
                <w:rFonts w:ascii="Times New Roman" w:eastAsia="Times New Roman" w:hAnsi="Times New Roman" w:cs="Times New Roman"/>
                <w:b/>
                <w:bCs/>
                <w:color w:val="000000"/>
                <w:sz w:val="16"/>
                <w:szCs w:val="16"/>
              </w:rPr>
              <w:t xml:space="preserve"> (en milliers)</w:t>
            </w:r>
          </w:p>
        </w:tc>
        <w:tc>
          <w:tcPr>
            <w:tcW w:w="920" w:type="dxa"/>
            <w:tcBorders>
              <w:top w:val="nil"/>
              <w:left w:val="nil"/>
              <w:bottom w:val="single" w:sz="4" w:space="0" w:color="auto"/>
              <w:right w:val="single" w:sz="4" w:space="0" w:color="auto"/>
            </w:tcBorders>
            <w:shd w:val="clear" w:color="auto" w:fill="auto"/>
            <w:noWrap/>
            <w:hideMark/>
          </w:tcPr>
          <w:p w14:paraId="0F941A17"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5 975</w:t>
            </w:r>
          </w:p>
        </w:tc>
        <w:tc>
          <w:tcPr>
            <w:tcW w:w="920" w:type="dxa"/>
            <w:tcBorders>
              <w:top w:val="nil"/>
              <w:left w:val="nil"/>
              <w:bottom w:val="single" w:sz="4" w:space="0" w:color="auto"/>
              <w:right w:val="single" w:sz="4" w:space="0" w:color="auto"/>
            </w:tcBorders>
            <w:shd w:val="clear" w:color="auto" w:fill="auto"/>
            <w:noWrap/>
            <w:hideMark/>
          </w:tcPr>
          <w:p w14:paraId="3FB9A2EC"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4 190</w:t>
            </w:r>
          </w:p>
        </w:tc>
        <w:tc>
          <w:tcPr>
            <w:tcW w:w="920" w:type="dxa"/>
            <w:tcBorders>
              <w:top w:val="nil"/>
              <w:left w:val="nil"/>
              <w:bottom w:val="single" w:sz="4" w:space="0" w:color="auto"/>
              <w:right w:val="single" w:sz="4" w:space="0" w:color="auto"/>
            </w:tcBorders>
            <w:shd w:val="clear" w:color="auto" w:fill="auto"/>
            <w:noWrap/>
            <w:hideMark/>
          </w:tcPr>
          <w:p w14:paraId="4FAC04E9"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10 166</w:t>
            </w:r>
          </w:p>
        </w:tc>
        <w:tc>
          <w:tcPr>
            <w:tcW w:w="920" w:type="dxa"/>
            <w:tcBorders>
              <w:top w:val="nil"/>
              <w:left w:val="nil"/>
              <w:bottom w:val="single" w:sz="4" w:space="0" w:color="auto"/>
              <w:right w:val="single" w:sz="4" w:space="0" w:color="auto"/>
            </w:tcBorders>
            <w:shd w:val="clear" w:color="auto" w:fill="auto"/>
            <w:noWrap/>
            <w:hideMark/>
          </w:tcPr>
          <w:p w14:paraId="15453BEF"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6 343</w:t>
            </w:r>
          </w:p>
        </w:tc>
        <w:tc>
          <w:tcPr>
            <w:tcW w:w="920" w:type="dxa"/>
            <w:tcBorders>
              <w:top w:val="nil"/>
              <w:left w:val="nil"/>
              <w:bottom w:val="single" w:sz="4" w:space="0" w:color="auto"/>
              <w:right w:val="single" w:sz="4" w:space="0" w:color="auto"/>
            </w:tcBorders>
            <w:shd w:val="clear" w:color="auto" w:fill="auto"/>
            <w:noWrap/>
            <w:hideMark/>
          </w:tcPr>
          <w:p w14:paraId="1C18F8C6"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4 465</w:t>
            </w:r>
          </w:p>
        </w:tc>
        <w:tc>
          <w:tcPr>
            <w:tcW w:w="920" w:type="dxa"/>
            <w:tcBorders>
              <w:top w:val="nil"/>
              <w:left w:val="nil"/>
              <w:bottom w:val="single" w:sz="4" w:space="0" w:color="auto"/>
              <w:right w:val="single" w:sz="4" w:space="0" w:color="auto"/>
            </w:tcBorders>
            <w:shd w:val="clear" w:color="auto" w:fill="auto"/>
            <w:noWrap/>
            <w:hideMark/>
          </w:tcPr>
          <w:p w14:paraId="050C7935"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10 807</w:t>
            </w:r>
          </w:p>
        </w:tc>
      </w:tr>
      <w:tr w:rsidR="00E7041A" w:rsidRPr="00D03466" w14:paraId="402D8DDF"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75F802E7" w14:textId="3B1CD139" w:rsidR="00E7041A" w:rsidRPr="00D03466"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Taux d'emploi</w:t>
            </w:r>
            <w:r w:rsidR="003671E9">
              <w:rPr>
                <w:rFonts w:ascii="Times New Roman" w:eastAsia="Times New Roman" w:hAnsi="Times New Roman" w:cs="Times New Roman"/>
                <w:color w:val="000000"/>
                <w:sz w:val="16"/>
                <w:szCs w:val="16"/>
              </w:rPr>
              <w:t xml:space="preserve"> (%)</w:t>
            </w:r>
          </w:p>
        </w:tc>
        <w:tc>
          <w:tcPr>
            <w:tcW w:w="920" w:type="dxa"/>
            <w:tcBorders>
              <w:top w:val="nil"/>
              <w:left w:val="nil"/>
              <w:bottom w:val="single" w:sz="4" w:space="0" w:color="auto"/>
              <w:right w:val="single" w:sz="4" w:space="0" w:color="auto"/>
            </w:tcBorders>
            <w:shd w:val="clear" w:color="auto" w:fill="auto"/>
            <w:noWrap/>
            <w:hideMark/>
          </w:tcPr>
          <w:p w14:paraId="4694557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34,3</w:t>
            </w:r>
          </w:p>
        </w:tc>
        <w:tc>
          <w:tcPr>
            <w:tcW w:w="920" w:type="dxa"/>
            <w:tcBorders>
              <w:top w:val="nil"/>
              <w:left w:val="nil"/>
              <w:bottom w:val="single" w:sz="4" w:space="0" w:color="auto"/>
              <w:right w:val="single" w:sz="4" w:space="0" w:color="auto"/>
            </w:tcBorders>
            <w:shd w:val="clear" w:color="auto" w:fill="auto"/>
            <w:noWrap/>
            <w:hideMark/>
          </w:tcPr>
          <w:p w14:paraId="43A0D37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44,8</w:t>
            </w:r>
          </w:p>
        </w:tc>
        <w:tc>
          <w:tcPr>
            <w:tcW w:w="920" w:type="dxa"/>
            <w:tcBorders>
              <w:top w:val="nil"/>
              <w:left w:val="nil"/>
              <w:bottom w:val="single" w:sz="4" w:space="0" w:color="auto"/>
              <w:right w:val="single" w:sz="4" w:space="0" w:color="auto"/>
            </w:tcBorders>
            <w:shd w:val="clear" w:color="auto" w:fill="auto"/>
            <w:noWrap/>
            <w:hideMark/>
          </w:tcPr>
          <w:p w14:paraId="0BDD260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37,9</w:t>
            </w:r>
          </w:p>
        </w:tc>
        <w:tc>
          <w:tcPr>
            <w:tcW w:w="920" w:type="dxa"/>
            <w:tcBorders>
              <w:top w:val="nil"/>
              <w:left w:val="nil"/>
              <w:bottom w:val="single" w:sz="4" w:space="0" w:color="auto"/>
              <w:right w:val="single" w:sz="4" w:space="0" w:color="auto"/>
            </w:tcBorders>
            <w:shd w:val="clear" w:color="auto" w:fill="auto"/>
            <w:noWrap/>
            <w:hideMark/>
          </w:tcPr>
          <w:p w14:paraId="3E09351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35,6</w:t>
            </w:r>
          </w:p>
        </w:tc>
        <w:tc>
          <w:tcPr>
            <w:tcW w:w="920" w:type="dxa"/>
            <w:tcBorders>
              <w:top w:val="nil"/>
              <w:left w:val="nil"/>
              <w:bottom w:val="single" w:sz="4" w:space="0" w:color="auto"/>
              <w:right w:val="single" w:sz="4" w:space="0" w:color="auto"/>
            </w:tcBorders>
            <w:shd w:val="clear" w:color="auto" w:fill="auto"/>
            <w:noWrap/>
            <w:hideMark/>
          </w:tcPr>
          <w:p w14:paraId="0247471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47,7</w:t>
            </w:r>
          </w:p>
        </w:tc>
        <w:tc>
          <w:tcPr>
            <w:tcW w:w="920" w:type="dxa"/>
            <w:tcBorders>
              <w:top w:val="nil"/>
              <w:left w:val="nil"/>
              <w:bottom w:val="single" w:sz="4" w:space="0" w:color="auto"/>
              <w:right w:val="single" w:sz="4" w:space="0" w:color="auto"/>
            </w:tcBorders>
            <w:shd w:val="clear" w:color="auto" w:fill="auto"/>
            <w:noWrap/>
            <w:hideMark/>
          </w:tcPr>
          <w:p w14:paraId="037F27F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39,8</w:t>
            </w:r>
          </w:p>
        </w:tc>
      </w:tr>
      <w:tr w:rsidR="00E7041A" w:rsidRPr="00D03466" w14:paraId="0E360949" w14:textId="77777777" w:rsidTr="00714569">
        <w:trPr>
          <w:trHeight w:val="300"/>
        </w:trPr>
        <w:tc>
          <w:tcPr>
            <w:tcW w:w="93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2EA86BA3" w14:textId="77777777" w:rsidR="00E7041A" w:rsidRPr="00D03466" w:rsidRDefault="00E7041A" w:rsidP="00714569">
            <w:pPr>
              <w:spacing w:after="0" w:line="240" w:lineRule="auto"/>
              <w:ind w:firstLineChars="200" w:firstLine="320"/>
              <w:rPr>
                <w:rFonts w:ascii="Times New Roman" w:eastAsia="Times New Roman" w:hAnsi="Times New Roman" w:cs="Times New Roman"/>
                <w:i/>
                <w:iCs/>
                <w:color w:val="000000"/>
                <w:sz w:val="16"/>
                <w:szCs w:val="16"/>
              </w:rPr>
            </w:pPr>
            <w:r w:rsidRPr="00D03466">
              <w:rPr>
                <w:rFonts w:ascii="Times New Roman" w:eastAsia="Times New Roman" w:hAnsi="Times New Roman" w:cs="Times New Roman"/>
                <w:i/>
                <w:iCs/>
                <w:color w:val="000000"/>
                <w:sz w:val="16"/>
                <w:szCs w:val="16"/>
              </w:rPr>
              <w:t>• Selon le sexe</w:t>
            </w:r>
          </w:p>
        </w:tc>
      </w:tr>
      <w:tr w:rsidR="00E7041A" w:rsidRPr="00D03466" w14:paraId="73062110"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4A0EEA6B"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Hommes</w:t>
            </w:r>
          </w:p>
        </w:tc>
        <w:tc>
          <w:tcPr>
            <w:tcW w:w="920" w:type="dxa"/>
            <w:tcBorders>
              <w:top w:val="nil"/>
              <w:left w:val="nil"/>
              <w:bottom w:val="single" w:sz="4" w:space="0" w:color="auto"/>
              <w:right w:val="single" w:sz="4" w:space="0" w:color="auto"/>
            </w:tcBorders>
            <w:shd w:val="clear" w:color="auto" w:fill="auto"/>
            <w:noWrap/>
            <w:hideMark/>
          </w:tcPr>
          <w:p w14:paraId="3943EDD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57,9</w:t>
            </w:r>
          </w:p>
        </w:tc>
        <w:tc>
          <w:tcPr>
            <w:tcW w:w="920" w:type="dxa"/>
            <w:tcBorders>
              <w:top w:val="nil"/>
              <w:left w:val="nil"/>
              <w:bottom w:val="single" w:sz="4" w:space="0" w:color="auto"/>
              <w:right w:val="single" w:sz="4" w:space="0" w:color="auto"/>
            </w:tcBorders>
            <w:shd w:val="clear" w:color="auto" w:fill="auto"/>
            <w:noWrap/>
            <w:hideMark/>
          </w:tcPr>
          <w:p w14:paraId="7E089C0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69,2</w:t>
            </w:r>
          </w:p>
        </w:tc>
        <w:tc>
          <w:tcPr>
            <w:tcW w:w="920" w:type="dxa"/>
            <w:tcBorders>
              <w:top w:val="nil"/>
              <w:left w:val="nil"/>
              <w:bottom w:val="single" w:sz="4" w:space="0" w:color="auto"/>
              <w:right w:val="single" w:sz="4" w:space="0" w:color="auto"/>
            </w:tcBorders>
            <w:shd w:val="clear" w:color="auto" w:fill="auto"/>
            <w:noWrap/>
            <w:hideMark/>
          </w:tcPr>
          <w:p w14:paraId="2B55F46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61,9</w:t>
            </w:r>
          </w:p>
        </w:tc>
        <w:tc>
          <w:tcPr>
            <w:tcW w:w="920" w:type="dxa"/>
            <w:tcBorders>
              <w:top w:val="nil"/>
              <w:left w:val="nil"/>
              <w:bottom w:val="single" w:sz="4" w:space="0" w:color="auto"/>
              <w:right w:val="single" w:sz="4" w:space="0" w:color="auto"/>
            </w:tcBorders>
            <w:shd w:val="clear" w:color="auto" w:fill="auto"/>
            <w:noWrap/>
            <w:hideMark/>
          </w:tcPr>
          <w:p w14:paraId="1B8F1BF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58,7</w:t>
            </w:r>
          </w:p>
        </w:tc>
        <w:tc>
          <w:tcPr>
            <w:tcW w:w="920" w:type="dxa"/>
            <w:tcBorders>
              <w:top w:val="nil"/>
              <w:left w:val="nil"/>
              <w:bottom w:val="single" w:sz="4" w:space="0" w:color="auto"/>
              <w:right w:val="single" w:sz="4" w:space="0" w:color="auto"/>
            </w:tcBorders>
            <w:shd w:val="clear" w:color="auto" w:fill="auto"/>
            <w:noWrap/>
            <w:hideMark/>
          </w:tcPr>
          <w:p w14:paraId="5C30C42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71,3</w:t>
            </w:r>
          </w:p>
        </w:tc>
        <w:tc>
          <w:tcPr>
            <w:tcW w:w="920" w:type="dxa"/>
            <w:tcBorders>
              <w:top w:val="nil"/>
              <w:left w:val="nil"/>
              <w:bottom w:val="single" w:sz="4" w:space="0" w:color="auto"/>
              <w:right w:val="single" w:sz="4" w:space="0" w:color="auto"/>
            </w:tcBorders>
            <w:shd w:val="clear" w:color="auto" w:fill="auto"/>
            <w:noWrap/>
            <w:hideMark/>
          </w:tcPr>
          <w:p w14:paraId="55E2A5F9"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63,1</w:t>
            </w:r>
          </w:p>
        </w:tc>
      </w:tr>
      <w:tr w:rsidR="00E7041A" w:rsidRPr="00D03466" w14:paraId="6C5ECDAD"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4D2F5A53"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Femmes</w:t>
            </w:r>
          </w:p>
        </w:tc>
        <w:tc>
          <w:tcPr>
            <w:tcW w:w="920" w:type="dxa"/>
            <w:tcBorders>
              <w:top w:val="nil"/>
              <w:left w:val="nil"/>
              <w:bottom w:val="single" w:sz="4" w:space="0" w:color="auto"/>
              <w:right w:val="single" w:sz="4" w:space="0" w:color="auto"/>
            </w:tcBorders>
            <w:shd w:val="clear" w:color="auto" w:fill="auto"/>
            <w:noWrap/>
            <w:hideMark/>
          </w:tcPr>
          <w:p w14:paraId="2CA8F13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12,1</w:t>
            </w:r>
          </w:p>
        </w:tc>
        <w:tc>
          <w:tcPr>
            <w:tcW w:w="920" w:type="dxa"/>
            <w:tcBorders>
              <w:top w:val="nil"/>
              <w:left w:val="nil"/>
              <w:bottom w:val="single" w:sz="4" w:space="0" w:color="auto"/>
              <w:right w:val="single" w:sz="4" w:space="0" w:color="auto"/>
            </w:tcBorders>
            <w:shd w:val="clear" w:color="auto" w:fill="auto"/>
            <w:noWrap/>
            <w:hideMark/>
          </w:tcPr>
          <w:p w14:paraId="683A239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19,8</w:t>
            </w:r>
          </w:p>
        </w:tc>
        <w:tc>
          <w:tcPr>
            <w:tcW w:w="920" w:type="dxa"/>
            <w:tcBorders>
              <w:top w:val="nil"/>
              <w:left w:val="nil"/>
              <w:bottom w:val="single" w:sz="4" w:space="0" w:color="auto"/>
              <w:right w:val="single" w:sz="4" w:space="0" w:color="auto"/>
            </w:tcBorders>
            <w:shd w:val="clear" w:color="auto" w:fill="auto"/>
            <w:noWrap/>
            <w:hideMark/>
          </w:tcPr>
          <w:p w14:paraId="19735D0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14,7</w:t>
            </w:r>
          </w:p>
        </w:tc>
        <w:tc>
          <w:tcPr>
            <w:tcW w:w="920" w:type="dxa"/>
            <w:tcBorders>
              <w:top w:val="nil"/>
              <w:left w:val="nil"/>
              <w:bottom w:val="single" w:sz="4" w:space="0" w:color="auto"/>
              <w:right w:val="single" w:sz="4" w:space="0" w:color="auto"/>
            </w:tcBorders>
            <w:shd w:val="clear" w:color="auto" w:fill="auto"/>
            <w:noWrap/>
            <w:hideMark/>
          </w:tcPr>
          <w:p w14:paraId="79C57A5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13,9</w:t>
            </w:r>
          </w:p>
        </w:tc>
        <w:tc>
          <w:tcPr>
            <w:tcW w:w="920" w:type="dxa"/>
            <w:tcBorders>
              <w:top w:val="nil"/>
              <w:left w:val="nil"/>
              <w:bottom w:val="single" w:sz="4" w:space="0" w:color="auto"/>
              <w:right w:val="single" w:sz="4" w:space="0" w:color="auto"/>
            </w:tcBorders>
            <w:shd w:val="clear" w:color="auto" w:fill="auto"/>
            <w:noWrap/>
            <w:hideMark/>
          </w:tcPr>
          <w:p w14:paraId="27F415E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23,4</w:t>
            </w:r>
          </w:p>
        </w:tc>
        <w:tc>
          <w:tcPr>
            <w:tcW w:w="920" w:type="dxa"/>
            <w:tcBorders>
              <w:top w:val="nil"/>
              <w:left w:val="nil"/>
              <w:bottom w:val="single" w:sz="4" w:space="0" w:color="auto"/>
              <w:right w:val="single" w:sz="4" w:space="0" w:color="auto"/>
            </w:tcBorders>
            <w:shd w:val="clear" w:color="auto" w:fill="auto"/>
            <w:noWrap/>
            <w:hideMark/>
          </w:tcPr>
          <w:p w14:paraId="59FA24B3"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17,1</w:t>
            </w:r>
          </w:p>
        </w:tc>
      </w:tr>
      <w:tr w:rsidR="00E7041A" w:rsidRPr="00D03466" w14:paraId="45489C8F" w14:textId="77777777" w:rsidTr="00714569">
        <w:trPr>
          <w:trHeight w:val="300"/>
        </w:trPr>
        <w:tc>
          <w:tcPr>
            <w:tcW w:w="93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0C056036" w14:textId="77777777" w:rsidR="00E7041A" w:rsidRPr="00D03466"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Structure de l'emploi selon les secteurs d'activité économique</w:t>
            </w:r>
          </w:p>
        </w:tc>
      </w:tr>
      <w:tr w:rsidR="00E7041A" w:rsidRPr="00D03466" w14:paraId="4B4E287A"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0DAAE27C" w14:textId="77777777" w:rsidR="00E7041A" w:rsidRPr="00D03466" w:rsidRDefault="00E7041A" w:rsidP="00714569">
            <w:pPr>
              <w:spacing w:after="0" w:line="240" w:lineRule="auto"/>
              <w:ind w:firstLineChars="200" w:firstLine="32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Agriculture, sylviculture, pêche</w:t>
            </w:r>
          </w:p>
        </w:tc>
        <w:tc>
          <w:tcPr>
            <w:tcW w:w="920" w:type="dxa"/>
            <w:tcBorders>
              <w:top w:val="nil"/>
              <w:left w:val="nil"/>
              <w:bottom w:val="single" w:sz="4" w:space="0" w:color="auto"/>
              <w:right w:val="single" w:sz="4" w:space="0" w:color="auto"/>
            </w:tcBorders>
            <w:shd w:val="clear" w:color="auto" w:fill="auto"/>
            <w:noWrap/>
            <w:hideMark/>
          </w:tcPr>
          <w:p w14:paraId="6FBF5BE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4,9</w:t>
            </w:r>
          </w:p>
        </w:tc>
        <w:tc>
          <w:tcPr>
            <w:tcW w:w="920" w:type="dxa"/>
            <w:tcBorders>
              <w:top w:val="nil"/>
              <w:left w:val="nil"/>
              <w:bottom w:val="single" w:sz="4" w:space="0" w:color="auto"/>
              <w:right w:val="single" w:sz="4" w:space="0" w:color="auto"/>
            </w:tcBorders>
            <w:shd w:val="clear" w:color="auto" w:fill="auto"/>
            <w:noWrap/>
            <w:hideMark/>
          </w:tcPr>
          <w:p w14:paraId="1B368BB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66,0</w:t>
            </w:r>
          </w:p>
        </w:tc>
        <w:tc>
          <w:tcPr>
            <w:tcW w:w="920" w:type="dxa"/>
            <w:tcBorders>
              <w:top w:val="nil"/>
              <w:left w:val="nil"/>
              <w:bottom w:val="single" w:sz="4" w:space="0" w:color="auto"/>
              <w:right w:val="single" w:sz="4" w:space="0" w:color="auto"/>
            </w:tcBorders>
            <w:shd w:val="clear" w:color="auto" w:fill="auto"/>
            <w:noWrap/>
            <w:hideMark/>
          </w:tcPr>
          <w:p w14:paraId="169B6FD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30,0</w:t>
            </w:r>
          </w:p>
        </w:tc>
        <w:tc>
          <w:tcPr>
            <w:tcW w:w="920" w:type="dxa"/>
            <w:tcBorders>
              <w:top w:val="nil"/>
              <w:left w:val="nil"/>
              <w:bottom w:val="single" w:sz="4" w:space="0" w:color="auto"/>
              <w:right w:val="single" w:sz="4" w:space="0" w:color="auto"/>
            </w:tcBorders>
            <w:shd w:val="clear" w:color="auto" w:fill="auto"/>
            <w:noWrap/>
            <w:hideMark/>
          </w:tcPr>
          <w:p w14:paraId="641F061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4,4</w:t>
            </w:r>
          </w:p>
        </w:tc>
        <w:tc>
          <w:tcPr>
            <w:tcW w:w="920" w:type="dxa"/>
            <w:tcBorders>
              <w:top w:val="nil"/>
              <w:left w:val="nil"/>
              <w:bottom w:val="single" w:sz="4" w:space="0" w:color="auto"/>
              <w:right w:val="single" w:sz="4" w:space="0" w:color="auto"/>
            </w:tcBorders>
            <w:shd w:val="clear" w:color="auto" w:fill="auto"/>
            <w:noWrap/>
            <w:hideMark/>
          </w:tcPr>
          <w:p w14:paraId="153A7369"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66,4</w:t>
            </w:r>
          </w:p>
        </w:tc>
        <w:tc>
          <w:tcPr>
            <w:tcW w:w="920" w:type="dxa"/>
            <w:tcBorders>
              <w:top w:val="nil"/>
              <w:left w:val="nil"/>
              <w:bottom w:val="single" w:sz="4" w:space="0" w:color="auto"/>
              <w:right w:val="single" w:sz="4" w:space="0" w:color="auto"/>
            </w:tcBorders>
            <w:shd w:val="clear" w:color="auto" w:fill="auto"/>
            <w:noWrap/>
            <w:hideMark/>
          </w:tcPr>
          <w:p w14:paraId="7E6A33B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30,0</w:t>
            </w:r>
          </w:p>
        </w:tc>
      </w:tr>
      <w:tr w:rsidR="00E7041A" w:rsidRPr="00D03466" w14:paraId="0411EEB3"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1073B10E" w14:textId="77777777" w:rsidR="00E7041A" w:rsidRPr="00D03466" w:rsidRDefault="00E7041A" w:rsidP="00714569">
            <w:pPr>
              <w:spacing w:after="0" w:line="240" w:lineRule="auto"/>
              <w:ind w:firstLineChars="200" w:firstLine="32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Industrie (y compris artisanat)</w:t>
            </w:r>
          </w:p>
        </w:tc>
        <w:tc>
          <w:tcPr>
            <w:tcW w:w="920" w:type="dxa"/>
            <w:tcBorders>
              <w:top w:val="nil"/>
              <w:left w:val="nil"/>
              <w:bottom w:val="single" w:sz="4" w:space="0" w:color="auto"/>
              <w:right w:val="single" w:sz="4" w:space="0" w:color="auto"/>
            </w:tcBorders>
            <w:shd w:val="clear" w:color="auto" w:fill="auto"/>
            <w:noWrap/>
            <w:hideMark/>
          </w:tcPr>
          <w:p w14:paraId="415C2CA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17,0</w:t>
            </w:r>
          </w:p>
        </w:tc>
        <w:tc>
          <w:tcPr>
            <w:tcW w:w="920" w:type="dxa"/>
            <w:tcBorders>
              <w:top w:val="nil"/>
              <w:left w:val="nil"/>
              <w:bottom w:val="single" w:sz="4" w:space="0" w:color="auto"/>
              <w:right w:val="single" w:sz="4" w:space="0" w:color="auto"/>
            </w:tcBorders>
            <w:shd w:val="clear" w:color="auto" w:fill="auto"/>
            <w:noWrap/>
            <w:hideMark/>
          </w:tcPr>
          <w:p w14:paraId="082A7A03"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4,4</w:t>
            </w:r>
          </w:p>
        </w:tc>
        <w:tc>
          <w:tcPr>
            <w:tcW w:w="920" w:type="dxa"/>
            <w:tcBorders>
              <w:top w:val="nil"/>
              <w:left w:val="nil"/>
              <w:bottom w:val="single" w:sz="4" w:space="0" w:color="auto"/>
              <w:right w:val="single" w:sz="4" w:space="0" w:color="auto"/>
            </w:tcBorders>
            <w:shd w:val="clear" w:color="auto" w:fill="auto"/>
            <w:noWrap/>
            <w:hideMark/>
          </w:tcPr>
          <w:p w14:paraId="6097690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11,8</w:t>
            </w:r>
          </w:p>
        </w:tc>
        <w:tc>
          <w:tcPr>
            <w:tcW w:w="920" w:type="dxa"/>
            <w:tcBorders>
              <w:top w:val="nil"/>
              <w:left w:val="nil"/>
              <w:bottom w:val="single" w:sz="4" w:space="0" w:color="auto"/>
              <w:right w:val="single" w:sz="4" w:space="0" w:color="auto"/>
            </w:tcBorders>
            <w:shd w:val="clear" w:color="auto" w:fill="auto"/>
            <w:noWrap/>
            <w:hideMark/>
          </w:tcPr>
          <w:p w14:paraId="2BA61F1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16,8</w:t>
            </w:r>
          </w:p>
        </w:tc>
        <w:tc>
          <w:tcPr>
            <w:tcW w:w="920" w:type="dxa"/>
            <w:tcBorders>
              <w:top w:val="nil"/>
              <w:left w:val="nil"/>
              <w:bottom w:val="single" w:sz="4" w:space="0" w:color="auto"/>
              <w:right w:val="single" w:sz="4" w:space="0" w:color="auto"/>
            </w:tcBorders>
            <w:shd w:val="clear" w:color="auto" w:fill="auto"/>
            <w:noWrap/>
            <w:hideMark/>
          </w:tcPr>
          <w:p w14:paraId="1F04A45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4,2</w:t>
            </w:r>
          </w:p>
        </w:tc>
        <w:tc>
          <w:tcPr>
            <w:tcW w:w="920" w:type="dxa"/>
            <w:tcBorders>
              <w:top w:val="nil"/>
              <w:left w:val="nil"/>
              <w:bottom w:val="single" w:sz="4" w:space="0" w:color="auto"/>
              <w:right w:val="single" w:sz="4" w:space="0" w:color="auto"/>
            </w:tcBorders>
            <w:shd w:val="clear" w:color="auto" w:fill="auto"/>
            <w:noWrap/>
            <w:hideMark/>
          </w:tcPr>
          <w:p w14:paraId="1022047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11,6</w:t>
            </w:r>
          </w:p>
        </w:tc>
      </w:tr>
      <w:tr w:rsidR="00E7041A" w:rsidRPr="00D03466" w14:paraId="24A48E10"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3EFEF59C" w14:textId="77777777" w:rsidR="00E7041A" w:rsidRPr="00D03466" w:rsidRDefault="00E7041A" w:rsidP="00714569">
            <w:pPr>
              <w:spacing w:after="0" w:line="240" w:lineRule="auto"/>
              <w:ind w:firstLineChars="200" w:firstLine="32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BTP</w:t>
            </w:r>
          </w:p>
        </w:tc>
        <w:tc>
          <w:tcPr>
            <w:tcW w:w="920" w:type="dxa"/>
            <w:tcBorders>
              <w:top w:val="nil"/>
              <w:left w:val="nil"/>
              <w:bottom w:val="single" w:sz="4" w:space="0" w:color="auto"/>
              <w:right w:val="single" w:sz="4" w:space="0" w:color="auto"/>
            </w:tcBorders>
            <w:shd w:val="clear" w:color="auto" w:fill="auto"/>
            <w:noWrap/>
            <w:hideMark/>
          </w:tcPr>
          <w:p w14:paraId="56213E6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12,2</w:t>
            </w:r>
          </w:p>
        </w:tc>
        <w:tc>
          <w:tcPr>
            <w:tcW w:w="920" w:type="dxa"/>
            <w:tcBorders>
              <w:top w:val="nil"/>
              <w:left w:val="nil"/>
              <w:bottom w:val="single" w:sz="4" w:space="0" w:color="auto"/>
              <w:right w:val="single" w:sz="4" w:space="0" w:color="auto"/>
            </w:tcBorders>
            <w:shd w:val="clear" w:color="auto" w:fill="auto"/>
            <w:noWrap/>
            <w:hideMark/>
          </w:tcPr>
          <w:p w14:paraId="5464FD3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10,5</w:t>
            </w:r>
          </w:p>
        </w:tc>
        <w:tc>
          <w:tcPr>
            <w:tcW w:w="920" w:type="dxa"/>
            <w:tcBorders>
              <w:top w:val="nil"/>
              <w:left w:val="nil"/>
              <w:bottom w:val="single" w:sz="4" w:space="0" w:color="auto"/>
              <w:right w:val="single" w:sz="4" w:space="0" w:color="auto"/>
            </w:tcBorders>
            <w:shd w:val="clear" w:color="auto" w:fill="auto"/>
            <w:noWrap/>
            <w:hideMark/>
          </w:tcPr>
          <w:p w14:paraId="41531F77"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11,5</w:t>
            </w:r>
          </w:p>
        </w:tc>
        <w:tc>
          <w:tcPr>
            <w:tcW w:w="920" w:type="dxa"/>
            <w:tcBorders>
              <w:top w:val="nil"/>
              <w:left w:val="nil"/>
              <w:bottom w:val="single" w:sz="4" w:space="0" w:color="auto"/>
              <w:right w:val="single" w:sz="4" w:space="0" w:color="auto"/>
            </w:tcBorders>
            <w:shd w:val="clear" w:color="auto" w:fill="auto"/>
            <w:noWrap/>
            <w:hideMark/>
          </w:tcPr>
          <w:p w14:paraId="2CEAF51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12,3</w:t>
            </w:r>
          </w:p>
        </w:tc>
        <w:tc>
          <w:tcPr>
            <w:tcW w:w="920" w:type="dxa"/>
            <w:tcBorders>
              <w:top w:val="nil"/>
              <w:left w:val="nil"/>
              <w:bottom w:val="single" w:sz="4" w:space="0" w:color="auto"/>
              <w:right w:val="single" w:sz="4" w:space="0" w:color="auto"/>
            </w:tcBorders>
            <w:shd w:val="clear" w:color="auto" w:fill="auto"/>
            <w:noWrap/>
            <w:hideMark/>
          </w:tcPr>
          <w:p w14:paraId="4CC8690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10,8</w:t>
            </w:r>
          </w:p>
        </w:tc>
        <w:tc>
          <w:tcPr>
            <w:tcW w:w="920" w:type="dxa"/>
            <w:tcBorders>
              <w:top w:val="nil"/>
              <w:left w:val="nil"/>
              <w:bottom w:val="single" w:sz="4" w:space="0" w:color="auto"/>
              <w:right w:val="single" w:sz="4" w:space="0" w:color="auto"/>
            </w:tcBorders>
            <w:shd w:val="clear" w:color="auto" w:fill="auto"/>
            <w:noWrap/>
            <w:hideMark/>
          </w:tcPr>
          <w:p w14:paraId="3F7272A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11,7</w:t>
            </w:r>
          </w:p>
        </w:tc>
      </w:tr>
      <w:tr w:rsidR="00E7041A" w:rsidRPr="00D03466" w14:paraId="3D68BAA5"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57EAD427" w14:textId="77777777" w:rsidR="00E7041A" w:rsidRPr="00D03466" w:rsidRDefault="00E7041A" w:rsidP="00714569">
            <w:pPr>
              <w:spacing w:after="0" w:line="240" w:lineRule="auto"/>
              <w:ind w:firstLineChars="200" w:firstLine="32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Services</w:t>
            </w:r>
          </w:p>
        </w:tc>
        <w:tc>
          <w:tcPr>
            <w:tcW w:w="920" w:type="dxa"/>
            <w:tcBorders>
              <w:top w:val="nil"/>
              <w:left w:val="nil"/>
              <w:bottom w:val="single" w:sz="4" w:space="0" w:color="auto"/>
              <w:right w:val="single" w:sz="4" w:space="0" w:color="auto"/>
            </w:tcBorders>
            <w:shd w:val="clear" w:color="auto" w:fill="auto"/>
            <w:noWrap/>
            <w:hideMark/>
          </w:tcPr>
          <w:p w14:paraId="66D9BBE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65,8</w:t>
            </w:r>
          </w:p>
        </w:tc>
        <w:tc>
          <w:tcPr>
            <w:tcW w:w="920" w:type="dxa"/>
            <w:tcBorders>
              <w:top w:val="nil"/>
              <w:left w:val="nil"/>
              <w:bottom w:val="single" w:sz="4" w:space="0" w:color="auto"/>
              <w:right w:val="single" w:sz="4" w:space="0" w:color="auto"/>
            </w:tcBorders>
            <w:shd w:val="clear" w:color="auto" w:fill="auto"/>
            <w:noWrap/>
            <w:hideMark/>
          </w:tcPr>
          <w:p w14:paraId="4A0B522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19,2</w:t>
            </w:r>
          </w:p>
        </w:tc>
        <w:tc>
          <w:tcPr>
            <w:tcW w:w="920" w:type="dxa"/>
            <w:tcBorders>
              <w:top w:val="nil"/>
              <w:left w:val="nil"/>
              <w:bottom w:val="single" w:sz="4" w:space="0" w:color="auto"/>
              <w:right w:val="single" w:sz="4" w:space="0" w:color="auto"/>
            </w:tcBorders>
            <w:shd w:val="clear" w:color="auto" w:fill="auto"/>
            <w:noWrap/>
            <w:hideMark/>
          </w:tcPr>
          <w:p w14:paraId="2F5C9BC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46,6</w:t>
            </w:r>
          </w:p>
        </w:tc>
        <w:tc>
          <w:tcPr>
            <w:tcW w:w="920" w:type="dxa"/>
            <w:tcBorders>
              <w:top w:val="nil"/>
              <w:left w:val="nil"/>
              <w:bottom w:val="single" w:sz="4" w:space="0" w:color="auto"/>
              <w:right w:val="single" w:sz="4" w:space="0" w:color="auto"/>
            </w:tcBorders>
            <w:shd w:val="clear" w:color="auto" w:fill="auto"/>
            <w:noWrap/>
            <w:hideMark/>
          </w:tcPr>
          <w:p w14:paraId="0ED219A9"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66,4</w:t>
            </w:r>
          </w:p>
        </w:tc>
        <w:tc>
          <w:tcPr>
            <w:tcW w:w="920" w:type="dxa"/>
            <w:tcBorders>
              <w:top w:val="nil"/>
              <w:left w:val="nil"/>
              <w:bottom w:val="single" w:sz="4" w:space="0" w:color="auto"/>
              <w:right w:val="single" w:sz="4" w:space="0" w:color="auto"/>
            </w:tcBorders>
            <w:shd w:val="clear" w:color="auto" w:fill="auto"/>
            <w:noWrap/>
            <w:hideMark/>
          </w:tcPr>
          <w:p w14:paraId="2D2F2A7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18,6</w:t>
            </w:r>
          </w:p>
        </w:tc>
        <w:tc>
          <w:tcPr>
            <w:tcW w:w="920" w:type="dxa"/>
            <w:tcBorders>
              <w:top w:val="nil"/>
              <w:left w:val="nil"/>
              <w:bottom w:val="single" w:sz="4" w:space="0" w:color="auto"/>
              <w:right w:val="single" w:sz="4" w:space="0" w:color="auto"/>
            </w:tcBorders>
            <w:shd w:val="clear" w:color="auto" w:fill="auto"/>
            <w:noWrap/>
            <w:hideMark/>
          </w:tcPr>
          <w:p w14:paraId="057D927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46,7</w:t>
            </w:r>
          </w:p>
        </w:tc>
      </w:tr>
      <w:tr w:rsidR="00E7041A" w:rsidRPr="00D03466" w14:paraId="66D10195"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75CD167E" w14:textId="77777777" w:rsidR="00E7041A" w:rsidRPr="00D03466" w:rsidRDefault="00E7041A" w:rsidP="00714569">
            <w:pPr>
              <w:spacing w:after="0" w:line="240" w:lineRule="auto"/>
              <w:ind w:firstLineChars="200" w:firstLine="32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Activités non déterminées</w:t>
            </w:r>
          </w:p>
        </w:tc>
        <w:tc>
          <w:tcPr>
            <w:tcW w:w="920" w:type="dxa"/>
            <w:tcBorders>
              <w:top w:val="nil"/>
              <w:left w:val="nil"/>
              <w:bottom w:val="single" w:sz="4" w:space="0" w:color="auto"/>
              <w:right w:val="single" w:sz="4" w:space="0" w:color="auto"/>
            </w:tcBorders>
            <w:shd w:val="clear" w:color="auto" w:fill="auto"/>
            <w:noWrap/>
            <w:hideMark/>
          </w:tcPr>
          <w:p w14:paraId="57E4D5B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0,1</w:t>
            </w:r>
          </w:p>
        </w:tc>
        <w:tc>
          <w:tcPr>
            <w:tcW w:w="920" w:type="dxa"/>
            <w:tcBorders>
              <w:top w:val="nil"/>
              <w:left w:val="nil"/>
              <w:bottom w:val="single" w:sz="4" w:space="0" w:color="auto"/>
              <w:right w:val="single" w:sz="4" w:space="0" w:color="auto"/>
            </w:tcBorders>
            <w:shd w:val="clear" w:color="auto" w:fill="auto"/>
            <w:noWrap/>
            <w:hideMark/>
          </w:tcPr>
          <w:p w14:paraId="00E77D5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0,0</w:t>
            </w:r>
          </w:p>
        </w:tc>
        <w:tc>
          <w:tcPr>
            <w:tcW w:w="920" w:type="dxa"/>
            <w:tcBorders>
              <w:top w:val="nil"/>
              <w:left w:val="nil"/>
              <w:bottom w:val="single" w:sz="4" w:space="0" w:color="auto"/>
              <w:right w:val="single" w:sz="4" w:space="0" w:color="auto"/>
            </w:tcBorders>
            <w:shd w:val="clear" w:color="auto" w:fill="auto"/>
            <w:noWrap/>
            <w:hideMark/>
          </w:tcPr>
          <w:p w14:paraId="4BC10EE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0,1</w:t>
            </w:r>
          </w:p>
        </w:tc>
        <w:tc>
          <w:tcPr>
            <w:tcW w:w="920" w:type="dxa"/>
            <w:tcBorders>
              <w:top w:val="nil"/>
              <w:left w:val="nil"/>
              <w:bottom w:val="single" w:sz="4" w:space="0" w:color="auto"/>
              <w:right w:val="single" w:sz="4" w:space="0" w:color="auto"/>
            </w:tcBorders>
            <w:shd w:val="clear" w:color="auto" w:fill="auto"/>
            <w:noWrap/>
            <w:hideMark/>
          </w:tcPr>
          <w:p w14:paraId="4864D37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0,1</w:t>
            </w:r>
          </w:p>
        </w:tc>
        <w:tc>
          <w:tcPr>
            <w:tcW w:w="920" w:type="dxa"/>
            <w:tcBorders>
              <w:top w:val="nil"/>
              <w:left w:val="nil"/>
              <w:bottom w:val="single" w:sz="4" w:space="0" w:color="auto"/>
              <w:right w:val="single" w:sz="4" w:space="0" w:color="auto"/>
            </w:tcBorders>
            <w:shd w:val="clear" w:color="auto" w:fill="auto"/>
            <w:noWrap/>
            <w:hideMark/>
          </w:tcPr>
          <w:p w14:paraId="5F122A1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0,0</w:t>
            </w:r>
          </w:p>
        </w:tc>
        <w:tc>
          <w:tcPr>
            <w:tcW w:w="920" w:type="dxa"/>
            <w:tcBorders>
              <w:top w:val="nil"/>
              <w:left w:val="nil"/>
              <w:bottom w:val="single" w:sz="4" w:space="0" w:color="auto"/>
              <w:right w:val="single" w:sz="4" w:space="0" w:color="auto"/>
            </w:tcBorders>
            <w:shd w:val="clear" w:color="auto" w:fill="auto"/>
            <w:noWrap/>
            <w:hideMark/>
          </w:tcPr>
          <w:p w14:paraId="56E6943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0,0</w:t>
            </w:r>
          </w:p>
        </w:tc>
      </w:tr>
      <w:tr w:rsidR="00E7041A" w:rsidRPr="00D03466" w14:paraId="70CBB7DF"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7B3697C7" w14:textId="77777777" w:rsidR="00E7041A" w:rsidRPr="00D03466"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Part de l'emploi rémunéré dans l'emploi total, dont :</w:t>
            </w:r>
          </w:p>
        </w:tc>
        <w:tc>
          <w:tcPr>
            <w:tcW w:w="920" w:type="dxa"/>
            <w:tcBorders>
              <w:top w:val="nil"/>
              <w:left w:val="nil"/>
              <w:bottom w:val="single" w:sz="4" w:space="0" w:color="auto"/>
              <w:right w:val="single" w:sz="4" w:space="0" w:color="auto"/>
            </w:tcBorders>
            <w:shd w:val="clear" w:color="auto" w:fill="auto"/>
            <w:noWrap/>
            <w:hideMark/>
          </w:tcPr>
          <w:p w14:paraId="7869A7A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96,9</w:t>
            </w:r>
          </w:p>
        </w:tc>
        <w:tc>
          <w:tcPr>
            <w:tcW w:w="920" w:type="dxa"/>
            <w:tcBorders>
              <w:top w:val="nil"/>
              <w:left w:val="nil"/>
              <w:bottom w:val="single" w:sz="4" w:space="0" w:color="auto"/>
              <w:right w:val="single" w:sz="4" w:space="0" w:color="auto"/>
            </w:tcBorders>
            <w:shd w:val="clear" w:color="auto" w:fill="auto"/>
            <w:noWrap/>
            <w:hideMark/>
          </w:tcPr>
          <w:p w14:paraId="08517CF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71,2</w:t>
            </w:r>
          </w:p>
        </w:tc>
        <w:tc>
          <w:tcPr>
            <w:tcW w:w="920" w:type="dxa"/>
            <w:tcBorders>
              <w:top w:val="nil"/>
              <w:left w:val="nil"/>
              <w:bottom w:val="single" w:sz="4" w:space="0" w:color="auto"/>
              <w:right w:val="single" w:sz="4" w:space="0" w:color="auto"/>
            </w:tcBorders>
            <w:shd w:val="clear" w:color="auto" w:fill="auto"/>
            <w:noWrap/>
            <w:hideMark/>
          </w:tcPr>
          <w:p w14:paraId="39342510"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86,3</w:t>
            </w:r>
          </w:p>
        </w:tc>
        <w:tc>
          <w:tcPr>
            <w:tcW w:w="920" w:type="dxa"/>
            <w:tcBorders>
              <w:top w:val="nil"/>
              <w:left w:val="nil"/>
              <w:bottom w:val="single" w:sz="4" w:space="0" w:color="auto"/>
              <w:right w:val="single" w:sz="4" w:space="0" w:color="auto"/>
            </w:tcBorders>
            <w:shd w:val="clear" w:color="auto" w:fill="auto"/>
            <w:noWrap/>
            <w:hideMark/>
          </w:tcPr>
          <w:p w14:paraId="207EB107"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97,3</w:t>
            </w:r>
          </w:p>
        </w:tc>
        <w:tc>
          <w:tcPr>
            <w:tcW w:w="920" w:type="dxa"/>
            <w:tcBorders>
              <w:top w:val="nil"/>
              <w:left w:val="nil"/>
              <w:bottom w:val="single" w:sz="4" w:space="0" w:color="auto"/>
              <w:right w:val="single" w:sz="4" w:space="0" w:color="auto"/>
            </w:tcBorders>
            <w:shd w:val="clear" w:color="auto" w:fill="auto"/>
            <w:noWrap/>
            <w:hideMark/>
          </w:tcPr>
          <w:p w14:paraId="375A27B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71,0</w:t>
            </w:r>
          </w:p>
        </w:tc>
        <w:tc>
          <w:tcPr>
            <w:tcW w:w="920" w:type="dxa"/>
            <w:tcBorders>
              <w:top w:val="nil"/>
              <w:left w:val="nil"/>
              <w:bottom w:val="single" w:sz="4" w:space="0" w:color="auto"/>
              <w:right w:val="single" w:sz="4" w:space="0" w:color="auto"/>
            </w:tcBorders>
            <w:shd w:val="clear" w:color="auto" w:fill="auto"/>
            <w:noWrap/>
            <w:hideMark/>
          </w:tcPr>
          <w:p w14:paraId="18B19C73"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86,4</w:t>
            </w:r>
          </w:p>
        </w:tc>
      </w:tr>
      <w:tr w:rsidR="00E7041A" w:rsidRPr="00D03466" w14:paraId="5C4E2713"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5259ECE2" w14:textId="77777777" w:rsidR="00E7041A" w:rsidRPr="00D03466" w:rsidRDefault="00E7041A" w:rsidP="00714569">
            <w:pPr>
              <w:spacing w:after="0" w:line="240" w:lineRule="auto"/>
              <w:ind w:firstLineChars="200" w:firstLine="32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Salariés</w:t>
            </w:r>
          </w:p>
        </w:tc>
        <w:tc>
          <w:tcPr>
            <w:tcW w:w="920" w:type="dxa"/>
            <w:tcBorders>
              <w:top w:val="nil"/>
              <w:left w:val="nil"/>
              <w:bottom w:val="single" w:sz="4" w:space="0" w:color="auto"/>
              <w:right w:val="single" w:sz="4" w:space="0" w:color="auto"/>
            </w:tcBorders>
            <w:shd w:val="clear" w:color="auto" w:fill="auto"/>
            <w:noWrap/>
            <w:hideMark/>
          </w:tcPr>
          <w:p w14:paraId="5EE1722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66,8</w:t>
            </w:r>
          </w:p>
        </w:tc>
        <w:tc>
          <w:tcPr>
            <w:tcW w:w="920" w:type="dxa"/>
            <w:tcBorders>
              <w:top w:val="nil"/>
              <w:left w:val="nil"/>
              <w:bottom w:val="single" w:sz="4" w:space="0" w:color="auto"/>
              <w:right w:val="single" w:sz="4" w:space="0" w:color="auto"/>
            </w:tcBorders>
            <w:shd w:val="clear" w:color="auto" w:fill="auto"/>
            <w:noWrap/>
            <w:hideMark/>
          </w:tcPr>
          <w:p w14:paraId="09E4B95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47,2</w:t>
            </w:r>
          </w:p>
        </w:tc>
        <w:tc>
          <w:tcPr>
            <w:tcW w:w="920" w:type="dxa"/>
            <w:tcBorders>
              <w:top w:val="nil"/>
              <w:left w:val="nil"/>
              <w:bottom w:val="single" w:sz="4" w:space="0" w:color="auto"/>
              <w:right w:val="single" w:sz="4" w:space="0" w:color="auto"/>
            </w:tcBorders>
            <w:shd w:val="clear" w:color="auto" w:fill="auto"/>
            <w:noWrap/>
            <w:hideMark/>
          </w:tcPr>
          <w:p w14:paraId="26A694B9"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60,1</w:t>
            </w:r>
          </w:p>
        </w:tc>
        <w:tc>
          <w:tcPr>
            <w:tcW w:w="920" w:type="dxa"/>
            <w:tcBorders>
              <w:top w:val="nil"/>
              <w:left w:val="nil"/>
              <w:bottom w:val="single" w:sz="4" w:space="0" w:color="auto"/>
              <w:right w:val="single" w:sz="4" w:space="0" w:color="auto"/>
            </w:tcBorders>
            <w:shd w:val="clear" w:color="auto" w:fill="auto"/>
            <w:noWrap/>
            <w:hideMark/>
          </w:tcPr>
          <w:p w14:paraId="5FA44270"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66,6</w:t>
            </w:r>
          </w:p>
        </w:tc>
        <w:tc>
          <w:tcPr>
            <w:tcW w:w="920" w:type="dxa"/>
            <w:tcBorders>
              <w:top w:val="nil"/>
              <w:left w:val="nil"/>
              <w:bottom w:val="single" w:sz="4" w:space="0" w:color="auto"/>
              <w:right w:val="single" w:sz="4" w:space="0" w:color="auto"/>
            </w:tcBorders>
            <w:shd w:val="clear" w:color="auto" w:fill="auto"/>
            <w:noWrap/>
            <w:hideMark/>
          </w:tcPr>
          <w:p w14:paraId="3B95BC99"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46,9</w:t>
            </w:r>
          </w:p>
        </w:tc>
        <w:tc>
          <w:tcPr>
            <w:tcW w:w="920" w:type="dxa"/>
            <w:tcBorders>
              <w:top w:val="nil"/>
              <w:left w:val="nil"/>
              <w:bottom w:val="single" w:sz="4" w:space="0" w:color="auto"/>
              <w:right w:val="single" w:sz="4" w:space="0" w:color="auto"/>
            </w:tcBorders>
            <w:shd w:val="clear" w:color="auto" w:fill="auto"/>
            <w:noWrap/>
            <w:hideMark/>
          </w:tcPr>
          <w:p w14:paraId="7A71015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59,9</w:t>
            </w:r>
          </w:p>
        </w:tc>
      </w:tr>
      <w:tr w:rsidR="00E7041A" w:rsidRPr="00D03466" w14:paraId="16A51ED6"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3D3DD919" w14:textId="77777777" w:rsidR="00E7041A" w:rsidRPr="00D03466" w:rsidRDefault="00E7041A" w:rsidP="00714569">
            <w:pPr>
              <w:spacing w:after="0" w:line="240" w:lineRule="auto"/>
              <w:ind w:firstLineChars="200" w:firstLine="32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Auto-employés</w:t>
            </w:r>
          </w:p>
        </w:tc>
        <w:tc>
          <w:tcPr>
            <w:tcW w:w="920" w:type="dxa"/>
            <w:tcBorders>
              <w:top w:val="nil"/>
              <w:left w:val="nil"/>
              <w:bottom w:val="single" w:sz="4" w:space="0" w:color="auto"/>
              <w:right w:val="single" w:sz="4" w:space="0" w:color="auto"/>
            </w:tcBorders>
            <w:shd w:val="clear" w:color="auto" w:fill="auto"/>
            <w:noWrap/>
            <w:hideMark/>
          </w:tcPr>
          <w:p w14:paraId="08BE5BB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33,2</w:t>
            </w:r>
          </w:p>
        </w:tc>
        <w:tc>
          <w:tcPr>
            <w:tcW w:w="920" w:type="dxa"/>
            <w:tcBorders>
              <w:top w:val="nil"/>
              <w:left w:val="nil"/>
              <w:bottom w:val="single" w:sz="4" w:space="0" w:color="auto"/>
              <w:right w:val="single" w:sz="4" w:space="0" w:color="auto"/>
            </w:tcBorders>
            <w:shd w:val="clear" w:color="auto" w:fill="auto"/>
            <w:noWrap/>
            <w:hideMark/>
          </w:tcPr>
          <w:p w14:paraId="09D147D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52,8</w:t>
            </w:r>
          </w:p>
        </w:tc>
        <w:tc>
          <w:tcPr>
            <w:tcW w:w="920" w:type="dxa"/>
            <w:tcBorders>
              <w:top w:val="nil"/>
              <w:left w:val="nil"/>
              <w:bottom w:val="single" w:sz="4" w:space="0" w:color="auto"/>
              <w:right w:val="single" w:sz="4" w:space="0" w:color="auto"/>
            </w:tcBorders>
            <w:shd w:val="clear" w:color="auto" w:fill="auto"/>
            <w:noWrap/>
            <w:hideMark/>
          </w:tcPr>
          <w:p w14:paraId="3CBD93B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39,9</w:t>
            </w:r>
          </w:p>
        </w:tc>
        <w:tc>
          <w:tcPr>
            <w:tcW w:w="920" w:type="dxa"/>
            <w:tcBorders>
              <w:top w:val="nil"/>
              <w:left w:val="nil"/>
              <w:bottom w:val="single" w:sz="4" w:space="0" w:color="auto"/>
              <w:right w:val="single" w:sz="4" w:space="0" w:color="auto"/>
            </w:tcBorders>
            <w:shd w:val="clear" w:color="auto" w:fill="auto"/>
            <w:noWrap/>
            <w:hideMark/>
          </w:tcPr>
          <w:p w14:paraId="4FD99FF0"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33,4</w:t>
            </w:r>
          </w:p>
        </w:tc>
        <w:tc>
          <w:tcPr>
            <w:tcW w:w="920" w:type="dxa"/>
            <w:tcBorders>
              <w:top w:val="nil"/>
              <w:left w:val="nil"/>
              <w:bottom w:val="single" w:sz="4" w:space="0" w:color="auto"/>
              <w:right w:val="single" w:sz="4" w:space="0" w:color="auto"/>
            </w:tcBorders>
            <w:shd w:val="clear" w:color="auto" w:fill="auto"/>
            <w:noWrap/>
            <w:hideMark/>
          </w:tcPr>
          <w:p w14:paraId="6AD991B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53,1</w:t>
            </w:r>
          </w:p>
        </w:tc>
        <w:tc>
          <w:tcPr>
            <w:tcW w:w="920" w:type="dxa"/>
            <w:tcBorders>
              <w:top w:val="nil"/>
              <w:left w:val="nil"/>
              <w:bottom w:val="single" w:sz="4" w:space="0" w:color="auto"/>
              <w:right w:val="single" w:sz="4" w:space="0" w:color="auto"/>
            </w:tcBorders>
            <w:shd w:val="clear" w:color="auto" w:fill="auto"/>
            <w:noWrap/>
            <w:hideMark/>
          </w:tcPr>
          <w:p w14:paraId="37B7863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40,1</w:t>
            </w:r>
          </w:p>
        </w:tc>
      </w:tr>
      <w:tr w:rsidR="00E7041A" w:rsidRPr="00D03466" w14:paraId="523D9918"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579CC152" w14:textId="3A018A59" w:rsidR="00E7041A" w:rsidRPr="00D03466" w:rsidRDefault="00E7041A" w:rsidP="00714569">
            <w:pPr>
              <w:spacing w:after="0" w:line="240" w:lineRule="auto"/>
              <w:ind w:firstLineChars="100" w:firstLine="161"/>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Population active occupée en sous-emploi</w:t>
            </w:r>
            <w:r w:rsidR="003671E9">
              <w:rPr>
                <w:rFonts w:ascii="Times New Roman" w:eastAsia="Times New Roman" w:hAnsi="Times New Roman" w:cs="Times New Roman"/>
                <w:b/>
                <w:bCs/>
                <w:color w:val="000000"/>
                <w:sz w:val="16"/>
                <w:szCs w:val="16"/>
              </w:rPr>
              <w:t xml:space="preserve"> (en milliers)</w:t>
            </w:r>
          </w:p>
        </w:tc>
        <w:tc>
          <w:tcPr>
            <w:tcW w:w="920" w:type="dxa"/>
            <w:tcBorders>
              <w:top w:val="nil"/>
              <w:left w:val="nil"/>
              <w:bottom w:val="single" w:sz="4" w:space="0" w:color="auto"/>
              <w:right w:val="single" w:sz="4" w:space="0" w:color="auto"/>
            </w:tcBorders>
            <w:shd w:val="clear" w:color="auto" w:fill="auto"/>
            <w:noWrap/>
            <w:hideMark/>
          </w:tcPr>
          <w:p w14:paraId="33B14EDE"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627</w:t>
            </w:r>
          </w:p>
        </w:tc>
        <w:tc>
          <w:tcPr>
            <w:tcW w:w="920" w:type="dxa"/>
            <w:tcBorders>
              <w:top w:val="nil"/>
              <w:left w:val="nil"/>
              <w:bottom w:val="single" w:sz="4" w:space="0" w:color="auto"/>
              <w:right w:val="single" w:sz="4" w:space="0" w:color="auto"/>
            </w:tcBorders>
            <w:shd w:val="clear" w:color="auto" w:fill="auto"/>
            <w:noWrap/>
            <w:hideMark/>
          </w:tcPr>
          <w:p w14:paraId="342B5997"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556</w:t>
            </w:r>
          </w:p>
        </w:tc>
        <w:tc>
          <w:tcPr>
            <w:tcW w:w="920" w:type="dxa"/>
            <w:tcBorders>
              <w:top w:val="nil"/>
              <w:left w:val="nil"/>
              <w:bottom w:val="single" w:sz="4" w:space="0" w:color="auto"/>
              <w:right w:val="single" w:sz="4" w:space="0" w:color="auto"/>
            </w:tcBorders>
            <w:shd w:val="clear" w:color="auto" w:fill="auto"/>
            <w:noWrap/>
            <w:hideMark/>
          </w:tcPr>
          <w:p w14:paraId="7E18BF82"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1 182</w:t>
            </w:r>
          </w:p>
        </w:tc>
        <w:tc>
          <w:tcPr>
            <w:tcW w:w="920" w:type="dxa"/>
            <w:tcBorders>
              <w:top w:val="nil"/>
              <w:left w:val="nil"/>
              <w:bottom w:val="single" w:sz="4" w:space="0" w:color="auto"/>
              <w:right w:val="single" w:sz="4" w:space="0" w:color="auto"/>
            </w:tcBorders>
            <w:shd w:val="clear" w:color="auto" w:fill="auto"/>
            <w:noWrap/>
            <w:hideMark/>
          </w:tcPr>
          <w:p w14:paraId="1677CD46"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543</w:t>
            </w:r>
          </w:p>
        </w:tc>
        <w:tc>
          <w:tcPr>
            <w:tcW w:w="920" w:type="dxa"/>
            <w:tcBorders>
              <w:top w:val="nil"/>
              <w:left w:val="nil"/>
              <w:bottom w:val="single" w:sz="4" w:space="0" w:color="auto"/>
              <w:right w:val="single" w:sz="4" w:space="0" w:color="auto"/>
            </w:tcBorders>
            <w:shd w:val="clear" w:color="auto" w:fill="auto"/>
            <w:noWrap/>
            <w:hideMark/>
          </w:tcPr>
          <w:p w14:paraId="0D0AB167"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484</w:t>
            </w:r>
          </w:p>
        </w:tc>
        <w:tc>
          <w:tcPr>
            <w:tcW w:w="920" w:type="dxa"/>
            <w:tcBorders>
              <w:top w:val="nil"/>
              <w:left w:val="nil"/>
              <w:bottom w:val="single" w:sz="4" w:space="0" w:color="auto"/>
              <w:right w:val="single" w:sz="4" w:space="0" w:color="auto"/>
            </w:tcBorders>
            <w:shd w:val="clear" w:color="auto" w:fill="auto"/>
            <w:noWrap/>
            <w:hideMark/>
          </w:tcPr>
          <w:p w14:paraId="6E446E05"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1 027</w:t>
            </w:r>
          </w:p>
        </w:tc>
      </w:tr>
      <w:tr w:rsidR="00E7041A" w:rsidRPr="00D03466" w14:paraId="2A28A488"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2027217C" w14:textId="49852650" w:rsidR="00E7041A" w:rsidRPr="00D03466"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Taux de sous-emploi</w:t>
            </w:r>
            <w:r w:rsidR="003671E9">
              <w:rPr>
                <w:rFonts w:ascii="Times New Roman" w:eastAsia="Times New Roman" w:hAnsi="Times New Roman" w:cs="Times New Roman"/>
                <w:color w:val="000000"/>
                <w:sz w:val="16"/>
                <w:szCs w:val="16"/>
              </w:rPr>
              <w:t xml:space="preserve"> (%)</w:t>
            </w:r>
          </w:p>
        </w:tc>
        <w:tc>
          <w:tcPr>
            <w:tcW w:w="920" w:type="dxa"/>
            <w:tcBorders>
              <w:top w:val="nil"/>
              <w:left w:val="nil"/>
              <w:bottom w:val="single" w:sz="4" w:space="0" w:color="auto"/>
              <w:right w:val="single" w:sz="4" w:space="0" w:color="auto"/>
            </w:tcBorders>
            <w:shd w:val="clear" w:color="auto" w:fill="auto"/>
            <w:noWrap/>
            <w:hideMark/>
          </w:tcPr>
          <w:p w14:paraId="183C5DE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10,5</w:t>
            </w:r>
          </w:p>
        </w:tc>
        <w:tc>
          <w:tcPr>
            <w:tcW w:w="920" w:type="dxa"/>
            <w:tcBorders>
              <w:top w:val="nil"/>
              <w:left w:val="nil"/>
              <w:bottom w:val="single" w:sz="4" w:space="0" w:color="auto"/>
              <w:right w:val="single" w:sz="4" w:space="0" w:color="auto"/>
            </w:tcBorders>
            <w:shd w:val="clear" w:color="auto" w:fill="auto"/>
            <w:noWrap/>
            <w:hideMark/>
          </w:tcPr>
          <w:p w14:paraId="5EEA2D5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13,3</w:t>
            </w:r>
          </w:p>
        </w:tc>
        <w:tc>
          <w:tcPr>
            <w:tcW w:w="920" w:type="dxa"/>
            <w:tcBorders>
              <w:top w:val="nil"/>
              <w:left w:val="nil"/>
              <w:bottom w:val="single" w:sz="4" w:space="0" w:color="auto"/>
              <w:right w:val="single" w:sz="4" w:space="0" w:color="auto"/>
            </w:tcBorders>
            <w:shd w:val="clear" w:color="auto" w:fill="auto"/>
            <w:noWrap/>
            <w:hideMark/>
          </w:tcPr>
          <w:p w14:paraId="58D97F8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11,6</w:t>
            </w:r>
          </w:p>
        </w:tc>
        <w:tc>
          <w:tcPr>
            <w:tcW w:w="920" w:type="dxa"/>
            <w:tcBorders>
              <w:top w:val="nil"/>
              <w:left w:val="nil"/>
              <w:bottom w:val="single" w:sz="4" w:space="0" w:color="auto"/>
              <w:right w:val="single" w:sz="4" w:space="0" w:color="auto"/>
            </w:tcBorders>
            <w:shd w:val="clear" w:color="auto" w:fill="auto"/>
            <w:noWrap/>
            <w:hideMark/>
          </w:tcPr>
          <w:p w14:paraId="2AFF191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8,6</w:t>
            </w:r>
          </w:p>
        </w:tc>
        <w:tc>
          <w:tcPr>
            <w:tcW w:w="920" w:type="dxa"/>
            <w:tcBorders>
              <w:top w:val="nil"/>
              <w:left w:val="nil"/>
              <w:bottom w:val="single" w:sz="4" w:space="0" w:color="auto"/>
              <w:right w:val="single" w:sz="4" w:space="0" w:color="auto"/>
            </w:tcBorders>
            <w:shd w:val="clear" w:color="auto" w:fill="auto"/>
            <w:noWrap/>
            <w:hideMark/>
          </w:tcPr>
          <w:p w14:paraId="1773660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10,8</w:t>
            </w:r>
          </w:p>
        </w:tc>
        <w:tc>
          <w:tcPr>
            <w:tcW w:w="920" w:type="dxa"/>
            <w:tcBorders>
              <w:top w:val="nil"/>
              <w:left w:val="nil"/>
              <w:bottom w:val="single" w:sz="4" w:space="0" w:color="auto"/>
              <w:right w:val="single" w:sz="4" w:space="0" w:color="auto"/>
            </w:tcBorders>
            <w:shd w:val="clear" w:color="auto" w:fill="auto"/>
            <w:noWrap/>
            <w:hideMark/>
          </w:tcPr>
          <w:p w14:paraId="411DAAA7"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9,5</w:t>
            </w:r>
          </w:p>
        </w:tc>
      </w:tr>
      <w:tr w:rsidR="00E7041A" w:rsidRPr="00D03466" w14:paraId="5A2149FE" w14:textId="77777777" w:rsidTr="00714569">
        <w:trPr>
          <w:trHeight w:val="300"/>
        </w:trPr>
        <w:tc>
          <w:tcPr>
            <w:tcW w:w="93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743CC367" w14:textId="77777777" w:rsidR="00E7041A" w:rsidRPr="00D03466" w:rsidRDefault="00E7041A" w:rsidP="00714569">
            <w:pPr>
              <w:spacing w:after="0" w:line="240" w:lineRule="auto"/>
              <w:ind w:firstLineChars="200" w:firstLine="320"/>
              <w:rPr>
                <w:rFonts w:ascii="Times New Roman" w:eastAsia="Times New Roman" w:hAnsi="Times New Roman" w:cs="Times New Roman"/>
                <w:i/>
                <w:iCs/>
                <w:color w:val="000000"/>
                <w:sz w:val="16"/>
                <w:szCs w:val="16"/>
              </w:rPr>
            </w:pPr>
            <w:r w:rsidRPr="00D03466">
              <w:rPr>
                <w:rFonts w:ascii="Times New Roman" w:eastAsia="Times New Roman" w:hAnsi="Times New Roman" w:cs="Times New Roman"/>
                <w:i/>
                <w:iCs/>
                <w:color w:val="000000"/>
                <w:sz w:val="16"/>
                <w:szCs w:val="16"/>
              </w:rPr>
              <w:t>• Selon la forme de sous-emploi</w:t>
            </w:r>
          </w:p>
        </w:tc>
      </w:tr>
      <w:tr w:rsidR="00E7041A" w:rsidRPr="00D03466" w14:paraId="4729BB53" w14:textId="77777777" w:rsidTr="00714569">
        <w:trPr>
          <w:trHeight w:val="300"/>
        </w:trPr>
        <w:tc>
          <w:tcPr>
            <w:tcW w:w="3856" w:type="dxa"/>
            <w:tcBorders>
              <w:top w:val="nil"/>
              <w:left w:val="single" w:sz="4" w:space="0" w:color="auto"/>
              <w:bottom w:val="single" w:sz="4" w:space="0" w:color="auto"/>
              <w:right w:val="single" w:sz="4" w:space="0" w:color="auto"/>
            </w:tcBorders>
            <w:shd w:val="clear" w:color="auto" w:fill="auto"/>
            <w:noWrap/>
            <w:hideMark/>
          </w:tcPr>
          <w:p w14:paraId="4A206D9D"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Sous-emploi visible (lié à la durée de travail)</w:t>
            </w:r>
          </w:p>
        </w:tc>
        <w:tc>
          <w:tcPr>
            <w:tcW w:w="920" w:type="dxa"/>
            <w:tcBorders>
              <w:top w:val="nil"/>
              <w:left w:val="nil"/>
              <w:bottom w:val="single" w:sz="4" w:space="0" w:color="auto"/>
              <w:right w:val="single" w:sz="4" w:space="0" w:color="auto"/>
            </w:tcBorders>
            <w:shd w:val="clear" w:color="auto" w:fill="auto"/>
            <w:noWrap/>
            <w:hideMark/>
          </w:tcPr>
          <w:p w14:paraId="5919FFC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5,9</w:t>
            </w:r>
          </w:p>
        </w:tc>
        <w:tc>
          <w:tcPr>
            <w:tcW w:w="920" w:type="dxa"/>
            <w:tcBorders>
              <w:top w:val="nil"/>
              <w:left w:val="nil"/>
              <w:bottom w:val="single" w:sz="4" w:space="0" w:color="auto"/>
              <w:right w:val="single" w:sz="4" w:space="0" w:color="auto"/>
            </w:tcBorders>
            <w:shd w:val="clear" w:color="auto" w:fill="auto"/>
            <w:noWrap/>
            <w:hideMark/>
          </w:tcPr>
          <w:p w14:paraId="5576EDD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8,0</w:t>
            </w:r>
          </w:p>
        </w:tc>
        <w:tc>
          <w:tcPr>
            <w:tcW w:w="920" w:type="dxa"/>
            <w:tcBorders>
              <w:top w:val="nil"/>
              <w:left w:val="nil"/>
              <w:bottom w:val="single" w:sz="4" w:space="0" w:color="auto"/>
              <w:right w:val="single" w:sz="4" w:space="0" w:color="auto"/>
            </w:tcBorders>
            <w:shd w:val="clear" w:color="auto" w:fill="auto"/>
            <w:noWrap/>
            <w:hideMark/>
          </w:tcPr>
          <w:p w14:paraId="4E8ECB1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6,8</w:t>
            </w:r>
          </w:p>
        </w:tc>
        <w:tc>
          <w:tcPr>
            <w:tcW w:w="920" w:type="dxa"/>
            <w:tcBorders>
              <w:top w:val="nil"/>
              <w:left w:val="nil"/>
              <w:bottom w:val="single" w:sz="4" w:space="0" w:color="auto"/>
              <w:right w:val="single" w:sz="4" w:space="0" w:color="auto"/>
            </w:tcBorders>
            <w:shd w:val="clear" w:color="auto" w:fill="auto"/>
            <w:noWrap/>
            <w:hideMark/>
          </w:tcPr>
          <w:p w14:paraId="5712DCF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3,7</w:t>
            </w:r>
          </w:p>
        </w:tc>
        <w:tc>
          <w:tcPr>
            <w:tcW w:w="920" w:type="dxa"/>
            <w:tcBorders>
              <w:top w:val="nil"/>
              <w:left w:val="nil"/>
              <w:bottom w:val="single" w:sz="4" w:space="0" w:color="auto"/>
              <w:right w:val="single" w:sz="4" w:space="0" w:color="auto"/>
            </w:tcBorders>
            <w:shd w:val="clear" w:color="auto" w:fill="auto"/>
            <w:noWrap/>
            <w:hideMark/>
          </w:tcPr>
          <w:p w14:paraId="09B4E4B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5,9</w:t>
            </w:r>
          </w:p>
        </w:tc>
        <w:tc>
          <w:tcPr>
            <w:tcW w:w="920" w:type="dxa"/>
            <w:tcBorders>
              <w:top w:val="nil"/>
              <w:left w:val="nil"/>
              <w:bottom w:val="single" w:sz="4" w:space="0" w:color="auto"/>
              <w:right w:val="single" w:sz="4" w:space="0" w:color="auto"/>
            </w:tcBorders>
            <w:shd w:val="clear" w:color="auto" w:fill="auto"/>
            <w:noWrap/>
            <w:hideMark/>
          </w:tcPr>
          <w:p w14:paraId="7BB76EF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4,6</w:t>
            </w:r>
          </w:p>
        </w:tc>
      </w:tr>
      <w:tr w:rsidR="00E7041A" w:rsidRPr="00D03466" w14:paraId="37616FEE" w14:textId="77777777" w:rsidTr="00714569">
        <w:trPr>
          <w:trHeight w:val="480"/>
        </w:trPr>
        <w:tc>
          <w:tcPr>
            <w:tcW w:w="3856" w:type="dxa"/>
            <w:tcBorders>
              <w:top w:val="nil"/>
              <w:left w:val="single" w:sz="4" w:space="0" w:color="auto"/>
              <w:bottom w:val="single" w:sz="4" w:space="0" w:color="auto"/>
              <w:right w:val="single" w:sz="4" w:space="0" w:color="auto"/>
            </w:tcBorders>
            <w:shd w:val="clear" w:color="auto" w:fill="auto"/>
            <w:hideMark/>
          </w:tcPr>
          <w:p w14:paraId="270429B5"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Sous-emploi invisible (lié aux revenus d'activité et à l'adéquation formation-emploi)</w:t>
            </w:r>
          </w:p>
        </w:tc>
        <w:tc>
          <w:tcPr>
            <w:tcW w:w="920" w:type="dxa"/>
            <w:tcBorders>
              <w:top w:val="nil"/>
              <w:left w:val="nil"/>
              <w:bottom w:val="single" w:sz="4" w:space="0" w:color="auto"/>
              <w:right w:val="single" w:sz="4" w:space="0" w:color="auto"/>
            </w:tcBorders>
            <w:shd w:val="clear" w:color="auto" w:fill="auto"/>
            <w:noWrap/>
            <w:vAlign w:val="bottom"/>
            <w:hideMark/>
          </w:tcPr>
          <w:p w14:paraId="65C0D453"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10205"/>
                <w:sz w:val="16"/>
                <w:szCs w:val="16"/>
              </w:rPr>
            </w:pPr>
            <w:r w:rsidRPr="00D03466">
              <w:rPr>
                <w:rFonts w:ascii="Times New Roman" w:eastAsia="Times New Roman" w:hAnsi="Times New Roman" w:cs="Times New Roman"/>
                <w:color w:val="010205"/>
                <w:sz w:val="16"/>
                <w:szCs w:val="16"/>
              </w:rPr>
              <w:t>4,6</w:t>
            </w:r>
          </w:p>
        </w:tc>
        <w:tc>
          <w:tcPr>
            <w:tcW w:w="920" w:type="dxa"/>
            <w:tcBorders>
              <w:top w:val="nil"/>
              <w:left w:val="nil"/>
              <w:bottom w:val="single" w:sz="4" w:space="0" w:color="auto"/>
              <w:right w:val="single" w:sz="4" w:space="0" w:color="auto"/>
            </w:tcBorders>
            <w:shd w:val="clear" w:color="auto" w:fill="auto"/>
            <w:noWrap/>
            <w:vAlign w:val="bottom"/>
            <w:hideMark/>
          </w:tcPr>
          <w:p w14:paraId="319E709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10205"/>
                <w:sz w:val="16"/>
                <w:szCs w:val="16"/>
              </w:rPr>
            </w:pPr>
            <w:r w:rsidRPr="00D03466">
              <w:rPr>
                <w:rFonts w:ascii="Times New Roman" w:eastAsia="Times New Roman" w:hAnsi="Times New Roman" w:cs="Times New Roman"/>
                <w:color w:val="010205"/>
                <w:sz w:val="16"/>
                <w:szCs w:val="16"/>
              </w:rPr>
              <w:t>5,2</w:t>
            </w:r>
          </w:p>
        </w:tc>
        <w:tc>
          <w:tcPr>
            <w:tcW w:w="920" w:type="dxa"/>
            <w:tcBorders>
              <w:top w:val="nil"/>
              <w:left w:val="nil"/>
              <w:bottom w:val="single" w:sz="4" w:space="0" w:color="auto"/>
              <w:right w:val="single" w:sz="4" w:space="0" w:color="auto"/>
            </w:tcBorders>
            <w:shd w:val="clear" w:color="auto" w:fill="auto"/>
            <w:noWrap/>
            <w:vAlign w:val="bottom"/>
            <w:hideMark/>
          </w:tcPr>
          <w:p w14:paraId="2652DF33"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10205"/>
                <w:sz w:val="16"/>
                <w:szCs w:val="16"/>
              </w:rPr>
            </w:pPr>
            <w:r w:rsidRPr="00D03466">
              <w:rPr>
                <w:rFonts w:ascii="Times New Roman" w:eastAsia="Times New Roman" w:hAnsi="Times New Roman" w:cs="Times New Roman"/>
                <w:color w:val="010205"/>
                <w:sz w:val="16"/>
                <w:szCs w:val="16"/>
              </w:rPr>
              <w:t>4,9</w:t>
            </w:r>
          </w:p>
        </w:tc>
        <w:tc>
          <w:tcPr>
            <w:tcW w:w="920" w:type="dxa"/>
            <w:tcBorders>
              <w:top w:val="nil"/>
              <w:left w:val="nil"/>
              <w:bottom w:val="single" w:sz="4" w:space="0" w:color="auto"/>
              <w:right w:val="single" w:sz="4" w:space="0" w:color="auto"/>
            </w:tcBorders>
            <w:shd w:val="clear" w:color="auto" w:fill="auto"/>
            <w:noWrap/>
            <w:vAlign w:val="bottom"/>
            <w:hideMark/>
          </w:tcPr>
          <w:p w14:paraId="544968C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10205"/>
                <w:sz w:val="16"/>
                <w:szCs w:val="16"/>
              </w:rPr>
            </w:pPr>
            <w:r w:rsidRPr="00D03466">
              <w:rPr>
                <w:rFonts w:ascii="Times New Roman" w:eastAsia="Times New Roman" w:hAnsi="Times New Roman" w:cs="Times New Roman"/>
                <w:color w:val="010205"/>
                <w:sz w:val="16"/>
                <w:szCs w:val="16"/>
              </w:rPr>
              <w:t>4,9</w:t>
            </w:r>
          </w:p>
        </w:tc>
        <w:tc>
          <w:tcPr>
            <w:tcW w:w="920" w:type="dxa"/>
            <w:tcBorders>
              <w:top w:val="nil"/>
              <w:left w:val="nil"/>
              <w:bottom w:val="single" w:sz="4" w:space="0" w:color="auto"/>
              <w:right w:val="single" w:sz="4" w:space="0" w:color="auto"/>
            </w:tcBorders>
            <w:shd w:val="clear" w:color="auto" w:fill="auto"/>
            <w:noWrap/>
            <w:vAlign w:val="bottom"/>
            <w:hideMark/>
          </w:tcPr>
          <w:p w14:paraId="1F45EF3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10205"/>
                <w:sz w:val="16"/>
                <w:szCs w:val="16"/>
              </w:rPr>
            </w:pPr>
            <w:r w:rsidRPr="00D03466">
              <w:rPr>
                <w:rFonts w:ascii="Times New Roman" w:eastAsia="Times New Roman" w:hAnsi="Times New Roman" w:cs="Times New Roman"/>
                <w:color w:val="010205"/>
                <w:sz w:val="16"/>
                <w:szCs w:val="16"/>
              </w:rPr>
              <w:t>5,0</w:t>
            </w:r>
          </w:p>
        </w:tc>
        <w:tc>
          <w:tcPr>
            <w:tcW w:w="920" w:type="dxa"/>
            <w:tcBorders>
              <w:top w:val="nil"/>
              <w:left w:val="nil"/>
              <w:bottom w:val="single" w:sz="4" w:space="0" w:color="auto"/>
              <w:right w:val="single" w:sz="4" w:space="0" w:color="auto"/>
            </w:tcBorders>
            <w:shd w:val="clear" w:color="auto" w:fill="auto"/>
            <w:noWrap/>
            <w:vAlign w:val="bottom"/>
            <w:hideMark/>
          </w:tcPr>
          <w:p w14:paraId="58F7D98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10205"/>
                <w:sz w:val="16"/>
                <w:szCs w:val="16"/>
              </w:rPr>
            </w:pPr>
            <w:r w:rsidRPr="00D03466">
              <w:rPr>
                <w:rFonts w:ascii="Times New Roman" w:eastAsia="Times New Roman" w:hAnsi="Times New Roman" w:cs="Times New Roman"/>
                <w:color w:val="010205"/>
                <w:sz w:val="16"/>
                <w:szCs w:val="16"/>
              </w:rPr>
              <w:t>4,9</w:t>
            </w:r>
          </w:p>
        </w:tc>
      </w:tr>
    </w:tbl>
    <w:p w14:paraId="300FCD69" w14:textId="77777777" w:rsidR="00E7041A" w:rsidRDefault="00E7041A" w:rsidP="00E7041A">
      <w:pPr>
        <w:rPr>
          <w:rFonts w:ascii="Book Antiqua" w:eastAsia="Book Antiqua" w:hAnsi="Book Antiqua" w:cs="Book Antiqua"/>
          <w:b/>
          <w:color w:val="0070C0"/>
          <w:sz w:val="20"/>
          <w:szCs w:val="20"/>
        </w:rPr>
      </w:pPr>
    </w:p>
    <w:p w14:paraId="694807B7" w14:textId="77777777" w:rsidR="00E7041A" w:rsidRDefault="00E7041A" w:rsidP="00E7041A">
      <w:pPr>
        <w:rPr>
          <w:rFonts w:ascii="Book Antiqua" w:eastAsia="Book Antiqua" w:hAnsi="Book Antiqua" w:cs="Book Antiqua"/>
          <w:b/>
          <w:color w:val="0070C0"/>
          <w:sz w:val="20"/>
          <w:szCs w:val="20"/>
        </w:rPr>
      </w:pPr>
    </w:p>
    <w:p w14:paraId="0B5CD7C4" w14:textId="77777777" w:rsidR="00E7041A" w:rsidRDefault="00E7041A" w:rsidP="00E7041A">
      <w:pPr>
        <w:rPr>
          <w:rFonts w:ascii="Book Antiqua" w:eastAsia="Book Antiqua" w:hAnsi="Book Antiqua" w:cs="Book Antiqua"/>
          <w:b/>
          <w:color w:val="0070C0"/>
          <w:sz w:val="20"/>
          <w:szCs w:val="20"/>
        </w:rPr>
      </w:pPr>
    </w:p>
    <w:p w14:paraId="03CE3D58" w14:textId="77777777" w:rsidR="00E7041A" w:rsidRDefault="00E7041A" w:rsidP="00E7041A">
      <w:pPr>
        <w:rPr>
          <w:rFonts w:ascii="Book Antiqua" w:eastAsia="Book Antiqua" w:hAnsi="Book Antiqua" w:cs="Book Antiqua"/>
          <w:b/>
          <w:color w:val="0070C0"/>
          <w:sz w:val="20"/>
          <w:szCs w:val="20"/>
        </w:rPr>
      </w:pPr>
    </w:p>
    <w:p w14:paraId="1A1402DB" w14:textId="77777777" w:rsidR="00E7041A" w:rsidRDefault="00E7041A" w:rsidP="003671E9">
      <w:pPr>
        <w:jc w:val="cente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lastRenderedPageBreak/>
        <w:t>Tableau 1 : Indicateurs trimestriels d'activité, d’emploi et de chômage par milieu de résidence (suite)</w:t>
      </w:r>
    </w:p>
    <w:tbl>
      <w:tblPr>
        <w:tblW w:w="9432" w:type="dxa"/>
        <w:tblInd w:w="57" w:type="dxa"/>
        <w:tblCellMar>
          <w:left w:w="70" w:type="dxa"/>
          <w:right w:w="70" w:type="dxa"/>
        </w:tblCellMar>
        <w:tblLook w:val="04A0" w:firstRow="1" w:lastRow="0" w:firstColumn="1" w:lastColumn="0" w:noHBand="0" w:noVBand="1"/>
      </w:tblPr>
      <w:tblGrid>
        <w:gridCol w:w="4061"/>
        <w:gridCol w:w="881"/>
        <w:gridCol w:w="898"/>
        <w:gridCol w:w="898"/>
        <w:gridCol w:w="898"/>
        <w:gridCol w:w="898"/>
        <w:gridCol w:w="898"/>
      </w:tblGrid>
      <w:tr w:rsidR="00D7240C" w:rsidRPr="00D03466" w14:paraId="2288A68A" w14:textId="77777777" w:rsidTr="00714569">
        <w:trPr>
          <w:trHeight w:val="300"/>
        </w:trPr>
        <w:tc>
          <w:tcPr>
            <w:tcW w:w="406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CBE53A5" w14:textId="77777777" w:rsidR="00D7240C" w:rsidRPr="00D03466" w:rsidRDefault="00D7240C" w:rsidP="00D7240C">
            <w:pPr>
              <w:bidi/>
              <w:spacing w:after="0" w:line="240" w:lineRule="auto"/>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tl/>
              </w:rPr>
              <w:t> </w:t>
            </w:r>
          </w:p>
        </w:tc>
        <w:tc>
          <w:tcPr>
            <w:tcW w:w="2677" w:type="dxa"/>
            <w:gridSpan w:val="3"/>
            <w:tcBorders>
              <w:top w:val="single" w:sz="4" w:space="0" w:color="auto"/>
              <w:left w:val="nil"/>
              <w:bottom w:val="single" w:sz="4" w:space="0" w:color="auto"/>
              <w:right w:val="single" w:sz="4" w:space="0" w:color="auto"/>
            </w:tcBorders>
            <w:shd w:val="clear" w:color="auto" w:fill="auto"/>
            <w:noWrap/>
            <w:hideMark/>
          </w:tcPr>
          <w:p w14:paraId="7C9B8A60" w14:textId="0DBBBCE2" w:rsidR="00D7240C" w:rsidRPr="00D03466" w:rsidRDefault="00D7240C" w:rsidP="00D7240C">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Troisième trimestre de </w:t>
            </w:r>
            <w:r w:rsidRPr="00D03466">
              <w:rPr>
                <w:rFonts w:ascii="Times New Roman" w:eastAsia="Times New Roman" w:hAnsi="Times New Roman" w:cs="Times New Roman"/>
                <w:b/>
                <w:bCs/>
                <w:color w:val="000000"/>
                <w:sz w:val="16"/>
                <w:szCs w:val="16"/>
              </w:rPr>
              <w:t>2020</w:t>
            </w:r>
          </w:p>
        </w:tc>
        <w:tc>
          <w:tcPr>
            <w:tcW w:w="2694" w:type="dxa"/>
            <w:gridSpan w:val="3"/>
            <w:tcBorders>
              <w:top w:val="single" w:sz="4" w:space="0" w:color="auto"/>
              <w:left w:val="nil"/>
              <w:bottom w:val="single" w:sz="4" w:space="0" w:color="auto"/>
              <w:right w:val="single" w:sz="4" w:space="0" w:color="auto"/>
            </w:tcBorders>
            <w:shd w:val="clear" w:color="auto" w:fill="auto"/>
            <w:noWrap/>
            <w:hideMark/>
          </w:tcPr>
          <w:p w14:paraId="76186FDF" w14:textId="0C6155F3" w:rsidR="00D7240C" w:rsidRPr="00D03466" w:rsidRDefault="00D7240C" w:rsidP="00D7240C">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Troisième trimestre de </w:t>
            </w:r>
            <w:r w:rsidRPr="00D03466">
              <w:rPr>
                <w:rFonts w:ascii="Times New Roman" w:eastAsia="Times New Roman" w:hAnsi="Times New Roman" w:cs="Times New Roman"/>
                <w:b/>
                <w:bCs/>
                <w:color w:val="000000"/>
                <w:sz w:val="16"/>
                <w:szCs w:val="16"/>
              </w:rPr>
              <w:t>202</w:t>
            </w:r>
            <w:r>
              <w:rPr>
                <w:rFonts w:ascii="Times New Roman" w:eastAsia="Times New Roman" w:hAnsi="Times New Roman" w:cs="Times New Roman"/>
                <w:b/>
                <w:bCs/>
                <w:color w:val="000000"/>
                <w:sz w:val="16"/>
                <w:szCs w:val="16"/>
              </w:rPr>
              <w:t>1</w:t>
            </w:r>
          </w:p>
        </w:tc>
      </w:tr>
      <w:tr w:rsidR="00E7041A" w:rsidRPr="00D03466" w14:paraId="19D857A4" w14:textId="77777777" w:rsidTr="00714569">
        <w:trPr>
          <w:trHeight w:val="300"/>
        </w:trPr>
        <w:tc>
          <w:tcPr>
            <w:tcW w:w="4061" w:type="dxa"/>
            <w:vMerge/>
            <w:tcBorders>
              <w:top w:val="single" w:sz="4" w:space="0" w:color="auto"/>
              <w:left w:val="single" w:sz="4" w:space="0" w:color="auto"/>
              <w:bottom w:val="single" w:sz="4" w:space="0" w:color="auto"/>
              <w:right w:val="single" w:sz="4" w:space="0" w:color="auto"/>
            </w:tcBorders>
            <w:vAlign w:val="center"/>
            <w:hideMark/>
          </w:tcPr>
          <w:p w14:paraId="6F69BE97" w14:textId="77777777" w:rsidR="00E7041A" w:rsidRPr="00D03466" w:rsidRDefault="00E7041A" w:rsidP="00714569">
            <w:pPr>
              <w:spacing w:after="0" w:line="240" w:lineRule="auto"/>
              <w:rPr>
                <w:rFonts w:ascii="Times New Roman" w:eastAsia="Times New Roman" w:hAnsi="Times New Roman" w:cs="Times New Roman"/>
                <w:b/>
                <w:bCs/>
                <w:color w:val="000000"/>
                <w:sz w:val="16"/>
                <w:szCs w:val="16"/>
              </w:rPr>
            </w:pPr>
          </w:p>
        </w:tc>
        <w:tc>
          <w:tcPr>
            <w:tcW w:w="881" w:type="dxa"/>
            <w:tcBorders>
              <w:top w:val="nil"/>
              <w:left w:val="nil"/>
              <w:bottom w:val="single" w:sz="4" w:space="0" w:color="auto"/>
              <w:right w:val="single" w:sz="4" w:space="0" w:color="auto"/>
            </w:tcBorders>
            <w:shd w:val="clear" w:color="auto" w:fill="auto"/>
            <w:hideMark/>
          </w:tcPr>
          <w:p w14:paraId="46C1AB7A"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Urbain</w:t>
            </w:r>
          </w:p>
        </w:tc>
        <w:tc>
          <w:tcPr>
            <w:tcW w:w="898" w:type="dxa"/>
            <w:tcBorders>
              <w:top w:val="nil"/>
              <w:left w:val="nil"/>
              <w:bottom w:val="single" w:sz="4" w:space="0" w:color="auto"/>
              <w:right w:val="single" w:sz="4" w:space="0" w:color="auto"/>
            </w:tcBorders>
            <w:shd w:val="clear" w:color="auto" w:fill="auto"/>
            <w:hideMark/>
          </w:tcPr>
          <w:p w14:paraId="0EDC54A5"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Rural</w:t>
            </w:r>
          </w:p>
        </w:tc>
        <w:tc>
          <w:tcPr>
            <w:tcW w:w="898" w:type="dxa"/>
            <w:tcBorders>
              <w:top w:val="nil"/>
              <w:left w:val="nil"/>
              <w:bottom w:val="single" w:sz="4" w:space="0" w:color="auto"/>
              <w:right w:val="single" w:sz="4" w:space="0" w:color="auto"/>
            </w:tcBorders>
            <w:shd w:val="clear" w:color="auto" w:fill="auto"/>
            <w:hideMark/>
          </w:tcPr>
          <w:p w14:paraId="35A7F1F1"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Ensemble</w:t>
            </w:r>
          </w:p>
        </w:tc>
        <w:tc>
          <w:tcPr>
            <w:tcW w:w="898" w:type="dxa"/>
            <w:tcBorders>
              <w:top w:val="nil"/>
              <w:left w:val="nil"/>
              <w:bottom w:val="single" w:sz="4" w:space="0" w:color="auto"/>
              <w:right w:val="single" w:sz="4" w:space="0" w:color="auto"/>
            </w:tcBorders>
            <w:shd w:val="clear" w:color="auto" w:fill="auto"/>
            <w:hideMark/>
          </w:tcPr>
          <w:p w14:paraId="06F986A4"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Urbain</w:t>
            </w:r>
          </w:p>
        </w:tc>
        <w:tc>
          <w:tcPr>
            <w:tcW w:w="898" w:type="dxa"/>
            <w:tcBorders>
              <w:top w:val="nil"/>
              <w:left w:val="nil"/>
              <w:bottom w:val="single" w:sz="4" w:space="0" w:color="auto"/>
              <w:right w:val="single" w:sz="4" w:space="0" w:color="auto"/>
            </w:tcBorders>
            <w:shd w:val="clear" w:color="auto" w:fill="auto"/>
            <w:hideMark/>
          </w:tcPr>
          <w:p w14:paraId="2DAEFE1F"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Rural</w:t>
            </w:r>
          </w:p>
        </w:tc>
        <w:tc>
          <w:tcPr>
            <w:tcW w:w="898" w:type="dxa"/>
            <w:tcBorders>
              <w:top w:val="nil"/>
              <w:left w:val="nil"/>
              <w:bottom w:val="single" w:sz="4" w:space="0" w:color="auto"/>
              <w:right w:val="single" w:sz="4" w:space="0" w:color="auto"/>
            </w:tcBorders>
            <w:shd w:val="clear" w:color="auto" w:fill="auto"/>
            <w:hideMark/>
          </w:tcPr>
          <w:p w14:paraId="2D57BC1C" w14:textId="77777777" w:rsidR="00E7041A" w:rsidRPr="00D03466" w:rsidRDefault="00E7041A" w:rsidP="00714569">
            <w:pPr>
              <w:bidi/>
              <w:spacing w:after="0" w:line="240" w:lineRule="auto"/>
              <w:jc w:val="center"/>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Ensemble</w:t>
            </w:r>
          </w:p>
        </w:tc>
      </w:tr>
      <w:tr w:rsidR="00E7041A" w:rsidRPr="00D03466" w14:paraId="6B88CCC6" w14:textId="77777777" w:rsidTr="00714569">
        <w:trPr>
          <w:trHeight w:val="300"/>
        </w:trPr>
        <w:tc>
          <w:tcPr>
            <w:tcW w:w="943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1BA6DD69" w14:textId="77777777" w:rsidR="00E7041A" w:rsidRPr="00D03466" w:rsidRDefault="00E7041A" w:rsidP="00714569">
            <w:pPr>
              <w:spacing w:after="0" w:line="240" w:lineRule="auto"/>
              <w:rPr>
                <w:rFonts w:ascii="Times New Roman" w:eastAsia="Times New Roman" w:hAnsi="Times New Roman" w:cs="Times New Roman"/>
                <w:b/>
                <w:bCs/>
                <w:sz w:val="16"/>
                <w:szCs w:val="16"/>
              </w:rPr>
            </w:pPr>
            <w:r w:rsidRPr="00D03466">
              <w:rPr>
                <w:rFonts w:ascii="Times New Roman" w:eastAsia="Times New Roman" w:hAnsi="Times New Roman" w:cs="Times New Roman"/>
                <w:b/>
                <w:bCs/>
                <w:sz w:val="16"/>
                <w:szCs w:val="16"/>
              </w:rPr>
              <w:t>Chômage</w:t>
            </w:r>
          </w:p>
        </w:tc>
      </w:tr>
      <w:tr w:rsidR="00E7041A" w:rsidRPr="00D03466" w14:paraId="3ECD5A77" w14:textId="77777777" w:rsidTr="00714569">
        <w:trPr>
          <w:trHeight w:val="300"/>
        </w:trPr>
        <w:tc>
          <w:tcPr>
            <w:tcW w:w="4061" w:type="dxa"/>
            <w:tcBorders>
              <w:top w:val="nil"/>
              <w:left w:val="single" w:sz="4" w:space="0" w:color="auto"/>
              <w:bottom w:val="single" w:sz="4" w:space="0" w:color="auto"/>
              <w:right w:val="single" w:sz="4" w:space="0" w:color="auto"/>
            </w:tcBorders>
            <w:shd w:val="clear" w:color="auto" w:fill="auto"/>
            <w:noWrap/>
            <w:hideMark/>
          </w:tcPr>
          <w:p w14:paraId="7A24BAA4" w14:textId="625152B2" w:rsidR="00E7041A" w:rsidRPr="00D03466" w:rsidRDefault="00E7041A" w:rsidP="00714569">
            <w:pPr>
              <w:spacing w:after="0" w:line="240" w:lineRule="auto"/>
              <w:ind w:firstLineChars="100" w:firstLine="161"/>
              <w:rPr>
                <w:rFonts w:ascii="Times New Roman" w:eastAsia="Times New Roman" w:hAnsi="Times New Roman" w:cs="Times New Roman"/>
                <w:b/>
                <w:bCs/>
                <w:color w:val="000000"/>
                <w:sz w:val="16"/>
                <w:szCs w:val="16"/>
              </w:rPr>
            </w:pPr>
            <w:r w:rsidRPr="00D03466">
              <w:rPr>
                <w:rFonts w:ascii="Times New Roman" w:eastAsia="Times New Roman" w:hAnsi="Times New Roman" w:cs="Times New Roman"/>
                <w:b/>
                <w:bCs/>
                <w:color w:val="000000"/>
                <w:sz w:val="16"/>
                <w:szCs w:val="16"/>
              </w:rPr>
              <w:t>Population active en chômage</w:t>
            </w:r>
            <w:r w:rsidR="003671E9">
              <w:rPr>
                <w:rFonts w:ascii="Times New Roman" w:eastAsia="Times New Roman" w:hAnsi="Times New Roman" w:cs="Times New Roman"/>
                <w:b/>
                <w:bCs/>
                <w:color w:val="000000"/>
                <w:sz w:val="16"/>
                <w:szCs w:val="16"/>
              </w:rPr>
              <w:t xml:space="preserve"> (en milliers)</w:t>
            </w:r>
          </w:p>
        </w:tc>
        <w:tc>
          <w:tcPr>
            <w:tcW w:w="881" w:type="dxa"/>
            <w:tcBorders>
              <w:top w:val="nil"/>
              <w:left w:val="nil"/>
              <w:bottom w:val="single" w:sz="4" w:space="0" w:color="auto"/>
              <w:right w:val="single" w:sz="4" w:space="0" w:color="auto"/>
            </w:tcBorders>
            <w:shd w:val="clear" w:color="auto" w:fill="auto"/>
            <w:noWrap/>
            <w:hideMark/>
          </w:tcPr>
          <w:p w14:paraId="6E192960"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1 178</w:t>
            </w:r>
          </w:p>
        </w:tc>
        <w:tc>
          <w:tcPr>
            <w:tcW w:w="898" w:type="dxa"/>
            <w:tcBorders>
              <w:top w:val="nil"/>
              <w:left w:val="nil"/>
              <w:bottom w:val="single" w:sz="4" w:space="0" w:color="auto"/>
              <w:right w:val="single" w:sz="4" w:space="0" w:color="auto"/>
            </w:tcBorders>
            <w:shd w:val="clear" w:color="auto" w:fill="auto"/>
            <w:noWrap/>
            <w:hideMark/>
          </w:tcPr>
          <w:p w14:paraId="56553532"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304</w:t>
            </w:r>
          </w:p>
        </w:tc>
        <w:tc>
          <w:tcPr>
            <w:tcW w:w="898" w:type="dxa"/>
            <w:tcBorders>
              <w:top w:val="nil"/>
              <w:left w:val="nil"/>
              <w:bottom w:val="single" w:sz="4" w:space="0" w:color="auto"/>
              <w:right w:val="single" w:sz="4" w:space="0" w:color="auto"/>
            </w:tcBorders>
            <w:shd w:val="clear" w:color="auto" w:fill="auto"/>
            <w:noWrap/>
            <w:hideMark/>
          </w:tcPr>
          <w:p w14:paraId="1DE6999B"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1 482</w:t>
            </w:r>
          </w:p>
        </w:tc>
        <w:tc>
          <w:tcPr>
            <w:tcW w:w="898" w:type="dxa"/>
            <w:tcBorders>
              <w:top w:val="nil"/>
              <w:left w:val="nil"/>
              <w:bottom w:val="single" w:sz="4" w:space="0" w:color="auto"/>
              <w:right w:val="single" w:sz="4" w:space="0" w:color="auto"/>
            </w:tcBorders>
            <w:shd w:val="clear" w:color="auto" w:fill="auto"/>
            <w:noWrap/>
            <w:hideMark/>
          </w:tcPr>
          <w:p w14:paraId="329F8C00"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1 204</w:t>
            </w:r>
          </w:p>
        </w:tc>
        <w:tc>
          <w:tcPr>
            <w:tcW w:w="898" w:type="dxa"/>
            <w:tcBorders>
              <w:top w:val="nil"/>
              <w:left w:val="nil"/>
              <w:bottom w:val="single" w:sz="4" w:space="0" w:color="auto"/>
              <w:right w:val="single" w:sz="4" w:space="0" w:color="auto"/>
            </w:tcBorders>
            <w:shd w:val="clear" w:color="auto" w:fill="auto"/>
            <w:noWrap/>
            <w:hideMark/>
          </w:tcPr>
          <w:p w14:paraId="2DCABAC9"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244</w:t>
            </w:r>
          </w:p>
        </w:tc>
        <w:tc>
          <w:tcPr>
            <w:tcW w:w="898" w:type="dxa"/>
            <w:tcBorders>
              <w:top w:val="nil"/>
              <w:left w:val="nil"/>
              <w:bottom w:val="single" w:sz="4" w:space="0" w:color="auto"/>
              <w:right w:val="single" w:sz="4" w:space="0" w:color="auto"/>
            </w:tcBorders>
            <w:shd w:val="clear" w:color="auto" w:fill="auto"/>
            <w:noWrap/>
            <w:hideMark/>
          </w:tcPr>
          <w:p w14:paraId="556C823E" w14:textId="77777777" w:rsidR="00E7041A" w:rsidRPr="00D03466" w:rsidRDefault="00E7041A" w:rsidP="00714569">
            <w:pPr>
              <w:spacing w:after="0" w:line="240" w:lineRule="auto"/>
              <w:ind w:firstLineChars="100" w:firstLine="161"/>
              <w:jc w:val="right"/>
              <w:rPr>
                <w:rFonts w:ascii="Times New Roman" w:eastAsia="Times New Roman" w:hAnsi="Times New Roman" w:cs="Times New Roman"/>
                <w:b/>
                <w:bCs/>
                <w:color w:val="010205"/>
                <w:sz w:val="16"/>
                <w:szCs w:val="16"/>
              </w:rPr>
            </w:pPr>
            <w:r w:rsidRPr="00D03466">
              <w:rPr>
                <w:rFonts w:ascii="Times New Roman" w:eastAsia="Times New Roman" w:hAnsi="Times New Roman" w:cs="Times New Roman"/>
                <w:b/>
                <w:bCs/>
                <w:color w:val="010205"/>
                <w:sz w:val="16"/>
                <w:szCs w:val="16"/>
              </w:rPr>
              <w:t>1 447</w:t>
            </w:r>
          </w:p>
        </w:tc>
      </w:tr>
      <w:tr w:rsidR="00E7041A" w:rsidRPr="00D03466" w14:paraId="569437A1" w14:textId="77777777" w:rsidTr="00714569">
        <w:trPr>
          <w:trHeight w:val="300"/>
        </w:trPr>
        <w:tc>
          <w:tcPr>
            <w:tcW w:w="4061" w:type="dxa"/>
            <w:tcBorders>
              <w:top w:val="nil"/>
              <w:left w:val="single" w:sz="4" w:space="0" w:color="auto"/>
              <w:bottom w:val="single" w:sz="4" w:space="0" w:color="auto"/>
              <w:right w:val="single" w:sz="4" w:space="0" w:color="auto"/>
            </w:tcBorders>
            <w:shd w:val="clear" w:color="auto" w:fill="auto"/>
            <w:noWrap/>
            <w:hideMark/>
          </w:tcPr>
          <w:p w14:paraId="67146E2E" w14:textId="77777777" w:rsidR="00E7041A" w:rsidRPr="00D03466"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Taux de féminisation de la population active en chômage</w:t>
            </w:r>
          </w:p>
        </w:tc>
        <w:tc>
          <w:tcPr>
            <w:tcW w:w="881" w:type="dxa"/>
            <w:tcBorders>
              <w:top w:val="nil"/>
              <w:left w:val="nil"/>
              <w:bottom w:val="single" w:sz="4" w:space="0" w:color="auto"/>
              <w:right w:val="single" w:sz="4" w:space="0" w:color="auto"/>
            </w:tcBorders>
            <w:shd w:val="clear" w:color="auto" w:fill="auto"/>
            <w:noWrap/>
            <w:hideMark/>
          </w:tcPr>
          <w:p w14:paraId="15D3CA95"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32,7</w:t>
            </w:r>
          </w:p>
        </w:tc>
        <w:tc>
          <w:tcPr>
            <w:tcW w:w="898" w:type="dxa"/>
            <w:tcBorders>
              <w:top w:val="nil"/>
              <w:left w:val="nil"/>
              <w:bottom w:val="single" w:sz="4" w:space="0" w:color="auto"/>
              <w:right w:val="single" w:sz="4" w:space="0" w:color="auto"/>
            </w:tcBorders>
            <w:shd w:val="clear" w:color="auto" w:fill="auto"/>
            <w:noWrap/>
            <w:hideMark/>
          </w:tcPr>
          <w:p w14:paraId="790F70D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13,6</w:t>
            </w:r>
          </w:p>
        </w:tc>
        <w:tc>
          <w:tcPr>
            <w:tcW w:w="898" w:type="dxa"/>
            <w:tcBorders>
              <w:top w:val="nil"/>
              <w:left w:val="nil"/>
              <w:bottom w:val="single" w:sz="4" w:space="0" w:color="auto"/>
              <w:right w:val="single" w:sz="4" w:space="0" w:color="auto"/>
            </w:tcBorders>
            <w:shd w:val="clear" w:color="auto" w:fill="auto"/>
            <w:noWrap/>
            <w:hideMark/>
          </w:tcPr>
          <w:p w14:paraId="606A046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28,8</w:t>
            </w:r>
          </w:p>
        </w:tc>
        <w:tc>
          <w:tcPr>
            <w:tcW w:w="898" w:type="dxa"/>
            <w:tcBorders>
              <w:top w:val="nil"/>
              <w:left w:val="nil"/>
              <w:bottom w:val="single" w:sz="4" w:space="0" w:color="auto"/>
              <w:right w:val="single" w:sz="4" w:space="0" w:color="auto"/>
            </w:tcBorders>
            <w:shd w:val="clear" w:color="auto" w:fill="auto"/>
            <w:noWrap/>
            <w:hideMark/>
          </w:tcPr>
          <w:p w14:paraId="5E39060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35,4</w:t>
            </w:r>
          </w:p>
        </w:tc>
        <w:tc>
          <w:tcPr>
            <w:tcW w:w="898" w:type="dxa"/>
            <w:tcBorders>
              <w:top w:val="nil"/>
              <w:left w:val="nil"/>
              <w:bottom w:val="single" w:sz="4" w:space="0" w:color="auto"/>
              <w:right w:val="single" w:sz="4" w:space="0" w:color="auto"/>
            </w:tcBorders>
            <w:shd w:val="clear" w:color="auto" w:fill="auto"/>
            <w:noWrap/>
            <w:hideMark/>
          </w:tcPr>
          <w:p w14:paraId="4CA9A72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16,9</w:t>
            </w:r>
          </w:p>
        </w:tc>
        <w:tc>
          <w:tcPr>
            <w:tcW w:w="898" w:type="dxa"/>
            <w:tcBorders>
              <w:top w:val="nil"/>
              <w:left w:val="nil"/>
              <w:bottom w:val="single" w:sz="4" w:space="0" w:color="auto"/>
              <w:right w:val="single" w:sz="4" w:space="0" w:color="auto"/>
            </w:tcBorders>
            <w:shd w:val="clear" w:color="auto" w:fill="auto"/>
            <w:noWrap/>
            <w:hideMark/>
          </w:tcPr>
          <w:p w14:paraId="237EE7E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32,3</w:t>
            </w:r>
          </w:p>
        </w:tc>
      </w:tr>
      <w:tr w:rsidR="00E7041A" w:rsidRPr="00D03466" w14:paraId="6E73C810" w14:textId="77777777" w:rsidTr="00714569">
        <w:trPr>
          <w:trHeight w:val="300"/>
        </w:trPr>
        <w:tc>
          <w:tcPr>
            <w:tcW w:w="4061" w:type="dxa"/>
            <w:tcBorders>
              <w:top w:val="nil"/>
              <w:left w:val="single" w:sz="4" w:space="0" w:color="auto"/>
              <w:bottom w:val="single" w:sz="4" w:space="0" w:color="auto"/>
              <w:right w:val="single" w:sz="4" w:space="0" w:color="auto"/>
            </w:tcBorders>
            <w:shd w:val="clear" w:color="auto" w:fill="auto"/>
            <w:noWrap/>
            <w:hideMark/>
          </w:tcPr>
          <w:p w14:paraId="0F26EEBD" w14:textId="36DEE0A8" w:rsidR="00E7041A" w:rsidRPr="00D03466"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Taux de chômage</w:t>
            </w:r>
            <w:r w:rsidR="003671E9">
              <w:rPr>
                <w:rFonts w:ascii="Times New Roman" w:eastAsia="Times New Roman" w:hAnsi="Times New Roman" w:cs="Times New Roman"/>
                <w:color w:val="000000"/>
                <w:sz w:val="16"/>
                <w:szCs w:val="16"/>
              </w:rPr>
              <w:t xml:space="preserve"> (%)</w:t>
            </w:r>
          </w:p>
        </w:tc>
        <w:tc>
          <w:tcPr>
            <w:tcW w:w="881" w:type="dxa"/>
            <w:tcBorders>
              <w:top w:val="nil"/>
              <w:left w:val="nil"/>
              <w:bottom w:val="single" w:sz="4" w:space="0" w:color="auto"/>
              <w:right w:val="single" w:sz="4" w:space="0" w:color="auto"/>
            </w:tcBorders>
            <w:shd w:val="clear" w:color="auto" w:fill="auto"/>
            <w:noWrap/>
            <w:hideMark/>
          </w:tcPr>
          <w:p w14:paraId="63A1749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16,5</w:t>
            </w:r>
          </w:p>
        </w:tc>
        <w:tc>
          <w:tcPr>
            <w:tcW w:w="898" w:type="dxa"/>
            <w:tcBorders>
              <w:top w:val="nil"/>
              <w:left w:val="nil"/>
              <w:bottom w:val="single" w:sz="4" w:space="0" w:color="auto"/>
              <w:right w:val="single" w:sz="4" w:space="0" w:color="auto"/>
            </w:tcBorders>
            <w:shd w:val="clear" w:color="auto" w:fill="auto"/>
            <w:noWrap/>
            <w:hideMark/>
          </w:tcPr>
          <w:p w14:paraId="4401C973"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6,8</w:t>
            </w:r>
          </w:p>
        </w:tc>
        <w:tc>
          <w:tcPr>
            <w:tcW w:w="898" w:type="dxa"/>
            <w:tcBorders>
              <w:top w:val="nil"/>
              <w:left w:val="nil"/>
              <w:bottom w:val="single" w:sz="4" w:space="0" w:color="auto"/>
              <w:right w:val="single" w:sz="4" w:space="0" w:color="auto"/>
            </w:tcBorders>
            <w:shd w:val="clear" w:color="auto" w:fill="auto"/>
            <w:noWrap/>
            <w:hideMark/>
          </w:tcPr>
          <w:p w14:paraId="139A146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12,7</w:t>
            </w:r>
          </w:p>
        </w:tc>
        <w:tc>
          <w:tcPr>
            <w:tcW w:w="898" w:type="dxa"/>
            <w:tcBorders>
              <w:top w:val="nil"/>
              <w:left w:val="nil"/>
              <w:bottom w:val="single" w:sz="4" w:space="0" w:color="auto"/>
              <w:right w:val="single" w:sz="4" w:space="0" w:color="auto"/>
            </w:tcBorders>
            <w:shd w:val="clear" w:color="auto" w:fill="auto"/>
            <w:noWrap/>
            <w:hideMark/>
          </w:tcPr>
          <w:p w14:paraId="190D5BC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16,0</w:t>
            </w:r>
          </w:p>
        </w:tc>
        <w:tc>
          <w:tcPr>
            <w:tcW w:w="898" w:type="dxa"/>
            <w:tcBorders>
              <w:top w:val="nil"/>
              <w:left w:val="nil"/>
              <w:bottom w:val="single" w:sz="4" w:space="0" w:color="auto"/>
              <w:right w:val="single" w:sz="4" w:space="0" w:color="auto"/>
            </w:tcBorders>
            <w:shd w:val="clear" w:color="auto" w:fill="auto"/>
            <w:noWrap/>
            <w:hideMark/>
          </w:tcPr>
          <w:p w14:paraId="3087C40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5,2</w:t>
            </w:r>
          </w:p>
        </w:tc>
        <w:tc>
          <w:tcPr>
            <w:tcW w:w="898" w:type="dxa"/>
            <w:tcBorders>
              <w:top w:val="nil"/>
              <w:left w:val="nil"/>
              <w:bottom w:val="single" w:sz="4" w:space="0" w:color="auto"/>
              <w:right w:val="single" w:sz="4" w:space="0" w:color="auto"/>
            </w:tcBorders>
            <w:shd w:val="clear" w:color="auto" w:fill="auto"/>
            <w:noWrap/>
            <w:hideMark/>
          </w:tcPr>
          <w:p w14:paraId="63772FD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11,8</w:t>
            </w:r>
          </w:p>
        </w:tc>
      </w:tr>
      <w:tr w:rsidR="00E7041A" w:rsidRPr="00D03466" w14:paraId="1FDBB4EF" w14:textId="77777777" w:rsidTr="00714569">
        <w:trPr>
          <w:trHeight w:val="300"/>
        </w:trPr>
        <w:tc>
          <w:tcPr>
            <w:tcW w:w="943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ACEF00B" w14:textId="77777777" w:rsidR="00E7041A" w:rsidRPr="00D03466" w:rsidRDefault="00E7041A" w:rsidP="00714569">
            <w:pPr>
              <w:spacing w:after="0" w:line="240" w:lineRule="auto"/>
              <w:ind w:firstLineChars="200" w:firstLine="320"/>
              <w:rPr>
                <w:rFonts w:ascii="Times New Roman" w:eastAsia="Times New Roman" w:hAnsi="Times New Roman" w:cs="Times New Roman"/>
                <w:i/>
                <w:iCs/>
                <w:color w:val="000000"/>
                <w:sz w:val="16"/>
                <w:szCs w:val="16"/>
              </w:rPr>
            </w:pPr>
            <w:r w:rsidRPr="00D03466">
              <w:rPr>
                <w:rFonts w:ascii="Times New Roman" w:eastAsia="Times New Roman" w:hAnsi="Times New Roman" w:cs="Times New Roman"/>
                <w:i/>
                <w:iCs/>
                <w:color w:val="000000"/>
                <w:sz w:val="16"/>
                <w:szCs w:val="16"/>
              </w:rPr>
              <w:t>• Selon le sexe</w:t>
            </w:r>
          </w:p>
        </w:tc>
      </w:tr>
      <w:tr w:rsidR="00E7041A" w:rsidRPr="00D03466" w14:paraId="22B3A130" w14:textId="77777777" w:rsidTr="00714569">
        <w:trPr>
          <w:trHeight w:val="300"/>
        </w:trPr>
        <w:tc>
          <w:tcPr>
            <w:tcW w:w="4061" w:type="dxa"/>
            <w:tcBorders>
              <w:top w:val="nil"/>
              <w:left w:val="single" w:sz="4" w:space="0" w:color="auto"/>
              <w:bottom w:val="single" w:sz="4" w:space="0" w:color="auto"/>
              <w:right w:val="single" w:sz="4" w:space="0" w:color="auto"/>
            </w:tcBorders>
            <w:shd w:val="clear" w:color="auto" w:fill="auto"/>
            <w:noWrap/>
            <w:hideMark/>
          </w:tcPr>
          <w:p w14:paraId="4AB8EDB2"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Hommes</w:t>
            </w:r>
          </w:p>
        </w:tc>
        <w:tc>
          <w:tcPr>
            <w:tcW w:w="881" w:type="dxa"/>
            <w:tcBorders>
              <w:top w:val="nil"/>
              <w:left w:val="nil"/>
              <w:bottom w:val="single" w:sz="4" w:space="0" w:color="auto"/>
              <w:right w:val="single" w:sz="4" w:space="0" w:color="auto"/>
            </w:tcBorders>
            <w:shd w:val="clear" w:color="auto" w:fill="auto"/>
            <w:noWrap/>
            <w:hideMark/>
          </w:tcPr>
          <w:p w14:paraId="33839A5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13,9</w:t>
            </w:r>
          </w:p>
        </w:tc>
        <w:tc>
          <w:tcPr>
            <w:tcW w:w="898" w:type="dxa"/>
            <w:tcBorders>
              <w:top w:val="nil"/>
              <w:left w:val="nil"/>
              <w:bottom w:val="single" w:sz="4" w:space="0" w:color="auto"/>
              <w:right w:val="single" w:sz="4" w:space="0" w:color="auto"/>
            </w:tcBorders>
            <w:shd w:val="clear" w:color="auto" w:fill="auto"/>
            <w:noWrap/>
            <w:hideMark/>
          </w:tcPr>
          <w:p w14:paraId="5AC49275"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7,4</w:t>
            </w:r>
          </w:p>
        </w:tc>
        <w:tc>
          <w:tcPr>
            <w:tcW w:w="898" w:type="dxa"/>
            <w:tcBorders>
              <w:top w:val="nil"/>
              <w:left w:val="nil"/>
              <w:bottom w:val="single" w:sz="4" w:space="0" w:color="auto"/>
              <w:right w:val="single" w:sz="4" w:space="0" w:color="auto"/>
            </w:tcBorders>
            <w:shd w:val="clear" w:color="auto" w:fill="auto"/>
            <w:noWrap/>
            <w:hideMark/>
          </w:tcPr>
          <w:p w14:paraId="42337BB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11,4</w:t>
            </w:r>
          </w:p>
        </w:tc>
        <w:tc>
          <w:tcPr>
            <w:tcW w:w="898" w:type="dxa"/>
            <w:tcBorders>
              <w:top w:val="nil"/>
              <w:left w:val="nil"/>
              <w:bottom w:val="single" w:sz="4" w:space="0" w:color="auto"/>
              <w:right w:val="single" w:sz="4" w:space="0" w:color="auto"/>
            </w:tcBorders>
            <w:shd w:val="clear" w:color="auto" w:fill="auto"/>
            <w:noWrap/>
            <w:hideMark/>
          </w:tcPr>
          <w:p w14:paraId="4C1D832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13,3</w:t>
            </w:r>
          </w:p>
        </w:tc>
        <w:tc>
          <w:tcPr>
            <w:tcW w:w="898" w:type="dxa"/>
            <w:tcBorders>
              <w:top w:val="nil"/>
              <w:left w:val="nil"/>
              <w:bottom w:val="single" w:sz="4" w:space="0" w:color="auto"/>
              <w:right w:val="single" w:sz="4" w:space="0" w:color="auto"/>
            </w:tcBorders>
            <w:shd w:val="clear" w:color="auto" w:fill="auto"/>
            <w:noWrap/>
            <w:hideMark/>
          </w:tcPr>
          <w:p w14:paraId="233C618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5,7</w:t>
            </w:r>
          </w:p>
        </w:tc>
        <w:tc>
          <w:tcPr>
            <w:tcW w:w="898" w:type="dxa"/>
            <w:tcBorders>
              <w:top w:val="nil"/>
              <w:left w:val="nil"/>
              <w:bottom w:val="single" w:sz="4" w:space="0" w:color="auto"/>
              <w:right w:val="single" w:sz="4" w:space="0" w:color="auto"/>
            </w:tcBorders>
            <w:shd w:val="clear" w:color="auto" w:fill="auto"/>
            <w:noWrap/>
            <w:hideMark/>
          </w:tcPr>
          <w:p w14:paraId="5E7752E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10,4</w:t>
            </w:r>
          </w:p>
        </w:tc>
      </w:tr>
      <w:tr w:rsidR="00E7041A" w:rsidRPr="00D03466" w14:paraId="41AE26C3" w14:textId="77777777" w:rsidTr="00714569">
        <w:trPr>
          <w:trHeight w:val="300"/>
        </w:trPr>
        <w:tc>
          <w:tcPr>
            <w:tcW w:w="4061" w:type="dxa"/>
            <w:tcBorders>
              <w:top w:val="nil"/>
              <w:left w:val="single" w:sz="4" w:space="0" w:color="auto"/>
              <w:bottom w:val="single" w:sz="4" w:space="0" w:color="auto"/>
              <w:right w:val="single" w:sz="4" w:space="0" w:color="auto"/>
            </w:tcBorders>
            <w:shd w:val="clear" w:color="auto" w:fill="auto"/>
            <w:noWrap/>
            <w:hideMark/>
          </w:tcPr>
          <w:p w14:paraId="603B764B"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Femmes</w:t>
            </w:r>
          </w:p>
        </w:tc>
        <w:tc>
          <w:tcPr>
            <w:tcW w:w="881" w:type="dxa"/>
            <w:tcBorders>
              <w:top w:val="nil"/>
              <w:left w:val="nil"/>
              <w:bottom w:val="single" w:sz="4" w:space="0" w:color="auto"/>
              <w:right w:val="single" w:sz="4" w:space="0" w:color="auto"/>
            </w:tcBorders>
            <w:shd w:val="clear" w:color="auto" w:fill="auto"/>
            <w:noWrap/>
            <w:hideMark/>
          </w:tcPr>
          <w:p w14:paraId="6435FC80"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26,3</w:t>
            </w:r>
          </w:p>
        </w:tc>
        <w:tc>
          <w:tcPr>
            <w:tcW w:w="898" w:type="dxa"/>
            <w:tcBorders>
              <w:top w:val="nil"/>
              <w:left w:val="nil"/>
              <w:bottom w:val="single" w:sz="4" w:space="0" w:color="auto"/>
              <w:right w:val="single" w:sz="4" w:space="0" w:color="auto"/>
            </w:tcBorders>
            <w:shd w:val="clear" w:color="auto" w:fill="auto"/>
            <w:noWrap/>
            <w:hideMark/>
          </w:tcPr>
          <w:p w14:paraId="0624B1D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4,3</w:t>
            </w:r>
          </w:p>
        </w:tc>
        <w:tc>
          <w:tcPr>
            <w:tcW w:w="898" w:type="dxa"/>
            <w:tcBorders>
              <w:top w:val="nil"/>
              <w:left w:val="nil"/>
              <w:bottom w:val="single" w:sz="4" w:space="0" w:color="auto"/>
              <w:right w:val="single" w:sz="4" w:space="0" w:color="auto"/>
            </w:tcBorders>
            <w:shd w:val="clear" w:color="auto" w:fill="auto"/>
            <w:noWrap/>
            <w:hideMark/>
          </w:tcPr>
          <w:p w14:paraId="48C82C53"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17,6</w:t>
            </w:r>
          </w:p>
        </w:tc>
        <w:tc>
          <w:tcPr>
            <w:tcW w:w="898" w:type="dxa"/>
            <w:tcBorders>
              <w:top w:val="nil"/>
              <w:left w:val="nil"/>
              <w:bottom w:val="single" w:sz="4" w:space="0" w:color="auto"/>
              <w:right w:val="single" w:sz="4" w:space="0" w:color="auto"/>
            </w:tcBorders>
            <w:shd w:val="clear" w:color="auto" w:fill="auto"/>
            <w:noWrap/>
            <w:hideMark/>
          </w:tcPr>
          <w:p w14:paraId="4259391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25,0</w:t>
            </w:r>
          </w:p>
        </w:tc>
        <w:tc>
          <w:tcPr>
            <w:tcW w:w="898" w:type="dxa"/>
            <w:tcBorders>
              <w:top w:val="nil"/>
              <w:left w:val="nil"/>
              <w:bottom w:val="single" w:sz="4" w:space="0" w:color="auto"/>
              <w:right w:val="single" w:sz="4" w:space="0" w:color="auto"/>
            </w:tcBorders>
            <w:shd w:val="clear" w:color="auto" w:fill="auto"/>
            <w:noWrap/>
            <w:hideMark/>
          </w:tcPr>
          <w:p w14:paraId="73F08930"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3,7</w:t>
            </w:r>
          </w:p>
        </w:tc>
        <w:tc>
          <w:tcPr>
            <w:tcW w:w="898" w:type="dxa"/>
            <w:tcBorders>
              <w:top w:val="nil"/>
              <w:left w:val="nil"/>
              <w:bottom w:val="single" w:sz="4" w:space="0" w:color="auto"/>
              <w:right w:val="single" w:sz="4" w:space="0" w:color="auto"/>
            </w:tcBorders>
            <w:shd w:val="clear" w:color="auto" w:fill="auto"/>
            <w:noWrap/>
            <w:hideMark/>
          </w:tcPr>
          <w:p w14:paraId="6DCBE21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16,5</w:t>
            </w:r>
          </w:p>
        </w:tc>
      </w:tr>
      <w:tr w:rsidR="00E7041A" w:rsidRPr="00D03466" w14:paraId="33A09F02" w14:textId="77777777" w:rsidTr="00714569">
        <w:trPr>
          <w:trHeight w:val="300"/>
        </w:trPr>
        <w:tc>
          <w:tcPr>
            <w:tcW w:w="943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111D18B" w14:textId="77777777" w:rsidR="00E7041A" w:rsidRPr="00D03466" w:rsidRDefault="00E7041A" w:rsidP="00714569">
            <w:pPr>
              <w:spacing w:after="0" w:line="240" w:lineRule="auto"/>
              <w:ind w:firstLineChars="200" w:firstLine="320"/>
              <w:rPr>
                <w:rFonts w:ascii="Times New Roman" w:eastAsia="Times New Roman" w:hAnsi="Times New Roman" w:cs="Times New Roman"/>
                <w:i/>
                <w:iCs/>
                <w:color w:val="000000"/>
                <w:sz w:val="16"/>
                <w:szCs w:val="16"/>
              </w:rPr>
            </w:pPr>
            <w:r w:rsidRPr="00D03466">
              <w:rPr>
                <w:rFonts w:ascii="Times New Roman" w:eastAsia="Times New Roman" w:hAnsi="Times New Roman" w:cs="Times New Roman"/>
                <w:i/>
                <w:iCs/>
                <w:color w:val="000000"/>
                <w:sz w:val="16"/>
                <w:szCs w:val="16"/>
              </w:rPr>
              <w:t>• Selon l'âge</w:t>
            </w:r>
          </w:p>
        </w:tc>
      </w:tr>
      <w:tr w:rsidR="00E7041A" w:rsidRPr="00D03466" w14:paraId="3C3BFE0A" w14:textId="77777777" w:rsidTr="00714569">
        <w:trPr>
          <w:trHeight w:val="300"/>
        </w:trPr>
        <w:tc>
          <w:tcPr>
            <w:tcW w:w="4061" w:type="dxa"/>
            <w:tcBorders>
              <w:top w:val="nil"/>
              <w:left w:val="single" w:sz="4" w:space="0" w:color="auto"/>
              <w:bottom w:val="single" w:sz="4" w:space="0" w:color="auto"/>
              <w:right w:val="single" w:sz="4" w:space="0" w:color="auto"/>
            </w:tcBorders>
            <w:shd w:val="clear" w:color="auto" w:fill="auto"/>
            <w:noWrap/>
            <w:hideMark/>
          </w:tcPr>
          <w:p w14:paraId="3400DD94"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15-24 ans</w:t>
            </w:r>
          </w:p>
        </w:tc>
        <w:tc>
          <w:tcPr>
            <w:tcW w:w="881" w:type="dxa"/>
            <w:tcBorders>
              <w:top w:val="nil"/>
              <w:left w:val="nil"/>
              <w:bottom w:val="single" w:sz="4" w:space="0" w:color="auto"/>
              <w:right w:val="single" w:sz="4" w:space="0" w:color="auto"/>
            </w:tcBorders>
            <w:shd w:val="clear" w:color="auto" w:fill="auto"/>
            <w:noWrap/>
            <w:hideMark/>
          </w:tcPr>
          <w:p w14:paraId="2041460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46,7</w:t>
            </w:r>
          </w:p>
        </w:tc>
        <w:tc>
          <w:tcPr>
            <w:tcW w:w="898" w:type="dxa"/>
            <w:tcBorders>
              <w:top w:val="nil"/>
              <w:left w:val="nil"/>
              <w:bottom w:val="single" w:sz="4" w:space="0" w:color="auto"/>
              <w:right w:val="single" w:sz="4" w:space="0" w:color="auto"/>
            </w:tcBorders>
            <w:shd w:val="clear" w:color="auto" w:fill="auto"/>
            <w:noWrap/>
            <w:hideMark/>
          </w:tcPr>
          <w:p w14:paraId="0328CE3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16,8</w:t>
            </w:r>
          </w:p>
        </w:tc>
        <w:tc>
          <w:tcPr>
            <w:tcW w:w="898" w:type="dxa"/>
            <w:tcBorders>
              <w:top w:val="nil"/>
              <w:left w:val="nil"/>
              <w:bottom w:val="single" w:sz="4" w:space="0" w:color="auto"/>
              <w:right w:val="single" w:sz="4" w:space="0" w:color="auto"/>
            </w:tcBorders>
            <w:shd w:val="clear" w:color="auto" w:fill="auto"/>
            <w:noWrap/>
            <w:hideMark/>
          </w:tcPr>
          <w:p w14:paraId="4F7BF2F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32,3</w:t>
            </w:r>
          </w:p>
        </w:tc>
        <w:tc>
          <w:tcPr>
            <w:tcW w:w="898" w:type="dxa"/>
            <w:tcBorders>
              <w:top w:val="nil"/>
              <w:left w:val="nil"/>
              <w:bottom w:val="single" w:sz="4" w:space="0" w:color="auto"/>
              <w:right w:val="single" w:sz="4" w:space="0" w:color="auto"/>
            </w:tcBorders>
            <w:shd w:val="clear" w:color="auto" w:fill="auto"/>
            <w:noWrap/>
            <w:hideMark/>
          </w:tcPr>
          <w:p w14:paraId="6125BA0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45,2</w:t>
            </w:r>
          </w:p>
        </w:tc>
        <w:tc>
          <w:tcPr>
            <w:tcW w:w="898" w:type="dxa"/>
            <w:tcBorders>
              <w:top w:val="nil"/>
              <w:left w:val="nil"/>
              <w:bottom w:val="single" w:sz="4" w:space="0" w:color="auto"/>
              <w:right w:val="single" w:sz="4" w:space="0" w:color="auto"/>
            </w:tcBorders>
            <w:shd w:val="clear" w:color="auto" w:fill="auto"/>
            <w:noWrap/>
            <w:hideMark/>
          </w:tcPr>
          <w:p w14:paraId="7F5EF23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15,6</w:t>
            </w:r>
          </w:p>
        </w:tc>
        <w:tc>
          <w:tcPr>
            <w:tcW w:w="898" w:type="dxa"/>
            <w:tcBorders>
              <w:top w:val="nil"/>
              <w:left w:val="nil"/>
              <w:bottom w:val="single" w:sz="4" w:space="0" w:color="auto"/>
              <w:right w:val="single" w:sz="4" w:space="0" w:color="auto"/>
            </w:tcBorders>
            <w:shd w:val="clear" w:color="auto" w:fill="auto"/>
            <w:noWrap/>
            <w:hideMark/>
          </w:tcPr>
          <w:p w14:paraId="787F06F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31,0</w:t>
            </w:r>
          </w:p>
        </w:tc>
      </w:tr>
      <w:tr w:rsidR="00E7041A" w:rsidRPr="00D03466" w14:paraId="160AB205" w14:textId="77777777" w:rsidTr="00714569">
        <w:trPr>
          <w:trHeight w:val="300"/>
        </w:trPr>
        <w:tc>
          <w:tcPr>
            <w:tcW w:w="4061" w:type="dxa"/>
            <w:tcBorders>
              <w:top w:val="nil"/>
              <w:left w:val="single" w:sz="4" w:space="0" w:color="auto"/>
              <w:bottom w:val="single" w:sz="4" w:space="0" w:color="auto"/>
              <w:right w:val="single" w:sz="4" w:space="0" w:color="auto"/>
            </w:tcBorders>
            <w:shd w:val="clear" w:color="auto" w:fill="auto"/>
            <w:noWrap/>
            <w:hideMark/>
          </w:tcPr>
          <w:p w14:paraId="648D8F49"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25-34 ans</w:t>
            </w:r>
          </w:p>
        </w:tc>
        <w:tc>
          <w:tcPr>
            <w:tcW w:w="881" w:type="dxa"/>
            <w:tcBorders>
              <w:top w:val="nil"/>
              <w:left w:val="nil"/>
              <w:bottom w:val="single" w:sz="4" w:space="0" w:color="auto"/>
              <w:right w:val="single" w:sz="4" w:space="0" w:color="auto"/>
            </w:tcBorders>
            <w:shd w:val="clear" w:color="auto" w:fill="auto"/>
            <w:noWrap/>
            <w:hideMark/>
          </w:tcPr>
          <w:p w14:paraId="25BED29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24,7</w:t>
            </w:r>
          </w:p>
        </w:tc>
        <w:tc>
          <w:tcPr>
            <w:tcW w:w="898" w:type="dxa"/>
            <w:tcBorders>
              <w:top w:val="nil"/>
              <w:left w:val="nil"/>
              <w:bottom w:val="single" w:sz="4" w:space="0" w:color="auto"/>
              <w:right w:val="single" w:sz="4" w:space="0" w:color="auto"/>
            </w:tcBorders>
            <w:shd w:val="clear" w:color="auto" w:fill="auto"/>
            <w:noWrap/>
            <w:hideMark/>
          </w:tcPr>
          <w:p w14:paraId="24A0BF7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9,1</w:t>
            </w:r>
          </w:p>
        </w:tc>
        <w:tc>
          <w:tcPr>
            <w:tcW w:w="898" w:type="dxa"/>
            <w:tcBorders>
              <w:top w:val="nil"/>
              <w:left w:val="nil"/>
              <w:bottom w:val="single" w:sz="4" w:space="0" w:color="auto"/>
              <w:right w:val="single" w:sz="4" w:space="0" w:color="auto"/>
            </w:tcBorders>
            <w:shd w:val="clear" w:color="auto" w:fill="auto"/>
            <w:noWrap/>
            <w:hideMark/>
          </w:tcPr>
          <w:p w14:paraId="45DF352A"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19,5</w:t>
            </w:r>
          </w:p>
        </w:tc>
        <w:tc>
          <w:tcPr>
            <w:tcW w:w="898" w:type="dxa"/>
            <w:tcBorders>
              <w:top w:val="nil"/>
              <w:left w:val="nil"/>
              <w:bottom w:val="single" w:sz="4" w:space="0" w:color="auto"/>
              <w:right w:val="single" w:sz="4" w:space="0" w:color="auto"/>
            </w:tcBorders>
            <w:shd w:val="clear" w:color="auto" w:fill="auto"/>
            <w:noWrap/>
            <w:hideMark/>
          </w:tcPr>
          <w:p w14:paraId="1F0777C8"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24,4</w:t>
            </w:r>
          </w:p>
        </w:tc>
        <w:tc>
          <w:tcPr>
            <w:tcW w:w="898" w:type="dxa"/>
            <w:tcBorders>
              <w:top w:val="nil"/>
              <w:left w:val="nil"/>
              <w:bottom w:val="single" w:sz="4" w:space="0" w:color="auto"/>
              <w:right w:val="single" w:sz="4" w:space="0" w:color="auto"/>
            </w:tcBorders>
            <w:shd w:val="clear" w:color="auto" w:fill="auto"/>
            <w:noWrap/>
            <w:hideMark/>
          </w:tcPr>
          <w:p w14:paraId="7C8B003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7,2</w:t>
            </w:r>
          </w:p>
        </w:tc>
        <w:tc>
          <w:tcPr>
            <w:tcW w:w="898" w:type="dxa"/>
            <w:tcBorders>
              <w:top w:val="nil"/>
              <w:left w:val="nil"/>
              <w:bottom w:val="single" w:sz="4" w:space="0" w:color="auto"/>
              <w:right w:val="single" w:sz="4" w:space="0" w:color="auto"/>
            </w:tcBorders>
            <w:shd w:val="clear" w:color="auto" w:fill="auto"/>
            <w:noWrap/>
            <w:hideMark/>
          </w:tcPr>
          <w:p w14:paraId="7B94C9B2"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18,8</w:t>
            </w:r>
          </w:p>
        </w:tc>
      </w:tr>
      <w:tr w:rsidR="00E7041A" w:rsidRPr="00D03466" w14:paraId="67FFF495" w14:textId="77777777" w:rsidTr="00714569">
        <w:trPr>
          <w:trHeight w:val="300"/>
        </w:trPr>
        <w:tc>
          <w:tcPr>
            <w:tcW w:w="4061" w:type="dxa"/>
            <w:tcBorders>
              <w:top w:val="nil"/>
              <w:left w:val="single" w:sz="4" w:space="0" w:color="auto"/>
              <w:bottom w:val="single" w:sz="4" w:space="0" w:color="auto"/>
              <w:right w:val="single" w:sz="4" w:space="0" w:color="auto"/>
            </w:tcBorders>
            <w:shd w:val="clear" w:color="auto" w:fill="auto"/>
            <w:noWrap/>
            <w:hideMark/>
          </w:tcPr>
          <w:p w14:paraId="335C2323"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35-44 ans</w:t>
            </w:r>
          </w:p>
        </w:tc>
        <w:tc>
          <w:tcPr>
            <w:tcW w:w="881" w:type="dxa"/>
            <w:tcBorders>
              <w:top w:val="nil"/>
              <w:left w:val="nil"/>
              <w:bottom w:val="single" w:sz="4" w:space="0" w:color="auto"/>
              <w:right w:val="single" w:sz="4" w:space="0" w:color="auto"/>
            </w:tcBorders>
            <w:shd w:val="clear" w:color="auto" w:fill="auto"/>
            <w:noWrap/>
            <w:hideMark/>
          </w:tcPr>
          <w:p w14:paraId="70BCCDD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9,7</w:t>
            </w:r>
          </w:p>
        </w:tc>
        <w:tc>
          <w:tcPr>
            <w:tcW w:w="898" w:type="dxa"/>
            <w:tcBorders>
              <w:top w:val="nil"/>
              <w:left w:val="nil"/>
              <w:bottom w:val="single" w:sz="4" w:space="0" w:color="auto"/>
              <w:right w:val="single" w:sz="4" w:space="0" w:color="auto"/>
            </w:tcBorders>
            <w:shd w:val="clear" w:color="auto" w:fill="auto"/>
            <w:noWrap/>
            <w:hideMark/>
          </w:tcPr>
          <w:p w14:paraId="16312F3C"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4,9</w:t>
            </w:r>
          </w:p>
        </w:tc>
        <w:tc>
          <w:tcPr>
            <w:tcW w:w="898" w:type="dxa"/>
            <w:tcBorders>
              <w:top w:val="nil"/>
              <w:left w:val="nil"/>
              <w:bottom w:val="single" w:sz="4" w:space="0" w:color="auto"/>
              <w:right w:val="single" w:sz="4" w:space="0" w:color="auto"/>
            </w:tcBorders>
            <w:shd w:val="clear" w:color="auto" w:fill="auto"/>
            <w:noWrap/>
            <w:hideMark/>
          </w:tcPr>
          <w:p w14:paraId="77EDD5F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8,0</w:t>
            </w:r>
          </w:p>
        </w:tc>
        <w:tc>
          <w:tcPr>
            <w:tcW w:w="898" w:type="dxa"/>
            <w:tcBorders>
              <w:top w:val="nil"/>
              <w:left w:val="nil"/>
              <w:bottom w:val="single" w:sz="4" w:space="0" w:color="auto"/>
              <w:right w:val="single" w:sz="4" w:space="0" w:color="auto"/>
            </w:tcBorders>
            <w:shd w:val="clear" w:color="auto" w:fill="auto"/>
            <w:noWrap/>
            <w:hideMark/>
          </w:tcPr>
          <w:p w14:paraId="7A35E49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8,4</w:t>
            </w:r>
          </w:p>
        </w:tc>
        <w:tc>
          <w:tcPr>
            <w:tcW w:w="898" w:type="dxa"/>
            <w:tcBorders>
              <w:top w:val="nil"/>
              <w:left w:val="nil"/>
              <w:bottom w:val="single" w:sz="4" w:space="0" w:color="auto"/>
              <w:right w:val="single" w:sz="4" w:space="0" w:color="auto"/>
            </w:tcBorders>
            <w:shd w:val="clear" w:color="auto" w:fill="auto"/>
            <w:noWrap/>
            <w:hideMark/>
          </w:tcPr>
          <w:p w14:paraId="008EF42F"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2,5</w:t>
            </w:r>
          </w:p>
        </w:tc>
        <w:tc>
          <w:tcPr>
            <w:tcW w:w="898" w:type="dxa"/>
            <w:tcBorders>
              <w:top w:val="nil"/>
              <w:left w:val="nil"/>
              <w:bottom w:val="single" w:sz="4" w:space="0" w:color="auto"/>
              <w:right w:val="single" w:sz="4" w:space="0" w:color="auto"/>
            </w:tcBorders>
            <w:shd w:val="clear" w:color="auto" w:fill="auto"/>
            <w:noWrap/>
            <w:hideMark/>
          </w:tcPr>
          <w:p w14:paraId="073A70A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6,3</w:t>
            </w:r>
          </w:p>
        </w:tc>
      </w:tr>
      <w:tr w:rsidR="00E7041A" w:rsidRPr="00D03466" w14:paraId="3FCDE4AD" w14:textId="77777777" w:rsidTr="00714569">
        <w:trPr>
          <w:trHeight w:val="300"/>
        </w:trPr>
        <w:tc>
          <w:tcPr>
            <w:tcW w:w="4061" w:type="dxa"/>
            <w:tcBorders>
              <w:top w:val="nil"/>
              <w:left w:val="single" w:sz="4" w:space="0" w:color="auto"/>
              <w:bottom w:val="single" w:sz="4" w:space="0" w:color="auto"/>
              <w:right w:val="single" w:sz="4" w:space="0" w:color="auto"/>
            </w:tcBorders>
            <w:shd w:val="clear" w:color="auto" w:fill="auto"/>
            <w:noWrap/>
            <w:hideMark/>
          </w:tcPr>
          <w:p w14:paraId="6156D586"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45 ans et plus</w:t>
            </w:r>
          </w:p>
        </w:tc>
        <w:tc>
          <w:tcPr>
            <w:tcW w:w="881" w:type="dxa"/>
            <w:tcBorders>
              <w:top w:val="nil"/>
              <w:left w:val="nil"/>
              <w:bottom w:val="single" w:sz="4" w:space="0" w:color="auto"/>
              <w:right w:val="single" w:sz="4" w:space="0" w:color="auto"/>
            </w:tcBorders>
            <w:shd w:val="clear" w:color="auto" w:fill="auto"/>
            <w:noWrap/>
            <w:hideMark/>
          </w:tcPr>
          <w:p w14:paraId="5B4A72A9"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5,7</w:t>
            </w:r>
          </w:p>
        </w:tc>
        <w:tc>
          <w:tcPr>
            <w:tcW w:w="898" w:type="dxa"/>
            <w:tcBorders>
              <w:top w:val="nil"/>
              <w:left w:val="nil"/>
              <w:bottom w:val="single" w:sz="4" w:space="0" w:color="auto"/>
              <w:right w:val="single" w:sz="4" w:space="0" w:color="auto"/>
            </w:tcBorders>
            <w:shd w:val="clear" w:color="auto" w:fill="auto"/>
            <w:noWrap/>
            <w:hideMark/>
          </w:tcPr>
          <w:p w14:paraId="521D9655"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2,7</w:t>
            </w:r>
          </w:p>
        </w:tc>
        <w:tc>
          <w:tcPr>
            <w:tcW w:w="898" w:type="dxa"/>
            <w:tcBorders>
              <w:top w:val="nil"/>
              <w:left w:val="nil"/>
              <w:bottom w:val="single" w:sz="4" w:space="0" w:color="auto"/>
              <w:right w:val="single" w:sz="4" w:space="0" w:color="auto"/>
            </w:tcBorders>
            <w:shd w:val="clear" w:color="auto" w:fill="auto"/>
            <w:noWrap/>
            <w:hideMark/>
          </w:tcPr>
          <w:p w14:paraId="541D2C05"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4,4</w:t>
            </w:r>
          </w:p>
        </w:tc>
        <w:tc>
          <w:tcPr>
            <w:tcW w:w="898" w:type="dxa"/>
            <w:tcBorders>
              <w:top w:val="nil"/>
              <w:left w:val="nil"/>
              <w:bottom w:val="single" w:sz="4" w:space="0" w:color="auto"/>
              <w:right w:val="single" w:sz="4" w:space="0" w:color="auto"/>
            </w:tcBorders>
            <w:shd w:val="clear" w:color="auto" w:fill="auto"/>
            <w:noWrap/>
            <w:hideMark/>
          </w:tcPr>
          <w:p w14:paraId="7E2EA04B"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5,3</w:t>
            </w:r>
          </w:p>
        </w:tc>
        <w:tc>
          <w:tcPr>
            <w:tcW w:w="898" w:type="dxa"/>
            <w:tcBorders>
              <w:top w:val="nil"/>
              <w:left w:val="nil"/>
              <w:bottom w:val="single" w:sz="4" w:space="0" w:color="auto"/>
              <w:right w:val="single" w:sz="4" w:space="0" w:color="auto"/>
            </w:tcBorders>
            <w:shd w:val="clear" w:color="auto" w:fill="auto"/>
            <w:noWrap/>
            <w:hideMark/>
          </w:tcPr>
          <w:p w14:paraId="5DC84D5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1,5</w:t>
            </w:r>
          </w:p>
        </w:tc>
        <w:tc>
          <w:tcPr>
            <w:tcW w:w="898" w:type="dxa"/>
            <w:tcBorders>
              <w:top w:val="nil"/>
              <w:left w:val="nil"/>
              <w:bottom w:val="single" w:sz="4" w:space="0" w:color="auto"/>
              <w:right w:val="single" w:sz="4" w:space="0" w:color="auto"/>
            </w:tcBorders>
            <w:shd w:val="clear" w:color="auto" w:fill="auto"/>
            <w:noWrap/>
            <w:hideMark/>
          </w:tcPr>
          <w:p w14:paraId="684BD24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3,7</w:t>
            </w:r>
          </w:p>
        </w:tc>
      </w:tr>
      <w:tr w:rsidR="00E7041A" w:rsidRPr="00D03466" w14:paraId="6D4CFE3F" w14:textId="77777777" w:rsidTr="00714569">
        <w:trPr>
          <w:trHeight w:val="300"/>
        </w:trPr>
        <w:tc>
          <w:tcPr>
            <w:tcW w:w="943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8CA8B40" w14:textId="77777777" w:rsidR="00E7041A" w:rsidRPr="00D03466" w:rsidRDefault="00E7041A" w:rsidP="00714569">
            <w:pPr>
              <w:spacing w:after="0" w:line="240" w:lineRule="auto"/>
              <w:ind w:firstLineChars="200" w:firstLine="320"/>
              <w:rPr>
                <w:rFonts w:ascii="Times New Roman" w:eastAsia="Times New Roman" w:hAnsi="Times New Roman" w:cs="Times New Roman"/>
                <w:i/>
                <w:iCs/>
                <w:color w:val="000000"/>
                <w:sz w:val="16"/>
                <w:szCs w:val="16"/>
              </w:rPr>
            </w:pPr>
            <w:r w:rsidRPr="00D03466">
              <w:rPr>
                <w:rFonts w:ascii="Times New Roman" w:eastAsia="Times New Roman" w:hAnsi="Times New Roman" w:cs="Times New Roman"/>
                <w:i/>
                <w:iCs/>
                <w:color w:val="000000"/>
                <w:sz w:val="16"/>
                <w:szCs w:val="16"/>
              </w:rPr>
              <w:t>• Selon le diplôme</w:t>
            </w:r>
          </w:p>
        </w:tc>
      </w:tr>
      <w:tr w:rsidR="00E7041A" w:rsidRPr="00D03466" w14:paraId="5F3891C6" w14:textId="77777777" w:rsidTr="00714569">
        <w:trPr>
          <w:trHeight w:val="300"/>
        </w:trPr>
        <w:tc>
          <w:tcPr>
            <w:tcW w:w="4061" w:type="dxa"/>
            <w:tcBorders>
              <w:top w:val="nil"/>
              <w:left w:val="single" w:sz="4" w:space="0" w:color="auto"/>
              <w:bottom w:val="single" w:sz="4" w:space="0" w:color="auto"/>
              <w:right w:val="single" w:sz="4" w:space="0" w:color="auto"/>
            </w:tcBorders>
            <w:shd w:val="clear" w:color="auto" w:fill="auto"/>
            <w:noWrap/>
            <w:hideMark/>
          </w:tcPr>
          <w:p w14:paraId="3DC2BB96"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Non diplômés</w:t>
            </w:r>
          </w:p>
        </w:tc>
        <w:tc>
          <w:tcPr>
            <w:tcW w:w="881" w:type="dxa"/>
            <w:tcBorders>
              <w:top w:val="nil"/>
              <w:left w:val="nil"/>
              <w:bottom w:val="single" w:sz="4" w:space="0" w:color="auto"/>
              <w:right w:val="single" w:sz="4" w:space="0" w:color="auto"/>
            </w:tcBorders>
            <w:shd w:val="clear" w:color="auto" w:fill="auto"/>
            <w:noWrap/>
            <w:hideMark/>
          </w:tcPr>
          <w:p w14:paraId="72A33757"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10,4</w:t>
            </w:r>
          </w:p>
        </w:tc>
        <w:tc>
          <w:tcPr>
            <w:tcW w:w="898" w:type="dxa"/>
            <w:tcBorders>
              <w:top w:val="nil"/>
              <w:left w:val="nil"/>
              <w:bottom w:val="single" w:sz="4" w:space="0" w:color="auto"/>
              <w:right w:val="single" w:sz="4" w:space="0" w:color="auto"/>
            </w:tcBorders>
            <w:shd w:val="clear" w:color="auto" w:fill="auto"/>
            <w:noWrap/>
            <w:hideMark/>
          </w:tcPr>
          <w:p w14:paraId="7A8EFA3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4,1</w:t>
            </w:r>
          </w:p>
        </w:tc>
        <w:tc>
          <w:tcPr>
            <w:tcW w:w="898" w:type="dxa"/>
            <w:tcBorders>
              <w:top w:val="nil"/>
              <w:left w:val="nil"/>
              <w:bottom w:val="single" w:sz="4" w:space="0" w:color="auto"/>
              <w:right w:val="single" w:sz="4" w:space="0" w:color="auto"/>
            </w:tcBorders>
            <w:shd w:val="clear" w:color="auto" w:fill="auto"/>
            <w:noWrap/>
            <w:hideMark/>
          </w:tcPr>
          <w:p w14:paraId="5A22FD4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6,9</w:t>
            </w:r>
          </w:p>
        </w:tc>
        <w:tc>
          <w:tcPr>
            <w:tcW w:w="898" w:type="dxa"/>
            <w:tcBorders>
              <w:top w:val="nil"/>
              <w:left w:val="nil"/>
              <w:bottom w:val="single" w:sz="4" w:space="0" w:color="auto"/>
              <w:right w:val="single" w:sz="4" w:space="0" w:color="auto"/>
            </w:tcBorders>
            <w:shd w:val="clear" w:color="auto" w:fill="auto"/>
            <w:noWrap/>
            <w:hideMark/>
          </w:tcPr>
          <w:p w14:paraId="0B5A93A3"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7,2</w:t>
            </w:r>
          </w:p>
        </w:tc>
        <w:tc>
          <w:tcPr>
            <w:tcW w:w="898" w:type="dxa"/>
            <w:tcBorders>
              <w:top w:val="nil"/>
              <w:left w:val="nil"/>
              <w:bottom w:val="single" w:sz="4" w:space="0" w:color="auto"/>
              <w:right w:val="single" w:sz="4" w:space="0" w:color="auto"/>
            </w:tcBorders>
            <w:shd w:val="clear" w:color="auto" w:fill="auto"/>
            <w:noWrap/>
            <w:hideMark/>
          </w:tcPr>
          <w:p w14:paraId="2CDE92B5"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2,3</w:t>
            </w:r>
          </w:p>
        </w:tc>
        <w:tc>
          <w:tcPr>
            <w:tcW w:w="898" w:type="dxa"/>
            <w:tcBorders>
              <w:top w:val="nil"/>
              <w:left w:val="nil"/>
              <w:bottom w:val="single" w:sz="4" w:space="0" w:color="auto"/>
              <w:right w:val="single" w:sz="4" w:space="0" w:color="auto"/>
            </w:tcBorders>
            <w:shd w:val="clear" w:color="auto" w:fill="auto"/>
            <w:noWrap/>
            <w:hideMark/>
          </w:tcPr>
          <w:p w14:paraId="71AEEFF6"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4,4</w:t>
            </w:r>
          </w:p>
        </w:tc>
      </w:tr>
      <w:tr w:rsidR="00E7041A" w:rsidRPr="00D03466" w14:paraId="1FEDC8A7" w14:textId="77777777" w:rsidTr="00714569">
        <w:trPr>
          <w:trHeight w:val="300"/>
        </w:trPr>
        <w:tc>
          <w:tcPr>
            <w:tcW w:w="4061" w:type="dxa"/>
            <w:tcBorders>
              <w:top w:val="nil"/>
              <w:left w:val="single" w:sz="4" w:space="0" w:color="auto"/>
              <w:bottom w:val="single" w:sz="4" w:space="0" w:color="auto"/>
              <w:right w:val="single" w:sz="4" w:space="0" w:color="auto"/>
            </w:tcBorders>
            <w:shd w:val="clear" w:color="auto" w:fill="auto"/>
            <w:noWrap/>
            <w:hideMark/>
          </w:tcPr>
          <w:p w14:paraId="183D37DE" w14:textId="77777777" w:rsidR="00E7041A" w:rsidRPr="00D03466" w:rsidRDefault="00E7041A" w:rsidP="00714569">
            <w:pPr>
              <w:spacing w:after="0" w:line="240" w:lineRule="auto"/>
              <w:ind w:firstLineChars="400" w:firstLine="640"/>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Diplômés</w:t>
            </w:r>
          </w:p>
        </w:tc>
        <w:tc>
          <w:tcPr>
            <w:tcW w:w="881" w:type="dxa"/>
            <w:tcBorders>
              <w:top w:val="nil"/>
              <w:left w:val="nil"/>
              <w:bottom w:val="single" w:sz="4" w:space="0" w:color="auto"/>
              <w:right w:val="single" w:sz="4" w:space="0" w:color="auto"/>
            </w:tcBorders>
            <w:shd w:val="clear" w:color="auto" w:fill="auto"/>
            <w:noWrap/>
            <w:hideMark/>
          </w:tcPr>
          <w:p w14:paraId="7F94F871"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20,0</w:t>
            </w:r>
          </w:p>
        </w:tc>
        <w:tc>
          <w:tcPr>
            <w:tcW w:w="898" w:type="dxa"/>
            <w:tcBorders>
              <w:top w:val="nil"/>
              <w:left w:val="nil"/>
              <w:bottom w:val="single" w:sz="4" w:space="0" w:color="auto"/>
              <w:right w:val="single" w:sz="4" w:space="0" w:color="auto"/>
            </w:tcBorders>
            <w:shd w:val="clear" w:color="auto" w:fill="auto"/>
            <w:noWrap/>
            <w:hideMark/>
          </w:tcPr>
          <w:p w14:paraId="110BFB1E"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13,7</w:t>
            </w:r>
          </w:p>
        </w:tc>
        <w:tc>
          <w:tcPr>
            <w:tcW w:w="898" w:type="dxa"/>
            <w:tcBorders>
              <w:top w:val="nil"/>
              <w:left w:val="nil"/>
              <w:bottom w:val="single" w:sz="4" w:space="0" w:color="auto"/>
              <w:right w:val="single" w:sz="4" w:space="0" w:color="auto"/>
            </w:tcBorders>
            <w:shd w:val="clear" w:color="auto" w:fill="auto"/>
            <w:noWrap/>
            <w:hideMark/>
          </w:tcPr>
          <w:p w14:paraId="13AD6F50"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18,7</w:t>
            </w:r>
          </w:p>
        </w:tc>
        <w:tc>
          <w:tcPr>
            <w:tcW w:w="898" w:type="dxa"/>
            <w:tcBorders>
              <w:top w:val="nil"/>
              <w:left w:val="nil"/>
              <w:bottom w:val="single" w:sz="4" w:space="0" w:color="auto"/>
              <w:right w:val="single" w:sz="4" w:space="0" w:color="auto"/>
            </w:tcBorders>
            <w:shd w:val="clear" w:color="auto" w:fill="auto"/>
            <w:noWrap/>
            <w:hideMark/>
          </w:tcPr>
          <w:p w14:paraId="7F94197D"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20,6</w:t>
            </w:r>
          </w:p>
        </w:tc>
        <w:tc>
          <w:tcPr>
            <w:tcW w:w="898" w:type="dxa"/>
            <w:tcBorders>
              <w:top w:val="nil"/>
              <w:left w:val="nil"/>
              <w:bottom w:val="single" w:sz="4" w:space="0" w:color="auto"/>
              <w:right w:val="single" w:sz="4" w:space="0" w:color="auto"/>
            </w:tcBorders>
            <w:shd w:val="clear" w:color="auto" w:fill="auto"/>
            <w:noWrap/>
            <w:hideMark/>
          </w:tcPr>
          <w:p w14:paraId="6FA2D0E9"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12,1</w:t>
            </w:r>
          </w:p>
        </w:tc>
        <w:tc>
          <w:tcPr>
            <w:tcW w:w="898" w:type="dxa"/>
            <w:tcBorders>
              <w:top w:val="nil"/>
              <w:left w:val="nil"/>
              <w:bottom w:val="single" w:sz="4" w:space="0" w:color="auto"/>
              <w:right w:val="single" w:sz="4" w:space="0" w:color="auto"/>
            </w:tcBorders>
            <w:shd w:val="clear" w:color="auto" w:fill="auto"/>
            <w:noWrap/>
            <w:hideMark/>
          </w:tcPr>
          <w:p w14:paraId="54356844" w14:textId="77777777" w:rsidR="00E7041A" w:rsidRPr="00D03466" w:rsidRDefault="00E7041A" w:rsidP="00714569">
            <w:pPr>
              <w:spacing w:after="0" w:line="240" w:lineRule="auto"/>
              <w:ind w:firstLineChars="100" w:firstLine="160"/>
              <w:jc w:val="right"/>
              <w:rPr>
                <w:rFonts w:ascii="Times New Roman" w:eastAsia="Times New Roman" w:hAnsi="Times New Roman" w:cs="Times New Roman"/>
                <w:color w:val="000000"/>
                <w:sz w:val="16"/>
                <w:szCs w:val="16"/>
              </w:rPr>
            </w:pPr>
            <w:r w:rsidRPr="00D03466">
              <w:rPr>
                <w:rFonts w:ascii="Times New Roman" w:eastAsia="Times New Roman" w:hAnsi="Times New Roman" w:cs="Times New Roman"/>
                <w:color w:val="000000"/>
                <w:sz w:val="16"/>
                <w:szCs w:val="16"/>
              </w:rPr>
              <w:t>18,7</w:t>
            </w:r>
          </w:p>
        </w:tc>
      </w:tr>
    </w:tbl>
    <w:p w14:paraId="1B86958E" w14:textId="77777777" w:rsidR="00E7041A" w:rsidRDefault="00E7041A" w:rsidP="00E7041A">
      <w:pPr>
        <w:numPr>
          <w:ilvl w:val="0"/>
          <w:numId w:val="4"/>
        </w:numPr>
        <w:tabs>
          <w:tab w:val="left" w:pos="-720"/>
        </w:tabs>
        <w:suppressAutoHyphens/>
        <w:spacing w:after="0"/>
        <w:contextualSpacing/>
        <w:jc w:val="both"/>
        <w:rPr>
          <w:rFonts w:ascii="Times New Roman" w:eastAsia="Calibri" w:hAnsi="Times New Roman" w:cs="Times New Roman"/>
          <w:color w:val="222222"/>
          <w:sz w:val="20"/>
          <w:szCs w:val="20"/>
          <w:shd w:val="clear" w:color="auto" w:fill="FFFFFF"/>
        </w:rPr>
      </w:pPr>
      <w:r>
        <w:rPr>
          <w:rFonts w:ascii="Times New Roman" w:eastAsia="Calibri" w:hAnsi="Times New Roman" w:cs="Times New Roman"/>
          <w:color w:val="222222"/>
          <w:sz w:val="20"/>
          <w:szCs w:val="20"/>
          <w:shd w:val="clear" w:color="auto" w:fill="FFFFFF"/>
        </w:rPr>
        <w:t xml:space="preserve">Source : Enquête nationale sur l'emploi, Haut-Commissariat au Plan </w:t>
      </w:r>
    </w:p>
    <w:p w14:paraId="152420DC" w14:textId="77777777" w:rsidR="00E7041A" w:rsidRDefault="00E7041A" w:rsidP="00E7041A">
      <w:pPr>
        <w:numPr>
          <w:ilvl w:val="0"/>
          <w:numId w:val="4"/>
        </w:numPr>
        <w:tabs>
          <w:tab w:val="left" w:pos="-720"/>
        </w:tabs>
        <w:suppressAutoHyphens/>
        <w:spacing w:after="0"/>
        <w:contextualSpacing/>
        <w:jc w:val="both"/>
        <w:rPr>
          <w:rFonts w:ascii="Times New Roman" w:eastAsia="Calibri" w:hAnsi="Times New Roman" w:cs="Times New Roman"/>
          <w:color w:val="222222"/>
          <w:sz w:val="20"/>
          <w:szCs w:val="20"/>
          <w:shd w:val="clear" w:color="auto" w:fill="FFFFFF"/>
        </w:rPr>
      </w:pPr>
      <w:r>
        <w:rPr>
          <w:rFonts w:ascii="Times New Roman" w:eastAsia="Calibri" w:hAnsi="Times New Roman" w:cs="Times New Roman"/>
          <w:color w:val="222222"/>
          <w:sz w:val="20"/>
          <w:szCs w:val="20"/>
          <w:shd w:val="clear" w:color="auto" w:fill="FFFFFF"/>
        </w:rPr>
        <w:t>Pour les définitions des concepts et indicateurs utilisés, se référer au glossaire disponible sur le site web du HCP </w:t>
      </w:r>
      <w:r>
        <w:rPr>
          <w:rFonts w:ascii="Times New Roman" w:eastAsia="Calibri" w:hAnsi="Times New Roman" w:cs="Times New Roman"/>
          <w:b/>
          <w:bCs/>
          <w:color w:val="222222"/>
          <w:sz w:val="20"/>
          <w:szCs w:val="20"/>
          <w:shd w:val="clear" w:color="auto" w:fill="FFFFFF"/>
        </w:rPr>
        <w:t xml:space="preserve">: </w:t>
      </w:r>
      <w:hyperlink r:id="rId17" w:history="1">
        <w:r>
          <w:rPr>
            <w:rStyle w:val="Lienhypertexte"/>
            <w:rFonts w:ascii="Times New Roman" w:eastAsia="Calibri" w:hAnsi="Times New Roman" w:cs="Times New Roman"/>
            <w:b/>
            <w:bCs/>
            <w:color w:val="222222"/>
            <w:sz w:val="20"/>
            <w:szCs w:val="20"/>
            <w:shd w:val="clear" w:color="auto" w:fill="FFFFFF"/>
          </w:rPr>
          <w:t>http://www.hcp.ma</w:t>
        </w:r>
      </w:hyperlink>
      <w:r>
        <w:rPr>
          <w:rFonts w:ascii="Times New Roman" w:eastAsia="Calibri" w:hAnsi="Times New Roman" w:cs="Times New Roman"/>
          <w:color w:val="222222"/>
          <w:sz w:val="20"/>
          <w:szCs w:val="20"/>
          <w:shd w:val="clear" w:color="auto" w:fill="FFFFFF"/>
        </w:rPr>
        <w:t>.</w:t>
      </w:r>
    </w:p>
    <w:p w14:paraId="260D5B36" w14:textId="77777777" w:rsidR="00E7041A" w:rsidRDefault="00E7041A" w:rsidP="00E7041A">
      <w:pPr>
        <w:numPr>
          <w:ilvl w:val="0"/>
          <w:numId w:val="4"/>
        </w:numPr>
        <w:tabs>
          <w:tab w:val="left" w:pos="-720"/>
        </w:tabs>
        <w:suppressAutoHyphens/>
        <w:spacing w:after="0"/>
        <w:contextualSpacing/>
        <w:jc w:val="both"/>
        <w:rPr>
          <w:rFonts w:ascii="Times New Roman" w:eastAsia="Calibri" w:hAnsi="Times New Roman" w:cs="Times New Roman"/>
          <w:color w:val="222222"/>
          <w:sz w:val="20"/>
          <w:szCs w:val="20"/>
          <w:shd w:val="clear" w:color="auto" w:fill="FFFFFF"/>
        </w:rPr>
      </w:pPr>
      <w:r>
        <w:rPr>
          <w:rFonts w:ascii="Times New Roman" w:eastAsia="Calibri" w:hAnsi="Times New Roman" w:cs="Times New Roman"/>
          <w:color w:val="222222"/>
          <w:sz w:val="20"/>
          <w:szCs w:val="20"/>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14:paraId="6970DE70" w14:textId="77777777" w:rsidR="00E7041A" w:rsidRDefault="00E7041A" w:rsidP="00E7041A">
      <w:pPr>
        <w:tabs>
          <w:tab w:val="left" w:pos="-720"/>
        </w:tabs>
        <w:suppressAutoHyphens/>
        <w:jc w:val="both"/>
        <w:rPr>
          <w:rFonts w:ascii="Times New Roman" w:eastAsia="Calibri" w:hAnsi="Times New Roman" w:cs="Times New Roman"/>
          <w:color w:val="222222"/>
          <w:sz w:val="20"/>
          <w:szCs w:val="20"/>
          <w:shd w:val="clear" w:color="auto" w:fill="FFFFFF"/>
        </w:rPr>
      </w:pPr>
    </w:p>
    <w:p w14:paraId="2A1254E4" w14:textId="77777777" w:rsidR="00E7041A" w:rsidRDefault="00E7041A" w:rsidP="00E7041A">
      <w:pPr>
        <w:tabs>
          <w:tab w:val="left" w:pos="-720"/>
        </w:tabs>
        <w:suppressAutoHyphens/>
        <w:jc w:val="both"/>
        <w:rPr>
          <w:rFonts w:ascii="Times New Roman" w:eastAsia="Calibri" w:hAnsi="Times New Roman" w:cs="Times New Roman"/>
          <w:color w:val="222222"/>
          <w:sz w:val="20"/>
          <w:szCs w:val="20"/>
          <w:shd w:val="clear" w:color="auto" w:fill="FFFFFF"/>
        </w:rPr>
      </w:pPr>
    </w:p>
    <w:p w14:paraId="1C4F7F61" w14:textId="77777777" w:rsidR="00E7041A" w:rsidRDefault="00E7041A" w:rsidP="00E7041A">
      <w:pPr>
        <w:tabs>
          <w:tab w:val="left" w:pos="-720"/>
        </w:tabs>
        <w:suppressAutoHyphens/>
        <w:jc w:val="both"/>
        <w:rPr>
          <w:rFonts w:ascii="Times New Roman" w:eastAsia="Calibri" w:hAnsi="Times New Roman" w:cs="Times New Roman"/>
          <w:color w:val="222222"/>
          <w:sz w:val="20"/>
          <w:szCs w:val="20"/>
          <w:shd w:val="clear" w:color="auto" w:fill="FFFFFF"/>
        </w:rPr>
      </w:pPr>
    </w:p>
    <w:p w14:paraId="30D669D5" w14:textId="77777777" w:rsidR="00E7041A" w:rsidRDefault="00E7041A" w:rsidP="00E7041A">
      <w:pPr>
        <w:tabs>
          <w:tab w:val="left" w:pos="-720"/>
        </w:tabs>
        <w:suppressAutoHyphens/>
        <w:jc w:val="both"/>
        <w:rPr>
          <w:rFonts w:ascii="Times New Roman" w:eastAsia="Calibri" w:hAnsi="Times New Roman" w:cs="Times New Roman"/>
          <w:color w:val="222222"/>
          <w:sz w:val="20"/>
          <w:szCs w:val="20"/>
          <w:shd w:val="clear" w:color="auto" w:fill="FFFFFF"/>
        </w:rPr>
      </w:pPr>
    </w:p>
    <w:p w14:paraId="2CA6CFB2" w14:textId="77777777" w:rsidR="00E7041A" w:rsidRDefault="00E7041A" w:rsidP="00E7041A">
      <w:pPr>
        <w:tabs>
          <w:tab w:val="left" w:pos="-720"/>
        </w:tabs>
        <w:suppressAutoHyphens/>
        <w:jc w:val="both"/>
        <w:rPr>
          <w:rFonts w:ascii="Times New Roman" w:eastAsia="Calibri" w:hAnsi="Times New Roman" w:cs="Times New Roman"/>
          <w:color w:val="222222"/>
          <w:sz w:val="20"/>
          <w:szCs w:val="20"/>
          <w:shd w:val="clear" w:color="auto" w:fill="FFFFFF"/>
        </w:rPr>
      </w:pPr>
    </w:p>
    <w:p w14:paraId="167AA5CD" w14:textId="77777777" w:rsidR="00E7041A" w:rsidRDefault="00E7041A" w:rsidP="00E7041A">
      <w:pPr>
        <w:tabs>
          <w:tab w:val="left" w:pos="-720"/>
        </w:tabs>
        <w:suppressAutoHyphens/>
        <w:jc w:val="both"/>
        <w:rPr>
          <w:rFonts w:ascii="Times New Roman" w:eastAsia="Calibri" w:hAnsi="Times New Roman" w:cs="Times New Roman"/>
          <w:color w:val="222222"/>
          <w:sz w:val="20"/>
          <w:szCs w:val="20"/>
          <w:shd w:val="clear" w:color="auto" w:fill="FFFFFF"/>
        </w:rPr>
      </w:pPr>
    </w:p>
    <w:p w14:paraId="7A375D8B" w14:textId="77777777" w:rsidR="00E7041A" w:rsidRDefault="00E7041A" w:rsidP="00E7041A">
      <w:pPr>
        <w:tabs>
          <w:tab w:val="left" w:pos="-720"/>
        </w:tabs>
        <w:suppressAutoHyphens/>
        <w:jc w:val="both"/>
        <w:rPr>
          <w:rFonts w:ascii="Times New Roman" w:eastAsia="Calibri" w:hAnsi="Times New Roman" w:cs="Times New Roman"/>
          <w:color w:val="222222"/>
          <w:sz w:val="20"/>
          <w:szCs w:val="20"/>
          <w:shd w:val="clear" w:color="auto" w:fill="FFFFFF"/>
        </w:rPr>
      </w:pPr>
    </w:p>
    <w:p w14:paraId="390CA6EA" w14:textId="77777777" w:rsidR="00E7041A" w:rsidRDefault="00E7041A" w:rsidP="00E7041A">
      <w:pPr>
        <w:tabs>
          <w:tab w:val="left" w:pos="-720"/>
        </w:tabs>
        <w:suppressAutoHyphens/>
        <w:jc w:val="both"/>
        <w:rPr>
          <w:rFonts w:ascii="Times New Roman" w:eastAsia="Calibri" w:hAnsi="Times New Roman" w:cs="Times New Roman"/>
          <w:color w:val="222222"/>
          <w:sz w:val="20"/>
          <w:szCs w:val="20"/>
          <w:shd w:val="clear" w:color="auto" w:fill="FFFFFF"/>
        </w:rPr>
      </w:pPr>
    </w:p>
    <w:p w14:paraId="356C3DF1" w14:textId="77777777" w:rsidR="00E7041A" w:rsidRDefault="00E7041A" w:rsidP="00E7041A">
      <w:pPr>
        <w:tabs>
          <w:tab w:val="left" w:pos="-720"/>
        </w:tabs>
        <w:suppressAutoHyphens/>
        <w:jc w:val="both"/>
        <w:rPr>
          <w:rFonts w:ascii="Times New Roman" w:eastAsia="Calibri" w:hAnsi="Times New Roman" w:cs="Times New Roman"/>
          <w:color w:val="222222"/>
          <w:sz w:val="20"/>
          <w:szCs w:val="20"/>
          <w:shd w:val="clear" w:color="auto" w:fill="FFFFFF"/>
        </w:rPr>
      </w:pPr>
    </w:p>
    <w:p w14:paraId="149125B6" w14:textId="77777777" w:rsidR="00E7041A" w:rsidRPr="003A6E99" w:rsidRDefault="00E7041A" w:rsidP="00E7041A">
      <w:pPr>
        <w:tabs>
          <w:tab w:val="left" w:pos="-720"/>
        </w:tabs>
        <w:suppressAutoHyphens/>
        <w:jc w:val="both"/>
        <w:rPr>
          <w:rFonts w:ascii="Times New Roman" w:eastAsia="Calibri" w:hAnsi="Times New Roman" w:cs="Times New Roman"/>
          <w:color w:val="222222"/>
          <w:shd w:val="clear" w:color="auto" w:fill="FFFFFF"/>
        </w:rPr>
      </w:pPr>
    </w:p>
    <w:p w14:paraId="1F6084D2" w14:textId="77777777" w:rsidR="00E7041A" w:rsidRDefault="00E7041A" w:rsidP="00E7041A">
      <w:r>
        <w:br w:type="page"/>
      </w:r>
    </w:p>
    <w:p w14:paraId="54D42DA0" w14:textId="77777777" w:rsidR="00E7041A" w:rsidRDefault="00E7041A" w:rsidP="00AA6D7E">
      <w:pPr>
        <w:tabs>
          <w:tab w:val="left" w:pos="-720"/>
        </w:tabs>
        <w:suppressAutoHyphens/>
        <w:jc w:val="center"/>
        <w:rPr>
          <w:rFonts w:ascii="Book Antiqua" w:eastAsia="Book Antiqua" w:hAnsi="Book Antiqua" w:cs="Book Antiqua"/>
          <w:b/>
          <w:color w:val="0070C0"/>
          <w:sz w:val="20"/>
          <w:szCs w:val="20"/>
        </w:rPr>
      </w:pPr>
      <w:r w:rsidRPr="00D60530">
        <w:rPr>
          <w:rFonts w:ascii="Book Antiqua" w:eastAsia="Book Antiqua" w:hAnsi="Book Antiqua" w:cs="Book Antiqua"/>
          <w:b/>
          <w:color w:val="0070C0"/>
          <w:sz w:val="20"/>
          <w:szCs w:val="20"/>
        </w:rPr>
        <w:lastRenderedPageBreak/>
        <w:t>Tableau 2 : Taux d’activité, d’emploi et de</w:t>
      </w:r>
      <w:r>
        <w:rPr>
          <w:rFonts w:ascii="Book Antiqua" w:eastAsia="Book Antiqua" w:hAnsi="Book Antiqua" w:cs="Book Antiqua"/>
          <w:b/>
          <w:color w:val="0070C0"/>
          <w:sz w:val="20"/>
          <w:szCs w:val="20"/>
        </w:rPr>
        <w:t xml:space="preserve"> chômage par région</w:t>
      </w:r>
      <w:r w:rsidRPr="00D60530">
        <w:rPr>
          <w:rFonts w:ascii="Book Antiqua" w:eastAsia="Book Antiqua" w:hAnsi="Book Antiqua" w:cs="Book Antiqua"/>
          <w:b/>
          <w:color w:val="0070C0"/>
          <w:sz w:val="20"/>
          <w:szCs w:val="20"/>
        </w:rPr>
        <w:t xml:space="preserve"> (en %)</w:t>
      </w:r>
    </w:p>
    <w:tbl>
      <w:tblPr>
        <w:tblW w:w="8494" w:type="dxa"/>
        <w:jc w:val="center"/>
        <w:tblCellMar>
          <w:left w:w="70" w:type="dxa"/>
          <w:right w:w="70" w:type="dxa"/>
        </w:tblCellMar>
        <w:tblLook w:val="04A0" w:firstRow="1" w:lastRow="0" w:firstColumn="1" w:lastColumn="0" w:noHBand="0" w:noVBand="1"/>
      </w:tblPr>
      <w:tblGrid>
        <w:gridCol w:w="3997"/>
        <w:gridCol w:w="2248"/>
        <w:gridCol w:w="2249"/>
      </w:tblGrid>
      <w:tr w:rsidR="00E7041A" w:rsidRPr="00D60530" w14:paraId="3F0B7CB8" w14:textId="77777777" w:rsidTr="00951BD4">
        <w:trPr>
          <w:trHeight w:val="312"/>
          <w:jc w:val="center"/>
        </w:trPr>
        <w:tc>
          <w:tcPr>
            <w:tcW w:w="3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73BF3" w14:textId="77777777" w:rsidR="00E7041A" w:rsidRPr="00D60530" w:rsidRDefault="00E7041A" w:rsidP="00714569">
            <w:pPr>
              <w:spacing w:after="0" w:line="240" w:lineRule="auto"/>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 </w:t>
            </w:r>
          </w:p>
        </w:tc>
        <w:tc>
          <w:tcPr>
            <w:tcW w:w="2248" w:type="dxa"/>
            <w:tcBorders>
              <w:top w:val="single" w:sz="4" w:space="0" w:color="auto"/>
              <w:left w:val="nil"/>
              <w:bottom w:val="single" w:sz="4" w:space="0" w:color="auto"/>
              <w:right w:val="single" w:sz="4" w:space="0" w:color="auto"/>
            </w:tcBorders>
            <w:shd w:val="clear" w:color="auto" w:fill="auto"/>
            <w:noWrap/>
            <w:hideMark/>
          </w:tcPr>
          <w:p w14:paraId="43F3B78A" w14:textId="4BCCFAA2" w:rsidR="00E7041A" w:rsidRPr="00D60530" w:rsidRDefault="00AA6D7E" w:rsidP="00714569">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Troisième trimestre de </w:t>
            </w:r>
            <w:r w:rsidR="00E7041A" w:rsidRPr="00D60530">
              <w:rPr>
                <w:rFonts w:ascii="Times New Roman" w:eastAsia="Times New Roman" w:hAnsi="Times New Roman" w:cs="Times New Roman"/>
                <w:b/>
                <w:bCs/>
                <w:color w:val="000000"/>
                <w:sz w:val="16"/>
                <w:szCs w:val="16"/>
              </w:rPr>
              <w:t>2020</w:t>
            </w:r>
          </w:p>
        </w:tc>
        <w:tc>
          <w:tcPr>
            <w:tcW w:w="2248" w:type="dxa"/>
            <w:tcBorders>
              <w:top w:val="single" w:sz="4" w:space="0" w:color="auto"/>
              <w:left w:val="nil"/>
              <w:bottom w:val="single" w:sz="4" w:space="0" w:color="auto"/>
              <w:right w:val="single" w:sz="4" w:space="0" w:color="auto"/>
            </w:tcBorders>
            <w:shd w:val="clear" w:color="auto" w:fill="auto"/>
            <w:noWrap/>
            <w:hideMark/>
          </w:tcPr>
          <w:p w14:paraId="77D4F016" w14:textId="770D795F" w:rsidR="00E7041A" w:rsidRPr="00D60530" w:rsidRDefault="00AA6D7E" w:rsidP="00714569">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Troisième trimestre de </w:t>
            </w:r>
            <w:r w:rsidRPr="00D60530">
              <w:rPr>
                <w:rFonts w:ascii="Times New Roman" w:eastAsia="Times New Roman" w:hAnsi="Times New Roman" w:cs="Times New Roman"/>
                <w:b/>
                <w:bCs/>
                <w:color w:val="000000"/>
                <w:sz w:val="16"/>
                <w:szCs w:val="16"/>
              </w:rPr>
              <w:t>202</w:t>
            </w:r>
            <w:r>
              <w:rPr>
                <w:rFonts w:ascii="Times New Roman" w:eastAsia="Times New Roman" w:hAnsi="Times New Roman" w:cs="Times New Roman"/>
                <w:b/>
                <w:bCs/>
                <w:color w:val="000000"/>
                <w:sz w:val="16"/>
                <w:szCs w:val="16"/>
              </w:rPr>
              <w:t>1</w:t>
            </w:r>
          </w:p>
        </w:tc>
      </w:tr>
      <w:tr w:rsidR="00E7041A" w:rsidRPr="00D60530" w14:paraId="77CA9F1B" w14:textId="77777777" w:rsidTr="00951BD4">
        <w:trPr>
          <w:trHeight w:val="312"/>
          <w:jc w:val="center"/>
        </w:trPr>
        <w:tc>
          <w:tcPr>
            <w:tcW w:w="849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6BC7B15" w14:textId="2293CB25" w:rsidR="00E7041A" w:rsidRPr="00D60530" w:rsidRDefault="00E7041A" w:rsidP="00714569">
            <w:pPr>
              <w:spacing w:after="0" w:line="240" w:lineRule="auto"/>
              <w:rPr>
                <w:rFonts w:ascii="Times New Roman" w:eastAsia="Times New Roman" w:hAnsi="Times New Roman" w:cs="Times New Roman"/>
                <w:b/>
                <w:bCs/>
                <w:sz w:val="16"/>
                <w:szCs w:val="16"/>
              </w:rPr>
            </w:pPr>
            <w:r w:rsidRPr="00D60530">
              <w:rPr>
                <w:rFonts w:ascii="Times New Roman" w:eastAsia="Times New Roman" w:hAnsi="Times New Roman" w:cs="Times New Roman"/>
                <w:b/>
                <w:bCs/>
                <w:sz w:val="16"/>
                <w:szCs w:val="16"/>
              </w:rPr>
              <w:t>Taux d'activité (des 15 ans et plus)</w:t>
            </w:r>
            <w:r w:rsidR="003671E9">
              <w:rPr>
                <w:rFonts w:ascii="Times New Roman" w:eastAsia="Times New Roman" w:hAnsi="Times New Roman" w:cs="Times New Roman"/>
                <w:b/>
                <w:bCs/>
                <w:sz w:val="16"/>
                <w:szCs w:val="16"/>
              </w:rPr>
              <w:t xml:space="preserve"> </w:t>
            </w:r>
          </w:p>
        </w:tc>
      </w:tr>
      <w:tr w:rsidR="00E7041A" w:rsidRPr="00D60530" w14:paraId="6378F9E9"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3346BDC7"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 xml:space="preserve">Tanger-Tétouan-Al </w:t>
            </w:r>
            <w:proofErr w:type="spellStart"/>
            <w:r w:rsidRPr="00D60530">
              <w:rPr>
                <w:rFonts w:ascii="Times New Roman" w:eastAsia="Times New Roman" w:hAnsi="Times New Roman" w:cs="Times New Roman"/>
                <w:color w:val="000000"/>
                <w:sz w:val="16"/>
                <w:szCs w:val="16"/>
              </w:rPr>
              <w:t>Hoceïma</w:t>
            </w:r>
            <w:proofErr w:type="spellEnd"/>
          </w:p>
        </w:tc>
        <w:tc>
          <w:tcPr>
            <w:tcW w:w="2248" w:type="dxa"/>
            <w:tcBorders>
              <w:top w:val="nil"/>
              <w:left w:val="nil"/>
              <w:bottom w:val="single" w:sz="4" w:space="0" w:color="auto"/>
              <w:right w:val="single" w:sz="4" w:space="0" w:color="auto"/>
            </w:tcBorders>
            <w:shd w:val="clear" w:color="auto" w:fill="auto"/>
            <w:noWrap/>
            <w:vAlign w:val="bottom"/>
            <w:hideMark/>
          </w:tcPr>
          <w:p w14:paraId="3BEB5595"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45,2</w:t>
            </w:r>
          </w:p>
        </w:tc>
        <w:tc>
          <w:tcPr>
            <w:tcW w:w="2248" w:type="dxa"/>
            <w:tcBorders>
              <w:top w:val="nil"/>
              <w:left w:val="nil"/>
              <w:bottom w:val="single" w:sz="4" w:space="0" w:color="auto"/>
              <w:right w:val="single" w:sz="4" w:space="0" w:color="auto"/>
            </w:tcBorders>
            <w:shd w:val="clear" w:color="auto" w:fill="auto"/>
            <w:noWrap/>
            <w:vAlign w:val="bottom"/>
            <w:hideMark/>
          </w:tcPr>
          <w:p w14:paraId="4E3F0A3F"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50,9</w:t>
            </w:r>
          </w:p>
        </w:tc>
      </w:tr>
      <w:tr w:rsidR="00E7041A" w:rsidRPr="00D60530" w14:paraId="7020797D"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3318567B"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Oriental</w:t>
            </w:r>
          </w:p>
        </w:tc>
        <w:tc>
          <w:tcPr>
            <w:tcW w:w="2248" w:type="dxa"/>
            <w:tcBorders>
              <w:top w:val="nil"/>
              <w:left w:val="nil"/>
              <w:bottom w:val="single" w:sz="4" w:space="0" w:color="auto"/>
              <w:right w:val="single" w:sz="4" w:space="0" w:color="auto"/>
            </w:tcBorders>
            <w:shd w:val="clear" w:color="auto" w:fill="auto"/>
            <w:noWrap/>
            <w:vAlign w:val="bottom"/>
            <w:hideMark/>
          </w:tcPr>
          <w:p w14:paraId="47BA89AB"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41,0</w:t>
            </w:r>
          </w:p>
        </w:tc>
        <w:tc>
          <w:tcPr>
            <w:tcW w:w="2248" w:type="dxa"/>
            <w:tcBorders>
              <w:top w:val="nil"/>
              <w:left w:val="nil"/>
              <w:bottom w:val="single" w:sz="4" w:space="0" w:color="auto"/>
              <w:right w:val="single" w:sz="4" w:space="0" w:color="auto"/>
            </w:tcBorders>
            <w:shd w:val="clear" w:color="auto" w:fill="auto"/>
            <w:noWrap/>
            <w:vAlign w:val="bottom"/>
            <w:hideMark/>
          </w:tcPr>
          <w:p w14:paraId="5A404EEB"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42,1</w:t>
            </w:r>
          </w:p>
        </w:tc>
      </w:tr>
      <w:tr w:rsidR="00E7041A" w:rsidRPr="00D60530" w14:paraId="73E965BF"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28E1B4BC"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Fès-Meknès</w:t>
            </w:r>
          </w:p>
        </w:tc>
        <w:tc>
          <w:tcPr>
            <w:tcW w:w="2248" w:type="dxa"/>
            <w:tcBorders>
              <w:top w:val="nil"/>
              <w:left w:val="nil"/>
              <w:bottom w:val="single" w:sz="4" w:space="0" w:color="auto"/>
              <w:right w:val="single" w:sz="4" w:space="0" w:color="auto"/>
            </w:tcBorders>
            <w:shd w:val="clear" w:color="auto" w:fill="auto"/>
            <w:noWrap/>
            <w:vAlign w:val="bottom"/>
            <w:hideMark/>
          </w:tcPr>
          <w:p w14:paraId="75DF61BE"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41,5</w:t>
            </w:r>
          </w:p>
        </w:tc>
        <w:tc>
          <w:tcPr>
            <w:tcW w:w="2248" w:type="dxa"/>
            <w:tcBorders>
              <w:top w:val="nil"/>
              <w:left w:val="nil"/>
              <w:bottom w:val="single" w:sz="4" w:space="0" w:color="auto"/>
              <w:right w:val="single" w:sz="4" w:space="0" w:color="auto"/>
            </w:tcBorders>
            <w:shd w:val="clear" w:color="auto" w:fill="auto"/>
            <w:noWrap/>
            <w:vAlign w:val="bottom"/>
            <w:hideMark/>
          </w:tcPr>
          <w:p w14:paraId="15B5A0E0"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42,3</w:t>
            </w:r>
          </w:p>
        </w:tc>
      </w:tr>
      <w:tr w:rsidR="00E7041A" w:rsidRPr="00D60530" w14:paraId="4DCA46E2"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5BF14F50"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Rabat-Salé-Kénitra</w:t>
            </w:r>
          </w:p>
        </w:tc>
        <w:tc>
          <w:tcPr>
            <w:tcW w:w="2248" w:type="dxa"/>
            <w:tcBorders>
              <w:top w:val="nil"/>
              <w:left w:val="nil"/>
              <w:bottom w:val="single" w:sz="4" w:space="0" w:color="auto"/>
              <w:right w:val="single" w:sz="4" w:space="0" w:color="auto"/>
            </w:tcBorders>
            <w:shd w:val="clear" w:color="auto" w:fill="auto"/>
            <w:noWrap/>
            <w:vAlign w:val="bottom"/>
            <w:hideMark/>
          </w:tcPr>
          <w:p w14:paraId="537CA4E0"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42,4</w:t>
            </w:r>
          </w:p>
        </w:tc>
        <w:tc>
          <w:tcPr>
            <w:tcW w:w="2248" w:type="dxa"/>
            <w:tcBorders>
              <w:top w:val="nil"/>
              <w:left w:val="nil"/>
              <w:bottom w:val="single" w:sz="4" w:space="0" w:color="auto"/>
              <w:right w:val="single" w:sz="4" w:space="0" w:color="auto"/>
            </w:tcBorders>
            <w:shd w:val="clear" w:color="auto" w:fill="auto"/>
            <w:noWrap/>
            <w:vAlign w:val="bottom"/>
            <w:hideMark/>
          </w:tcPr>
          <w:p w14:paraId="6FCE0608"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43,7</w:t>
            </w:r>
          </w:p>
        </w:tc>
      </w:tr>
      <w:tr w:rsidR="00E7041A" w:rsidRPr="00D60530" w14:paraId="5485B79C"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640E2E2E"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Béni Mellal-</w:t>
            </w:r>
            <w:proofErr w:type="spellStart"/>
            <w:r w:rsidRPr="00D60530">
              <w:rPr>
                <w:rFonts w:ascii="Times New Roman" w:eastAsia="Times New Roman" w:hAnsi="Times New Roman" w:cs="Times New Roman"/>
                <w:color w:val="000000"/>
                <w:sz w:val="16"/>
                <w:szCs w:val="16"/>
              </w:rPr>
              <w:t>Khénifra</w:t>
            </w:r>
            <w:proofErr w:type="spellEnd"/>
          </w:p>
        </w:tc>
        <w:tc>
          <w:tcPr>
            <w:tcW w:w="2248" w:type="dxa"/>
            <w:tcBorders>
              <w:top w:val="nil"/>
              <w:left w:val="nil"/>
              <w:bottom w:val="single" w:sz="4" w:space="0" w:color="auto"/>
              <w:right w:val="single" w:sz="4" w:space="0" w:color="auto"/>
            </w:tcBorders>
            <w:shd w:val="clear" w:color="auto" w:fill="auto"/>
            <w:noWrap/>
            <w:vAlign w:val="bottom"/>
            <w:hideMark/>
          </w:tcPr>
          <w:p w14:paraId="0F0E9200"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44,0</w:t>
            </w:r>
          </w:p>
        </w:tc>
        <w:tc>
          <w:tcPr>
            <w:tcW w:w="2248" w:type="dxa"/>
            <w:tcBorders>
              <w:top w:val="nil"/>
              <w:left w:val="nil"/>
              <w:bottom w:val="single" w:sz="4" w:space="0" w:color="auto"/>
              <w:right w:val="single" w:sz="4" w:space="0" w:color="auto"/>
            </w:tcBorders>
            <w:shd w:val="clear" w:color="auto" w:fill="auto"/>
            <w:noWrap/>
            <w:vAlign w:val="bottom"/>
            <w:hideMark/>
          </w:tcPr>
          <w:p w14:paraId="3D03C412"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44,7</w:t>
            </w:r>
          </w:p>
        </w:tc>
      </w:tr>
      <w:tr w:rsidR="00E7041A" w:rsidRPr="00D60530" w14:paraId="3F0AF6CB"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28E1CA0B"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Casablanca-Settat</w:t>
            </w:r>
          </w:p>
        </w:tc>
        <w:tc>
          <w:tcPr>
            <w:tcW w:w="2248" w:type="dxa"/>
            <w:tcBorders>
              <w:top w:val="nil"/>
              <w:left w:val="nil"/>
              <w:bottom w:val="single" w:sz="4" w:space="0" w:color="auto"/>
              <w:right w:val="single" w:sz="4" w:space="0" w:color="auto"/>
            </w:tcBorders>
            <w:shd w:val="clear" w:color="auto" w:fill="auto"/>
            <w:noWrap/>
            <w:vAlign w:val="bottom"/>
            <w:hideMark/>
          </w:tcPr>
          <w:p w14:paraId="7910D0D3"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46,3</w:t>
            </w:r>
          </w:p>
        </w:tc>
        <w:tc>
          <w:tcPr>
            <w:tcW w:w="2248" w:type="dxa"/>
            <w:tcBorders>
              <w:top w:val="nil"/>
              <w:left w:val="nil"/>
              <w:bottom w:val="single" w:sz="4" w:space="0" w:color="auto"/>
              <w:right w:val="single" w:sz="4" w:space="0" w:color="auto"/>
            </w:tcBorders>
            <w:shd w:val="clear" w:color="auto" w:fill="auto"/>
            <w:noWrap/>
            <w:vAlign w:val="bottom"/>
            <w:hideMark/>
          </w:tcPr>
          <w:p w14:paraId="15281DC6"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47,7</w:t>
            </w:r>
          </w:p>
        </w:tc>
      </w:tr>
      <w:tr w:rsidR="00E7041A" w:rsidRPr="00D60530" w14:paraId="755F6A73"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22AA96A0"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Marrakech-Safi</w:t>
            </w:r>
          </w:p>
        </w:tc>
        <w:tc>
          <w:tcPr>
            <w:tcW w:w="2248" w:type="dxa"/>
            <w:tcBorders>
              <w:top w:val="nil"/>
              <w:left w:val="nil"/>
              <w:bottom w:val="single" w:sz="4" w:space="0" w:color="auto"/>
              <w:right w:val="single" w:sz="4" w:space="0" w:color="auto"/>
            </w:tcBorders>
            <w:shd w:val="clear" w:color="auto" w:fill="auto"/>
            <w:noWrap/>
            <w:vAlign w:val="bottom"/>
            <w:hideMark/>
          </w:tcPr>
          <w:p w14:paraId="0561398B"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45,6</w:t>
            </w:r>
          </w:p>
        </w:tc>
        <w:tc>
          <w:tcPr>
            <w:tcW w:w="2248" w:type="dxa"/>
            <w:tcBorders>
              <w:top w:val="nil"/>
              <w:left w:val="nil"/>
              <w:bottom w:val="single" w:sz="4" w:space="0" w:color="auto"/>
              <w:right w:val="single" w:sz="4" w:space="0" w:color="auto"/>
            </w:tcBorders>
            <w:shd w:val="clear" w:color="auto" w:fill="auto"/>
            <w:noWrap/>
            <w:vAlign w:val="bottom"/>
            <w:hideMark/>
          </w:tcPr>
          <w:p w14:paraId="7DE92C8F"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46,0</w:t>
            </w:r>
          </w:p>
        </w:tc>
      </w:tr>
      <w:tr w:rsidR="00E7041A" w:rsidRPr="00D60530" w14:paraId="6365C11B"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6883AB65"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proofErr w:type="spellStart"/>
            <w:r w:rsidRPr="00D60530">
              <w:rPr>
                <w:rFonts w:ascii="Times New Roman" w:eastAsia="Times New Roman" w:hAnsi="Times New Roman" w:cs="Times New Roman"/>
                <w:color w:val="000000"/>
                <w:sz w:val="16"/>
                <w:szCs w:val="16"/>
              </w:rPr>
              <w:t>Drâa</w:t>
            </w:r>
            <w:proofErr w:type="spellEnd"/>
            <w:r w:rsidRPr="00D60530">
              <w:rPr>
                <w:rFonts w:ascii="Times New Roman" w:eastAsia="Times New Roman" w:hAnsi="Times New Roman" w:cs="Times New Roman"/>
                <w:color w:val="000000"/>
                <w:sz w:val="16"/>
                <w:szCs w:val="16"/>
              </w:rPr>
              <w:t>-Tafilalet</w:t>
            </w:r>
          </w:p>
        </w:tc>
        <w:tc>
          <w:tcPr>
            <w:tcW w:w="2248" w:type="dxa"/>
            <w:tcBorders>
              <w:top w:val="nil"/>
              <w:left w:val="nil"/>
              <w:bottom w:val="single" w:sz="4" w:space="0" w:color="auto"/>
              <w:right w:val="single" w:sz="4" w:space="0" w:color="auto"/>
            </w:tcBorders>
            <w:shd w:val="clear" w:color="auto" w:fill="auto"/>
            <w:noWrap/>
            <w:vAlign w:val="bottom"/>
            <w:hideMark/>
          </w:tcPr>
          <w:p w14:paraId="1E533801"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37,7</w:t>
            </w:r>
          </w:p>
        </w:tc>
        <w:tc>
          <w:tcPr>
            <w:tcW w:w="2248" w:type="dxa"/>
            <w:tcBorders>
              <w:top w:val="nil"/>
              <w:left w:val="nil"/>
              <w:bottom w:val="single" w:sz="4" w:space="0" w:color="auto"/>
              <w:right w:val="single" w:sz="4" w:space="0" w:color="auto"/>
            </w:tcBorders>
            <w:shd w:val="clear" w:color="auto" w:fill="auto"/>
            <w:noWrap/>
            <w:vAlign w:val="bottom"/>
            <w:hideMark/>
          </w:tcPr>
          <w:p w14:paraId="799850EE"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40,9</w:t>
            </w:r>
          </w:p>
        </w:tc>
      </w:tr>
      <w:tr w:rsidR="00E7041A" w:rsidRPr="00D60530" w14:paraId="0C10C36D"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51AE1262"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Souss-Massa</w:t>
            </w:r>
          </w:p>
        </w:tc>
        <w:tc>
          <w:tcPr>
            <w:tcW w:w="2248" w:type="dxa"/>
            <w:tcBorders>
              <w:top w:val="nil"/>
              <w:left w:val="nil"/>
              <w:bottom w:val="single" w:sz="4" w:space="0" w:color="auto"/>
              <w:right w:val="single" w:sz="4" w:space="0" w:color="auto"/>
            </w:tcBorders>
            <w:shd w:val="clear" w:color="auto" w:fill="auto"/>
            <w:noWrap/>
            <w:vAlign w:val="bottom"/>
            <w:hideMark/>
          </w:tcPr>
          <w:p w14:paraId="1E0410D2"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40,0</w:t>
            </w:r>
          </w:p>
        </w:tc>
        <w:tc>
          <w:tcPr>
            <w:tcW w:w="2248" w:type="dxa"/>
            <w:tcBorders>
              <w:top w:val="nil"/>
              <w:left w:val="nil"/>
              <w:bottom w:val="single" w:sz="4" w:space="0" w:color="auto"/>
              <w:right w:val="single" w:sz="4" w:space="0" w:color="auto"/>
            </w:tcBorders>
            <w:shd w:val="clear" w:color="auto" w:fill="auto"/>
            <w:noWrap/>
            <w:vAlign w:val="bottom"/>
            <w:hideMark/>
          </w:tcPr>
          <w:p w14:paraId="1D060C40"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41,2</w:t>
            </w:r>
          </w:p>
        </w:tc>
      </w:tr>
      <w:tr w:rsidR="00E7041A" w:rsidRPr="00D60530" w14:paraId="3BE378E0"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7A25EDB5"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Régions du Sud</w:t>
            </w:r>
          </w:p>
        </w:tc>
        <w:tc>
          <w:tcPr>
            <w:tcW w:w="2248" w:type="dxa"/>
            <w:tcBorders>
              <w:top w:val="nil"/>
              <w:left w:val="nil"/>
              <w:bottom w:val="single" w:sz="4" w:space="0" w:color="auto"/>
              <w:right w:val="single" w:sz="4" w:space="0" w:color="auto"/>
            </w:tcBorders>
            <w:shd w:val="clear" w:color="auto" w:fill="auto"/>
            <w:noWrap/>
            <w:vAlign w:val="bottom"/>
            <w:hideMark/>
          </w:tcPr>
          <w:p w14:paraId="1C1D330A"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43,2</w:t>
            </w:r>
          </w:p>
        </w:tc>
        <w:tc>
          <w:tcPr>
            <w:tcW w:w="2248" w:type="dxa"/>
            <w:tcBorders>
              <w:top w:val="nil"/>
              <w:left w:val="nil"/>
              <w:bottom w:val="single" w:sz="4" w:space="0" w:color="auto"/>
              <w:right w:val="single" w:sz="4" w:space="0" w:color="auto"/>
            </w:tcBorders>
            <w:shd w:val="clear" w:color="auto" w:fill="auto"/>
            <w:noWrap/>
            <w:vAlign w:val="bottom"/>
            <w:hideMark/>
          </w:tcPr>
          <w:p w14:paraId="273BCAE5"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44,5</w:t>
            </w:r>
          </w:p>
        </w:tc>
      </w:tr>
      <w:tr w:rsidR="00E7041A" w:rsidRPr="00D60530" w14:paraId="00D65BF9"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20A1005E" w14:textId="77777777" w:rsidR="00E7041A" w:rsidRPr="00D60530" w:rsidRDefault="00E7041A" w:rsidP="00714569">
            <w:pPr>
              <w:spacing w:after="0" w:line="240" w:lineRule="auto"/>
              <w:ind w:firstLineChars="100" w:firstLine="161"/>
              <w:rPr>
                <w:rFonts w:ascii="Times New Roman" w:eastAsia="Times New Roman" w:hAnsi="Times New Roman" w:cs="Times New Roman"/>
                <w:b/>
                <w:bCs/>
                <w:color w:val="000000"/>
                <w:sz w:val="16"/>
                <w:szCs w:val="16"/>
              </w:rPr>
            </w:pPr>
            <w:r w:rsidRPr="00D60530">
              <w:rPr>
                <w:rFonts w:ascii="Times New Roman" w:eastAsia="Times New Roman" w:hAnsi="Times New Roman" w:cs="Times New Roman"/>
                <w:b/>
                <w:bCs/>
                <w:color w:val="000000"/>
                <w:sz w:val="16"/>
                <w:szCs w:val="16"/>
              </w:rPr>
              <w:t>Ensemble</w:t>
            </w:r>
          </w:p>
        </w:tc>
        <w:tc>
          <w:tcPr>
            <w:tcW w:w="2248" w:type="dxa"/>
            <w:tcBorders>
              <w:top w:val="nil"/>
              <w:left w:val="nil"/>
              <w:bottom w:val="single" w:sz="4" w:space="0" w:color="auto"/>
              <w:right w:val="single" w:sz="4" w:space="0" w:color="auto"/>
            </w:tcBorders>
            <w:shd w:val="clear" w:color="auto" w:fill="auto"/>
            <w:noWrap/>
            <w:vAlign w:val="bottom"/>
            <w:hideMark/>
          </w:tcPr>
          <w:p w14:paraId="5B97EB91" w14:textId="77777777" w:rsidR="00E7041A" w:rsidRPr="00D60530" w:rsidRDefault="00E7041A" w:rsidP="00714569">
            <w:pPr>
              <w:spacing w:after="0" w:line="240" w:lineRule="auto"/>
              <w:ind w:firstLineChars="300" w:firstLine="482"/>
              <w:jc w:val="center"/>
              <w:rPr>
                <w:rFonts w:ascii="Times New Roman" w:eastAsia="Times New Roman" w:hAnsi="Times New Roman" w:cs="Times New Roman"/>
                <w:b/>
                <w:bCs/>
                <w:color w:val="000000"/>
                <w:sz w:val="16"/>
                <w:szCs w:val="16"/>
              </w:rPr>
            </w:pPr>
            <w:r w:rsidRPr="00D60530">
              <w:rPr>
                <w:rFonts w:ascii="Times New Roman" w:eastAsia="Times New Roman" w:hAnsi="Times New Roman" w:cs="Times New Roman"/>
                <w:b/>
                <w:bCs/>
                <w:color w:val="000000"/>
                <w:sz w:val="16"/>
                <w:szCs w:val="16"/>
              </w:rPr>
              <w:t>43,5</w:t>
            </w:r>
          </w:p>
        </w:tc>
        <w:tc>
          <w:tcPr>
            <w:tcW w:w="2248" w:type="dxa"/>
            <w:tcBorders>
              <w:top w:val="nil"/>
              <w:left w:val="nil"/>
              <w:bottom w:val="single" w:sz="4" w:space="0" w:color="auto"/>
              <w:right w:val="single" w:sz="4" w:space="0" w:color="auto"/>
            </w:tcBorders>
            <w:shd w:val="clear" w:color="auto" w:fill="auto"/>
            <w:noWrap/>
            <w:vAlign w:val="bottom"/>
            <w:hideMark/>
          </w:tcPr>
          <w:p w14:paraId="6E34F636" w14:textId="77777777" w:rsidR="00E7041A" w:rsidRPr="00D60530" w:rsidRDefault="00E7041A" w:rsidP="00714569">
            <w:pPr>
              <w:spacing w:after="0" w:line="240" w:lineRule="auto"/>
              <w:ind w:firstLineChars="300" w:firstLine="482"/>
              <w:jc w:val="center"/>
              <w:rPr>
                <w:rFonts w:ascii="Times New Roman" w:eastAsia="Times New Roman" w:hAnsi="Times New Roman" w:cs="Times New Roman"/>
                <w:b/>
                <w:bCs/>
                <w:color w:val="000000"/>
                <w:sz w:val="16"/>
                <w:szCs w:val="16"/>
              </w:rPr>
            </w:pPr>
            <w:r w:rsidRPr="00D60530">
              <w:rPr>
                <w:rFonts w:ascii="Times New Roman" w:eastAsia="Times New Roman" w:hAnsi="Times New Roman" w:cs="Times New Roman"/>
                <w:b/>
                <w:bCs/>
                <w:color w:val="000000"/>
                <w:sz w:val="16"/>
                <w:szCs w:val="16"/>
              </w:rPr>
              <w:t>45,1</w:t>
            </w:r>
          </w:p>
        </w:tc>
      </w:tr>
      <w:tr w:rsidR="00E7041A" w:rsidRPr="00D60530" w14:paraId="38022439" w14:textId="77777777" w:rsidTr="00951BD4">
        <w:trPr>
          <w:trHeight w:val="312"/>
          <w:jc w:val="center"/>
        </w:trPr>
        <w:tc>
          <w:tcPr>
            <w:tcW w:w="849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A9317BB" w14:textId="77777777" w:rsidR="00E7041A" w:rsidRPr="00D60530" w:rsidRDefault="00E7041A" w:rsidP="00714569">
            <w:pPr>
              <w:spacing w:after="0" w:line="240" w:lineRule="auto"/>
              <w:rPr>
                <w:rFonts w:ascii="Times New Roman" w:eastAsia="Times New Roman" w:hAnsi="Times New Roman" w:cs="Times New Roman"/>
                <w:b/>
                <w:bCs/>
                <w:sz w:val="16"/>
                <w:szCs w:val="16"/>
              </w:rPr>
            </w:pPr>
            <w:r w:rsidRPr="00D60530">
              <w:rPr>
                <w:rFonts w:ascii="Times New Roman" w:eastAsia="Times New Roman" w:hAnsi="Times New Roman" w:cs="Times New Roman"/>
                <w:b/>
                <w:bCs/>
                <w:sz w:val="16"/>
                <w:szCs w:val="16"/>
              </w:rPr>
              <w:t>Taux d'emploi (des 15 ans et plus)</w:t>
            </w:r>
          </w:p>
        </w:tc>
      </w:tr>
      <w:tr w:rsidR="00E7041A" w:rsidRPr="00D60530" w14:paraId="390AA94D"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453461FE"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 xml:space="preserve">Tanger-Tétouan-Al </w:t>
            </w:r>
            <w:proofErr w:type="spellStart"/>
            <w:r w:rsidRPr="00D60530">
              <w:rPr>
                <w:rFonts w:ascii="Times New Roman" w:eastAsia="Times New Roman" w:hAnsi="Times New Roman" w:cs="Times New Roman"/>
                <w:color w:val="000000"/>
                <w:sz w:val="16"/>
                <w:szCs w:val="16"/>
              </w:rPr>
              <w:t>Hoceïma</w:t>
            </w:r>
            <w:proofErr w:type="spellEnd"/>
          </w:p>
        </w:tc>
        <w:tc>
          <w:tcPr>
            <w:tcW w:w="2248" w:type="dxa"/>
            <w:tcBorders>
              <w:top w:val="nil"/>
              <w:left w:val="nil"/>
              <w:bottom w:val="single" w:sz="4" w:space="0" w:color="auto"/>
              <w:right w:val="single" w:sz="4" w:space="0" w:color="auto"/>
            </w:tcBorders>
            <w:shd w:val="clear" w:color="auto" w:fill="auto"/>
            <w:noWrap/>
            <w:vAlign w:val="bottom"/>
            <w:hideMark/>
          </w:tcPr>
          <w:p w14:paraId="05A02B76"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39,6</w:t>
            </w:r>
          </w:p>
        </w:tc>
        <w:tc>
          <w:tcPr>
            <w:tcW w:w="2248" w:type="dxa"/>
            <w:tcBorders>
              <w:top w:val="nil"/>
              <w:left w:val="nil"/>
              <w:bottom w:val="single" w:sz="4" w:space="0" w:color="auto"/>
              <w:right w:val="single" w:sz="4" w:space="0" w:color="auto"/>
            </w:tcBorders>
            <w:shd w:val="clear" w:color="auto" w:fill="auto"/>
            <w:noWrap/>
            <w:vAlign w:val="bottom"/>
            <w:hideMark/>
          </w:tcPr>
          <w:p w14:paraId="6CB00DB4"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45,8</w:t>
            </w:r>
          </w:p>
        </w:tc>
      </w:tr>
      <w:tr w:rsidR="00E7041A" w:rsidRPr="00D60530" w14:paraId="2C4F433E"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690DD300"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Oriental</w:t>
            </w:r>
          </w:p>
        </w:tc>
        <w:tc>
          <w:tcPr>
            <w:tcW w:w="2248" w:type="dxa"/>
            <w:tcBorders>
              <w:top w:val="nil"/>
              <w:left w:val="nil"/>
              <w:bottom w:val="single" w:sz="4" w:space="0" w:color="auto"/>
              <w:right w:val="single" w:sz="4" w:space="0" w:color="auto"/>
            </w:tcBorders>
            <w:shd w:val="clear" w:color="auto" w:fill="auto"/>
            <w:noWrap/>
            <w:vAlign w:val="bottom"/>
            <w:hideMark/>
          </w:tcPr>
          <w:p w14:paraId="526493A5"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32,3</w:t>
            </w:r>
          </w:p>
        </w:tc>
        <w:tc>
          <w:tcPr>
            <w:tcW w:w="2248" w:type="dxa"/>
            <w:tcBorders>
              <w:top w:val="nil"/>
              <w:left w:val="nil"/>
              <w:bottom w:val="single" w:sz="4" w:space="0" w:color="auto"/>
              <w:right w:val="single" w:sz="4" w:space="0" w:color="auto"/>
            </w:tcBorders>
            <w:shd w:val="clear" w:color="auto" w:fill="auto"/>
            <w:noWrap/>
            <w:vAlign w:val="bottom"/>
            <w:hideMark/>
          </w:tcPr>
          <w:p w14:paraId="77810950"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34,7</w:t>
            </w:r>
          </w:p>
        </w:tc>
      </w:tr>
      <w:tr w:rsidR="00E7041A" w:rsidRPr="00D60530" w14:paraId="516373C1"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77D35AB1"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Fès-Meknès</w:t>
            </w:r>
          </w:p>
        </w:tc>
        <w:tc>
          <w:tcPr>
            <w:tcW w:w="2248" w:type="dxa"/>
            <w:tcBorders>
              <w:top w:val="nil"/>
              <w:left w:val="nil"/>
              <w:bottom w:val="single" w:sz="4" w:space="0" w:color="auto"/>
              <w:right w:val="single" w:sz="4" w:space="0" w:color="auto"/>
            </w:tcBorders>
            <w:shd w:val="clear" w:color="auto" w:fill="auto"/>
            <w:noWrap/>
            <w:vAlign w:val="bottom"/>
            <w:hideMark/>
          </w:tcPr>
          <w:p w14:paraId="024B28D9"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36,2</w:t>
            </w:r>
          </w:p>
        </w:tc>
        <w:tc>
          <w:tcPr>
            <w:tcW w:w="2248" w:type="dxa"/>
            <w:tcBorders>
              <w:top w:val="nil"/>
              <w:left w:val="nil"/>
              <w:bottom w:val="single" w:sz="4" w:space="0" w:color="auto"/>
              <w:right w:val="single" w:sz="4" w:space="0" w:color="auto"/>
            </w:tcBorders>
            <w:shd w:val="clear" w:color="auto" w:fill="auto"/>
            <w:noWrap/>
            <w:vAlign w:val="bottom"/>
            <w:hideMark/>
          </w:tcPr>
          <w:p w14:paraId="186AB9B8"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36,7</w:t>
            </w:r>
          </w:p>
        </w:tc>
      </w:tr>
      <w:tr w:rsidR="00E7041A" w:rsidRPr="00D60530" w14:paraId="337C107F"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6F5C8E86"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Rabat-Salé-Kénitra</w:t>
            </w:r>
          </w:p>
        </w:tc>
        <w:tc>
          <w:tcPr>
            <w:tcW w:w="2248" w:type="dxa"/>
            <w:tcBorders>
              <w:top w:val="nil"/>
              <w:left w:val="nil"/>
              <w:bottom w:val="single" w:sz="4" w:space="0" w:color="auto"/>
              <w:right w:val="single" w:sz="4" w:space="0" w:color="auto"/>
            </w:tcBorders>
            <w:shd w:val="clear" w:color="auto" w:fill="auto"/>
            <w:noWrap/>
            <w:vAlign w:val="bottom"/>
            <w:hideMark/>
          </w:tcPr>
          <w:p w14:paraId="4CD49B99"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37,0</w:t>
            </w:r>
          </w:p>
        </w:tc>
        <w:tc>
          <w:tcPr>
            <w:tcW w:w="2248" w:type="dxa"/>
            <w:tcBorders>
              <w:top w:val="nil"/>
              <w:left w:val="nil"/>
              <w:bottom w:val="single" w:sz="4" w:space="0" w:color="auto"/>
              <w:right w:val="single" w:sz="4" w:space="0" w:color="auto"/>
            </w:tcBorders>
            <w:shd w:val="clear" w:color="auto" w:fill="auto"/>
            <w:noWrap/>
            <w:vAlign w:val="bottom"/>
            <w:hideMark/>
          </w:tcPr>
          <w:p w14:paraId="13620C3C"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38,7</w:t>
            </w:r>
          </w:p>
        </w:tc>
      </w:tr>
      <w:tr w:rsidR="00E7041A" w:rsidRPr="00D60530" w14:paraId="0AB67BB7"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3991A28B"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Béni Mellal-</w:t>
            </w:r>
            <w:proofErr w:type="spellStart"/>
            <w:r w:rsidRPr="00D60530">
              <w:rPr>
                <w:rFonts w:ascii="Times New Roman" w:eastAsia="Times New Roman" w:hAnsi="Times New Roman" w:cs="Times New Roman"/>
                <w:color w:val="000000"/>
                <w:sz w:val="16"/>
                <w:szCs w:val="16"/>
              </w:rPr>
              <w:t>Khénifra</w:t>
            </w:r>
            <w:proofErr w:type="spellEnd"/>
          </w:p>
        </w:tc>
        <w:tc>
          <w:tcPr>
            <w:tcW w:w="2248" w:type="dxa"/>
            <w:tcBorders>
              <w:top w:val="nil"/>
              <w:left w:val="nil"/>
              <w:bottom w:val="single" w:sz="4" w:space="0" w:color="auto"/>
              <w:right w:val="single" w:sz="4" w:space="0" w:color="auto"/>
            </w:tcBorders>
            <w:shd w:val="clear" w:color="auto" w:fill="auto"/>
            <w:noWrap/>
            <w:vAlign w:val="bottom"/>
            <w:hideMark/>
          </w:tcPr>
          <w:p w14:paraId="23157023"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41,4</w:t>
            </w:r>
          </w:p>
        </w:tc>
        <w:tc>
          <w:tcPr>
            <w:tcW w:w="2248" w:type="dxa"/>
            <w:tcBorders>
              <w:top w:val="nil"/>
              <w:left w:val="nil"/>
              <w:bottom w:val="single" w:sz="4" w:space="0" w:color="auto"/>
              <w:right w:val="single" w:sz="4" w:space="0" w:color="auto"/>
            </w:tcBorders>
            <w:shd w:val="clear" w:color="auto" w:fill="auto"/>
            <w:noWrap/>
            <w:vAlign w:val="bottom"/>
            <w:hideMark/>
          </w:tcPr>
          <w:p w14:paraId="087BA6B1"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40,3</w:t>
            </w:r>
          </w:p>
        </w:tc>
      </w:tr>
      <w:tr w:rsidR="00E7041A" w:rsidRPr="00D60530" w14:paraId="2932C6C2"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15B4E3CA"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Casablanca-Settat</w:t>
            </w:r>
          </w:p>
        </w:tc>
        <w:tc>
          <w:tcPr>
            <w:tcW w:w="2248" w:type="dxa"/>
            <w:tcBorders>
              <w:top w:val="nil"/>
              <w:left w:val="nil"/>
              <w:bottom w:val="single" w:sz="4" w:space="0" w:color="auto"/>
              <w:right w:val="single" w:sz="4" w:space="0" w:color="auto"/>
            </w:tcBorders>
            <w:shd w:val="clear" w:color="auto" w:fill="auto"/>
            <w:noWrap/>
            <w:vAlign w:val="bottom"/>
            <w:hideMark/>
          </w:tcPr>
          <w:p w14:paraId="57937AB9"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39,5</w:t>
            </w:r>
          </w:p>
        </w:tc>
        <w:tc>
          <w:tcPr>
            <w:tcW w:w="2248" w:type="dxa"/>
            <w:tcBorders>
              <w:top w:val="nil"/>
              <w:left w:val="nil"/>
              <w:bottom w:val="single" w:sz="4" w:space="0" w:color="auto"/>
              <w:right w:val="single" w:sz="4" w:space="0" w:color="auto"/>
            </w:tcBorders>
            <w:shd w:val="clear" w:color="auto" w:fill="auto"/>
            <w:noWrap/>
            <w:vAlign w:val="bottom"/>
            <w:hideMark/>
          </w:tcPr>
          <w:p w14:paraId="4FD7E9D7"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41,6</w:t>
            </w:r>
          </w:p>
        </w:tc>
      </w:tr>
      <w:tr w:rsidR="00E7041A" w:rsidRPr="00D60530" w14:paraId="28288B21"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1BFFB84D"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Marrakech-Safi</w:t>
            </w:r>
          </w:p>
        </w:tc>
        <w:tc>
          <w:tcPr>
            <w:tcW w:w="2248" w:type="dxa"/>
            <w:tcBorders>
              <w:top w:val="nil"/>
              <w:left w:val="nil"/>
              <w:bottom w:val="single" w:sz="4" w:space="0" w:color="auto"/>
              <w:right w:val="single" w:sz="4" w:space="0" w:color="auto"/>
            </w:tcBorders>
            <w:shd w:val="clear" w:color="auto" w:fill="auto"/>
            <w:noWrap/>
            <w:vAlign w:val="bottom"/>
            <w:hideMark/>
          </w:tcPr>
          <w:p w14:paraId="3C4E21D0"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42,0</w:t>
            </w:r>
          </w:p>
        </w:tc>
        <w:tc>
          <w:tcPr>
            <w:tcW w:w="2248" w:type="dxa"/>
            <w:tcBorders>
              <w:top w:val="nil"/>
              <w:left w:val="nil"/>
              <w:bottom w:val="single" w:sz="4" w:space="0" w:color="auto"/>
              <w:right w:val="single" w:sz="4" w:space="0" w:color="auto"/>
            </w:tcBorders>
            <w:shd w:val="clear" w:color="auto" w:fill="auto"/>
            <w:noWrap/>
            <w:vAlign w:val="bottom"/>
            <w:hideMark/>
          </w:tcPr>
          <w:p w14:paraId="1C73F91D"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42,4</w:t>
            </w:r>
          </w:p>
        </w:tc>
      </w:tr>
      <w:tr w:rsidR="00E7041A" w:rsidRPr="00D60530" w14:paraId="1DFF69F7"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366E304E"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proofErr w:type="spellStart"/>
            <w:r w:rsidRPr="00D60530">
              <w:rPr>
                <w:rFonts w:ascii="Times New Roman" w:eastAsia="Times New Roman" w:hAnsi="Times New Roman" w:cs="Times New Roman"/>
                <w:color w:val="000000"/>
                <w:sz w:val="16"/>
                <w:szCs w:val="16"/>
              </w:rPr>
              <w:t>Drâa</w:t>
            </w:r>
            <w:proofErr w:type="spellEnd"/>
            <w:r w:rsidRPr="00D60530">
              <w:rPr>
                <w:rFonts w:ascii="Times New Roman" w:eastAsia="Times New Roman" w:hAnsi="Times New Roman" w:cs="Times New Roman"/>
                <w:color w:val="000000"/>
                <w:sz w:val="16"/>
                <w:szCs w:val="16"/>
              </w:rPr>
              <w:t>-Tafilalet</w:t>
            </w:r>
          </w:p>
        </w:tc>
        <w:tc>
          <w:tcPr>
            <w:tcW w:w="2248" w:type="dxa"/>
            <w:tcBorders>
              <w:top w:val="nil"/>
              <w:left w:val="nil"/>
              <w:bottom w:val="single" w:sz="4" w:space="0" w:color="auto"/>
              <w:right w:val="single" w:sz="4" w:space="0" w:color="auto"/>
            </w:tcBorders>
            <w:shd w:val="clear" w:color="auto" w:fill="auto"/>
            <w:noWrap/>
            <w:vAlign w:val="bottom"/>
            <w:hideMark/>
          </w:tcPr>
          <w:p w14:paraId="3C3FE678"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32,4</w:t>
            </w:r>
          </w:p>
        </w:tc>
        <w:tc>
          <w:tcPr>
            <w:tcW w:w="2248" w:type="dxa"/>
            <w:tcBorders>
              <w:top w:val="nil"/>
              <w:left w:val="nil"/>
              <w:bottom w:val="single" w:sz="4" w:space="0" w:color="auto"/>
              <w:right w:val="single" w:sz="4" w:space="0" w:color="auto"/>
            </w:tcBorders>
            <w:shd w:val="clear" w:color="auto" w:fill="auto"/>
            <w:noWrap/>
            <w:vAlign w:val="bottom"/>
            <w:hideMark/>
          </w:tcPr>
          <w:p w14:paraId="7A796407"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35,8</w:t>
            </w:r>
          </w:p>
        </w:tc>
      </w:tr>
      <w:tr w:rsidR="00E7041A" w:rsidRPr="00D60530" w14:paraId="72FF3E6C"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6A90E14D"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Souss-Massa</w:t>
            </w:r>
          </w:p>
        </w:tc>
        <w:tc>
          <w:tcPr>
            <w:tcW w:w="2248" w:type="dxa"/>
            <w:tcBorders>
              <w:top w:val="nil"/>
              <w:left w:val="nil"/>
              <w:bottom w:val="single" w:sz="4" w:space="0" w:color="auto"/>
              <w:right w:val="single" w:sz="4" w:space="0" w:color="auto"/>
            </w:tcBorders>
            <w:shd w:val="clear" w:color="auto" w:fill="auto"/>
            <w:noWrap/>
            <w:vAlign w:val="bottom"/>
            <w:hideMark/>
          </w:tcPr>
          <w:p w14:paraId="53202621"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35,2</w:t>
            </w:r>
          </w:p>
        </w:tc>
        <w:tc>
          <w:tcPr>
            <w:tcW w:w="2248" w:type="dxa"/>
            <w:tcBorders>
              <w:top w:val="nil"/>
              <w:left w:val="nil"/>
              <w:bottom w:val="single" w:sz="4" w:space="0" w:color="auto"/>
              <w:right w:val="single" w:sz="4" w:space="0" w:color="auto"/>
            </w:tcBorders>
            <w:shd w:val="clear" w:color="auto" w:fill="auto"/>
            <w:noWrap/>
            <w:vAlign w:val="bottom"/>
            <w:hideMark/>
          </w:tcPr>
          <w:p w14:paraId="1363B40E"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36,7</w:t>
            </w:r>
          </w:p>
        </w:tc>
      </w:tr>
      <w:tr w:rsidR="00E7041A" w:rsidRPr="00D60530" w14:paraId="41B6F16A"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450A9E0F"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Régions du Sud</w:t>
            </w:r>
          </w:p>
        </w:tc>
        <w:tc>
          <w:tcPr>
            <w:tcW w:w="2248" w:type="dxa"/>
            <w:tcBorders>
              <w:top w:val="nil"/>
              <w:left w:val="nil"/>
              <w:bottom w:val="single" w:sz="4" w:space="0" w:color="auto"/>
              <w:right w:val="single" w:sz="4" w:space="0" w:color="auto"/>
            </w:tcBorders>
            <w:shd w:val="clear" w:color="auto" w:fill="auto"/>
            <w:noWrap/>
            <w:vAlign w:val="bottom"/>
            <w:hideMark/>
          </w:tcPr>
          <w:p w14:paraId="435E83C9"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34,8</w:t>
            </w:r>
          </w:p>
        </w:tc>
        <w:tc>
          <w:tcPr>
            <w:tcW w:w="2248" w:type="dxa"/>
            <w:tcBorders>
              <w:top w:val="nil"/>
              <w:left w:val="nil"/>
              <w:bottom w:val="single" w:sz="4" w:space="0" w:color="auto"/>
              <w:right w:val="single" w:sz="4" w:space="0" w:color="auto"/>
            </w:tcBorders>
            <w:shd w:val="clear" w:color="auto" w:fill="auto"/>
            <w:noWrap/>
            <w:vAlign w:val="bottom"/>
            <w:hideMark/>
          </w:tcPr>
          <w:p w14:paraId="1BF283CC"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35,9</w:t>
            </w:r>
          </w:p>
        </w:tc>
      </w:tr>
      <w:tr w:rsidR="00E7041A" w:rsidRPr="00D60530" w14:paraId="79C89FBD"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22585437" w14:textId="77777777" w:rsidR="00E7041A" w:rsidRPr="00D60530" w:rsidRDefault="00E7041A" w:rsidP="00714569">
            <w:pPr>
              <w:spacing w:after="0" w:line="240" w:lineRule="auto"/>
              <w:ind w:firstLineChars="100" w:firstLine="161"/>
              <w:rPr>
                <w:rFonts w:ascii="Times New Roman" w:eastAsia="Times New Roman" w:hAnsi="Times New Roman" w:cs="Times New Roman"/>
                <w:b/>
                <w:bCs/>
                <w:color w:val="000000"/>
                <w:sz w:val="16"/>
                <w:szCs w:val="16"/>
              </w:rPr>
            </w:pPr>
            <w:r w:rsidRPr="00D60530">
              <w:rPr>
                <w:rFonts w:ascii="Times New Roman" w:eastAsia="Times New Roman" w:hAnsi="Times New Roman" w:cs="Times New Roman"/>
                <w:b/>
                <w:bCs/>
                <w:color w:val="000000"/>
                <w:sz w:val="16"/>
                <w:szCs w:val="16"/>
              </w:rPr>
              <w:t>Ensemble</w:t>
            </w:r>
          </w:p>
        </w:tc>
        <w:tc>
          <w:tcPr>
            <w:tcW w:w="2248" w:type="dxa"/>
            <w:tcBorders>
              <w:top w:val="nil"/>
              <w:left w:val="nil"/>
              <w:bottom w:val="single" w:sz="4" w:space="0" w:color="auto"/>
              <w:right w:val="single" w:sz="4" w:space="0" w:color="auto"/>
            </w:tcBorders>
            <w:shd w:val="clear" w:color="auto" w:fill="auto"/>
            <w:noWrap/>
            <w:vAlign w:val="bottom"/>
            <w:hideMark/>
          </w:tcPr>
          <w:p w14:paraId="31A37A41" w14:textId="77777777" w:rsidR="00E7041A" w:rsidRPr="00D60530" w:rsidRDefault="00E7041A" w:rsidP="00714569">
            <w:pPr>
              <w:spacing w:after="0" w:line="240" w:lineRule="auto"/>
              <w:ind w:firstLineChars="300" w:firstLine="482"/>
              <w:jc w:val="center"/>
              <w:rPr>
                <w:rFonts w:ascii="Times New Roman" w:eastAsia="Times New Roman" w:hAnsi="Times New Roman" w:cs="Times New Roman"/>
                <w:b/>
                <w:bCs/>
                <w:color w:val="000000"/>
                <w:sz w:val="16"/>
                <w:szCs w:val="16"/>
              </w:rPr>
            </w:pPr>
            <w:r w:rsidRPr="00D60530">
              <w:rPr>
                <w:rFonts w:ascii="Times New Roman" w:eastAsia="Times New Roman" w:hAnsi="Times New Roman" w:cs="Times New Roman"/>
                <w:b/>
                <w:bCs/>
                <w:color w:val="000000"/>
                <w:sz w:val="16"/>
                <w:szCs w:val="16"/>
              </w:rPr>
              <w:t>37,9</w:t>
            </w:r>
          </w:p>
        </w:tc>
        <w:tc>
          <w:tcPr>
            <w:tcW w:w="2248" w:type="dxa"/>
            <w:tcBorders>
              <w:top w:val="nil"/>
              <w:left w:val="nil"/>
              <w:bottom w:val="single" w:sz="4" w:space="0" w:color="auto"/>
              <w:right w:val="single" w:sz="4" w:space="0" w:color="auto"/>
            </w:tcBorders>
            <w:shd w:val="clear" w:color="auto" w:fill="auto"/>
            <w:noWrap/>
            <w:vAlign w:val="bottom"/>
            <w:hideMark/>
          </w:tcPr>
          <w:p w14:paraId="6795D2E6" w14:textId="77777777" w:rsidR="00E7041A" w:rsidRPr="00D60530" w:rsidRDefault="00E7041A" w:rsidP="00714569">
            <w:pPr>
              <w:spacing w:after="0" w:line="240" w:lineRule="auto"/>
              <w:ind w:firstLineChars="300" w:firstLine="482"/>
              <w:jc w:val="center"/>
              <w:rPr>
                <w:rFonts w:ascii="Times New Roman" w:eastAsia="Times New Roman" w:hAnsi="Times New Roman" w:cs="Times New Roman"/>
                <w:b/>
                <w:bCs/>
                <w:color w:val="000000"/>
                <w:sz w:val="16"/>
                <w:szCs w:val="16"/>
              </w:rPr>
            </w:pPr>
            <w:r w:rsidRPr="00D60530">
              <w:rPr>
                <w:rFonts w:ascii="Times New Roman" w:eastAsia="Times New Roman" w:hAnsi="Times New Roman" w:cs="Times New Roman"/>
                <w:b/>
                <w:bCs/>
                <w:color w:val="000000"/>
                <w:sz w:val="16"/>
                <w:szCs w:val="16"/>
              </w:rPr>
              <w:t>39,8</w:t>
            </w:r>
          </w:p>
        </w:tc>
      </w:tr>
      <w:tr w:rsidR="00E7041A" w:rsidRPr="00D60530" w14:paraId="745F1DD5" w14:textId="77777777" w:rsidTr="00951BD4">
        <w:trPr>
          <w:trHeight w:val="312"/>
          <w:jc w:val="center"/>
        </w:trPr>
        <w:tc>
          <w:tcPr>
            <w:tcW w:w="849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0A4FBDD" w14:textId="77777777" w:rsidR="00E7041A" w:rsidRPr="00D60530" w:rsidRDefault="00E7041A" w:rsidP="00714569">
            <w:pPr>
              <w:spacing w:after="0" w:line="240" w:lineRule="auto"/>
              <w:rPr>
                <w:rFonts w:ascii="Times New Roman" w:eastAsia="Times New Roman" w:hAnsi="Times New Roman" w:cs="Times New Roman"/>
                <w:b/>
                <w:bCs/>
                <w:sz w:val="16"/>
                <w:szCs w:val="16"/>
              </w:rPr>
            </w:pPr>
            <w:r w:rsidRPr="00D60530">
              <w:rPr>
                <w:rFonts w:ascii="Times New Roman" w:eastAsia="Times New Roman" w:hAnsi="Times New Roman" w:cs="Times New Roman"/>
                <w:b/>
                <w:bCs/>
                <w:sz w:val="16"/>
                <w:szCs w:val="16"/>
              </w:rPr>
              <w:t>Taux de chômage</w:t>
            </w:r>
          </w:p>
        </w:tc>
      </w:tr>
      <w:tr w:rsidR="00E7041A" w:rsidRPr="00D60530" w14:paraId="0565AF7D"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00085856"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 xml:space="preserve">Tanger-Tétouan-Al </w:t>
            </w:r>
            <w:proofErr w:type="spellStart"/>
            <w:r w:rsidRPr="00D60530">
              <w:rPr>
                <w:rFonts w:ascii="Times New Roman" w:eastAsia="Times New Roman" w:hAnsi="Times New Roman" w:cs="Times New Roman"/>
                <w:color w:val="000000"/>
                <w:sz w:val="16"/>
                <w:szCs w:val="16"/>
              </w:rPr>
              <w:t>Hoceïma</w:t>
            </w:r>
            <w:proofErr w:type="spellEnd"/>
          </w:p>
        </w:tc>
        <w:tc>
          <w:tcPr>
            <w:tcW w:w="2248" w:type="dxa"/>
            <w:tcBorders>
              <w:top w:val="nil"/>
              <w:left w:val="nil"/>
              <w:bottom w:val="single" w:sz="4" w:space="0" w:color="auto"/>
              <w:right w:val="single" w:sz="4" w:space="0" w:color="auto"/>
            </w:tcBorders>
            <w:shd w:val="clear" w:color="auto" w:fill="auto"/>
            <w:noWrap/>
            <w:vAlign w:val="bottom"/>
            <w:hideMark/>
          </w:tcPr>
          <w:p w14:paraId="5B319AB5"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12,3</w:t>
            </w:r>
          </w:p>
        </w:tc>
        <w:tc>
          <w:tcPr>
            <w:tcW w:w="2248" w:type="dxa"/>
            <w:tcBorders>
              <w:top w:val="nil"/>
              <w:left w:val="nil"/>
              <w:bottom w:val="single" w:sz="4" w:space="0" w:color="auto"/>
              <w:right w:val="single" w:sz="4" w:space="0" w:color="auto"/>
            </w:tcBorders>
            <w:shd w:val="clear" w:color="auto" w:fill="auto"/>
            <w:noWrap/>
            <w:vAlign w:val="bottom"/>
            <w:hideMark/>
          </w:tcPr>
          <w:p w14:paraId="1908E5D4"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10,0</w:t>
            </w:r>
          </w:p>
        </w:tc>
      </w:tr>
      <w:tr w:rsidR="00E7041A" w:rsidRPr="00D60530" w14:paraId="4088AE16"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290A0E1A"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Oriental</w:t>
            </w:r>
          </w:p>
        </w:tc>
        <w:tc>
          <w:tcPr>
            <w:tcW w:w="2248" w:type="dxa"/>
            <w:tcBorders>
              <w:top w:val="nil"/>
              <w:left w:val="nil"/>
              <w:bottom w:val="single" w:sz="4" w:space="0" w:color="auto"/>
              <w:right w:val="single" w:sz="4" w:space="0" w:color="auto"/>
            </w:tcBorders>
            <w:shd w:val="clear" w:color="auto" w:fill="auto"/>
            <w:noWrap/>
            <w:vAlign w:val="bottom"/>
            <w:hideMark/>
          </w:tcPr>
          <w:p w14:paraId="01CBBE10"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21,2</w:t>
            </w:r>
          </w:p>
        </w:tc>
        <w:tc>
          <w:tcPr>
            <w:tcW w:w="2248" w:type="dxa"/>
            <w:tcBorders>
              <w:top w:val="nil"/>
              <w:left w:val="nil"/>
              <w:bottom w:val="single" w:sz="4" w:space="0" w:color="auto"/>
              <w:right w:val="single" w:sz="4" w:space="0" w:color="auto"/>
            </w:tcBorders>
            <w:shd w:val="clear" w:color="auto" w:fill="auto"/>
            <w:noWrap/>
            <w:vAlign w:val="bottom"/>
            <w:hideMark/>
          </w:tcPr>
          <w:p w14:paraId="00470B49"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17,4</w:t>
            </w:r>
          </w:p>
        </w:tc>
      </w:tr>
      <w:tr w:rsidR="00E7041A" w:rsidRPr="00D60530" w14:paraId="53D32073"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568B662A"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Fès-Meknès</w:t>
            </w:r>
          </w:p>
        </w:tc>
        <w:tc>
          <w:tcPr>
            <w:tcW w:w="2248" w:type="dxa"/>
            <w:tcBorders>
              <w:top w:val="nil"/>
              <w:left w:val="nil"/>
              <w:bottom w:val="single" w:sz="4" w:space="0" w:color="auto"/>
              <w:right w:val="single" w:sz="4" w:space="0" w:color="auto"/>
            </w:tcBorders>
            <w:shd w:val="clear" w:color="auto" w:fill="auto"/>
            <w:noWrap/>
            <w:vAlign w:val="bottom"/>
            <w:hideMark/>
          </w:tcPr>
          <w:p w14:paraId="3CDB4395"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12,9</w:t>
            </w:r>
          </w:p>
        </w:tc>
        <w:tc>
          <w:tcPr>
            <w:tcW w:w="2248" w:type="dxa"/>
            <w:tcBorders>
              <w:top w:val="nil"/>
              <w:left w:val="nil"/>
              <w:bottom w:val="single" w:sz="4" w:space="0" w:color="auto"/>
              <w:right w:val="single" w:sz="4" w:space="0" w:color="auto"/>
            </w:tcBorders>
            <w:shd w:val="clear" w:color="auto" w:fill="auto"/>
            <w:noWrap/>
            <w:vAlign w:val="bottom"/>
            <w:hideMark/>
          </w:tcPr>
          <w:p w14:paraId="42BC7B4D"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13,2</w:t>
            </w:r>
          </w:p>
        </w:tc>
      </w:tr>
      <w:tr w:rsidR="00E7041A" w:rsidRPr="00D60530" w14:paraId="749177D1"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6590AFB2"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Rabat-Salé-Kénitra</w:t>
            </w:r>
          </w:p>
        </w:tc>
        <w:tc>
          <w:tcPr>
            <w:tcW w:w="2248" w:type="dxa"/>
            <w:tcBorders>
              <w:top w:val="nil"/>
              <w:left w:val="nil"/>
              <w:bottom w:val="single" w:sz="4" w:space="0" w:color="auto"/>
              <w:right w:val="single" w:sz="4" w:space="0" w:color="auto"/>
            </w:tcBorders>
            <w:shd w:val="clear" w:color="auto" w:fill="auto"/>
            <w:noWrap/>
            <w:vAlign w:val="bottom"/>
            <w:hideMark/>
          </w:tcPr>
          <w:p w14:paraId="7AB12A49"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12,7</w:t>
            </w:r>
          </w:p>
        </w:tc>
        <w:tc>
          <w:tcPr>
            <w:tcW w:w="2248" w:type="dxa"/>
            <w:tcBorders>
              <w:top w:val="nil"/>
              <w:left w:val="nil"/>
              <w:bottom w:val="single" w:sz="4" w:space="0" w:color="auto"/>
              <w:right w:val="single" w:sz="4" w:space="0" w:color="auto"/>
            </w:tcBorders>
            <w:shd w:val="clear" w:color="auto" w:fill="auto"/>
            <w:noWrap/>
            <w:vAlign w:val="bottom"/>
            <w:hideMark/>
          </w:tcPr>
          <w:p w14:paraId="79B01E90"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11,5</w:t>
            </w:r>
          </w:p>
        </w:tc>
      </w:tr>
      <w:tr w:rsidR="00E7041A" w:rsidRPr="00D60530" w14:paraId="48D8E146"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0BAE705C"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Béni Mellal-</w:t>
            </w:r>
            <w:proofErr w:type="spellStart"/>
            <w:r w:rsidRPr="00D60530">
              <w:rPr>
                <w:rFonts w:ascii="Times New Roman" w:eastAsia="Times New Roman" w:hAnsi="Times New Roman" w:cs="Times New Roman"/>
                <w:color w:val="000000"/>
                <w:sz w:val="16"/>
                <w:szCs w:val="16"/>
              </w:rPr>
              <w:t>Khénifra</w:t>
            </w:r>
            <w:proofErr w:type="spellEnd"/>
          </w:p>
        </w:tc>
        <w:tc>
          <w:tcPr>
            <w:tcW w:w="2248" w:type="dxa"/>
            <w:tcBorders>
              <w:top w:val="nil"/>
              <w:left w:val="nil"/>
              <w:bottom w:val="single" w:sz="4" w:space="0" w:color="auto"/>
              <w:right w:val="single" w:sz="4" w:space="0" w:color="auto"/>
            </w:tcBorders>
            <w:shd w:val="clear" w:color="auto" w:fill="auto"/>
            <w:noWrap/>
            <w:vAlign w:val="bottom"/>
            <w:hideMark/>
          </w:tcPr>
          <w:p w14:paraId="3E192E66"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5,9</w:t>
            </w:r>
          </w:p>
        </w:tc>
        <w:tc>
          <w:tcPr>
            <w:tcW w:w="2248" w:type="dxa"/>
            <w:tcBorders>
              <w:top w:val="nil"/>
              <w:left w:val="nil"/>
              <w:bottom w:val="single" w:sz="4" w:space="0" w:color="auto"/>
              <w:right w:val="single" w:sz="4" w:space="0" w:color="auto"/>
            </w:tcBorders>
            <w:shd w:val="clear" w:color="auto" w:fill="auto"/>
            <w:noWrap/>
            <w:vAlign w:val="bottom"/>
            <w:hideMark/>
          </w:tcPr>
          <w:p w14:paraId="6715C2A3"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10,0</w:t>
            </w:r>
          </w:p>
        </w:tc>
      </w:tr>
      <w:tr w:rsidR="00E7041A" w:rsidRPr="00D60530" w14:paraId="69E04DCB"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43471026"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Casablanca-Settat</w:t>
            </w:r>
          </w:p>
        </w:tc>
        <w:tc>
          <w:tcPr>
            <w:tcW w:w="2248" w:type="dxa"/>
            <w:tcBorders>
              <w:top w:val="nil"/>
              <w:left w:val="nil"/>
              <w:bottom w:val="single" w:sz="4" w:space="0" w:color="auto"/>
              <w:right w:val="single" w:sz="4" w:space="0" w:color="auto"/>
            </w:tcBorders>
            <w:shd w:val="clear" w:color="auto" w:fill="auto"/>
            <w:noWrap/>
            <w:vAlign w:val="bottom"/>
            <w:hideMark/>
          </w:tcPr>
          <w:p w14:paraId="184353DB"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14,7</w:t>
            </w:r>
          </w:p>
        </w:tc>
        <w:tc>
          <w:tcPr>
            <w:tcW w:w="2248" w:type="dxa"/>
            <w:tcBorders>
              <w:top w:val="nil"/>
              <w:left w:val="nil"/>
              <w:bottom w:val="single" w:sz="4" w:space="0" w:color="auto"/>
              <w:right w:val="single" w:sz="4" w:space="0" w:color="auto"/>
            </w:tcBorders>
            <w:shd w:val="clear" w:color="auto" w:fill="auto"/>
            <w:noWrap/>
            <w:vAlign w:val="bottom"/>
            <w:hideMark/>
          </w:tcPr>
          <w:p w14:paraId="69F4A810"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12,8</w:t>
            </w:r>
          </w:p>
        </w:tc>
      </w:tr>
      <w:tr w:rsidR="00E7041A" w:rsidRPr="00D60530" w14:paraId="5D27FB4B"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5D1558BC"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Marrakech-Safi</w:t>
            </w:r>
          </w:p>
        </w:tc>
        <w:tc>
          <w:tcPr>
            <w:tcW w:w="2248" w:type="dxa"/>
            <w:tcBorders>
              <w:top w:val="nil"/>
              <w:left w:val="nil"/>
              <w:bottom w:val="single" w:sz="4" w:space="0" w:color="auto"/>
              <w:right w:val="single" w:sz="4" w:space="0" w:color="auto"/>
            </w:tcBorders>
            <w:shd w:val="clear" w:color="auto" w:fill="auto"/>
            <w:noWrap/>
            <w:vAlign w:val="bottom"/>
            <w:hideMark/>
          </w:tcPr>
          <w:p w14:paraId="16FA0508"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7,8</w:t>
            </w:r>
          </w:p>
        </w:tc>
        <w:tc>
          <w:tcPr>
            <w:tcW w:w="2248" w:type="dxa"/>
            <w:tcBorders>
              <w:top w:val="nil"/>
              <w:left w:val="nil"/>
              <w:bottom w:val="single" w:sz="4" w:space="0" w:color="auto"/>
              <w:right w:val="single" w:sz="4" w:space="0" w:color="auto"/>
            </w:tcBorders>
            <w:shd w:val="clear" w:color="auto" w:fill="auto"/>
            <w:noWrap/>
            <w:vAlign w:val="bottom"/>
            <w:hideMark/>
          </w:tcPr>
          <w:p w14:paraId="109FCA7E"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7,7</w:t>
            </w:r>
          </w:p>
        </w:tc>
      </w:tr>
      <w:tr w:rsidR="00E7041A" w:rsidRPr="00D60530" w14:paraId="305D5806"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61E05CF0"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proofErr w:type="spellStart"/>
            <w:r w:rsidRPr="00D60530">
              <w:rPr>
                <w:rFonts w:ascii="Times New Roman" w:eastAsia="Times New Roman" w:hAnsi="Times New Roman" w:cs="Times New Roman"/>
                <w:color w:val="000000"/>
                <w:sz w:val="16"/>
                <w:szCs w:val="16"/>
              </w:rPr>
              <w:t>Drâa</w:t>
            </w:r>
            <w:proofErr w:type="spellEnd"/>
            <w:r w:rsidRPr="00D60530">
              <w:rPr>
                <w:rFonts w:ascii="Times New Roman" w:eastAsia="Times New Roman" w:hAnsi="Times New Roman" w:cs="Times New Roman"/>
                <w:color w:val="000000"/>
                <w:sz w:val="16"/>
                <w:szCs w:val="16"/>
              </w:rPr>
              <w:t>-Tafilalet</w:t>
            </w:r>
          </w:p>
        </w:tc>
        <w:tc>
          <w:tcPr>
            <w:tcW w:w="2248" w:type="dxa"/>
            <w:tcBorders>
              <w:top w:val="nil"/>
              <w:left w:val="nil"/>
              <w:bottom w:val="single" w:sz="4" w:space="0" w:color="auto"/>
              <w:right w:val="single" w:sz="4" w:space="0" w:color="auto"/>
            </w:tcBorders>
            <w:shd w:val="clear" w:color="auto" w:fill="auto"/>
            <w:noWrap/>
            <w:vAlign w:val="bottom"/>
            <w:hideMark/>
          </w:tcPr>
          <w:p w14:paraId="775A4437"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14,0</w:t>
            </w:r>
          </w:p>
        </w:tc>
        <w:tc>
          <w:tcPr>
            <w:tcW w:w="2248" w:type="dxa"/>
            <w:tcBorders>
              <w:top w:val="nil"/>
              <w:left w:val="nil"/>
              <w:bottom w:val="single" w:sz="4" w:space="0" w:color="auto"/>
              <w:right w:val="single" w:sz="4" w:space="0" w:color="auto"/>
            </w:tcBorders>
            <w:shd w:val="clear" w:color="auto" w:fill="auto"/>
            <w:noWrap/>
            <w:vAlign w:val="bottom"/>
            <w:hideMark/>
          </w:tcPr>
          <w:p w14:paraId="5CF7FACC"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12,5</w:t>
            </w:r>
          </w:p>
        </w:tc>
      </w:tr>
      <w:tr w:rsidR="00E7041A" w:rsidRPr="00D60530" w14:paraId="22E56B7F"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0806B7F3"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Souss-Massa</w:t>
            </w:r>
          </w:p>
        </w:tc>
        <w:tc>
          <w:tcPr>
            <w:tcW w:w="2248" w:type="dxa"/>
            <w:tcBorders>
              <w:top w:val="nil"/>
              <w:left w:val="nil"/>
              <w:bottom w:val="single" w:sz="4" w:space="0" w:color="auto"/>
              <w:right w:val="single" w:sz="4" w:space="0" w:color="auto"/>
            </w:tcBorders>
            <w:shd w:val="clear" w:color="auto" w:fill="auto"/>
            <w:noWrap/>
            <w:vAlign w:val="bottom"/>
            <w:hideMark/>
          </w:tcPr>
          <w:p w14:paraId="04CB899F"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12,2</w:t>
            </w:r>
          </w:p>
        </w:tc>
        <w:tc>
          <w:tcPr>
            <w:tcW w:w="2248" w:type="dxa"/>
            <w:tcBorders>
              <w:top w:val="nil"/>
              <w:left w:val="nil"/>
              <w:bottom w:val="single" w:sz="4" w:space="0" w:color="auto"/>
              <w:right w:val="single" w:sz="4" w:space="0" w:color="auto"/>
            </w:tcBorders>
            <w:shd w:val="clear" w:color="auto" w:fill="auto"/>
            <w:noWrap/>
            <w:vAlign w:val="bottom"/>
            <w:hideMark/>
          </w:tcPr>
          <w:p w14:paraId="0F6B4FEA"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11,0</w:t>
            </w:r>
          </w:p>
        </w:tc>
      </w:tr>
      <w:tr w:rsidR="00E7041A" w:rsidRPr="00D60530" w14:paraId="19B723E5"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5659B669" w14:textId="77777777" w:rsidR="00E7041A" w:rsidRPr="00D60530" w:rsidRDefault="00E7041A" w:rsidP="00714569">
            <w:pPr>
              <w:spacing w:after="0" w:line="240" w:lineRule="auto"/>
              <w:ind w:firstLineChars="100" w:firstLine="160"/>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Régions du Sud</w:t>
            </w:r>
          </w:p>
        </w:tc>
        <w:tc>
          <w:tcPr>
            <w:tcW w:w="2248" w:type="dxa"/>
            <w:tcBorders>
              <w:top w:val="nil"/>
              <w:left w:val="nil"/>
              <w:bottom w:val="single" w:sz="4" w:space="0" w:color="auto"/>
              <w:right w:val="single" w:sz="4" w:space="0" w:color="auto"/>
            </w:tcBorders>
            <w:shd w:val="clear" w:color="auto" w:fill="auto"/>
            <w:noWrap/>
            <w:vAlign w:val="bottom"/>
            <w:hideMark/>
          </w:tcPr>
          <w:p w14:paraId="4AB7BABA"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19,6</w:t>
            </w:r>
          </w:p>
        </w:tc>
        <w:tc>
          <w:tcPr>
            <w:tcW w:w="2248" w:type="dxa"/>
            <w:tcBorders>
              <w:top w:val="nil"/>
              <w:left w:val="nil"/>
              <w:bottom w:val="single" w:sz="4" w:space="0" w:color="auto"/>
              <w:right w:val="single" w:sz="4" w:space="0" w:color="auto"/>
            </w:tcBorders>
            <w:shd w:val="clear" w:color="auto" w:fill="auto"/>
            <w:noWrap/>
            <w:vAlign w:val="bottom"/>
            <w:hideMark/>
          </w:tcPr>
          <w:p w14:paraId="05835095" w14:textId="77777777" w:rsidR="00E7041A" w:rsidRPr="00D60530" w:rsidRDefault="00E7041A" w:rsidP="00714569">
            <w:pPr>
              <w:spacing w:after="0" w:line="240" w:lineRule="auto"/>
              <w:ind w:firstLineChars="300" w:firstLine="480"/>
              <w:jc w:val="center"/>
              <w:rPr>
                <w:rFonts w:ascii="Times New Roman" w:eastAsia="Times New Roman" w:hAnsi="Times New Roman" w:cs="Times New Roman"/>
                <w:color w:val="000000"/>
                <w:sz w:val="16"/>
                <w:szCs w:val="16"/>
              </w:rPr>
            </w:pPr>
            <w:r w:rsidRPr="00D60530">
              <w:rPr>
                <w:rFonts w:ascii="Times New Roman" w:eastAsia="Times New Roman" w:hAnsi="Times New Roman" w:cs="Times New Roman"/>
                <w:color w:val="000000"/>
                <w:sz w:val="16"/>
                <w:szCs w:val="16"/>
              </w:rPr>
              <w:t>19,2</w:t>
            </w:r>
          </w:p>
        </w:tc>
      </w:tr>
      <w:tr w:rsidR="00E7041A" w:rsidRPr="00D60530" w14:paraId="5137E9C1" w14:textId="77777777" w:rsidTr="00951BD4">
        <w:trPr>
          <w:trHeight w:val="312"/>
          <w:jc w:val="center"/>
        </w:trPr>
        <w:tc>
          <w:tcPr>
            <w:tcW w:w="3997" w:type="dxa"/>
            <w:tcBorders>
              <w:top w:val="nil"/>
              <w:left w:val="single" w:sz="4" w:space="0" w:color="auto"/>
              <w:bottom w:val="single" w:sz="4" w:space="0" w:color="auto"/>
              <w:right w:val="single" w:sz="4" w:space="0" w:color="auto"/>
            </w:tcBorders>
            <w:shd w:val="clear" w:color="auto" w:fill="auto"/>
            <w:noWrap/>
            <w:vAlign w:val="bottom"/>
            <w:hideMark/>
          </w:tcPr>
          <w:p w14:paraId="21E8D1C6" w14:textId="77777777" w:rsidR="00E7041A" w:rsidRPr="00D60530" w:rsidRDefault="00E7041A" w:rsidP="00714569">
            <w:pPr>
              <w:spacing w:after="0" w:line="240" w:lineRule="auto"/>
              <w:ind w:firstLineChars="100" w:firstLine="161"/>
              <w:rPr>
                <w:rFonts w:ascii="Times New Roman" w:eastAsia="Times New Roman" w:hAnsi="Times New Roman" w:cs="Times New Roman"/>
                <w:b/>
                <w:bCs/>
                <w:color w:val="000000"/>
                <w:sz w:val="16"/>
                <w:szCs w:val="16"/>
              </w:rPr>
            </w:pPr>
            <w:r w:rsidRPr="00D60530">
              <w:rPr>
                <w:rFonts w:ascii="Times New Roman" w:eastAsia="Times New Roman" w:hAnsi="Times New Roman" w:cs="Times New Roman"/>
                <w:b/>
                <w:bCs/>
                <w:color w:val="000000"/>
                <w:sz w:val="16"/>
                <w:szCs w:val="16"/>
              </w:rPr>
              <w:t>Ensemble</w:t>
            </w:r>
          </w:p>
        </w:tc>
        <w:tc>
          <w:tcPr>
            <w:tcW w:w="2248" w:type="dxa"/>
            <w:tcBorders>
              <w:top w:val="nil"/>
              <w:left w:val="nil"/>
              <w:bottom w:val="single" w:sz="4" w:space="0" w:color="auto"/>
              <w:right w:val="single" w:sz="4" w:space="0" w:color="auto"/>
            </w:tcBorders>
            <w:shd w:val="clear" w:color="auto" w:fill="auto"/>
            <w:noWrap/>
            <w:vAlign w:val="bottom"/>
            <w:hideMark/>
          </w:tcPr>
          <w:p w14:paraId="7BC45AA3" w14:textId="77777777" w:rsidR="00E7041A" w:rsidRPr="00D60530" w:rsidRDefault="00E7041A" w:rsidP="00714569">
            <w:pPr>
              <w:spacing w:after="0" w:line="240" w:lineRule="auto"/>
              <w:ind w:firstLineChars="300" w:firstLine="482"/>
              <w:jc w:val="center"/>
              <w:rPr>
                <w:rFonts w:ascii="Times New Roman" w:eastAsia="Times New Roman" w:hAnsi="Times New Roman" w:cs="Times New Roman"/>
                <w:b/>
                <w:bCs/>
                <w:color w:val="000000"/>
                <w:sz w:val="16"/>
                <w:szCs w:val="16"/>
              </w:rPr>
            </w:pPr>
            <w:r w:rsidRPr="00D60530">
              <w:rPr>
                <w:rFonts w:ascii="Times New Roman" w:eastAsia="Times New Roman" w:hAnsi="Times New Roman" w:cs="Times New Roman"/>
                <w:b/>
                <w:bCs/>
                <w:color w:val="000000"/>
                <w:sz w:val="16"/>
                <w:szCs w:val="16"/>
              </w:rPr>
              <w:t>12,7</w:t>
            </w:r>
          </w:p>
        </w:tc>
        <w:tc>
          <w:tcPr>
            <w:tcW w:w="2248" w:type="dxa"/>
            <w:tcBorders>
              <w:top w:val="nil"/>
              <w:left w:val="nil"/>
              <w:bottom w:val="single" w:sz="4" w:space="0" w:color="auto"/>
              <w:right w:val="single" w:sz="4" w:space="0" w:color="auto"/>
            </w:tcBorders>
            <w:shd w:val="clear" w:color="auto" w:fill="auto"/>
            <w:noWrap/>
            <w:vAlign w:val="bottom"/>
            <w:hideMark/>
          </w:tcPr>
          <w:p w14:paraId="36D62AE2" w14:textId="77777777" w:rsidR="00E7041A" w:rsidRPr="00D60530" w:rsidRDefault="00E7041A" w:rsidP="00714569">
            <w:pPr>
              <w:spacing w:after="0" w:line="240" w:lineRule="auto"/>
              <w:ind w:firstLineChars="300" w:firstLine="482"/>
              <w:jc w:val="center"/>
              <w:rPr>
                <w:rFonts w:ascii="Times New Roman" w:eastAsia="Times New Roman" w:hAnsi="Times New Roman" w:cs="Times New Roman"/>
                <w:b/>
                <w:bCs/>
                <w:color w:val="000000"/>
                <w:sz w:val="16"/>
                <w:szCs w:val="16"/>
              </w:rPr>
            </w:pPr>
            <w:r w:rsidRPr="00D60530">
              <w:rPr>
                <w:rFonts w:ascii="Times New Roman" w:eastAsia="Times New Roman" w:hAnsi="Times New Roman" w:cs="Times New Roman"/>
                <w:b/>
                <w:bCs/>
                <w:color w:val="000000"/>
                <w:sz w:val="16"/>
                <w:szCs w:val="16"/>
              </w:rPr>
              <w:t>11,8</w:t>
            </w:r>
          </w:p>
        </w:tc>
      </w:tr>
    </w:tbl>
    <w:p w14:paraId="12B45FB7" w14:textId="78F1FFFE" w:rsidR="00E7041A" w:rsidRDefault="003671E9" w:rsidP="00E7041A">
      <w:pPr>
        <w:tabs>
          <w:tab w:val="left" w:pos="-720"/>
        </w:tabs>
        <w:suppressAutoHyphens/>
        <w:jc w:val="both"/>
        <w:rPr>
          <w:rFonts w:ascii="Times New Roman" w:eastAsia="Calibri" w:hAnsi="Times New Roman" w:cs="Times New Roman"/>
          <w:color w:val="222222"/>
          <w:sz w:val="20"/>
          <w:szCs w:val="20"/>
          <w:shd w:val="clear" w:color="auto" w:fill="FFFFFF"/>
        </w:rPr>
      </w:pPr>
      <w:r>
        <w:rPr>
          <w:rFonts w:ascii="Times New Roman" w:eastAsia="Calibri" w:hAnsi="Times New Roman" w:cs="Times New Roman"/>
          <w:color w:val="222222"/>
          <w:sz w:val="20"/>
          <w:szCs w:val="20"/>
          <w:shd w:val="clear" w:color="auto" w:fill="FFFFFF"/>
        </w:rPr>
        <w:t xml:space="preserve">     </w:t>
      </w:r>
      <w:r w:rsidR="00E7041A">
        <w:rPr>
          <w:rFonts w:ascii="Times New Roman" w:eastAsia="Calibri" w:hAnsi="Times New Roman" w:cs="Times New Roman"/>
          <w:color w:val="222222"/>
          <w:sz w:val="20"/>
          <w:szCs w:val="20"/>
          <w:shd w:val="clear" w:color="auto" w:fill="FFFFFF"/>
        </w:rPr>
        <w:t xml:space="preserve">Source : Enquête nationale sur l'emploi, Haut-Commissariat au Plan </w:t>
      </w:r>
    </w:p>
    <w:p w14:paraId="2CC8B983" w14:textId="77777777" w:rsidR="00E7041A" w:rsidRDefault="00E7041A" w:rsidP="00E7041A"/>
    <w:p w14:paraId="2B819BC0" w14:textId="77777777" w:rsidR="00571E10" w:rsidRPr="00E7041A" w:rsidRDefault="00571E10" w:rsidP="00E7041A">
      <w:pPr>
        <w:tabs>
          <w:tab w:val="left" w:pos="1610"/>
        </w:tabs>
      </w:pPr>
    </w:p>
    <w:sectPr w:rsidR="00571E10" w:rsidRPr="00E7041A" w:rsidSect="007635BA">
      <w:footerReference w:type="default" r:id="rId18"/>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7290" w14:textId="77777777" w:rsidR="002D1341" w:rsidRDefault="002D1341" w:rsidP="002D0FCF">
      <w:pPr>
        <w:spacing w:after="0" w:line="240" w:lineRule="auto"/>
      </w:pPr>
      <w:r>
        <w:separator/>
      </w:r>
    </w:p>
  </w:endnote>
  <w:endnote w:type="continuationSeparator" w:id="0">
    <w:p w14:paraId="29D4687F" w14:textId="77777777" w:rsidR="002D1341" w:rsidRDefault="002D1341" w:rsidP="002D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33047"/>
      <w:docPartObj>
        <w:docPartGallery w:val="Page Numbers (Bottom of Page)"/>
        <w:docPartUnique/>
      </w:docPartObj>
    </w:sdtPr>
    <w:sdtEndPr/>
    <w:sdtContent>
      <w:p w14:paraId="5A1AAB9A" w14:textId="77777777" w:rsidR="00321A77" w:rsidRDefault="00DF6963">
        <w:pPr>
          <w:pStyle w:val="Pieddepage"/>
          <w:jc w:val="center"/>
        </w:pPr>
        <w:r w:rsidRPr="00F554F3">
          <w:rPr>
            <w:sz w:val="18"/>
            <w:szCs w:val="18"/>
          </w:rPr>
          <w:fldChar w:fldCharType="begin"/>
        </w:r>
        <w:r w:rsidR="00321A77" w:rsidRPr="00F554F3">
          <w:rPr>
            <w:sz w:val="18"/>
            <w:szCs w:val="18"/>
          </w:rPr>
          <w:instrText xml:space="preserve"> PAGE   \* MERGEFORMAT </w:instrText>
        </w:r>
        <w:r w:rsidRPr="00F554F3">
          <w:rPr>
            <w:sz w:val="18"/>
            <w:szCs w:val="18"/>
          </w:rPr>
          <w:fldChar w:fldCharType="separate"/>
        </w:r>
        <w:r w:rsidR="0068654C">
          <w:rPr>
            <w:noProof/>
            <w:sz w:val="18"/>
            <w:szCs w:val="18"/>
          </w:rPr>
          <w:t>10</w:t>
        </w:r>
        <w:r w:rsidRPr="00F554F3">
          <w:rPr>
            <w:sz w:val="18"/>
            <w:szCs w:val="18"/>
          </w:rPr>
          <w:fldChar w:fldCharType="end"/>
        </w:r>
      </w:p>
    </w:sdtContent>
  </w:sdt>
  <w:p w14:paraId="4C362656" w14:textId="77777777" w:rsidR="00321A77" w:rsidRDefault="00321A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D5D8B" w14:textId="77777777" w:rsidR="002D1341" w:rsidRDefault="002D1341" w:rsidP="002D0FCF">
      <w:pPr>
        <w:spacing w:after="0" w:line="240" w:lineRule="auto"/>
      </w:pPr>
      <w:r>
        <w:separator/>
      </w:r>
    </w:p>
  </w:footnote>
  <w:footnote w:type="continuationSeparator" w:id="0">
    <w:p w14:paraId="5AF9CFD7" w14:textId="77777777" w:rsidR="002D1341" w:rsidRDefault="002D1341" w:rsidP="002D0FCF">
      <w:pPr>
        <w:spacing w:after="0" w:line="240" w:lineRule="auto"/>
      </w:pPr>
      <w:r>
        <w:continuationSeparator/>
      </w:r>
    </w:p>
  </w:footnote>
  <w:footnote w:id="1">
    <w:p w14:paraId="46A1660E" w14:textId="027B96D7" w:rsidR="00321A77" w:rsidRPr="00151F1D" w:rsidRDefault="00321A77" w:rsidP="00951BD4">
      <w:pPr>
        <w:pStyle w:val="Corpsdetexte"/>
        <w:bidi w:val="0"/>
        <w:rPr>
          <w:sz w:val="16"/>
          <w:szCs w:val="16"/>
          <w:lang w:bidi="ar-MA"/>
        </w:rPr>
      </w:pPr>
      <w:r>
        <w:rPr>
          <w:rFonts w:ascii="Book Antiqua" w:hAnsi="Book Antiqua"/>
          <w:b/>
          <w:bCs/>
          <w:color w:val="222222"/>
          <w:sz w:val="18"/>
          <w:szCs w:val="18"/>
          <w:shd w:val="clear" w:color="auto" w:fill="FFFFFF"/>
          <w:vertAlign w:val="superscript"/>
        </w:rPr>
        <w:footnoteRef/>
      </w:r>
      <w:r w:rsidRPr="00151F1D">
        <w:rPr>
          <w:rFonts w:ascii="Book Antiqua" w:hAnsi="Book Antiqua"/>
          <w:sz w:val="16"/>
          <w:szCs w:val="16"/>
        </w:rPr>
        <w:t>Les diplômes de n</w:t>
      </w:r>
      <w:r w:rsidRPr="00151F1D">
        <w:rPr>
          <w:rFonts w:ascii="Book Antiqua" w:hAnsi="Book Antiqua"/>
          <w:spacing w:val="-2"/>
          <w:sz w:val="16"/>
          <w:szCs w:val="16"/>
          <w:lang w:eastAsia="en-US"/>
        </w:rPr>
        <w:t>iveau</w:t>
      </w:r>
      <w:r w:rsidRPr="00151F1D">
        <w:rPr>
          <w:rFonts w:ascii="Book Antiqua" w:hAnsi="Book Antiqua"/>
          <w:sz w:val="16"/>
          <w:szCs w:val="16"/>
        </w:rPr>
        <w:t xml:space="preserve"> supérieur </w:t>
      </w:r>
      <w:r w:rsidRPr="00151F1D">
        <w:rPr>
          <w:rFonts w:ascii="Book Antiqua" w:hAnsi="Book Antiqua"/>
          <w:spacing w:val="-2"/>
          <w:sz w:val="16"/>
          <w:szCs w:val="16"/>
          <w:lang w:eastAsia="en-US"/>
        </w:rPr>
        <w:t>regroupent le b</w:t>
      </w:r>
      <w:r w:rsidRPr="00151F1D">
        <w:rPr>
          <w:rFonts w:ascii="Book Antiqua" w:hAnsi="Book Antiqua"/>
          <w:sz w:val="16"/>
          <w:szCs w:val="16"/>
        </w:rPr>
        <w:t>accalauréat, les diplômes de techniciens ou de techniciens spécialisés et les diplômes d'enseignement supérieur (facultés, grandes écoles et instituts).</w:t>
      </w:r>
    </w:p>
  </w:footnote>
  <w:footnote w:id="2">
    <w:p w14:paraId="38D4F670" w14:textId="77777777" w:rsidR="00321A77" w:rsidRPr="00151F1D" w:rsidRDefault="00321A77" w:rsidP="00E7041A">
      <w:pPr>
        <w:pStyle w:val="Notedebasdepage"/>
        <w:rPr>
          <w:rFonts w:ascii="Book Antiqua" w:hAnsi="Book Antiqua"/>
          <w:sz w:val="16"/>
          <w:szCs w:val="16"/>
          <w:lang w:bidi="ar-MA"/>
        </w:rPr>
      </w:pPr>
      <w:r w:rsidRPr="00151F1D">
        <w:rPr>
          <w:rFonts w:ascii="Book Antiqua" w:hAnsi="Book Antiqua" w:cs="Traditional Arabic"/>
          <w:b/>
          <w:bCs/>
          <w:noProof/>
          <w:color w:val="222222"/>
          <w:sz w:val="16"/>
          <w:szCs w:val="16"/>
          <w:shd w:val="clear" w:color="auto" w:fill="FFFFFF"/>
          <w:vertAlign w:val="superscript"/>
        </w:rPr>
        <w:footnoteRef/>
      </w:r>
      <w:r w:rsidRPr="00151F1D">
        <w:rPr>
          <w:rFonts w:ascii="Book Antiqua" w:hAnsi="Book Antiqua"/>
          <w:sz w:val="16"/>
          <w:szCs w:val="16"/>
        </w:rPr>
        <w:t>Les diplômes de n</w:t>
      </w:r>
      <w:r w:rsidRPr="00151F1D">
        <w:rPr>
          <w:rFonts w:ascii="Book Antiqua" w:hAnsi="Book Antiqua"/>
          <w:spacing w:val="-2"/>
          <w:sz w:val="16"/>
          <w:szCs w:val="16"/>
          <w:lang w:eastAsia="en-US"/>
        </w:rPr>
        <w:t>iveau moyen regroupent les certificats de l'enseignement primaire, du secondaire collégial et les diplômes de qualification ou de spécialisation professionnelle.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09175B9"/>
    <w:multiLevelType w:val="hybridMultilevel"/>
    <w:tmpl w:val="3348DD78"/>
    <w:lvl w:ilvl="0" w:tplc="C0BEF51E">
      <w:start w:val="3"/>
      <w:numFmt w:val="upperRoman"/>
      <w:lvlText w:val="%1."/>
      <w:lvlJc w:val="left"/>
      <w:pPr>
        <w:ind w:left="1080" w:hanging="720"/>
      </w:pPr>
      <w:rPr>
        <w:rFonts w:eastAsia="Book Antiqua" w:cs="Book Antiqua"/>
        <w:i w:val="0"/>
        <w:color w:val="0070C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BE"/>
    <w:rsid w:val="00004964"/>
    <w:rsid w:val="000133A2"/>
    <w:rsid w:val="00036323"/>
    <w:rsid w:val="00041C3A"/>
    <w:rsid w:val="00055130"/>
    <w:rsid w:val="00063E66"/>
    <w:rsid w:val="00070426"/>
    <w:rsid w:val="000727E4"/>
    <w:rsid w:val="000764D3"/>
    <w:rsid w:val="0008360C"/>
    <w:rsid w:val="000A7A59"/>
    <w:rsid w:val="000C5070"/>
    <w:rsid w:val="000C573D"/>
    <w:rsid w:val="000D0344"/>
    <w:rsid w:val="000D0AEC"/>
    <w:rsid w:val="000F4F7E"/>
    <w:rsid w:val="00106064"/>
    <w:rsid w:val="0011152E"/>
    <w:rsid w:val="0012221D"/>
    <w:rsid w:val="00131A56"/>
    <w:rsid w:val="00132411"/>
    <w:rsid w:val="00150ED6"/>
    <w:rsid w:val="00151F1D"/>
    <w:rsid w:val="00172133"/>
    <w:rsid w:val="001747B8"/>
    <w:rsid w:val="00184C39"/>
    <w:rsid w:val="0019358C"/>
    <w:rsid w:val="001A0278"/>
    <w:rsid w:val="001B5566"/>
    <w:rsid w:val="001C4322"/>
    <w:rsid w:val="001D797A"/>
    <w:rsid w:val="001E0408"/>
    <w:rsid w:val="001E75ED"/>
    <w:rsid w:val="001F21D2"/>
    <w:rsid w:val="00201F0E"/>
    <w:rsid w:val="002129E8"/>
    <w:rsid w:val="00222044"/>
    <w:rsid w:val="002266D0"/>
    <w:rsid w:val="00227A95"/>
    <w:rsid w:val="00236946"/>
    <w:rsid w:val="00246760"/>
    <w:rsid w:val="00255A6C"/>
    <w:rsid w:val="00294868"/>
    <w:rsid w:val="002A075C"/>
    <w:rsid w:val="002A0851"/>
    <w:rsid w:val="002A0BA7"/>
    <w:rsid w:val="002B6495"/>
    <w:rsid w:val="002B6B5C"/>
    <w:rsid w:val="002D001B"/>
    <w:rsid w:val="002D0FCF"/>
    <w:rsid w:val="002D1341"/>
    <w:rsid w:val="002D2C53"/>
    <w:rsid w:val="002D324D"/>
    <w:rsid w:val="002F4B35"/>
    <w:rsid w:val="002F570A"/>
    <w:rsid w:val="003052C0"/>
    <w:rsid w:val="00307174"/>
    <w:rsid w:val="003154CF"/>
    <w:rsid w:val="00317E8B"/>
    <w:rsid w:val="00321A77"/>
    <w:rsid w:val="00327626"/>
    <w:rsid w:val="00331707"/>
    <w:rsid w:val="0033209A"/>
    <w:rsid w:val="00337217"/>
    <w:rsid w:val="003513E8"/>
    <w:rsid w:val="00353770"/>
    <w:rsid w:val="003671E9"/>
    <w:rsid w:val="00383415"/>
    <w:rsid w:val="00385027"/>
    <w:rsid w:val="003904BF"/>
    <w:rsid w:val="003A6E99"/>
    <w:rsid w:val="003B7438"/>
    <w:rsid w:val="00451729"/>
    <w:rsid w:val="00452E2B"/>
    <w:rsid w:val="004763DC"/>
    <w:rsid w:val="00486B4D"/>
    <w:rsid w:val="004912ED"/>
    <w:rsid w:val="00494483"/>
    <w:rsid w:val="004A43A3"/>
    <w:rsid w:val="004A603E"/>
    <w:rsid w:val="004C37C0"/>
    <w:rsid w:val="004D0C71"/>
    <w:rsid w:val="004F0B83"/>
    <w:rsid w:val="005072FB"/>
    <w:rsid w:val="00510A7D"/>
    <w:rsid w:val="005276BC"/>
    <w:rsid w:val="00535E49"/>
    <w:rsid w:val="0054730B"/>
    <w:rsid w:val="00555FC1"/>
    <w:rsid w:val="005655AA"/>
    <w:rsid w:val="00571042"/>
    <w:rsid w:val="00571E10"/>
    <w:rsid w:val="00581577"/>
    <w:rsid w:val="005B1D6D"/>
    <w:rsid w:val="005C4CF8"/>
    <w:rsid w:val="005C7331"/>
    <w:rsid w:val="005D1CF2"/>
    <w:rsid w:val="005D2B65"/>
    <w:rsid w:val="005E092F"/>
    <w:rsid w:val="005F6E0E"/>
    <w:rsid w:val="00610C84"/>
    <w:rsid w:val="00623121"/>
    <w:rsid w:val="0062330B"/>
    <w:rsid w:val="00626D02"/>
    <w:rsid w:val="0065036F"/>
    <w:rsid w:val="00650AEF"/>
    <w:rsid w:val="0068654C"/>
    <w:rsid w:val="006944D9"/>
    <w:rsid w:val="00695DAA"/>
    <w:rsid w:val="006A0F94"/>
    <w:rsid w:val="006A7F11"/>
    <w:rsid w:val="006B2554"/>
    <w:rsid w:val="006B3846"/>
    <w:rsid w:val="006B5159"/>
    <w:rsid w:val="006C3280"/>
    <w:rsid w:val="006D4BCF"/>
    <w:rsid w:val="00703A56"/>
    <w:rsid w:val="00703C2E"/>
    <w:rsid w:val="007077DC"/>
    <w:rsid w:val="00714569"/>
    <w:rsid w:val="00714C25"/>
    <w:rsid w:val="0072419D"/>
    <w:rsid w:val="0072652D"/>
    <w:rsid w:val="00731A17"/>
    <w:rsid w:val="00734862"/>
    <w:rsid w:val="00736EF9"/>
    <w:rsid w:val="00751129"/>
    <w:rsid w:val="007635BA"/>
    <w:rsid w:val="0076710C"/>
    <w:rsid w:val="007738D9"/>
    <w:rsid w:val="00775983"/>
    <w:rsid w:val="007B2DB4"/>
    <w:rsid w:val="007B66BE"/>
    <w:rsid w:val="007D3D48"/>
    <w:rsid w:val="007D5FEF"/>
    <w:rsid w:val="007D7AC6"/>
    <w:rsid w:val="00805346"/>
    <w:rsid w:val="008063FC"/>
    <w:rsid w:val="008065D7"/>
    <w:rsid w:val="0082638E"/>
    <w:rsid w:val="00826A47"/>
    <w:rsid w:val="00846C34"/>
    <w:rsid w:val="00874561"/>
    <w:rsid w:val="008921DC"/>
    <w:rsid w:val="008D3C02"/>
    <w:rsid w:val="008E0275"/>
    <w:rsid w:val="008F4C93"/>
    <w:rsid w:val="00904E2B"/>
    <w:rsid w:val="0090603C"/>
    <w:rsid w:val="009251A7"/>
    <w:rsid w:val="009402A2"/>
    <w:rsid w:val="009478BE"/>
    <w:rsid w:val="00951BD4"/>
    <w:rsid w:val="00992396"/>
    <w:rsid w:val="009A000A"/>
    <w:rsid w:val="009C443D"/>
    <w:rsid w:val="009D1318"/>
    <w:rsid w:val="00A27933"/>
    <w:rsid w:val="00A52F08"/>
    <w:rsid w:val="00A54B60"/>
    <w:rsid w:val="00A6191C"/>
    <w:rsid w:val="00A671F8"/>
    <w:rsid w:val="00AA6D7E"/>
    <w:rsid w:val="00AB700C"/>
    <w:rsid w:val="00AC22F3"/>
    <w:rsid w:val="00AC749E"/>
    <w:rsid w:val="00AE697D"/>
    <w:rsid w:val="00B05BD0"/>
    <w:rsid w:val="00B11DE5"/>
    <w:rsid w:val="00B14987"/>
    <w:rsid w:val="00B15BEF"/>
    <w:rsid w:val="00B3587C"/>
    <w:rsid w:val="00B411CA"/>
    <w:rsid w:val="00B56D0A"/>
    <w:rsid w:val="00B617EC"/>
    <w:rsid w:val="00BA119C"/>
    <w:rsid w:val="00BB74D9"/>
    <w:rsid w:val="00BD416B"/>
    <w:rsid w:val="00BF500B"/>
    <w:rsid w:val="00BF607D"/>
    <w:rsid w:val="00BF7B25"/>
    <w:rsid w:val="00C055BF"/>
    <w:rsid w:val="00C11D75"/>
    <w:rsid w:val="00C468E3"/>
    <w:rsid w:val="00C47849"/>
    <w:rsid w:val="00C646F4"/>
    <w:rsid w:val="00C77002"/>
    <w:rsid w:val="00C93E6A"/>
    <w:rsid w:val="00CA1B1A"/>
    <w:rsid w:val="00CA3966"/>
    <w:rsid w:val="00CC3FA2"/>
    <w:rsid w:val="00CC5142"/>
    <w:rsid w:val="00CD407A"/>
    <w:rsid w:val="00CE1325"/>
    <w:rsid w:val="00CE37DD"/>
    <w:rsid w:val="00D0403B"/>
    <w:rsid w:val="00D656E6"/>
    <w:rsid w:val="00D67CA4"/>
    <w:rsid w:val="00D7240C"/>
    <w:rsid w:val="00DE0885"/>
    <w:rsid w:val="00DE5EB5"/>
    <w:rsid w:val="00DF04F2"/>
    <w:rsid w:val="00DF6963"/>
    <w:rsid w:val="00E03548"/>
    <w:rsid w:val="00E53D05"/>
    <w:rsid w:val="00E61E1D"/>
    <w:rsid w:val="00E6625E"/>
    <w:rsid w:val="00E7041A"/>
    <w:rsid w:val="00E82263"/>
    <w:rsid w:val="00EA576E"/>
    <w:rsid w:val="00EC466E"/>
    <w:rsid w:val="00ED0939"/>
    <w:rsid w:val="00EE2BE0"/>
    <w:rsid w:val="00EE6360"/>
    <w:rsid w:val="00EF47CF"/>
    <w:rsid w:val="00EF7CEB"/>
    <w:rsid w:val="00F006D2"/>
    <w:rsid w:val="00F2381A"/>
    <w:rsid w:val="00F36045"/>
    <w:rsid w:val="00F36ECD"/>
    <w:rsid w:val="00F51000"/>
    <w:rsid w:val="00F51FA0"/>
    <w:rsid w:val="00F554F3"/>
    <w:rsid w:val="00F56D20"/>
    <w:rsid w:val="00F66A39"/>
    <w:rsid w:val="00F71E6B"/>
    <w:rsid w:val="00F95C6A"/>
    <w:rsid w:val="00FA4AE8"/>
    <w:rsid w:val="00FB763C"/>
    <w:rsid w:val="00FC35C7"/>
    <w:rsid w:val="00FD082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4597"/>
  <w15:docId w15:val="{FBBF5F9F-A0DF-49CB-BD9D-89817076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EF"/>
    <w:pPr>
      <w:spacing w:line="256" w:lineRule="auto"/>
    </w:pPr>
    <w:rPr>
      <w:rFonts w:asciiTheme="majorBidi" w:hAnsiTheme="majorBidi" w:cstheme="majorBidi"/>
      <w:sz w:val="28"/>
      <w:szCs w:val="28"/>
      <w:lang w:val="fr-FR"/>
    </w:rPr>
  </w:style>
  <w:style w:type="paragraph" w:styleId="Titre1">
    <w:name w:val="heading 1"/>
    <w:basedOn w:val="Normal"/>
    <w:next w:val="Normal"/>
    <w:link w:val="Titre1Car"/>
    <w:uiPriority w:val="9"/>
    <w:qFormat/>
    <w:rsid w:val="009478BE"/>
    <w:pPr>
      <w:keepNext/>
      <w:keepLines/>
      <w:bidi/>
      <w:spacing w:before="240" w:after="0" w:line="259" w:lineRule="auto"/>
      <w:outlineLvl w:val="0"/>
    </w:pPr>
    <w:rPr>
      <w:rFonts w:asciiTheme="majorHAnsi" w:eastAsiaTheme="majorEastAsia" w:hAnsiTheme="majorHAnsi"/>
      <w:color w:val="2F5496" w:themeColor="accent1" w:themeShade="BF"/>
      <w:sz w:val="32"/>
      <w:szCs w:val="32"/>
      <w:lang w:val="en-US"/>
    </w:rPr>
  </w:style>
  <w:style w:type="paragraph" w:styleId="Titre2">
    <w:name w:val="heading 2"/>
    <w:basedOn w:val="Normal"/>
    <w:next w:val="Normal"/>
    <w:link w:val="Titre2Car"/>
    <w:uiPriority w:val="9"/>
    <w:semiHidden/>
    <w:unhideWhenUsed/>
    <w:qFormat/>
    <w:rsid w:val="009478BE"/>
    <w:pPr>
      <w:keepNext/>
      <w:keepLines/>
      <w:bidi/>
      <w:spacing w:before="40" w:after="0" w:line="259" w:lineRule="auto"/>
      <w:outlineLvl w:val="1"/>
    </w:pPr>
    <w:rPr>
      <w:rFonts w:asciiTheme="majorHAnsi" w:eastAsiaTheme="majorEastAsia" w:hAnsiTheme="majorHAnsi"/>
      <w:color w:val="2F5496" w:themeColor="accent1" w:themeShade="BF"/>
      <w:sz w:val="26"/>
      <w:szCs w:val="26"/>
      <w:lang w:val="en-US"/>
    </w:rPr>
  </w:style>
  <w:style w:type="paragraph" w:styleId="Titre3">
    <w:name w:val="heading 3"/>
    <w:basedOn w:val="Normal"/>
    <w:next w:val="Normal"/>
    <w:link w:val="Titre3Car"/>
    <w:uiPriority w:val="9"/>
    <w:semiHidden/>
    <w:unhideWhenUsed/>
    <w:qFormat/>
    <w:rsid w:val="009478BE"/>
    <w:pPr>
      <w:keepNext/>
      <w:keepLines/>
      <w:bidi/>
      <w:spacing w:before="40" w:after="0" w:line="259" w:lineRule="auto"/>
      <w:outlineLvl w:val="2"/>
    </w:pPr>
    <w:rPr>
      <w:rFonts w:asciiTheme="majorHAnsi" w:eastAsiaTheme="majorEastAsia" w:hAnsiTheme="majorHAnsi"/>
      <w:color w:val="1F3763" w:themeColor="accent1" w:themeShade="7F"/>
      <w:sz w:val="24"/>
      <w:szCs w:val="24"/>
      <w:lang w:val="en-US"/>
    </w:rPr>
  </w:style>
  <w:style w:type="paragraph" w:styleId="Titre4">
    <w:name w:val="heading 4"/>
    <w:basedOn w:val="Normal"/>
    <w:next w:val="Normal"/>
    <w:link w:val="Titre4Car"/>
    <w:uiPriority w:val="9"/>
    <w:semiHidden/>
    <w:unhideWhenUsed/>
    <w:qFormat/>
    <w:rsid w:val="009478BE"/>
    <w:pPr>
      <w:keepNext/>
      <w:keepLines/>
      <w:bidi/>
      <w:spacing w:before="40" w:after="0" w:line="259" w:lineRule="auto"/>
      <w:outlineLvl w:val="3"/>
    </w:pPr>
    <w:rPr>
      <w:rFonts w:asciiTheme="majorHAnsi" w:eastAsiaTheme="majorEastAsia" w:hAnsiTheme="majorHAnsi"/>
      <w:i/>
      <w:iCs/>
      <w:color w:val="2F5496" w:themeColor="accent1" w:themeShade="BF"/>
      <w:sz w:val="22"/>
      <w:szCs w:val="22"/>
      <w:lang w:val="en-US"/>
    </w:rPr>
  </w:style>
  <w:style w:type="paragraph" w:styleId="Titre5">
    <w:name w:val="heading 5"/>
    <w:basedOn w:val="Normal"/>
    <w:next w:val="Normal"/>
    <w:link w:val="Titre5Car"/>
    <w:uiPriority w:val="9"/>
    <w:semiHidden/>
    <w:unhideWhenUsed/>
    <w:qFormat/>
    <w:rsid w:val="009478BE"/>
    <w:pPr>
      <w:keepNext/>
      <w:keepLines/>
      <w:bidi/>
      <w:spacing w:before="40" w:after="0" w:line="259" w:lineRule="auto"/>
      <w:outlineLvl w:val="4"/>
    </w:pPr>
    <w:rPr>
      <w:rFonts w:asciiTheme="majorHAnsi" w:eastAsiaTheme="majorEastAsia" w:hAnsiTheme="majorHAnsi"/>
      <w:color w:val="2F5496" w:themeColor="accent1" w:themeShade="BF"/>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MTopic1">
    <w:name w:val="MM Topic 1"/>
    <w:basedOn w:val="Titre1"/>
    <w:rsid w:val="009478BE"/>
    <w:pPr>
      <w:numPr>
        <w:numId w:val="1"/>
      </w:numPr>
      <w:tabs>
        <w:tab w:val="num" w:pos="360"/>
      </w:tabs>
      <w:bidi w:val="0"/>
      <w:spacing w:line="256" w:lineRule="auto"/>
    </w:pPr>
    <w:rPr>
      <w:lang w:val="fr-FR"/>
    </w:rPr>
  </w:style>
  <w:style w:type="character" w:customStyle="1" w:styleId="MMTopic2Car">
    <w:name w:val="MM Topic 2 Car"/>
    <w:basedOn w:val="Policepardfaut"/>
    <w:link w:val="MMTopic2"/>
    <w:locked/>
    <w:rsid w:val="009478BE"/>
    <w:rPr>
      <w:rFonts w:asciiTheme="majorHAnsi" w:eastAsiaTheme="majorEastAsia" w:hAnsiTheme="majorHAnsi" w:cs="Calibri Light"/>
      <w:color w:val="2F5496" w:themeColor="accent1" w:themeShade="BF"/>
      <w:sz w:val="26"/>
      <w:szCs w:val="26"/>
    </w:rPr>
  </w:style>
  <w:style w:type="paragraph" w:customStyle="1" w:styleId="MMTopic2">
    <w:name w:val="MM Topic 2"/>
    <w:basedOn w:val="Titre2"/>
    <w:link w:val="MMTopic2Car"/>
    <w:rsid w:val="009478BE"/>
    <w:pPr>
      <w:numPr>
        <w:ilvl w:val="1"/>
        <w:numId w:val="1"/>
      </w:numPr>
      <w:bidi w:val="0"/>
      <w:spacing w:line="256" w:lineRule="auto"/>
    </w:pPr>
    <w:rPr>
      <w:rFonts w:cs="Calibri Light"/>
    </w:rPr>
  </w:style>
  <w:style w:type="paragraph" w:customStyle="1" w:styleId="MMTopic3">
    <w:name w:val="MM Topic 3"/>
    <w:basedOn w:val="Titre3"/>
    <w:rsid w:val="009478BE"/>
    <w:pPr>
      <w:numPr>
        <w:ilvl w:val="2"/>
        <w:numId w:val="1"/>
      </w:numPr>
      <w:tabs>
        <w:tab w:val="num" w:pos="360"/>
      </w:tabs>
      <w:bidi w:val="0"/>
      <w:spacing w:line="256" w:lineRule="auto"/>
      <w:ind w:left="360"/>
    </w:pPr>
    <w:rPr>
      <w:lang w:val="fr-FR"/>
    </w:rPr>
  </w:style>
  <w:style w:type="paragraph" w:customStyle="1" w:styleId="MMTopic4">
    <w:name w:val="MM Topic 4"/>
    <w:basedOn w:val="Titre4"/>
    <w:rsid w:val="009478BE"/>
    <w:pPr>
      <w:numPr>
        <w:ilvl w:val="3"/>
        <w:numId w:val="1"/>
      </w:numPr>
      <w:tabs>
        <w:tab w:val="num" w:pos="360"/>
      </w:tabs>
      <w:bidi w:val="0"/>
      <w:spacing w:line="256" w:lineRule="auto"/>
      <w:ind w:left="540"/>
    </w:pPr>
    <w:rPr>
      <w:sz w:val="28"/>
      <w:szCs w:val="28"/>
      <w:lang w:val="fr-FR"/>
    </w:rPr>
  </w:style>
  <w:style w:type="paragraph" w:customStyle="1" w:styleId="MMTopic5">
    <w:name w:val="MM Topic 5"/>
    <w:basedOn w:val="Titre5"/>
    <w:rsid w:val="009478BE"/>
    <w:pPr>
      <w:numPr>
        <w:ilvl w:val="4"/>
        <w:numId w:val="1"/>
      </w:numPr>
      <w:tabs>
        <w:tab w:val="num" w:pos="360"/>
      </w:tabs>
      <w:bidi w:val="0"/>
      <w:spacing w:line="256" w:lineRule="auto"/>
      <w:ind w:left="720"/>
    </w:pPr>
    <w:rPr>
      <w:sz w:val="28"/>
      <w:szCs w:val="28"/>
      <w:lang w:val="fr-FR"/>
    </w:rPr>
  </w:style>
  <w:style w:type="character" w:customStyle="1" w:styleId="Titre1Car">
    <w:name w:val="Titre 1 Car"/>
    <w:basedOn w:val="Policepardfaut"/>
    <w:link w:val="Titre1"/>
    <w:uiPriority w:val="9"/>
    <w:rsid w:val="009478BE"/>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478B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9478BE"/>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478BE"/>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9478BE"/>
    <w:rPr>
      <w:rFonts w:asciiTheme="majorHAnsi" w:eastAsiaTheme="majorEastAsia" w:hAnsiTheme="majorHAnsi" w:cstheme="majorBidi"/>
      <w:color w:val="2F5496" w:themeColor="accent1" w:themeShade="BF"/>
    </w:rPr>
  </w:style>
  <w:style w:type="paragraph" w:styleId="Notedebasdepage">
    <w:name w:val="footnote text"/>
    <w:basedOn w:val="Normal"/>
    <w:link w:val="NotedebasdepageCar"/>
    <w:uiPriority w:val="99"/>
    <w:semiHidden/>
    <w:unhideWhenUsed/>
    <w:rsid w:val="002D0FC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2D0FCF"/>
    <w:rPr>
      <w:rFonts w:ascii="Times New Roman" w:eastAsia="Times New Roman" w:hAnsi="Times New Roman" w:cs="Times New Roman"/>
      <w:sz w:val="20"/>
      <w:szCs w:val="20"/>
      <w:lang w:val="fr-FR" w:eastAsia="fr-FR"/>
    </w:rPr>
  </w:style>
  <w:style w:type="paragraph" w:styleId="Corpsdetexte">
    <w:name w:val="Body Text"/>
    <w:basedOn w:val="Normal"/>
    <w:link w:val="CorpsdetexteCar"/>
    <w:uiPriority w:val="99"/>
    <w:unhideWhenUsed/>
    <w:rsid w:val="002D0FCF"/>
    <w:pPr>
      <w:bidi/>
      <w:spacing w:after="120" w:line="240" w:lineRule="auto"/>
    </w:pPr>
    <w:rPr>
      <w:rFonts w:ascii="Times New Roman" w:eastAsia="Times New Roman" w:hAnsi="Times New Roman" w:cs="Traditional Arabic"/>
      <w:noProof/>
      <w:sz w:val="20"/>
      <w:szCs w:val="20"/>
      <w:lang w:eastAsia="fr-FR"/>
    </w:rPr>
  </w:style>
  <w:style w:type="character" w:customStyle="1" w:styleId="CorpsdetexteCar">
    <w:name w:val="Corps de texte Car"/>
    <w:basedOn w:val="Policepardfaut"/>
    <w:link w:val="Corpsdetexte"/>
    <w:uiPriority w:val="99"/>
    <w:rsid w:val="002D0FCF"/>
    <w:rPr>
      <w:rFonts w:ascii="Times New Roman" w:eastAsia="Times New Roman" w:hAnsi="Times New Roman" w:cs="Traditional Arabic"/>
      <w:noProof/>
      <w:sz w:val="20"/>
      <w:szCs w:val="20"/>
      <w:lang w:val="fr-FR" w:eastAsia="fr-FR"/>
    </w:rPr>
  </w:style>
  <w:style w:type="character" w:styleId="Appelnotedebasdep">
    <w:name w:val="footnote reference"/>
    <w:basedOn w:val="Policepardfaut"/>
    <w:uiPriority w:val="99"/>
    <w:semiHidden/>
    <w:unhideWhenUsed/>
    <w:rsid w:val="00070426"/>
    <w:rPr>
      <w:vertAlign w:val="superscript"/>
    </w:rPr>
  </w:style>
  <w:style w:type="paragraph" w:styleId="Paragraphedeliste">
    <w:name w:val="List Paragraph"/>
    <w:basedOn w:val="Normal"/>
    <w:uiPriority w:val="34"/>
    <w:qFormat/>
    <w:rsid w:val="002D2C53"/>
    <w:pPr>
      <w:spacing w:after="0" w:line="276" w:lineRule="auto"/>
      <w:ind w:left="720"/>
      <w:contextualSpacing/>
    </w:pPr>
    <w:rPr>
      <w:rFonts w:ascii="Arial" w:eastAsia="Arial" w:hAnsi="Arial" w:cs="Arial"/>
      <w:sz w:val="22"/>
      <w:szCs w:val="22"/>
      <w:lang w:eastAsia="fr-FR"/>
    </w:rPr>
  </w:style>
  <w:style w:type="table" w:styleId="Grilledutableau">
    <w:name w:val="Table Grid"/>
    <w:basedOn w:val="TableauNormal"/>
    <w:uiPriority w:val="39"/>
    <w:rsid w:val="002D2C53"/>
    <w:pPr>
      <w:spacing w:after="0" w:line="240" w:lineRule="auto"/>
    </w:pPr>
    <w:rPr>
      <w:rFonts w:ascii="Arial" w:eastAsia="Arial" w:hAnsi="Arial"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2D2C53"/>
    <w:rPr>
      <w:color w:val="0000FF"/>
      <w:u w:val="single"/>
    </w:rPr>
  </w:style>
  <w:style w:type="character" w:customStyle="1" w:styleId="MMTitleCar">
    <w:name w:val="MM Title Car"/>
    <w:basedOn w:val="Policepardfaut"/>
    <w:link w:val="MMTitle"/>
    <w:locked/>
    <w:rsid w:val="003513E8"/>
    <w:rPr>
      <w:rFonts w:asciiTheme="majorHAnsi" w:eastAsiaTheme="majorEastAsia" w:hAnsiTheme="majorHAnsi" w:cs="Calibri Light"/>
      <w:spacing w:val="-10"/>
      <w:kern w:val="28"/>
      <w:sz w:val="56"/>
      <w:szCs w:val="56"/>
    </w:rPr>
  </w:style>
  <w:style w:type="paragraph" w:customStyle="1" w:styleId="MMTitle">
    <w:name w:val="MM Title"/>
    <w:basedOn w:val="Titre"/>
    <w:link w:val="MMTitleCar"/>
    <w:rsid w:val="003513E8"/>
    <w:rPr>
      <w:rFonts w:cs="Calibri Light"/>
      <w:lang w:val="en-US"/>
    </w:rPr>
  </w:style>
  <w:style w:type="paragraph" w:styleId="Titre">
    <w:name w:val="Title"/>
    <w:basedOn w:val="Normal"/>
    <w:next w:val="Normal"/>
    <w:link w:val="TitreCar"/>
    <w:uiPriority w:val="10"/>
    <w:qFormat/>
    <w:rsid w:val="003513E8"/>
    <w:pPr>
      <w:spacing w:after="0" w:line="240" w:lineRule="auto"/>
      <w:contextualSpacing/>
    </w:pPr>
    <w:rPr>
      <w:rFonts w:asciiTheme="majorHAnsi" w:eastAsiaTheme="majorEastAsia" w:hAnsiTheme="majorHAnsi"/>
      <w:spacing w:val="-10"/>
      <w:kern w:val="28"/>
      <w:sz w:val="56"/>
      <w:szCs w:val="56"/>
    </w:rPr>
  </w:style>
  <w:style w:type="character" w:customStyle="1" w:styleId="TitreCar">
    <w:name w:val="Titre Car"/>
    <w:basedOn w:val="Policepardfaut"/>
    <w:link w:val="Titre"/>
    <w:uiPriority w:val="10"/>
    <w:rsid w:val="003513E8"/>
    <w:rPr>
      <w:rFonts w:asciiTheme="majorHAnsi" w:eastAsiaTheme="majorEastAsia" w:hAnsiTheme="majorHAnsi" w:cstheme="majorBidi"/>
      <w:spacing w:val="-10"/>
      <w:kern w:val="28"/>
      <w:sz w:val="56"/>
      <w:szCs w:val="56"/>
      <w:lang w:val="fr-FR"/>
    </w:rPr>
  </w:style>
  <w:style w:type="paragraph" w:styleId="Textedebulles">
    <w:name w:val="Balloon Text"/>
    <w:basedOn w:val="Normal"/>
    <w:link w:val="TextedebullesCar"/>
    <w:uiPriority w:val="99"/>
    <w:semiHidden/>
    <w:unhideWhenUsed/>
    <w:rsid w:val="006A7F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7F11"/>
    <w:rPr>
      <w:rFonts w:ascii="Tahoma" w:hAnsi="Tahoma" w:cs="Tahoma"/>
      <w:sz w:val="16"/>
      <w:szCs w:val="16"/>
      <w:lang w:val="fr-FR"/>
    </w:rPr>
  </w:style>
  <w:style w:type="character" w:styleId="Marquedecommentaire">
    <w:name w:val="annotation reference"/>
    <w:basedOn w:val="Policepardfaut"/>
    <w:uiPriority w:val="99"/>
    <w:semiHidden/>
    <w:unhideWhenUsed/>
    <w:rsid w:val="00703A56"/>
    <w:rPr>
      <w:sz w:val="16"/>
      <w:szCs w:val="16"/>
    </w:rPr>
  </w:style>
  <w:style w:type="paragraph" w:styleId="Commentaire">
    <w:name w:val="annotation text"/>
    <w:basedOn w:val="Normal"/>
    <w:link w:val="CommentaireCar"/>
    <w:uiPriority w:val="99"/>
    <w:semiHidden/>
    <w:unhideWhenUsed/>
    <w:rsid w:val="00703A56"/>
    <w:pPr>
      <w:spacing w:line="240" w:lineRule="auto"/>
    </w:pPr>
    <w:rPr>
      <w:sz w:val="20"/>
      <w:szCs w:val="20"/>
    </w:rPr>
  </w:style>
  <w:style w:type="character" w:customStyle="1" w:styleId="CommentaireCar">
    <w:name w:val="Commentaire Car"/>
    <w:basedOn w:val="Policepardfaut"/>
    <w:link w:val="Commentaire"/>
    <w:uiPriority w:val="99"/>
    <w:semiHidden/>
    <w:rsid w:val="00703A56"/>
    <w:rPr>
      <w:rFonts w:asciiTheme="majorBidi" w:hAnsiTheme="majorBidi" w:cstheme="majorBidi"/>
      <w:sz w:val="20"/>
      <w:szCs w:val="20"/>
      <w:lang w:val="fr-FR"/>
    </w:rPr>
  </w:style>
  <w:style w:type="paragraph" w:styleId="Objetducommentaire">
    <w:name w:val="annotation subject"/>
    <w:basedOn w:val="Commentaire"/>
    <w:next w:val="Commentaire"/>
    <w:link w:val="ObjetducommentaireCar"/>
    <w:uiPriority w:val="99"/>
    <w:semiHidden/>
    <w:unhideWhenUsed/>
    <w:rsid w:val="00703A56"/>
    <w:rPr>
      <w:b/>
      <w:bCs/>
    </w:rPr>
  </w:style>
  <w:style w:type="character" w:customStyle="1" w:styleId="ObjetducommentaireCar">
    <w:name w:val="Objet du commentaire Car"/>
    <w:basedOn w:val="CommentaireCar"/>
    <w:link w:val="Objetducommentaire"/>
    <w:uiPriority w:val="99"/>
    <w:semiHidden/>
    <w:rsid w:val="00703A56"/>
    <w:rPr>
      <w:rFonts w:asciiTheme="majorBidi" w:hAnsiTheme="majorBidi" w:cstheme="majorBidi"/>
      <w:b/>
      <w:bCs/>
      <w:sz w:val="20"/>
      <w:szCs w:val="20"/>
      <w:lang w:val="fr-FR"/>
    </w:rPr>
  </w:style>
  <w:style w:type="paragraph" w:styleId="En-tte">
    <w:name w:val="header"/>
    <w:basedOn w:val="Normal"/>
    <w:link w:val="En-tteCar"/>
    <w:uiPriority w:val="99"/>
    <w:semiHidden/>
    <w:unhideWhenUsed/>
    <w:rsid w:val="00F554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554F3"/>
    <w:rPr>
      <w:rFonts w:asciiTheme="majorBidi" w:hAnsiTheme="majorBidi" w:cstheme="majorBidi"/>
      <w:sz w:val="28"/>
      <w:szCs w:val="28"/>
      <w:lang w:val="fr-FR"/>
    </w:rPr>
  </w:style>
  <w:style w:type="paragraph" w:styleId="Pieddepage">
    <w:name w:val="footer"/>
    <w:basedOn w:val="Normal"/>
    <w:link w:val="PieddepageCar"/>
    <w:uiPriority w:val="99"/>
    <w:unhideWhenUsed/>
    <w:rsid w:val="00F554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54F3"/>
    <w:rPr>
      <w:rFonts w:asciiTheme="majorBidi" w:hAnsiTheme="majorBidi" w:cstheme="majorBidi"/>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5483">
      <w:bodyDiv w:val="1"/>
      <w:marLeft w:val="0"/>
      <w:marRight w:val="0"/>
      <w:marTop w:val="0"/>
      <w:marBottom w:val="0"/>
      <w:divBdr>
        <w:top w:val="none" w:sz="0" w:space="0" w:color="auto"/>
        <w:left w:val="none" w:sz="0" w:space="0" w:color="auto"/>
        <w:bottom w:val="none" w:sz="0" w:space="0" w:color="auto"/>
        <w:right w:val="none" w:sz="0" w:space="0" w:color="auto"/>
      </w:divBdr>
    </w:div>
    <w:div w:id="266011547">
      <w:bodyDiv w:val="1"/>
      <w:marLeft w:val="0"/>
      <w:marRight w:val="0"/>
      <w:marTop w:val="0"/>
      <w:marBottom w:val="0"/>
      <w:divBdr>
        <w:top w:val="none" w:sz="0" w:space="0" w:color="auto"/>
        <w:left w:val="none" w:sz="0" w:space="0" w:color="auto"/>
        <w:bottom w:val="none" w:sz="0" w:space="0" w:color="auto"/>
        <w:right w:val="none" w:sz="0" w:space="0" w:color="auto"/>
      </w:divBdr>
    </w:div>
    <w:div w:id="343821316">
      <w:bodyDiv w:val="1"/>
      <w:marLeft w:val="0"/>
      <w:marRight w:val="0"/>
      <w:marTop w:val="0"/>
      <w:marBottom w:val="0"/>
      <w:divBdr>
        <w:top w:val="none" w:sz="0" w:space="0" w:color="auto"/>
        <w:left w:val="none" w:sz="0" w:space="0" w:color="auto"/>
        <w:bottom w:val="none" w:sz="0" w:space="0" w:color="auto"/>
        <w:right w:val="none" w:sz="0" w:space="0" w:color="auto"/>
      </w:divBdr>
    </w:div>
    <w:div w:id="410741262">
      <w:bodyDiv w:val="1"/>
      <w:marLeft w:val="0"/>
      <w:marRight w:val="0"/>
      <w:marTop w:val="0"/>
      <w:marBottom w:val="0"/>
      <w:divBdr>
        <w:top w:val="none" w:sz="0" w:space="0" w:color="auto"/>
        <w:left w:val="none" w:sz="0" w:space="0" w:color="auto"/>
        <w:bottom w:val="none" w:sz="0" w:space="0" w:color="auto"/>
        <w:right w:val="none" w:sz="0" w:space="0" w:color="auto"/>
      </w:divBdr>
    </w:div>
    <w:div w:id="431439384">
      <w:bodyDiv w:val="1"/>
      <w:marLeft w:val="0"/>
      <w:marRight w:val="0"/>
      <w:marTop w:val="0"/>
      <w:marBottom w:val="0"/>
      <w:divBdr>
        <w:top w:val="none" w:sz="0" w:space="0" w:color="auto"/>
        <w:left w:val="none" w:sz="0" w:space="0" w:color="auto"/>
        <w:bottom w:val="none" w:sz="0" w:space="0" w:color="auto"/>
        <w:right w:val="none" w:sz="0" w:space="0" w:color="auto"/>
      </w:divBdr>
    </w:div>
    <w:div w:id="559438447">
      <w:bodyDiv w:val="1"/>
      <w:marLeft w:val="0"/>
      <w:marRight w:val="0"/>
      <w:marTop w:val="0"/>
      <w:marBottom w:val="0"/>
      <w:divBdr>
        <w:top w:val="none" w:sz="0" w:space="0" w:color="auto"/>
        <w:left w:val="none" w:sz="0" w:space="0" w:color="auto"/>
        <w:bottom w:val="none" w:sz="0" w:space="0" w:color="auto"/>
        <w:right w:val="none" w:sz="0" w:space="0" w:color="auto"/>
      </w:divBdr>
    </w:div>
    <w:div w:id="567230935">
      <w:bodyDiv w:val="1"/>
      <w:marLeft w:val="0"/>
      <w:marRight w:val="0"/>
      <w:marTop w:val="0"/>
      <w:marBottom w:val="0"/>
      <w:divBdr>
        <w:top w:val="none" w:sz="0" w:space="0" w:color="auto"/>
        <w:left w:val="none" w:sz="0" w:space="0" w:color="auto"/>
        <w:bottom w:val="none" w:sz="0" w:space="0" w:color="auto"/>
        <w:right w:val="none" w:sz="0" w:space="0" w:color="auto"/>
      </w:divBdr>
    </w:div>
    <w:div w:id="640502099">
      <w:bodyDiv w:val="1"/>
      <w:marLeft w:val="0"/>
      <w:marRight w:val="0"/>
      <w:marTop w:val="0"/>
      <w:marBottom w:val="0"/>
      <w:divBdr>
        <w:top w:val="none" w:sz="0" w:space="0" w:color="auto"/>
        <w:left w:val="none" w:sz="0" w:space="0" w:color="auto"/>
        <w:bottom w:val="none" w:sz="0" w:space="0" w:color="auto"/>
        <w:right w:val="none" w:sz="0" w:space="0" w:color="auto"/>
      </w:divBdr>
    </w:div>
    <w:div w:id="647856028">
      <w:bodyDiv w:val="1"/>
      <w:marLeft w:val="0"/>
      <w:marRight w:val="0"/>
      <w:marTop w:val="0"/>
      <w:marBottom w:val="0"/>
      <w:divBdr>
        <w:top w:val="none" w:sz="0" w:space="0" w:color="auto"/>
        <w:left w:val="none" w:sz="0" w:space="0" w:color="auto"/>
        <w:bottom w:val="none" w:sz="0" w:space="0" w:color="auto"/>
        <w:right w:val="none" w:sz="0" w:space="0" w:color="auto"/>
      </w:divBdr>
    </w:div>
    <w:div w:id="705132621">
      <w:bodyDiv w:val="1"/>
      <w:marLeft w:val="0"/>
      <w:marRight w:val="0"/>
      <w:marTop w:val="0"/>
      <w:marBottom w:val="0"/>
      <w:divBdr>
        <w:top w:val="none" w:sz="0" w:space="0" w:color="auto"/>
        <w:left w:val="none" w:sz="0" w:space="0" w:color="auto"/>
        <w:bottom w:val="none" w:sz="0" w:space="0" w:color="auto"/>
        <w:right w:val="none" w:sz="0" w:space="0" w:color="auto"/>
      </w:divBdr>
    </w:div>
    <w:div w:id="769467691">
      <w:bodyDiv w:val="1"/>
      <w:marLeft w:val="0"/>
      <w:marRight w:val="0"/>
      <w:marTop w:val="0"/>
      <w:marBottom w:val="0"/>
      <w:divBdr>
        <w:top w:val="none" w:sz="0" w:space="0" w:color="auto"/>
        <w:left w:val="none" w:sz="0" w:space="0" w:color="auto"/>
        <w:bottom w:val="none" w:sz="0" w:space="0" w:color="auto"/>
        <w:right w:val="none" w:sz="0" w:space="0" w:color="auto"/>
      </w:divBdr>
    </w:div>
    <w:div w:id="834607398">
      <w:bodyDiv w:val="1"/>
      <w:marLeft w:val="0"/>
      <w:marRight w:val="0"/>
      <w:marTop w:val="0"/>
      <w:marBottom w:val="0"/>
      <w:divBdr>
        <w:top w:val="none" w:sz="0" w:space="0" w:color="auto"/>
        <w:left w:val="none" w:sz="0" w:space="0" w:color="auto"/>
        <w:bottom w:val="none" w:sz="0" w:space="0" w:color="auto"/>
        <w:right w:val="none" w:sz="0" w:space="0" w:color="auto"/>
      </w:divBdr>
    </w:div>
    <w:div w:id="850875068">
      <w:bodyDiv w:val="1"/>
      <w:marLeft w:val="0"/>
      <w:marRight w:val="0"/>
      <w:marTop w:val="0"/>
      <w:marBottom w:val="0"/>
      <w:divBdr>
        <w:top w:val="none" w:sz="0" w:space="0" w:color="auto"/>
        <w:left w:val="none" w:sz="0" w:space="0" w:color="auto"/>
        <w:bottom w:val="none" w:sz="0" w:space="0" w:color="auto"/>
        <w:right w:val="none" w:sz="0" w:space="0" w:color="auto"/>
      </w:divBdr>
    </w:div>
    <w:div w:id="945817617">
      <w:bodyDiv w:val="1"/>
      <w:marLeft w:val="0"/>
      <w:marRight w:val="0"/>
      <w:marTop w:val="0"/>
      <w:marBottom w:val="0"/>
      <w:divBdr>
        <w:top w:val="none" w:sz="0" w:space="0" w:color="auto"/>
        <w:left w:val="none" w:sz="0" w:space="0" w:color="auto"/>
        <w:bottom w:val="none" w:sz="0" w:space="0" w:color="auto"/>
        <w:right w:val="none" w:sz="0" w:space="0" w:color="auto"/>
      </w:divBdr>
    </w:div>
    <w:div w:id="1273897089">
      <w:bodyDiv w:val="1"/>
      <w:marLeft w:val="0"/>
      <w:marRight w:val="0"/>
      <w:marTop w:val="0"/>
      <w:marBottom w:val="0"/>
      <w:divBdr>
        <w:top w:val="none" w:sz="0" w:space="0" w:color="auto"/>
        <w:left w:val="none" w:sz="0" w:space="0" w:color="auto"/>
        <w:bottom w:val="none" w:sz="0" w:space="0" w:color="auto"/>
        <w:right w:val="none" w:sz="0" w:space="0" w:color="auto"/>
      </w:divBdr>
    </w:div>
    <w:div w:id="1364137171">
      <w:bodyDiv w:val="1"/>
      <w:marLeft w:val="0"/>
      <w:marRight w:val="0"/>
      <w:marTop w:val="0"/>
      <w:marBottom w:val="0"/>
      <w:divBdr>
        <w:top w:val="none" w:sz="0" w:space="0" w:color="auto"/>
        <w:left w:val="none" w:sz="0" w:space="0" w:color="auto"/>
        <w:bottom w:val="none" w:sz="0" w:space="0" w:color="auto"/>
        <w:right w:val="none" w:sz="0" w:space="0" w:color="auto"/>
      </w:divBdr>
    </w:div>
    <w:div w:id="1416777976">
      <w:bodyDiv w:val="1"/>
      <w:marLeft w:val="0"/>
      <w:marRight w:val="0"/>
      <w:marTop w:val="0"/>
      <w:marBottom w:val="0"/>
      <w:divBdr>
        <w:top w:val="none" w:sz="0" w:space="0" w:color="auto"/>
        <w:left w:val="none" w:sz="0" w:space="0" w:color="auto"/>
        <w:bottom w:val="none" w:sz="0" w:space="0" w:color="auto"/>
        <w:right w:val="none" w:sz="0" w:space="0" w:color="auto"/>
      </w:divBdr>
    </w:div>
    <w:div w:id="1445035397">
      <w:bodyDiv w:val="1"/>
      <w:marLeft w:val="0"/>
      <w:marRight w:val="0"/>
      <w:marTop w:val="0"/>
      <w:marBottom w:val="0"/>
      <w:divBdr>
        <w:top w:val="none" w:sz="0" w:space="0" w:color="auto"/>
        <w:left w:val="none" w:sz="0" w:space="0" w:color="auto"/>
        <w:bottom w:val="none" w:sz="0" w:space="0" w:color="auto"/>
        <w:right w:val="none" w:sz="0" w:space="0" w:color="auto"/>
      </w:divBdr>
    </w:div>
    <w:div w:id="1601181288">
      <w:bodyDiv w:val="1"/>
      <w:marLeft w:val="0"/>
      <w:marRight w:val="0"/>
      <w:marTop w:val="0"/>
      <w:marBottom w:val="0"/>
      <w:divBdr>
        <w:top w:val="none" w:sz="0" w:space="0" w:color="auto"/>
        <w:left w:val="none" w:sz="0" w:space="0" w:color="auto"/>
        <w:bottom w:val="none" w:sz="0" w:space="0" w:color="auto"/>
        <w:right w:val="none" w:sz="0" w:space="0" w:color="auto"/>
      </w:divBdr>
    </w:div>
    <w:div w:id="1640498671">
      <w:bodyDiv w:val="1"/>
      <w:marLeft w:val="0"/>
      <w:marRight w:val="0"/>
      <w:marTop w:val="0"/>
      <w:marBottom w:val="0"/>
      <w:divBdr>
        <w:top w:val="none" w:sz="0" w:space="0" w:color="auto"/>
        <w:left w:val="none" w:sz="0" w:space="0" w:color="auto"/>
        <w:bottom w:val="none" w:sz="0" w:space="0" w:color="auto"/>
        <w:right w:val="none" w:sz="0" w:space="0" w:color="auto"/>
      </w:divBdr>
    </w:div>
    <w:div w:id="1666668167">
      <w:bodyDiv w:val="1"/>
      <w:marLeft w:val="0"/>
      <w:marRight w:val="0"/>
      <w:marTop w:val="0"/>
      <w:marBottom w:val="0"/>
      <w:divBdr>
        <w:top w:val="none" w:sz="0" w:space="0" w:color="auto"/>
        <w:left w:val="none" w:sz="0" w:space="0" w:color="auto"/>
        <w:bottom w:val="none" w:sz="0" w:space="0" w:color="auto"/>
        <w:right w:val="none" w:sz="0" w:space="0" w:color="auto"/>
      </w:divBdr>
    </w:div>
    <w:div w:id="1714185837">
      <w:bodyDiv w:val="1"/>
      <w:marLeft w:val="0"/>
      <w:marRight w:val="0"/>
      <w:marTop w:val="0"/>
      <w:marBottom w:val="0"/>
      <w:divBdr>
        <w:top w:val="none" w:sz="0" w:space="0" w:color="auto"/>
        <w:left w:val="none" w:sz="0" w:space="0" w:color="auto"/>
        <w:bottom w:val="none" w:sz="0" w:space="0" w:color="auto"/>
        <w:right w:val="none" w:sz="0" w:space="0" w:color="auto"/>
      </w:divBdr>
    </w:div>
    <w:div w:id="1813017412">
      <w:bodyDiv w:val="1"/>
      <w:marLeft w:val="0"/>
      <w:marRight w:val="0"/>
      <w:marTop w:val="0"/>
      <w:marBottom w:val="0"/>
      <w:divBdr>
        <w:top w:val="none" w:sz="0" w:space="0" w:color="auto"/>
        <w:left w:val="none" w:sz="0" w:space="0" w:color="auto"/>
        <w:bottom w:val="none" w:sz="0" w:space="0" w:color="auto"/>
        <w:right w:val="none" w:sz="0" w:space="0" w:color="auto"/>
      </w:divBdr>
    </w:div>
    <w:div w:id="1957101577">
      <w:bodyDiv w:val="1"/>
      <w:marLeft w:val="0"/>
      <w:marRight w:val="0"/>
      <w:marTop w:val="0"/>
      <w:marBottom w:val="0"/>
      <w:divBdr>
        <w:top w:val="none" w:sz="0" w:space="0" w:color="auto"/>
        <w:left w:val="none" w:sz="0" w:space="0" w:color="auto"/>
        <w:bottom w:val="none" w:sz="0" w:space="0" w:color="auto"/>
        <w:right w:val="none" w:sz="0" w:space="0" w:color="auto"/>
      </w:divBdr>
    </w:div>
    <w:div w:id="2025667438">
      <w:bodyDiv w:val="1"/>
      <w:marLeft w:val="0"/>
      <w:marRight w:val="0"/>
      <w:marTop w:val="0"/>
      <w:marBottom w:val="0"/>
      <w:divBdr>
        <w:top w:val="none" w:sz="0" w:space="0" w:color="auto"/>
        <w:left w:val="none" w:sz="0" w:space="0" w:color="auto"/>
        <w:bottom w:val="none" w:sz="0" w:space="0" w:color="auto"/>
        <w:right w:val="none" w:sz="0" w:space="0" w:color="auto"/>
      </w:divBdr>
    </w:div>
    <w:div w:id="20531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hcp.ma"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2021T3%20-%20Note%20sur%20les%20chiffres%20cl&#233;s%20-%20Annexe%20-%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2021T3%20-%20Note%20sur%20les%20chiffres%20cl&#233;s%20-%20Annexe%20-%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2019T3-2020T3%20-%20Note%20sur%20les%20chiffres%20cl&#233;s%20-%20Tabul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wnloads\2021T3%20-%20Note%20sur%20les%20chiffres%20cl&#233;s%20-%20Annexe%20-%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ussama\Desktop\Taches%20DEE\Publications%20DEE\Publications%20Trimestrielles\Notes%20Trimetrielles\Notes%20informatives\2021\T2\Tableaux\2021T3%20-%20Note%20sur%20les%20chiffres%20cl&#233;s%20-%20Annexe%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ussama\Desktop\Taches%20DEE\Publications%20DEE\Publications%20Trimestrielles\Notes%20Trimetrielles\Notes%20informatives\2021\T2\Tableaux\Nouveau%20Microsoft%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elkachach\Downloads\2021T3%20-%20Note%20sur%20les%20chiffres%20cl&#233;s%20-%20Annexe%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elkachach\Downloads\2021T3%20-%20Note%20sur%20les%20chiffres%20cl&#233;s%20-%20Annexe%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635333394443218E-2"/>
          <c:y val="5.1326931612099287E-2"/>
          <c:w val="0.93872933321111462"/>
          <c:h val="0.49969431634143691"/>
        </c:manualLayout>
      </c:layout>
      <c:lineChart>
        <c:grouping val="standard"/>
        <c:varyColors val="0"/>
        <c:ser>
          <c:idx val="0"/>
          <c:order val="0"/>
          <c:tx>
            <c:strRef>
              <c:f>Feuil2!$D$20</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Feuil2!$C$21:$C$25</c:f>
              <c:numCache>
                <c:formatCode>General</c:formatCode>
                <c:ptCount val="5"/>
                <c:pt idx="0">
                  <c:v>2017</c:v>
                </c:pt>
                <c:pt idx="1">
                  <c:v>2018</c:v>
                </c:pt>
                <c:pt idx="2">
                  <c:v>2019</c:v>
                </c:pt>
                <c:pt idx="3">
                  <c:v>2020</c:v>
                </c:pt>
                <c:pt idx="4">
                  <c:v>2021</c:v>
                </c:pt>
              </c:numCache>
            </c:numRef>
          </c:cat>
          <c:val>
            <c:numRef>
              <c:f>Feuil2!$D$21:$D$25</c:f>
              <c:numCache>
                <c:formatCode>General</c:formatCode>
                <c:ptCount val="5"/>
                <c:pt idx="0">
                  <c:v>41.5</c:v>
                </c:pt>
                <c:pt idx="1">
                  <c:v>41.1</c:v>
                </c:pt>
                <c:pt idx="2">
                  <c:v>41.7</c:v>
                </c:pt>
                <c:pt idx="3" formatCode="0.0">
                  <c:v>41.024044551279388</c:v>
                </c:pt>
                <c:pt idx="4" formatCode="0.0">
                  <c:v>42.382652099824298</c:v>
                </c:pt>
              </c:numCache>
            </c:numRef>
          </c:val>
          <c:smooth val="0"/>
          <c:extLst>
            <c:ext xmlns:c16="http://schemas.microsoft.com/office/drawing/2014/chart" uri="{C3380CC4-5D6E-409C-BE32-E72D297353CC}">
              <c16:uniqueId val="{00000000-45A5-4F5B-9DA8-1E8BFB86F46C}"/>
            </c:ext>
          </c:extLst>
        </c:ser>
        <c:ser>
          <c:idx val="1"/>
          <c:order val="1"/>
          <c:tx>
            <c:strRef>
              <c:f>Feuil2!$E$20</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Feuil2!$C$21:$C$25</c:f>
              <c:numCache>
                <c:formatCode>General</c:formatCode>
                <c:ptCount val="5"/>
                <c:pt idx="0">
                  <c:v>2017</c:v>
                </c:pt>
                <c:pt idx="1">
                  <c:v>2018</c:v>
                </c:pt>
                <c:pt idx="2">
                  <c:v>2019</c:v>
                </c:pt>
                <c:pt idx="3">
                  <c:v>2020</c:v>
                </c:pt>
                <c:pt idx="4">
                  <c:v>2021</c:v>
                </c:pt>
              </c:numCache>
            </c:numRef>
          </c:cat>
          <c:val>
            <c:numRef>
              <c:f>Feuil2!$E$21:$E$25</c:f>
              <c:numCache>
                <c:formatCode>General</c:formatCode>
                <c:ptCount val="5"/>
                <c:pt idx="0">
                  <c:v>52.4</c:v>
                </c:pt>
                <c:pt idx="1">
                  <c:v>51.9</c:v>
                </c:pt>
                <c:pt idx="2">
                  <c:v>50.8</c:v>
                </c:pt>
                <c:pt idx="3" formatCode="0.0">
                  <c:v>48.014524841259046</c:v>
                </c:pt>
                <c:pt idx="4" formatCode="0.0">
                  <c:v>50.256114834173992</c:v>
                </c:pt>
              </c:numCache>
            </c:numRef>
          </c:val>
          <c:smooth val="0"/>
          <c:extLst>
            <c:ext xmlns:c16="http://schemas.microsoft.com/office/drawing/2014/chart" uri="{C3380CC4-5D6E-409C-BE32-E72D297353CC}">
              <c16:uniqueId val="{00000001-45A5-4F5B-9DA8-1E8BFB86F46C}"/>
            </c:ext>
          </c:extLst>
        </c:ser>
        <c:ser>
          <c:idx val="2"/>
          <c:order val="2"/>
          <c:tx>
            <c:strRef>
              <c:f>Feuil2!$F$20</c:f>
              <c:strCache>
                <c:ptCount val="1"/>
                <c:pt idx="0">
                  <c:v>National</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Feuil2!$C$21:$C$25</c:f>
              <c:numCache>
                <c:formatCode>General</c:formatCode>
                <c:ptCount val="5"/>
                <c:pt idx="0">
                  <c:v>2017</c:v>
                </c:pt>
                <c:pt idx="1">
                  <c:v>2018</c:v>
                </c:pt>
                <c:pt idx="2">
                  <c:v>2019</c:v>
                </c:pt>
                <c:pt idx="3">
                  <c:v>2020</c:v>
                </c:pt>
                <c:pt idx="4">
                  <c:v>2021</c:v>
                </c:pt>
              </c:numCache>
            </c:numRef>
          </c:cat>
          <c:val>
            <c:numRef>
              <c:f>Feuil2!$F$21:$F$25</c:f>
              <c:numCache>
                <c:formatCode>General</c:formatCode>
                <c:ptCount val="5"/>
                <c:pt idx="0">
                  <c:v>45.5</c:v>
                </c:pt>
                <c:pt idx="1">
                  <c:v>45</c:v>
                </c:pt>
                <c:pt idx="2">
                  <c:v>44.9</c:v>
                </c:pt>
                <c:pt idx="3" formatCode="0.0">
                  <c:v>43.465585289828908</c:v>
                </c:pt>
                <c:pt idx="4" formatCode="0.0">
                  <c:v>45.097085208661149</c:v>
                </c:pt>
              </c:numCache>
            </c:numRef>
          </c:val>
          <c:smooth val="0"/>
          <c:extLst>
            <c:ext xmlns:c16="http://schemas.microsoft.com/office/drawing/2014/chart" uri="{C3380CC4-5D6E-409C-BE32-E72D297353CC}">
              <c16:uniqueId val="{00000002-45A5-4F5B-9DA8-1E8BFB86F46C}"/>
            </c:ext>
          </c:extLst>
        </c:ser>
        <c:dLbls>
          <c:showLegendKey val="0"/>
          <c:showVal val="1"/>
          <c:showCatName val="0"/>
          <c:showSerName val="0"/>
          <c:showPercent val="0"/>
          <c:showBubbleSize val="0"/>
        </c:dLbls>
        <c:marker val="1"/>
        <c:smooth val="0"/>
        <c:axId val="123729408"/>
        <c:axId val="123731328"/>
      </c:lineChart>
      <c:catAx>
        <c:axId val="12372940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fr-FR"/>
          </a:p>
        </c:txPr>
        <c:crossAx val="123731328"/>
        <c:crosses val="autoZero"/>
        <c:auto val="1"/>
        <c:lblAlgn val="ctr"/>
        <c:lblOffset val="100"/>
        <c:noMultiLvlLbl val="0"/>
      </c:catAx>
      <c:valAx>
        <c:axId val="123731328"/>
        <c:scaling>
          <c:orientation val="minMax"/>
        </c:scaling>
        <c:delete val="1"/>
        <c:axPos val="l"/>
        <c:numFmt formatCode="General" sourceLinked="1"/>
        <c:majorTickMark val="none"/>
        <c:minorTickMark val="none"/>
        <c:tickLblPos val="nextTo"/>
        <c:crossAx val="123729408"/>
        <c:crosses val="autoZero"/>
        <c:crossBetween val="between"/>
      </c:valAx>
      <c:spPr>
        <a:noFill/>
        <a:ln>
          <a:noFill/>
        </a:ln>
        <a:effectLst/>
      </c:spPr>
    </c:plotArea>
    <c:legend>
      <c:legendPos val="b"/>
      <c:layout>
        <c:manualLayout>
          <c:xMode val="edge"/>
          <c:yMode val="edge"/>
          <c:x val="0.29724427558330735"/>
          <c:y val="0.70108638594088779"/>
          <c:w val="0.40551144883338525"/>
          <c:h val="8.15223097112860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chart>
  <c:spPr>
    <a:solidFill>
      <a:schemeClr val="lt1"/>
    </a:solidFill>
    <a:ln w="9525" cap="flat" cmpd="sng" algn="ctr">
      <a:no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Feuil2!$D$20</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Feuil2!$C$32:$C$36</c:f>
              <c:numCache>
                <c:formatCode>General</c:formatCode>
                <c:ptCount val="5"/>
                <c:pt idx="0">
                  <c:v>2017</c:v>
                </c:pt>
                <c:pt idx="1">
                  <c:v>2018</c:v>
                </c:pt>
                <c:pt idx="2">
                  <c:v>2019</c:v>
                </c:pt>
                <c:pt idx="3">
                  <c:v>2020</c:v>
                </c:pt>
                <c:pt idx="4">
                  <c:v>2021</c:v>
                </c:pt>
              </c:numCache>
            </c:numRef>
          </c:cat>
          <c:val>
            <c:numRef>
              <c:f>Feuil2!$D$32:$D$36</c:f>
              <c:numCache>
                <c:formatCode>General</c:formatCode>
                <c:ptCount val="5"/>
                <c:pt idx="0">
                  <c:v>35.300000000000004</c:v>
                </c:pt>
                <c:pt idx="1">
                  <c:v>35.700000000000003</c:v>
                </c:pt>
                <c:pt idx="2">
                  <c:v>36.4</c:v>
                </c:pt>
                <c:pt idx="3" formatCode="0.0">
                  <c:v>34.266865417095829</c:v>
                </c:pt>
                <c:pt idx="4" formatCode="0.0">
                  <c:v>35.622316042911883</c:v>
                </c:pt>
              </c:numCache>
            </c:numRef>
          </c:val>
          <c:smooth val="0"/>
          <c:extLst>
            <c:ext xmlns:c16="http://schemas.microsoft.com/office/drawing/2014/chart" uri="{C3380CC4-5D6E-409C-BE32-E72D297353CC}">
              <c16:uniqueId val="{00000000-DCA5-4D15-B902-9D3FA61BF92C}"/>
            </c:ext>
          </c:extLst>
        </c:ser>
        <c:ser>
          <c:idx val="1"/>
          <c:order val="1"/>
          <c:tx>
            <c:strRef>
              <c:f>Feuil2!$E$20</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Feuil2!$C$32:$C$36</c:f>
              <c:numCache>
                <c:formatCode>General</c:formatCode>
                <c:ptCount val="5"/>
                <c:pt idx="0">
                  <c:v>2017</c:v>
                </c:pt>
                <c:pt idx="1">
                  <c:v>2018</c:v>
                </c:pt>
                <c:pt idx="2">
                  <c:v>2019</c:v>
                </c:pt>
                <c:pt idx="3">
                  <c:v>2020</c:v>
                </c:pt>
                <c:pt idx="4">
                  <c:v>2021</c:v>
                </c:pt>
              </c:numCache>
            </c:numRef>
          </c:cat>
          <c:val>
            <c:numRef>
              <c:f>Feuil2!$E$32:$E$36</c:f>
              <c:numCache>
                <c:formatCode>General</c:formatCode>
                <c:ptCount val="5"/>
                <c:pt idx="0">
                  <c:v>50</c:v>
                </c:pt>
                <c:pt idx="1">
                  <c:v>49.9</c:v>
                </c:pt>
                <c:pt idx="2">
                  <c:v>48.5</c:v>
                </c:pt>
                <c:pt idx="3" formatCode="0.0">
                  <c:v>44.771220144878463</c:v>
                </c:pt>
                <c:pt idx="4" formatCode="0.0">
                  <c:v>47.65605590625254</c:v>
                </c:pt>
              </c:numCache>
            </c:numRef>
          </c:val>
          <c:smooth val="0"/>
          <c:extLst>
            <c:ext xmlns:c16="http://schemas.microsoft.com/office/drawing/2014/chart" uri="{C3380CC4-5D6E-409C-BE32-E72D297353CC}">
              <c16:uniqueId val="{00000001-DCA5-4D15-B902-9D3FA61BF92C}"/>
            </c:ext>
          </c:extLst>
        </c:ser>
        <c:ser>
          <c:idx val="2"/>
          <c:order val="2"/>
          <c:tx>
            <c:strRef>
              <c:f>Feuil2!$F$20</c:f>
              <c:strCache>
                <c:ptCount val="1"/>
                <c:pt idx="0">
                  <c:v>National</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Feuil2!$C$32:$C$36</c:f>
              <c:numCache>
                <c:formatCode>General</c:formatCode>
                <c:ptCount val="5"/>
                <c:pt idx="0">
                  <c:v>2017</c:v>
                </c:pt>
                <c:pt idx="1">
                  <c:v>2018</c:v>
                </c:pt>
                <c:pt idx="2">
                  <c:v>2019</c:v>
                </c:pt>
                <c:pt idx="3">
                  <c:v>2020</c:v>
                </c:pt>
                <c:pt idx="4">
                  <c:v>2021</c:v>
                </c:pt>
              </c:numCache>
            </c:numRef>
          </c:cat>
          <c:val>
            <c:numRef>
              <c:f>Feuil2!$F$32:$F$36</c:f>
              <c:numCache>
                <c:formatCode>General</c:formatCode>
                <c:ptCount val="5"/>
                <c:pt idx="0">
                  <c:v>40.700000000000003</c:v>
                </c:pt>
                <c:pt idx="1">
                  <c:v>40.800000000000004</c:v>
                </c:pt>
                <c:pt idx="2">
                  <c:v>40.700000000000003</c:v>
                </c:pt>
                <c:pt idx="3" formatCode="0.0">
                  <c:v>37.935684859562294</c:v>
                </c:pt>
                <c:pt idx="4" formatCode="0.0">
                  <c:v>39.771034721122277</c:v>
                </c:pt>
              </c:numCache>
            </c:numRef>
          </c:val>
          <c:smooth val="0"/>
          <c:extLst>
            <c:ext xmlns:c16="http://schemas.microsoft.com/office/drawing/2014/chart" uri="{C3380CC4-5D6E-409C-BE32-E72D297353CC}">
              <c16:uniqueId val="{00000002-DCA5-4D15-B902-9D3FA61BF92C}"/>
            </c:ext>
          </c:extLst>
        </c:ser>
        <c:dLbls>
          <c:showLegendKey val="0"/>
          <c:showVal val="1"/>
          <c:showCatName val="0"/>
          <c:showSerName val="0"/>
          <c:showPercent val="0"/>
          <c:showBubbleSize val="0"/>
        </c:dLbls>
        <c:marker val="1"/>
        <c:smooth val="0"/>
        <c:axId val="132158208"/>
        <c:axId val="132160128"/>
      </c:lineChart>
      <c:catAx>
        <c:axId val="13215820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fr-FR"/>
          </a:p>
        </c:txPr>
        <c:crossAx val="132160128"/>
        <c:crosses val="autoZero"/>
        <c:auto val="1"/>
        <c:lblAlgn val="ctr"/>
        <c:lblOffset val="100"/>
        <c:noMultiLvlLbl val="0"/>
      </c:catAx>
      <c:valAx>
        <c:axId val="132160128"/>
        <c:scaling>
          <c:orientation val="minMax"/>
        </c:scaling>
        <c:delete val="1"/>
        <c:axPos val="l"/>
        <c:numFmt formatCode="General" sourceLinked="1"/>
        <c:majorTickMark val="none"/>
        <c:minorTickMark val="none"/>
        <c:tickLblPos val="nextTo"/>
        <c:crossAx val="13215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chart>
  <c:spPr>
    <a:solidFill>
      <a:schemeClr val="lt1"/>
    </a:solidFill>
    <a:ln w="9525" cap="flat" cmpd="sng" algn="ctr">
      <a:no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c:f>
              <c:strCache>
                <c:ptCount val="1"/>
                <c:pt idx="0">
                  <c:v>Urbain</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Feuil1!$A$3:$A$6</c:f>
              <c:strCache>
                <c:ptCount val="4"/>
                <c:pt idx="0">
                  <c:v>Agriculture forêt et pêche</c:v>
                </c:pt>
                <c:pt idx="1">
                  <c:v>Industrie (y compris l’artisanat)</c:v>
                </c:pt>
                <c:pt idx="2">
                  <c:v>BTP</c:v>
                </c:pt>
                <c:pt idx="3">
                  <c:v>Services</c:v>
                </c:pt>
              </c:strCache>
            </c:strRef>
          </c:cat>
          <c:val>
            <c:numRef>
              <c:f>Feuil1!$B$3:$B$6</c:f>
              <c:numCache>
                <c:formatCode>General</c:formatCode>
                <c:ptCount val="4"/>
                <c:pt idx="0">
                  <c:v>-9000</c:v>
                </c:pt>
                <c:pt idx="1">
                  <c:v>47000</c:v>
                </c:pt>
                <c:pt idx="2">
                  <c:v>50000</c:v>
                </c:pt>
                <c:pt idx="3">
                  <c:v>280000</c:v>
                </c:pt>
              </c:numCache>
            </c:numRef>
          </c:val>
          <c:extLst>
            <c:ext xmlns:c16="http://schemas.microsoft.com/office/drawing/2014/chart" uri="{C3380CC4-5D6E-409C-BE32-E72D297353CC}">
              <c16:uniqueId val="{00000000-DDA0-4FC0-88A9-0B3A1CEE370F}"/>
            </c:ext>
          </c:extLst>
        </c:ser>
        <c:ser>
          <c:idx val="1"/>
          <c:order val="1"/>
          <c:tx>
            <c:strRef>
              <c:f>Feuil1!$C$2</c:f>
              <c:strCache>
                <c:ptCount val="1"/>
                <c:pt idx="0">
                  <c:v>Rural</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Feuil1!$A$3:$A$6</c:f>
              <c:strCache>
                <c:ptCount val="4"/>
                <c:pt idx="0">
                  <c:v>Agriculture forêt et pêche</c:v>
                </c:pt>
                <c:pt idx="1">
                  <c:v>Industrie (y compris l’artisanat)</c:v>
                </c:pt>
                <c:pt idx="2">
                  <c:v>BTP</c:v>
                </c:pt>
                <c:pt idx="3">
                  <c:v>Services</c:v>
                </c:pt>
              </c:strCache>
            </c:strRef>
          </c:cat>
          <c:val>
            <c:numRef>
              <c:f>Feuil1!$C$3:$C$6</c:f>
              <c:numCache>
                <c:formatCode>General</c:formatCode>
                <c:ptCount val="4"/>
                <c:pt idx="0">
                  <c:v>199000</c:v>
                </c:pt>
                <c:pt idx="1">
                  <c:v>7000</c:v>
                </c:pt>
                <c:pt idx="2">
                  <c:v>42000</c:v>
                </c:pt>
                <c:pt idx="3">
                  <c:v>26000</c:v>
                </c:pt>
              </c:numCache>
            </c:numRef>
          </c:val>
          <c:extLst>
            <c:ext xmlns:c16="http://schemas.microsoft.com/office/drawing/2014/chart" uri="{C3380CC4-5D6E-409C-BE32-E72D297353CC}">
              <c16:uniqueId val="{00000001-DDA0-4FC0-88A9-0B3A1CEE370F}"/>
            </c:ext>
          </c:extLst>
        </c:ser>
        <c:ser>
          <c:idx val="2"/>
          <c:order val="2"/>
          <c:tx>
            <c:strRef>
              <c:f>Feuil1!$D$2</c:f>
              <c:strCache>
                <c:ptCount val="1"/>
                <c:pt idx="0">
                  <c:v>Ensemble</c:v>
                </c:pt>
              </c:strCache>
            </c:strRef>
          </c:tx>
          <c:spPr>
            <a:solidFill>
              <a:schemeClr val="accent3"/>
            </a:solidFill>
            <a:ln>
              <a:noFill/>
            </a:ln>
            <a:effectLst/>
          </c:spPr>
          <c:invertIfNegative val="0"/>
          <c:dLbls>
            <c:dLbl>
              <c:idx val="0"/>
              <c:layout>
                <c:manualLayout>
                  <c:x val="2.2045855379188711E-2"/>
                  <c:y val="-4.69814423302794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DA0-4FC0-88A9-0B3A1CEE37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Feuil1!$A$3:$A$6</c:f>
              <c:strCache>
                <c:ptCount val="4"/>
                <c:pt idx="0">
                  <c:v>Agriculture forêt et pêche</c:v>
                </c:pt>
                <c:pt idx="1">
                  <c:v>Industrie (y compris l’artisanat)</c:v>
                </c:pt>
                <c:pt idx="2">
                  <c:v>BTP</c:v>
                </c:pt>
                <c:pt idx="3">
                  <c:v>Services</c:v>
                </c:pt>
              </c:strCache>
            </c:strRef>
          </c:cat>
          <c:val>
            <c:numRef>
              <c:f>Feuil1!$D$3:$D$6</c:f>
              <c:numCache>
                <c:formatCode>General</c:formatCode>
                <c:ptCount val="4"/>
                <c:pt idx="0">
                  <c:v>190000</c:v>
                </c:pt>
                <c:pt idx="1">
                  <c:v>54000</c:v>
                </c:pt>
                <c:pt idx="2">
                  <c:v>92000</c:v>
                </c:pt>
                <c:pt idx="3">
                  <c:v>306000</c:v>
                </c:pt>
              </c:numCache>
            </c:numRef>
          </c:val>
          <c:extLst>
            <c:ext xmlns:c16="http://schemas.microsoft.com/office/drawing/2014/chart" uri="{C3380CC4-5D6E-409C-BE32-E72D297353CC}">
              <c16:uniqueId val="{00000002-DDA0-4FC0-88A9-0B3A1CEE370F}"/>
            </c:ext>
          </c:extLst>
        </c:ser>
        <c:dLbls>
          <c:showLegendKey val="0"/>
          <c:showVal val="0"/>
          <c:showCatName val="0"/>
          <c:showSerName val="0"/>
          <c:showPercent val="0"/>
          <c:showBubbleSize val="0"/>
        </c:dLbls>
        <c:gapWidth val="219"/>
        <c:overlap val="-27"/>
        <c:axId val="145663872"/>
        <c:axId val="145665408"/>
      </c:barChart>
      <c:catAx>
        <c:axId val="1456638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5665408"/>
        <c:crosses val="autoZero"/>
        <c:auto val="1"/>
        <c:lblAlgn val="ctr"/>
        <c:lblOffset val="100"/>
        <c:noMultiLvlLbl val="0"/>
      </c:catAx>
      <c:valAx>
        <c:axId val="145665408"/>
        <c:scaling>
          <c:orientation val="minMax"/>
        </c:scaling>
        <c:delete val="1"/>
        <c:axPos val="l"/>
        <c:numFmt formatCode="General" sourceLinked="1"/>
        <c:majorTickMark val="none"/>
        <c:minorTickMark val="none"/>
        <c:tickLblPos val="nextTo"/>
        <c:crossAx val="14566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Feuil2!$D$20</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Feuil2!$C$41:$C$45</c:f>
              <c:numCache>
                <c:formatCode>General</c:formatCode>
                <c:ptCount val="5"/>
                <c:pt idx="0">
                  <c:v>2017</c:v>
                </c:pt>
                <c:pt idx="1">
                  <c:v>2018</c:v>
                </c:pt>
                <c:pt idx="2">
                  <c:v>2019</c:v>
                </c:pt>
                <c:pt idx="3">
                  <c:v>2020</c:v>
                </c:pt>
                <c:pt idx="4">
                  <c:v>2021</c:v>
                </c:pt>
              </c:numCache>
            </c:numRef>
          </c:cat>
          <c:val>
            <c:numRef>
              <c:f>Feuil2!$D$41:$D$45</c:f>
              <c:numCache>
                <c:formatCode>General</c:formatCode>
                <c:ptCount val="5"/>
                <c:pt idx="0">
                  <c:v>14.9</c:v>
                </c:pt>
                <c:pt idx="1">
                  <c:v>13.1</c:v>
                </c:pt>
                <c:pt idx="2">
                  <c:v>12.7</c:v>
                </c:pt>
                <c:pt idx="3" formatCode="0.0">
                  <c:v>16.471265103414147</c:v>
                </c:pt>
                <c:pt idx="4" formatCode="0.0">
                  <c:v>15.950715026019784</c:v>
                </c:pt>
              </c:numCache>
            </c:numRef>
          </c:val>
          <c:smooth val="0"/>
          <c:extLst>
            <c:ext xmlns:c16="http://schemas.microsoft.com/office/drawing/2014/chart" uri="{C3380CC4-5D6E-409C-BE32-E72D297353CC}">
              <c16:uniqueId val="{00000000-DBB5-4B13-A2E4-3F00D0F2F30C}"/>
            </c:ext>
          </c:extLst>
        </c:ser>
        <c:ser>
          <c:idx val="1"/>
          <c:order val="1"/>
          <c:tx>
            <c:strRef>
              <c:f>Feuil2!$E$20</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Feuil2!$C$41:$C$45</c:f>
              <c:numCache>
                <c:formatCode>General</c:formatCode>
                <c:ptCount val="5"/>
                <c:pt idx="0">
                  <c:v>2017</c:v>
                </c:pt>
                <c:pt idx="1">
                  <c:v>2018</c:v>
                </c:pt>
                <c:pt idx="2">
                  <c:v>2019</c:v>
                </c:pt>
                <c:pt idx="3">
                  <c:v>2020</c:v>
                </c:pt>
                <c:pt idx="4">
                  <c:v>2021</c:v>
                </c:pt>
              </c:numCache>
            </c:numRef>
          </c:cat>
          <c:val>
            <c:numRef>
              <c:f>Feuil2!$E$41:$E$45</c:f>
              <c:numCache>
                <c:formatCode>General</c:formatCode>
                <c:ptCount val="5"/>
                <c:pt idx="0">
                  <c:v>4.5999999999999996</c:v>
                </c:pt>
                <c:pt idx="1">
                  <c:v>3.9</c:v>
                </c:pt>
                <c:pt idx="2">
                  <c:v>4.5</c:v>
                </c:pt>
                <c:pt idx="3" formatCode="0.0">
                  <c:v>6.7548407635036884</c:v>
                </c:pt>
                <c:pt idx="4" formatCode="0.0">
                  <c:v>5.1736170543639997</c:v>
                </c:pt>
              </c:numCache>
            </c:numRef>
          </c:val>
          <c:smooth val="0"/>
          <c:extLst>
            <c:ext xmlns:c16="http://schemas.microsoft.com/office/drawing/2014/chart" uri="{C3380CC4-5D6E-409C-BE32-E72D297353CC}">
              <c16:uniqueId val="{00000001-DBB5-4B13-A2E4-3F00D0F2F30C}"/>
            </c:ext>
          </c:extLst>
        </c:ser>
        <c:ser>
          <c:idx val="2"/>
          <c:order val="2"/>
          <c:tx>
            <c:strRef>
              <c:f>Feuil2!$F$20</c:f>
              <c:strCache>
                <c:ptCount val="1"/>
                <c:pt idx="0">
                  <c:v>National</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Feuil2!$C$41:$C$45</c:f>
              <c:numCache>
                <c:formatCode>General</c:formatCode>
                <c:ptCount val="5"/>
                <c:pt idx="0">
                  <c:v>2017</c:v>
                </c:pt>
                <c:pt idx="1">
                  <c:v>2018</c:v>
                </c:pt>
                <c:pt idx="2">
                  <c:v>2019</c:v>
                </c:pt>
                <c:pt idx="3">
                  <c:v>2020</c:v>
                </c:pt>
                <c:pt idx="4">
                  <c:v>2021</c:v>
                </c:pt>
              </c:numCache>
            </c:numRef>
          </c:cat>
          <c:val>
            <c:numRef>
              <c:f>Feuil2!$F$41:$F$45</c:f>
              <c:numCache>
                <c:formatCode>General</c:formatCode>
                <c:ptCount val="5"/>
                <c:pt idx="0">
                  <c:v>10.6</c:v>
                </c:pt>
                <c:pt idx="1">
                  <c:v>9.3000000000000007</c:v>
                </c:pt>
                <c:pt idx="2">
                  <c:v>9.4</c:v>
                </c:pt>
                <c:pt idx="3" formatCode="0.0">
                  <c:v>12.72248008026102</c:v>
                </c:pt>
                <c:pt idx="4" formatCode="0.0">
                  <c:v>11.810187871112989</c:v>
                </c:pt>
              </c:numCache>
            </c:numRef>
          </c:val>
          <c:smooth val="0"/>
          <c:extLst>
            <c:ext xmlns:c16="http://schemas.microsoft.com/office/drawing/2014/chart" uri="{C3380CC4-5D6E-409C-BE32-E72D297353CC}">
              <c16:uniqueId val="{00000002-DBB5-4B13-A2E4-3F00D0F2F30C}"/>
            </c:ext>
          </c:extLst>
        </c:ser>
        <c:dLbls>
          <c:showLegendKey val="0"/>
          <c:showVal val="1"/>
          <c:showCatName val="0"/>
          <c:showSerName val="0"/>
          <c:showPercent val="0"/>
          <c:showBubbleSize val="0"/>
        </c:dLbls>
        <c:marker val="1"/>
        <c:smooth val="0"/>
        <c:axId val="150895616"/>
        <c:axId val="150901504"/>
      </c:lineChart>
      <c:catAx>
        <c:axId val="1508956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fr-FR"/>
          </a:p>
        </c:txPr>
        <c:crossAx val="150901504"/>
        <c:crosses val="autoZero"/>
        <c:auto val="1"/>
        <c:lblAlgn val="ctr"/>
        <c:lblOffset val="100"/>
        <c:noMultiLvlLbl val="0"/>
      </c:catAx>
      <c:valAx>
        <c:axId val="150901504"/>
        <c:scaling>
          <c:orientation val="minMax"/>
        </c:scaling>
        <c:delete val="1"/>
        <c:axPos val="l"/>
        <c:numFmt formatCode="General" sourceLinked="1"/>
        <c:majorTickMark val="none"/>
        <c:minorTickMark val="none"/>
        <c:tickLblPos val="nextTo"/>
        <c:crossAx val="15089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chart>
  <c:spPr>
    <a:solidFill>
      <a:schemeClr val="lt1"/>
    </a:solidFill>
    <a:ln w="9525" cap="flat" cmpd="sng" algn="ctr">
      <a:noFill/>
      <a:round/>
    </a:ln>
    <a:effectLst/>
  </c:spPr>
  <c:txPr>
    <a:bodyPr/>
    <a:lstStyle/>
    <a:p>
      <a:pPr>
        <a:defRPr/>
      </a:pPr>
      <a:endParaRPr lang="fr-F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'[2021T3 - Note sur les chiffres clés - Annexe -.xlsx]Sheet1'!$C$2</c:f>
              <c:strCache>
                <c:ptCount val="1"/>
                <c:pt idx="0">
                  <c:v>2020</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'[2021T3 - Note sur les chiffres clés - Annexe -.xlsx]Sheet1'!$B$3:$B$7</c:f>
              <c:strCache>
                <c:ptCount val="5"/>
                <c:pt idx="0">
                  <c:v>Hommes</c:v>
                </c:pt>
                <c:pt idx="1">
                  <c:v>Femmes</c:v>
                </c:pt>
                <c:pt idx="2">
                  <c:v>15-24 ans</c:v>
                </c:pt>
                <c:pt idx="3">
                  <c:v>Non diplômés</c:v>
                </c:pt>
                <c:pt idx="4">
                  <c:v>National</c:v>
                </c:pt>
              </c:strCache>
            </c:strRef>
          </c:cat>
          <c:val>
            <c:numRef>
              <c:f>'[2021T3 - Note sur les chiffres clés - Annexe -.xlsx]Sheet1'!$C$3:$C$7</c:f>
              <c:numCache>
                <c:formatCode>0.0</c:formatCode>
                <c:ptCount val="5"/>
                <c:pt idx="0">
                  <c:v>11.446179524348894</c:v>
                </c:pt>
                <c:pt idx="1">
                  <c:v>17.568049670673116</c:v>
                </c:pt>
                <c:pt idx="2">
                  <c:v>32.307854197680008</c:v>
                </c:pt>
                <c:pt idx="3">
                  <c:v>6.9107214824660534</c:v>
                </c:pt>
                <c:pt idx="4">
                  <c:v>12.72248008026102</c:v>
                </c:pt>
              </c:numCache>
            </c:numRef>
          </c:val>
          <c:extLst>
            <c:ext xmlns:c16="http://schemas.microsoft.com/office/drawing/2014/chart" uri="{C3380CC4-5D6E-409C-BE32-E72D297353CC}">
              <c16:uniqueId val="{00000000-01A0-410B-99A3-FEFE3B596832}"/>
            </c:ext>
          </c:extLst>
        </c:ser>
        <c:ser>
          <c:idx val="1"/>
          <c:order val="1"/>
          <c:tx>
            <c:strRef>
              <c:f>'[2021T3 - Note sur les chiffres clés - Annexe -.xlsx]Sheet1'!$D$2</c:f>
              <c:strCache>
                <c:ptCount val="1"/>
                <c:pt idx="0">
                  <c:v>2021</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'[2021T3 - Note sur les chiffres clés - Annexe -.xlsx]Sheet1'!$B$3:$B$7</c:f>
              <c:strCache>
                <c:ptCount val="5"/>
                <c:pt idx="0">
                  <c:v>Hommes</c:v>
                </c:pt>
                <c:pt idx="1">
                  <c:v>Femmes</c:v>
                </c:pt>
                <c:pt idx="2">
                  <c:v>15-24 ans</c:v>
                </c:pt>
                <c:pt idx="3">
                  <c:v>Non diplômés</c:v>
                </c:pt>
                <c:pt idx="4">
                  <c:v>National</c:v>
                </c:pt>
              </c:strCache>
            </c:strRef>
          </c:cat>
          <c:val>
            <c:numRef>
              <c:f>'[2021T3 - Note sur les chiffres clés - Annexe -.xlsx]Sheet1'!$D$3:$D$7</c:f>
              <c:numCache>
                <c:formatCode>0.0</c:formatCode>
                <c:ptCount val="5"/>
                <c:pt idx="0">
                  <c:v>10.39483338462605</c:v>
                </c:pt>
                <c:pt idx="1">
                  <c:v>16.526960188339494</c:v>
                </c:pt>
                <c:pt idx="2">
                  <c:v>30.972897345784766</c:v>
                </c:pt>
                <c:pt idx="3">
                  <c:v>4.4448467560300458</c:v>
                </c:pt>
                <c:pt idx="4">
                  <c:v>11.810187871113003</c:v>
                </c:pt>
              </c:numCache>
            </c:numRef>
          </c:val>
          <c:extLst>
            <c:ext xmlns:c16="http://schemas.microsoft.com/office/drawing/2014/chart" uri="{C3380CC4-5D6E-409C-BE32-E72D297353CC}">
              <c16:uniqueId val="{00000001-01A0-410B-99A3-FEFE3B596832}"/>
            </c:ext>
          </c:extLst>
        </c:ser>
        <c:dLbls>
          <c:showLegendKey val="0"/>
          <c:showVal val="1"/>
          <c:showCatName val="0"/>
          <c:showSerName val="0"/>
          <c:showPercent val="0"/>
          <c:showBubbleSize val="0"/>
        </c:dLbls>
        <c:gapWidth val="260"/>
        <c:overlap val="-36"/>
        <c:axId val="150926848"/>
        <c:axId val="150928384"/>
      </c:barChart>
      <c:catAx>
        <c:axId val="1509268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ln>
                  <a:noFill/>
                </a:ln>
                <a:solidFill>
                  <a:schemeClr val="tx1"/>
                </a:solidFill>
                <a:latin typeface="+mn-lt"/>
                <a:ea typeface="+mn-ea"/>
                <a:cs typeface="+mn-cs"/>
              </a:defRPr>
            </a:pPr>
            <a:endParaRPr lang="fr-FR"/>
          </a:p>
        </c:txPr>
        <c:crossAx val="150928384"/>
        <c:crosses val="autoZero"/>
        <c:auto val="1"/>
        <c:lblAlgn val="ctr"/>
        <c:lblOffset val="100"/>
        <c:noMultiLvlLbl val="0"/>
      </c:catAx>
      <c:valAx>
        <c:axId val="150928384"/>
        <c:scaling>
          <c:orientation val="minMax"/>
        </c:scaling>
        <c:delete val="1"/>
        <c:axPos val="l"/>
        <c:numFmt formatCode="0.0" sourceLinked="1"/>
        <c:majorTickMark val="none"/>
        <c:minorTickMark val="none"/>
        <c:tickLblPos val="nextTo"/>
        <c:crossAx val="15092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1" i="0" u="none" strike="noStrike" kern="1200" baseline="0">
              <a:solidFill>
                <a:schemeClr val="tx2"/>
              </a:solidFill>
              <a:latin typeface="+mn-lt"/>
              <a:ea typeface="+mn-ea"/>
              <a:cs typeface="+mn-cs"/>
            </a:defRPr>
          </a:pPr>
          <a:endParaRPr lang="fr-FR"/>
        </a:p>
      </c:txPr>
    </c:legend>
    <c:plotVisOnly val="1"/>
    <c:dispBlanksAs val="gap"/>
    <c:showDLblsOverMax val="0"/>
  </c:chart>
  <c:spPr>
    <a:noFill/>
    <a:ln w="9525" cap="flat" cmpd="sng" algn="ctr">
      <a:noFill/>
      <a:round/>
    </a:ln>
    <a:effectLst/>
  </c:spPr>
  <c:txPr>
    <a:bodyPr/>
    <a:lstStyle/>
    <a:p>
      <a:pPr>
        <a:defRPr/>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Graph_SS_EMPLOI!$C$4</c:f>
              <c:strCache>
                <c:ptCount val="1"/>
                <c:pt idx="0">
                  <c:v>2020</c:v>
                </c:pt>
              </c:strCache>
            </c:strRef>
          </c:tx>
          <c:spPr>
            <a:solidFill>
              <a:srgbClr val="00206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Graph_SS_EMPLOI!$B$5:$B$12</c:f>
              <c:strCache>
                <c:ptCount val="8"/>
                <c:pt idx="0">
                  <c:v>Urbain</c:v>
                </c:pt>
                <c:pt idx="1">
                  <c:v>Rural</c:v>
                </c:pt>
                <c:pt idx="2">
                  <c:v>Hommes</c:v>
                </c:pt>
                <c:pt idx="3">
                  <c:v>Femmes</c:v>
                </c:pt>
                <c:pt idx="4">
                  <c:v>35-44 ans</c:v>
                </c:pt>
                <c:pt idx="5">
                  <c:v>Diplômés</c:v>
                </c:pt>
                <c:pt idx="6">
                  <c:v>Non diplômés</c:v>
                </c:pt>
                <c:pt idx="7">
                  <c:v>National</c:v>
                </c:pt>
              </c:strCache>
            </c:strRef>
          </c:cat>
          <c:val>
            <c:numRef>
              <c:f>Graph_SS_EMPLOI!$C$5:$C$12</c:f>
              <c:numCache>
                <c:formatCode>0.0</c:formatCode>
                <c:ptCount val="8"/>
                <c:pt idx="0">
                  <c:v>10.5</c:v>
                </c:pt>
                <c:pt idx="1">
                  <c:v>13.3</c:v>
                </c:pt>
                <c:pt idx="2">
                  <c:v>12.952055915503999</c:v>
                </c:pt>
                <c:pt idx="3">
                  <c:v>6.2606145787202889</c:v>
                </c:pt>
                <c:pt idx="4">
                  <c:v>12.709672367695118</c:v>
                </c:pt>
                <c:pt idx="5">
                  <c:v>11.79599839688275</c:v>
                </c:pt>
                <c:pt idx="6">
                  <c:v>11.509871866701912</c:v>
                </c:pt>
                <c:pt idx="7">
                  <c:v>11.6</c:v>
                </c:pt>
              </c:numCache>
            </c:numRef>
          </c:val>
          <c:extLst>
            <c:ext xmlns:c16="http://schemas.microsoft.com/office/drawing/2014/chart" uri="{C3380CC4-5D6E-409C-BE32-E72D297353CC}">
              <c16:uniqueId val="{00000000-627C-4297-9F30-EC3996EFC350}"/>
            </c:ext>
          </c:extLst>
        </c:ser>
        <c:ser>
          <c:idx val="1"/>
          <c:order val="1"/>
          <c:tx>
            <c:strRef>
              <c:f>Graph_SS_EMPLOI!$D$4</c:f>
              <c:strCache>
                <c:ptCount val="1"/>
                <c:pt idx="0">
                  <c:v>2021</c:v>
                </c:pt>
              </c:strCache>
            </c:strRef>
          </c:tx>
          <c:spPr>
            <a:solidFill>
              <a:schemeClr val="accent6">
                <a:lumMod val="60000"/>
                <a:lumOff val="40000"/>
              </a:schemeClr>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Graph_SS_EMPLOI!$B$5:$B$12</c:f>
              <c:strCache>
                <c:ptCount val="8"/>
                <c:pt idx="0">
                  <c:v>Urbain</c:v>
                </c:pt>
                <c:pt idx="1">
                  <c:v>Rural</c:v>
                </c:pt>
                <c:pt idx="2">
                  <c:v>Hommes</c:v>
                </c:pt>
                <c:pt idx="3">
                  <c:v>Femmes</c:v>
                </c:pt>
                <c:pt idx="4">
                  <c:v>35-44 ans</c:v>
                </c:pt>
                <c:pt idx="5">
                  <c:v>Diplômés</c:v>
                </c:pt>
                <c:pt idx="6">
                  <c:v>Non diplômés</c:v>
                </c:pt>
                <c:pt idx="7">
                  <c:v>National</c:v>
                </c:pt>
              </c:strCache>
            </c:strRef>
          </c:cat>
          <c:val>
            <c:numRef>
              <c:f>Graph_SS_EMPLOI!$D$5:$D$12</c:f>
              <c:numCache>
                <c:formatCode>0.0</c:formatCode>
                <c:ptCount val="8"/>
                <c:pt idx="0">
                  <c:v>8.6</c:v>
                </c:pt>
                <c:pt idx="1">
                  <c:v>10.8</c:v>
                </c:pt>
                <c:pt idx="2">
                  <c:v>10.708142195867282</c:v>
                </c:pt>
                <c:pt idx="3">
                  <c:v>5.1790960800738759</c:v>
                </c:pt>
                <c:pt idx="4">
                  <c:v>9.7425908128389711</c:v>
                </c:pt>
                <c:pt idx="5">
                  <c:v>9.4292909108450047</c:v>
                </c:pt>
                <c:pt idx="6">
                  <c:v>9.5848633736440529</c:v>
                </c:pt>
                <c:pt idx="7">
                  <c:v>9.5</c:v>
                </c:pt>
              </c:numCache>
            </c:numRef>
          </c:val>
          <c:extLst>
            <c:ext xmlns:c16="http://schemas.microsoft.com/office/drawing/2014/chart" uri="{C3380CC4-5D6E-409C-BE32-E72D297353CC}">
              <c16:uniqueId val="{00000001-627C-4297-9F30-EC3996EFC350}"/>
            </c:ext>
          </c:extLst>
        </c:ser>
        <c:dLbls>
          <c:showLegendKey val="0"/>
          <c:showVal val="1"/>
          <c:showCatName val="0"/>
          <c:showSerName val="0"/>
          <c:showPercent val="0"/>
          <c:showBubbleSize val="0"/>
        </c:dLbls>
        <c:gapWidth val="100"/>
        <c:overlap val="-24"/>
        <c:axId val="151748992"/>
        <c:axId val="151750528"/>
      </c:barChart>
      <c:catAx>
        <c:axId val="1517489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crossAx val="151750528"/>
        <c:crosses val="autoZero"/>
        <c:auto val="1"/>
        <c:lblAlgn val="ctr"/>
        <c:lblOffset val="100"/>
        <c:noMultiLvlLbl val="0"/>
      </c:catAx>
      <c:valAx>
        <c:axId val="151750528"/>
        <c:scaling>
          <c:orientation val="minMax"/>
        </c:scaling>
        <c:delete val="1"/>
        <c:axPos val="l"/>
        <c:numFmt formatCode="0.0" sourceLinked="1"/>
        <c:majorTickMark val="none"/>
        <c:minorTickMark val="none"/>
        <c:tickLblPos val="nextTo"/>
        <c:crossAx val="15174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fr-FR"/>
        </a:p>
      </c:txPr>
    </c:legend>
    <c:plotVisOnly val="1"/>
    <c:dispBlanksAs val="gap"/>
    <c:showDLblsOverMax val="0"/>
  </c:chart>
  <c:spPr>
    <a:noFill/>
    <a:ln w="9525" cap="flat" cmpd="sng" algn="ctr">
      <a:noFill/>
      <a:round/>
    </a:ln>
    <a:effectLst/>
  </c:spPr>
  <c:txPr>
    <a:bodyPr/>
    <a:lstStyle/>
    <a:p>
      <a:pPr>
        <a:defRPr/>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02060"/>
            </a:solidFill>
            <a:ln>
              <a:noFill/>
            </a:ln>
          </c:spPr>
          <c:invertIfNegative val="0"/>
          <c:dPt>
            <c:idx val="7"/>
            <c:invertIfNegative val="0"/>
            <c:bubble3D val="0"/>
            <c:spPr>
              <a:solidFill>
                <a:schemeClr val="accent6">
                  <a:lumMod val="60000"/>
                  <a:lumOff val="40000"/>
                </a:schemeClr>
              </a:solidFill>
              <a:ln>
                <a:noFill/>
              </a:ln>
            </c:spPr>
            <c:extLst>
              <c:ext xmlns:c16="http://schemas.microsoft.com/office/drawing/2014/chart" uri="{C3380CC4-5D6E-409C-BE32-E72D297353CC}">
                <c16:uniqueId val="{00000000-4451-446E-AAD8-F0214F6E30A2}"/>
              </c:ext>
            </c:extLst>
          </c:dPt>
          <c:dLbls>
            <c:spPr>
              <a:noFill/>
              <a:ln>
                <a:noFill/>
              </a:ln>
              <a:effectLst/>
            </c:spPr>
            <c:txPr>
              <a:bodyPr/>
              <a:lstStyle/>
              <a:p>
                <a:pPr>
                  <a:defRPr>
                    <a:latin typeface="Times New Roman" pitchFamily="18" charset="0"/>
                    <a:cs typeface="Times New Roman"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'2021T3.REG'!$A$5:$A$15</c:f>
              <c:strCache>
                <c:ptCount val="11"/>
                <c:pt idx="0">
                  <c:v>Drâa-Tafilalet</c:v>
                </c:pt>
                <c:pt idx="1">
                  <c:v>Souss-Massa</c:v>
                </c:pt>
                <c:pt idx="2">
                  <c:v>Oriental</c:v>
                </c:pt>
                <c:pt idx="3">
                  <c:v>Fès-Meknès</c:v>
                </c:pt>
                <c:pt idx="4">
                  <c:v>Rabat-Salé-Kénitra</c:v>
                </c:pt>
                <c:pt idx="5">
                  <c:v>Régions du Sud</c:v>
                </c:pt>
                <c:pt idx="6">
                  <c:v>Béni Mellal-Khénifra</c:v>
                </c:pt>
                <c:pt idx="7">
                  <c:v>National</c:v>
                </c:pt>
                <c:pt idx="8">
                  <c:v>Marrakech-Safi</c:v>
                </c:pt>
                <c:pt idx="9">
                  <c:v>Casablanca-Settat</c:v>
                </c:pt>
                <c:pt idx="10">
                  <c:v>Tanger-Tétouan-Al Hoceïma</c:v>
                </c:pt>
              </c:strCache>
            </c:strRef>
          </c:cat>
          <c:val>
            <c:numRef>
              <c:f>'2021T3.REG'!$C$5:$C$15</c:f>
              <c:numCache>
                <c:formatCode>0.0</c:formatCode>
                <c:ptCount val="11"/>
                <c:pt idx="0">
                  <c:v>40.920290738203299</c:v>
                </c:pt>
                <c:pt idx="1">
                  <c:v>41.236514844346267</c:v>
                </c:pt>
                <c:pt idx="2">
                  <c:v>42.069028753061716</c:v>
                </c:pt>
                <c:pt idx="3">
                  <c:v>42.316645430597994</c:v>
                </c:pt>
                <c:pt idx="4">
                  <c:v>43.675451435631736</c:v>
                </c:pt>
                <c:pt idx="5">
                  <c:v>44.475982784223987</c:v>
                </c:pt>
                <c:pt idx="6">
                  <c:v>44.743230410436993</c:v>
                </c:pt>
                <c:pt idx="7">
                  <c:v>45.097085208661149</c:v>
                </c:pt>
                <c:pt idx="8">
                  <c:v>45.996559801188539</c:v>
                </c:pt>
                <c:pt idx="9">
                  <c:v>47.747186977935506</c:v>
                </c:pt>
                <c:pt idx="10">
                  <c:v>50.888103366865252</c:v>
                </c:pt>
              </c:numCache>
            </c:numRef>
          </c:val>
          <c:extLst>
            <c:ext xmlns:c16="http://schemas.microsoft.com/office/drawing/2014/chart" uri="{C3380CC4-5D6E-409C-BE32-E72D297353CC}">
              <c16:uniqueId val="{00000001-4451-446E-AAD8-F0214F6E30A2}"/>
            </c:ext>
          </c:extLst>
        </c:ser>
        <c:dLbls>
          <c:showLegendKey val="0"/>
          <c:showVal val="1"/>
          <c:showCatName val="0"/>
          <c:showSerName val="0"/>
          <c:showPercent val="0"/>
          <c:showBubbleSize val="0"/>
        </c:dLbls>
        <c:gapWidth val="150"/>
        <c:axId val="151787776"/>
        <c:axId val="151814144"/>
      </c:barChart>
      <c:catAx>
        <c:axId val="151787776"/>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fr-FR"/>
          </a:p>
        </c:txPr>
        <c:crossAx val="151814144"/>
        <c:crosses val="autoZero"/>
        <c:auto val="1"/>
        <c:lblAlgn val="ctr"/>
        <c:lblOffset val="100"/>
        <c:noMultiLvlLbl val="0"/>
      </c:catAx>
      <c:valAx>
        <c:axId val="151814144"/>
        <c:scaling>
          <c:orientation val="minMax"/>
        </c:scaling>
        <c:delete val="1"/>
        <c:axPos val="b"/>
        <c:numFmt formatCode="0.0" sourceLinked="1"/>
        <c:majorTickMark val="out"/>
        <c:minorTickMark val="none"/>
        <c:tickLblPos val="nextTo"/>
        <c:crossAx val="151787776"/>
        <c:crosses val="autoZero"/>
        <c:crossBetween val="between"/>
      </c:valAx>
    </c:plotArea>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02060"/>
            </a:solidFill>
          </c:spPr>
          <c:invertIfNegative val="0"/>
          <c:dPt>
            <c:idx val="5"/>
            <c:invertIfNegative val="0"/>
            <c:bubble3D val="0"/>
            <c:spPr>
              <a:solidFill>
                <a:schemeClr val="accent6">
                  <a:lumMod val="60000"/>
                  <a:lumOff val="40000"/>
                </a:schemeClr>
              </a:solidFill>
            </c:spPr>
            <c:extLst>
              <c:ext xmlns:c16="http://schemas.microsoft.com/office/drawing/2014/chart" uri="{C3380CC4-5D6E-409C-BE32-E72D297353CC}">
                <c16:uniqueId val="{00000000-9497-4C80-B333-FD95C59ABF5D}"/>
              </c:ext>
            </c:extLst>
          </c:dPt>
          <c:dLbls>
            <c:spPr>
              <a:noFill/>
              <a:ln>
                <a:noFill/>
              </a:ln>
              <a:effectLst/>
            </c:spPr>
            <c:txPr>
              <a:bodyPr/>
              <a:lstStyle/>
              <a:p>
                <a:pPr>
                  <a:defRPr>
                    <a:latin typeface="Times New Roman" pitchFamily="18" charset="0"/>
                    <a:cs typeface="Times New Roman"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'2021T3.REG'!$A$29:$A$39</c:f>
              <c:strCache>
                <c:ptCount val="11"/>
                <c:pt idx="0">
                  <c:v>Marrakech-Safi</c:v>
                </c:pt>
                <c:pt idx="1">
                  <c:v>Tanger-Tétouan-Al Hoceïma</c:v>
                </c:pt>
                <c:pt idx="2">
                  <c:v>Béni Mellal-Khénifra</c:v>
                </c:pt>
                <c:pt idx="3">
                  <c:v>Souss-Massa</c:v>
                </c:pt>
                <c:pt idx="4">
                  <c:v>Rabat-Salé-Kénitra</c:v>
                </c:pt>
                <c:pt idx="5">
                  <c:v>National</c:v>
                </c:pt>
                <c:pt idx="6">
                  <c:v>Drâa-Tafilalet</c:v>
                </c:pt>
                <c:pt idx="7">
                  <c:v>Casablanca-Settat</c:v>
                </c:pt>
                <c:pt idx="8">
                  <c:v>Fès-Meknès</c:v>
                </c:pt>
                <c:pt idx="9">
                  <c:v>Oriental</c:v>
                </c:pt>
                <c:pt idx="10">
                  <c:v>Régions du Sud</c:v>
                </c:pt>
              </c:strCache>
            </c:strRef>
          </c:cat>
          <c:val>
            <c:numRef>
              <c:f>'2021T3.REG'!$C$29:$C$39</c:f>
              <c:numCache>
                <c:formatCode>0.0</c:formatCode>
                <c:ptCount val="11"/>
                <c:pt idx="0">
                  <c:v>7.7264035097525214</c:v>
                </c:pt>
                <c:pt idx="1">
                  <c:v>9.962662823072014</c:v>
                </c:pt>
                <c:pt idx="2">
                  <c:v>9.9963883332041217</c:v>
                </c:pt>
                <c:pt idx="3">
                  <c:v>11.025015052341844</c:v>
                </c:pt>
                <c:pt idx="4">
                  <c:v>11.492676298992514</c:v>
                </c:pt>
                <c:pt idx="5">
                  <c:v>11.810187871113005</c:v>
                </c:pt>
                <c:pt idx="6">
                  <c:v>12.459660440151568</c:v>
                </c:pt>
                <c:pt idx="7">
                  <c:v>12.821901759430968</c:v>
                </c:pt>
                <c:pt idx="8">
                  <c:v>13.218784732377959</c:v>
                </c:pt>
                <c:pt idx="9">
                  <c:v>17.407617823365079</c:v>
                </c:pt>
                <c:pt idx="10">
                  <c:v>19.229153686387729</c:v>
                </c:pt>
              </c:numCache>
            </c:numRef>
          </c:val>
          <c:extLst>
            <c:ext xmlns:c16="http://schemas.microsoft.com/office/drawing/2014/chart" uri="{C3380CC4-5D6E-409C-BE32-E72D297353CC}">
              <c16:uniqueId val="{00000001-9497-4C80-B333-FD95C59ABF5D}"/>
            </c:ext>
          </c:extLst>
        </c:ser>
        <c:dLbls>
          <c:showLegendKey val="0"/>
          <c:showVal val="1"/>
          <c:showCatName val="0"/>
          <c:showSerName val="0"/>
          <c:showPercent val="0"/>
          <c:showBubbleSize val="0"/>
        </c:dLbls>
        <c:gapWidth val="150"/>
        <c:axId val="151825792"/>
        <c:axId val="151843968"/>
      </c:barChart>
      <c:catAx>
        <c:axId val="151825792"/>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fr-FR"/>
          </a:p>
        </c:txPr>
        <c:crossAx val="151843968"/>
        <c:crosses val="autoZero"/>
        <c:auto val="1"/>
        <c:lblAlgn val="ctr"/>
        <c:lblOffset val="100"/>
        <c:noMultiLvlLbl val="0"/>
      </c:catAx>
      <c:valAx>
        <c:axId val="151843968"/>
        <c:scaling>
          <c:orientation val="minMax"/>
        </c:scaling>
        <c:delete val="1"/>
        <c:axPos val="b"/>
        <c:numFmt formatCode="0.0" sourceLinked="1"/>
        <c:majorTickMark val="out"/>
        <c:minorTickMark val="none"/>
        <c:tickLblPos val="nextTo"/>
        <c:crossAx val="151825792"/>
        <c:crosses val="autoZero"/>
        <c:crossBetween val="between"/>
      </c:valAx>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217B3-AF38-49EE-A69B-28C62439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2220</Words>
  <Characters>12213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DEE-HCP</dc:creator>
  <cp:lastModifiedBy>MAH AAI</cp:lastModifiedBy>
  <cp:revision>4</cp:revision>
  <cp:lastPrinted>2021-10-27T18:52:00Z</cp:lastPrinted>
  <dcterms:created xsi:type="dcterms:W3CDTF">2021-10-31T12:22:00Z</dcterms:created>
  <dcterms:modified xsi:type="dcterms:W3CDTF">2021-10-31T18:10:00Z</dcterms:modified>
</cp:coreProperties>
</file>