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915" w:rsidRDefault="00400B4F" w:rsidP="003D1BF4">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noProof/>
          <w:sz w:val="26"/>
          <w:szCs w:val="26"/>
          <w:lang w:eastAsia="fr-FR"/>
        </w:rPr>
        <w:pict>
          <v:rect id="_x0000_s1026" style="position:absolute;left:0;text-align:left;margin-left:-108pt;margin-top:-68.55pt;width:685.25pt;height:425.5pt;z-index:-251658752" o:preferrelative="t" filled="f" stroked="f" insetpen="t" o:cliptowrap="t">
            <v:imagedata r:id="rId6" o:title=""/>
            <v:path o:extrusionok="f"/>
            <o:lock v:ext="edit" aspectratio="t"/>
            <w10:wrap anchorx="page"/>
          </v:rect>
          <o:OLEObject Type="Embed" ProgID="PBrush" ShapeID="_x0000_s1026" DrawAspect="Content" ObjectID="_1694551274" r:id="rId7"/>
        </w:pict>
      </w:r>
    </w:p>
    <w:p w:rsidR="00AB0915" w:rsidRDefault="00AB0915" w:rsidP="003D1BF4">
      <w:pPr>
        <w:autoSpaceDE w:val="0"/>
        <w:autoSpaceDN w:val="0"/>
        <w:adjustRightInd w:val="0"/>
        <w:spacing w:after="0" w:line="240" w:lineRule="auto"/>
        <w:jc w:val="center"/>
        <w:rPr>
          <w:rFonts w:ascii="Times New Roman" w:hAnsi="Times New Roman" w:cs="Times New Roman"/>
          <w:b/>
          <w:bCs/>
          <w:sz w:val="26"/>
          <w:szCs w:val="26"/>
        </w:rPr>
      </w:pPr>
    </w:p>
    <w:p w:rsidR="00AB0915" w:rsidRDefault="00AB0915" w:rsidP="003D1BF4">
      <w:pPr>
        <w:autoSpaceDE w:val="0"/>
        <w:autoSpaceDN w:val="0"/>
        <w:adjustRightInd w:val="0"/>
        <w:spacing w:after="0" w:line="240" w:lineRule="auto"/>
        <w:jc w:val="center"/>
        <w:rPr>
          <w:rFonts w:ascii="Times New Roman" w:hAnsi="Times New Roman" w:cs="Times New Roman"/>
          <w:b/>
          <w:bCs/>
          <w:sz w:val="26"/>
          <w:szCs w:val="26"/>
        </w:rPr>
      </w:pPr>
    </w:p>
    <w:p w:rsidR="00A7119A" w:rsidRDefault="00A7119A" w:rsidP="003D1BF4">
      <w:pPr>
        <w:autoSpaceDE w:val="0"/>
        <w:autoSpaceDN w:val="0"/>
        <w:adjustRightInd w:val="0"/>
        <w:spacing w:after="0" w:line="240" w:lineRule="auto"/>
        <w:jc w:val="center"/>
        <w:rPr>
          <w:rFonts w:ascii="Times New Roman" w:hAnsi="Times New Roman" w:cs="Times New Roman"/>
          <w:b/>
          <w:bCs/>
          <w:sz w:val="26"/>
          <w:szCs w:val="26"/>
        </w:rPr>
      </w:pPr>
    </w:p>
    <w:p w:rsidR="00A7119A" w:rsidRDefault="00A7119A" w:rsidP="00A7119A">
      <w:pPr>
        <w:spacing w:after="0" w:line="240" w:lineRule="auto"/>
        <w:jc w:val="center"/>
        <w:rPr>
          <w:rFonts w:ascii="Garamond" w:hAnsi="Garamond"/>
          <w:b/>
          <w:bCs/>
          <w:smallCaps/>
          <w:color w:val="0000FF"/>
          <w:sz w:val="28"/>
          <w:szCs w:val="28"/>
        </w:rPr>
      </w:pPr>
      <w:r w:rsidRPr="00945476">
        <w:rPr>
          <w:rFonts w:ascii="Garamond" w:hAnsi="Garamond"/>
          <w:b/>
          <w:bCs/>
          <w:smallCaps/>
          <w:color w:val="0000FF"/>
          <w:sz w:val="28"/>
          <w:szCs w:val="28"/>
        </w:rPr>
        <w:t xml:space="preserve">Note d’information </w:t>
      </w:r>
    </w:p>
    <w:p w:rsidR="00A7119A" w:rsidRPr="00945476" w:rsidRDefault="00A7119A" w:rsidP="00A7119A">
      <w:pPr>
        <w:spacing w:after="0" w:line="240" w:lineRule="auto"/>
        <w:jc w:val="center"/>
        <w:rPr>
          <w:rFonts w:ascii="Garamond" w:hAnsi="Garamond"/>
          <w:b/>
          <w:bCs/>
          <w:smallCaps/>
          <w:color w:val="0000FF"/>
          <w:sz w:val="28"/>
          <w:szCs w:val="28"/>
        </w:rPr>
      </w:pPr>
      <w:r w:rsidRPr="00945476">
        <w:rPr>
          <w:rFonts w:ascii="Garamond" w:hAnsi="Garamond"/>
          <w:b/>
          <w:bCs/>
          <w:smallCaps/>
          <w:color w:val="0000FF"/>
          <w:sz w:val="28"/>
          <w:szCs w:val="28"/>
        </w:rPr>
        <w:t>A l’occasion de la journée internationale</w:t>
      </w:r>
      <w:r w:rsidRPr="00945476">
        <w:rPr>
          <w:rFonts w:ascii="Garamond" w:hAnsi="Garamond"/>
          <w:b/>
          <w:bCs/>
          <w:smallCaps/>
          <w:color w:val="0000FF"/>
          <w:sz w:val="28"/>
          <w:szCs w:val="28"/>
        </w:rPr>
        <w:br/>
        <w:t>des personnes âgées</w:t>
      </w:r>
    </w:p>
    <w:p w:rsidR="00A7119A" w:rsidRPr="00917EAF" w:rsidRDefault="00A7119A" w:rsidP="00E7304C">
      <w:pPr>
        <w:pStyle w:val="Paragraphedeliste"/>
        <w:spacing w:before="240" w:after="120"/>
        <w:ind w:left="0"/>
        <w:contextualSpacing w:val="0"/>
        <w:jc w:val="center"/>
        <w:rPr>
          <w:rFonts w:ascii="Garamond" w:eastAsia="Calibri" w:hAnsi="Garamond" w:cstheme="majorBidi"/>
          <w:b/>
          <w:i/>
          <w:iCs/>
          <w:color w:val="0000FF"/>
          <w:sz w:val="32"/>
          <w:szCs w:val="32"/>
          <w:lang w:eastAsia="fr-FR" w:bidi="ar-MA"/>
        </w:rPr>
      </w:pPr>
      <w:r w:rsidRPr="00917EAF">
        <w:rPr>
          <w:rFonts w:ascii="Garamond" w:eastAsia="Calibri" w:hAnsi="Garamond" w:cstheme="majorBidi"/>
          <w:b/>
          <w:i/>
          <w:iCs/>
          <w:color w:val="0000FF"/>
          <w:sz w:val="32"/>
          <w:szCs w:val="32"/>
          <w:lang w:eastAsia="fr-FR" w:bidi="ar-MA"/>
        </w:rPr>
        <w:t>Quel</w:t>
      </w:r>
      <w:r w:rsidR="00E7304C" w:rsidRPr="00917EAF">
        <w:rPr>
          <w:rFonts w:ascii="Garamond" w:eastAsia="Calibri" w:hAnsi="Garamond" w:cstheme="majorBidi"/>
          <w:b/>
          <w:i/>
          <w:iCs/>
          <w:color w:val="0000FF"/>
          <w:sz w:val="32"/>
          <w:szCs w:val="32"/>
          <w:lang w:eastAsia="fr-FR" w:bidi="ar-MA"/>
        </w:rPr>
        <w:t xml:space="preserve"> avenir pour les personnes âgées dans notre pays</w:t>
      </w:r>
      <w:r w:rsidR="00194338" w:rsidRPr="00917EAF">
        <w:rPr>
          <w:rFonts w:ascii="Garamond" w:eastAsia="Calibri" w:hAnsi="Garamond" w:cstheme="majorBidi"/>
          <w:b/>
          <w:i/>
          <w:iCs/>
          <w:color w:val="0000FF"/>
          <w:sz w:val="32"/>
          <w:szCs w:val="32"/>
          <w:lang w:eastAsia="fr-FR" w:bidi="ar-MA"/>
        </w:rPr>
        <w:t xml:space="preserve"> ?</w:t>
      </w:r>
    </w:p>
    <w:p w:rsidR="00A7119A" w:rsidRPr="00184FB6" w:rsidRDefault="00A7119A" w:rsidP="00A7119A">
      <w:pPr>
        <w:pStyle w:val="Paragraphedeliste"/>
        <w:spacing w:before="240" w:after="120"/>
        <w:ind w:left="0"/>
        <w:contextualSpacing w:val="0"/>
        <w:jc w:val="both"/>
        <w:rPr>
          <w:rFonts w:ascii="Garamond" w:hAnsi="Garamond" w:cstheme="majorBidi"/>
          <w:bCs/>
          <w:sz w:val="26"/>
          <w:szCs w:val="26"/>
        </w:rPr>
      </w:pPr>
      <w:r w:rsidRPr="00184FB6">
        <w:rPr>
          <w:rFonts w:ascii="Garamond" w:hAnsi="Garamond" w:cstheme="majorBidi"/>
          <w:bCs/>
          <w:sz w:val="26"/>
          <w:szCs w:val="26"/>
        </w:rPr>
        <w:t>Chaque année, au 1</w:t>
      </w:r>
      <w:r w:rsidRPr="007A4A10">
        <w:rPr>
          <w:rFonts w:ascii="Garamond" w:hAnsi="Garamond" w:cstheme="majorBidi"/>
          <w:bCs/>
          <w:sz w:val="26"/>
          <w:szCs w:val="26"/>
          <w:vertAlign w:val="superscript"/>
        </w:rPr>
        <w:t>er</w:t>
      </w:r>
      <w:r w:rsidR="005F32F2">
        <w:rPr>
          <w:rFonts w:ascii="Garamond" w:hAnsi="Garamond" w:cstheme="majorBidi"/>
          <w:bCs/>
          <w:sz w:val="26"/>
          <w:szCs w:val="26"/>
          <w:vertAlign w:val="superscript"/>
        </w:rPr>
        <w:t xml:space="preserve"> </w:t>
      </w:r>
      <w:r w:rsidRPr="00184FB6">
        <w:rPr>
          <w:rFonts w:ascii="Garamond" w:hAnsi="Garamond" w:cstheme="majorBidi"/>
          <w:bCs/>
          <w:sz w:val="26"/>
          <w:szCs w:val="26"/>
        </w:rPr>
        <w:t>octobre, la communauté internationale célèbre la journée internationale des personnes âgées. Le Haut-commissariat au Plan, présente, à cette occasion, quelques éléments de p</w:t>
      </w:r>
      <w:r>
        <w:rPr>
          <w:rFonts w:ascii="Garamond" w:hAnsi="Garamond" w:cstheme="majorBidi"/>
          <w:bCs/>
          <w:sz w:val="26"/>
          <w:szCs w:val="26"/>
        </w:rPr>
        <w:t xml:space="preserve">rospective </w:t>
      </w:r>
      <w:r w:rsidRPr="00184FB6">
        <w:rPr>
          <w:rFonts w:ascii="Garamond" w:hAnsi="Garamond" w:cstheme="majorBidi"/>
          <w:bCs/>
          <w:sz w:val="26"/>
          <w:szCs w:val="26"/>
        </w:rPr>
        <w:t>sur les personnes âgées au Maroc.</w:t>
      </w:r>
    </w:p>
    <w:p w:rsidR="00A7119A" w:rsidRPr="002F4F47" w:rsidRDefault="00A7119A" w:rsidP="00917EAF">
      <w:pPr>
        <w:pStyle w:val="Paragraphedeliste"/>
        <w:spacing w:before="240" w:after="120"/>
        <w:ind w:left="0"/>
        <w:contextualSpacing w:val="0"/>
        <w:rPr>
          <w:rFonts w:ascii="Garamond" w:hAnsi="Garamond" w:cstheme="majorBidi"/>
          <w:b/>
          <w:color w:val="4F81BD" w:themeColor="accent1"/>
          <w:sz w:val="28"/>
          <w:szCs w:val="28"/>
        </w:rPr>
      </w:pPr>
      <w:r w:rsidRPr="00917EAF">
        <w:rPr>
          <w:rFonts w:ascii="Garamond" w:eastAsia="Calibri" w:hAnsi="Garamond" w:cstheme="majorBidi"/>
          <w:b/>
          <w:i/>
          <w:iCs/>
          <w:color w:val="0000FF"/>
          <w:sz w:val="28"/>
          <w:szCs w:val="28"/>
          <w:lang w:eastAsia="fr-FR" w:bidi="ar-MA"/>
        </w:rPr>
        <w:t>En 2030, des personnes âgées plus nombreuses</w:t>
      </w:r>
    </w:p>
    <w:p w:rsidR="00A7119A" w:rsidRDefault="00A7119A" w:rsidP="00A7119A">
      <w:pPr>
        <w:pStyle w:val="Paragraphedeliste"/>
        <w:spacing w:before="240" w:after="120"/>
        <w:ind w:left="0"/>
        <w:contextualSpacing w:val="0"/>
        <w:jc w:val="both"/>
        <w:rPr>
          <w:rFonts w:ascii="Garamond" w:hAnsi="Garamond" w:cstheme="majorBidi"/>
          <w:bCs/>
          <w:sz w:val="26"/>
          <w:szCs w:val="26"/>
        </w:rPr>
      </w:pPr>
      <w:r w:rsidRPr="00206434">
        <w:rPr>
          <w:rFonts w:ascii="Garamond" w:hAnsi="Garamond" w:cstheme="majorBidi"/>
          <w:bCs/>
          <w:sz w:val="26"/>
          <w:szCs w:val="26"/>
        </w:rPr>
        <w:t xml:space="preserve">Actuellement et au terme de la deuxième décennie du nouveau millénaire, le Maroc, à l’instar de plusieurs pays, est en voie d’achever sa transition démographique grâce à l’amélioration de l’espérance de vie de sa population et de la chute de la fécondité. Cette évolution </w:t>
      </w:r>
      <w:r>
        <w:rPr>
          <w:rFonts w:ascii="Garamond" w:hAnsi="Garamond" w:cstheme="majorBidi"/>
          <w:bCs/>
          <w:sz w:val="26"/>
          <w:szCs w:val="26"/>
        </w:rPr>
        <w:t>se</w:t>
      </w:r>
      <w:r w:rsidRPr="00206434">
        <w:rPr>
          <w:rFonts w:ascii="Garamond" w:hAnsi="Garamond" w:cstheme="majorBidi"/>
          <w:bCs/>
          <w:sz w:val="26"/>
          <w:szCs w:val="26"/>
        </w:rPr>
        <w:t xml:space="preserve"> traduit par un accroissement de l’effectif des personnes âgées. Ainsi, en 2021, près de 4,3 millions sont âgés de 60 ans et plus représentant 11,7% de la population</w:t>
      </w:r>
      <w:r>
        <w:rPr>
          <w:rFonts w:ascii="Garamond" w:hAnsi="Garamond" w:cstheme="majorBidi"/>
          <w:bCs/>
          <w:sz w:val="26"/>
          <w:szCs w:val="26"/>
        </w:rPr>
        <w:t xml:space="preserve"> totale</w:t>
      </w:r>
      <w:r w:rsidRPr="00206434">
        <w:rPr>
          <w:rFonts w:ascii="Garamond" w:hAnsi="Garamond" w:cstheme="majorBidi"/>
          <w:bCs/>
          <w:sz w:val="26"/>
          <w:szCs w:val="26"/>
        </w:rPr>
        <w:t>, alors qu’ils n’étaient que 2,4 millions en 2004 et 8% de la population totale. Selon les projections démographiques</w:t>
      </w:r>
      <w:r w:rsidR="00D958A1">
        <w:rPr>
          <w:rFonts w:ascii="Garamond" w:hAnsi="Garamond" w:cstheme="majorBidi"/>
          <w:bCs/>
          <w:sz w:val="26"/>
          <w:szCs w:val="26"/>
        </w:rPr>
        <w:t xml:space="preserve"> </w:t>
      </w:r>
      <w:r>
        <w:rPr>
          <w:rFonts w:ascii="Garamond" w:hAnsi="Garamond" w:cstheme="majorBidi"/>
          <w:bCs/>
          <w:sz w:val="26"/>
          <w:szCs w:val="26"/>
        </w:rPr>
        <w:t xml:space="preserve">réalisées par le </w:t>
      </w:r>
      <w:r w:rsidRPr="00184FB6">
        <w:rPr>
          <w:rFonts w:ascii="Garamond" w:hAnsi="Garamond" w:cstheme="majorBidi"/>
          <w:bCs/>
          <w:sz w:val="26"/>
          <w:szCs w:val="26"/>
        </w:rPr>
        <w:t>Haut-commissariat au Plan</w:t>
      </w:r>
      <w:r w:rsidRPr="00206434">
        <w:rPr>
          <w:rFonts w:ascii="Garamond" w:hAnsi="Garamond" w:cstheme="majorBidi"/>
          <w:bCs/>
          <w:sz w:val="26"/>
          <w:szCs w:val="26"/>
        </w:rPr>
        <w:t>, d’ici 2030, l’effectif des aînés de 60 ans et plus atteindrait un peu plus de six millions, soit une augmentation de 42% par rapport à 2021 et représenterait 15,4% de la population.</w:t>
      </w:r>
    </w:p>
    <w:p w:rsidR="00A7119A" w:rsidRDefault="00A7119A" w:rsidP="00A7119A">
      <w:pPr>
        <w:pStyle w:val="Paragraphedeliste"/>
        <w:spacing w:before="240" w:after="120"/>
        <w:ind w:left="0"/>
        <w:contextualSpacing w:val="0"/>
        <w:jc w:val="both"/>
        <w:rPr>
          <w:rFonts w:ascii="Garamond" w:hAnsi="Garamond" w:cstheme="majorBidi"/>
          <w:bCs/>
          <w:sz w:val="26"/>
          <w:szCs w:val="26"/>
        </w:rPr>
      </w:pPr>
      <w:r>
        <w:rPr>
          <w:rFonts w:ascii="Garamond" w:hAnsi="Garamond" w:cstheme="majorBidi"/>
          <w:bCs/>
          <w:sz w:val="26"/>
          <w:szCs w:val="26"/>
        </w:rPr>
        <w:t>Si actuellement un peu plus de la moitié (51</w:t>
      </w:r>
      <w:r w:rsidRPr="00FB54C2">
        <w:rPr>
          <w:rFonts w:ascii="Garamond" w:hAnsi="Garamond" w:cstheme="majorBidi"/>
          <w:bCs/>
          <w:sz w:val="26"/>
          <w:szCs w:val="26"/>
        </w:rPr>
        <w:t>%</w:t>
      </w:r>
      <w:r>
        <w:rPr>
          <w:rFonts w:ascii="Garamond" w:hAnsi="Garamond" w:cstheme="majorBidi"/>
          <w:bCs/>
          <w:sz w:val="26"/>
          <w:szCs w:val="26"/>
        </w:rPr>
        <w:t>)</w:t>
      </w:r>
      <w:r w:rsidRPr="00FB54C2">
        <w:rPr>
          <w:rFonts w:ascii="Garamond" w:hAnsi="Garamond" w:cstheme="majorBidi"/>
          <w:bCs/>
          <w:sz w:val="26"/>
          <w:szCs w:val="26"/>
        </w:rPr>
        <w:t xml:space="preserve"> des seniors sont des femmes, leur part </w:t>
      </w:r>
      <w:r>
        <w:rPr>
          <w:rFonts w:ascii="Garamond" w:hAnsi="Garamond" w:cstheme="majorBidi"/>
          <w:bCs/>
          <w:sz w:val="26"/>
          <w:szCs w:val="26"/>
        </w:rPr>
        <w:t xml:space="preserve">atteindrait 52,2% en 2030, en raison de </w:t>
      </w:r>
      <w:r w:rsidRPr="000734B8">
        <w:rPr>
          <w:rFonts w:ascii="Garamond" w:hAnsi="Garamond" w:cstheme="majorBidi"/>
          <w:bCs/>
          <w:sz w:val="26"/>
          <w:szCs w:val="26"/>
        </w:rPr>
        <w:t>l’augmentation plus rapid</w:t>
      </w:r>
      <w:r>
        <w:rPr>
          <w:rFonts w:ascii="Garamond" w:hAnsi="Garamond" w:cstheme="majorBidi"/>
          <w:bCs/>
          <w:sz w:val="26"/>
          <w:szCs w:val="26"/>
        </w:rPr>
        <w:t xml:space="preserve">e </w:t>
      </w:r>
      <w:r w:rsidRPr="000734B8">
        <w:rPr>
          <w:rFonts w:ascii="Garamond" w:hAnsi="Garamond" w:cstheme="majorBidi"/>
          <w:bCs/>
          <w:sz w:val="26"/>
          <w:szCs w:val="26"/>
        </w:rPr>
        <w:t>de l’espérance de vie à la naissance chez le sexe féminin</w:t>
      </w:r>
      <w:r>
        <w:rPr>
          <w:rFonts w:ascii="Garamond" w:hAnsi="Garamond" w:cstheme="majorBidi"/>
          <w:bCs/>
          <w:sz w:val="26"/>
          <w:szCs w:val="26"/>
        </w:rPr>
        <w:t>.</w:t>
      </w:r>
    </w:p>
    <w:p w:rsidR="00A7119A" w:rsidRPr="00917EAF" w:rsidRDefault="00A7119A" w:rsidP="00A7119A">
      <w:pPr>
        <w:pStyle w:val="Paragraphedeliste"/>
        <w:spacing w:before="240" w:after="120"/>
        <w:ind w:left="0"/>
        <w:contextualSpacing w:val="0"/>
        <w:rPr>
          <w:rFonts w:ascii="Garamond" w:eastAsia="Calibri" w:hAnsi="Garamond" w:cstheme="majorBidi"/>
          <w:b/>
          <w:i/>
          <w:iCs/>
          <w:color w:val="0000FF"/>
          <w:sz w:val="28"/>
          <w:szCs w:val="28"/>
          <w:lang w:eastAsia="fr-FR" w:bidi="ar-MA"/>
        </w:rPr>
      </w:pPr>
      <w:r w:rsidRPr="00917EAF">
        <w:rPr>
          <w:rFonts w:ascii="Garamond" w:eastAsia="Calibri" w:hAnsi="Garamond" w:cstheme="majorBidi"/>
          <w:b/>
          <w:i/>
          <w:iCs/>
          <w:color w:val="0000FF"/>
          <w:sz w:val="28"/>
          <w:szCs w:val="28"/>
          <w:lang w:eastAsia="fr-FR" w:bidi="ar-MA"/>
        </w:rPr>
        <w:t>Où vieilliront les marocains en 2030 ?</w:t>
      </w:r>
    </w:p>
    <w:p w:rsidR="00A7119A" w:rsidRPr="00206434" w:rsidRDefault="00A7119A" w:rsidP="00A7119A">
      <w:pPr>
        <w:pStyle w:val="Paragraphedeliste"/>
        <w:spacing w:before="240" w:after="120"/>
        <w:ind w:left="0"/>
        <w:contextualSpacing w:val="0"/>
        <w:jc w:val="both"/>
        <w:rPr>
          <w:rFonts w:ascii="Garamond" w:hAnsi="Garamond" w:cstheme="majorBidi"/>
          <w:bCs/>
          <w:sz w:val="26"/>
          <w:szCs w:val="26"/>
        </w:rPr>
      </w:pPr>
      <w:r w:rsidRPr="00206434">
        <w:rPr>
          <w:rFonts w:ascii="Garamond" w:hAnsi="Garamond" w:cstheme="majorBidi"/>
          <w:bCs/>
          <w:sz w:val="26"/>
          <w:szCs w:val="26"/>
        </w:rPr>
        <w:t>En</w:t>
      </w:r>
      <w:r w:rsidR="00CC5D58">
        <w:rPr>
          <w:rFonts w:ascii="Garamond" w:hAnsi="Garamond" w:cstheme="majorBidi"/>
          <w:bCs/>
          <w:sz w:val="26"/>
          <w:szCs w:val="26"/>
        </w:rPr>
        <w:t xml:space="preserve"> </w:t>
      </w:r>
      <w:r w:rsidRPr="00206434">
        <w:rPr>
          <w:rFonts w:ascii="Garamond" w:hAnsi="Garamond" w:cstheme="majorBidi"/>
          <w:bCs/>
          <w:sz w:val="26"/>
          <w:szCs w:val="26"/>
        </w:rPr>
        <w:t>raison principalement de l’exode rural passé, l’effectif des personnes âgées va s’accroît</w:t>
      </w:r>
      <w:r>
        <w:rPr>
          <w:rFonts w:ascii="Garamond" w:hAnsi="Garamond" w:cstheme="majorBidi"/>
          <w:bCs/>
          <w:sz w:val="26"/>
          <w:szCs w:val="26"/>
        </w:rPr>
        <w:t>re</w:t>
      </w:r>
      <w:r w:rsidRPr="00206434">
        <w:rPr>
          <w:rFonts w:ascii="Garamond" w:hAnsi="Garamond" w:cstheme="majorBidi"/>
          <w:bCs/>
          <w:sz w:val="26"/>
          <w:szCs w:val="26"/>
        </w:rPr>
        <w:t xml:space="preserve"> plus rapidement en milieu urbain qu’en milieu rural. Ainsi, les personnes âgées en milieu urbain verront leur effectif se multiplier par 1,5 fois entre 2021 et 2030, passant de 2,8 millions en 2021 à près de 4,2 millions vers 2030. Par contre, en milieu rural, l’effectif des « aînés » va connaître une multiplication par un coefficient de 1,2 en passant au cours de la même période d</w:t>
      </w:r>
      <w:r>
        <w:rPr>
          <w:rFonts w:ascii="Garamond" w:hAnsi="Garamond" w:cstheme="majorBidi"/>
          <w:bCs/>
          <w:sz w:val="26"/>
          <w:szCs w:val="26"/>
        </w:rPr>
        <w:t xml:space="preserve">e </w:t>
      </w:r>
      <w:r w:rsidRPr="00206434">
        <w:rPr>
          <w:rFonts w:ascii="Garamond" w:hAnsi="Garamond" w:cstheme="majorBidi"/>
          <w:bCs/>
          <w:sz w:val="26"/>
          <w:szCs w:val="26"/>
        </w:rPr>
        <w:t>1,5 million à environ 1,8 millions.</w:t>
      </w:r>
    </w:p>
    <w:p w:rsidR="00A7119A" w:rsidRDefault="00A7119A" w:rsidP="00A7119A">
      <w:pPr>
        <w:pStyle w:val="Paragraphedeliste"/>
        <w:spacing w:before="240" w:after="120"/>
        <w:ind w:left="0"/>
        <w:contextualSpacing w:val="0"/>
        <w:jc w:val="both"/>
        <w:rPr>
          <w:rFonts w:ascii="Garamond" w:hAnsi="Garamond" w:cstheme="majorBidi"/>
          <w:bCs/>
          <w:sz w:val="26"/>
          <w:szCs w:val="26"/>
        </w:rPr>
      </w:pPr>
      <w:r w:rsidRPr="00206434">
        <w:rPr>
          <w:rFonts w:ascii="Garamond" w:hAnsi="Garamond" w:cstheme="majorBidi"/>
          <w:bCs/>
          <w:sz w:val="26"/>
          <w:szCs w:val="26"/>
        </w:rPr>
        <w:t xml:space="preserve">Les disparités démographiques régionales </w:t>
      </w:r>
      <w:r>
        <w:rPr>
          <w:rFonts w:ascii="Garamond" w:hAnsi="Garamond" w:cstheme="majorBidi"/>
          <w:bCs/>
          <w:sz w:val="26"/>
          <w:szCs w:val="26"/>
        </w:rPr>
        <w:t>re</w:t>
      </w:r>
      <w:r w:rsidRPr="00206434">
        <w:rPr>
          <w:rFonts w:ascii="Garamond" w:hAnsi="Garamond" w:cstheme="majorBidi"/>
          <w:bCs/>
          <w:sz w:val="26"/>
          <w:szCs w:val="26"/>
        </w:rPr>
        <w:t>s</w:t>
      </w:r>
      <w:r>
        <w:rPr>
          <w:rFonts w:ascii="Garamond" w:hAnsi="Garamond" w:cstheme="majorBidi"/>
          <w:bCs/>
          <w:sz w:val="26"/>
          <w:szCs w:val="26"/>
        </w:rPr>
        <w:t xml:space="preserve">teront </w:t>
      </w:r>
      <w:r w:rsidRPr="00206434">
        <w:rPr>
          <w:rFonts w:ascii="Garamond" w:hAnsi="Garamond" w:cstheme="majorBidi"/>
          <w:bCs/>
          <w:sz w:val="26"/>
          <w:szCs w:val="26"/>
        </w:rPr>
        <w:t>importantes. Trois groupes de régions peuvent être distinguées: celles dont les poids démographiques des personnes âgées sont substantiels, à savoir, l’Oriental, Béni Mellal-Khénifra</w:t>
      </w:r>
      <w:r>
        <w:rPr>
          <w:rFonts w:ascii="Garamond" w:hAnsi="Garamond" w:cstheme="majorBidi"/>
          <w:bCs/>
          <w:sz w:val="26"/>
          <w:szCs w:val="26"/>
        </w:rPr>
        <w:t xml:space="preserve">, </w:t>
      </w:r>
      <w:r w:rsidRPr="00DF2CE4">
        <w:rPr>
          <w:rFonts w:ascii="Garamond" w:hAnsi="Garamond" w:cstheme="majorBidi"/>
          <w:bCs/>
          <w:sz w:val="26"/>
          <w:szCs w:val="26"/>
        </w:rPr>
        <w:t>Grand Casablanca-Settat</w:t>
      </w:r>
      <w:r>
        <w:rPr>
          <w:rFonts w:ascii="Garamond" w:hAnsi="Garamond" w:cstheme="majorBidi"/>
          <w:bCs/>
          <w:sz w:val="26"/>
          <w:szCs w:val="26"/>
        </w:rPr>
        <w:t xml:space="preserve"> et </w:t>
      </w:r>
      <w:r w:rsidRPr="00DF2CE4">
        <w:rPr>
          <w:rFonts w:ascii="Garamond" w:hAnsi="Garamond" w:cstheme="majorBidi"/>
          <w:bCs/>
          <w:sz w:val="26"/>
          <w:szCs w:val="26"/>
        </w:rPr>
        <w:t>Fès-Meknès</w:t>
      </w:r>
      <w:r>
        <w:rPr>
          <w:rFonts w:ascii="Garamond" w:hAnsi="Garamond" w:cstheme="majorBidi"/>
          <w:bCs/>
          <w:sz w:val="26"/>
          <w:szCs w:val="26"/>
        </w:rPr>
        <w:t xml:space="preserve"> avec des part de plus de 13%</w:t>
      </w:r>
      <w:r w:rsidRPr="00206434">
        <w:rPr>
          <w:rFonts w:ascii="Garamond" w:hAnsi="Garamond" w:cstheme="majorBidi"/>
          <w:bCs/>
          <w:sz w:val="26"/>
          <w:szCs w:val="26"/>
        </w:rPr>
        <w:t>, celles où ils sont faibles: Laayoune-Sakia El Hamara, Eddakhla-Oued Eddahab</w:t>
      </w:r>
      <w:r w:rsidR="00CC5D58">
        <w:rPr>
          <w:rFonts w:ascii="Garamond" w:hAnsi="Garamond" w:cstheme="majorBidi"/>
          <w:bCs/>
          <w:sz w:val="26"/>
          <w:szCs w:val="26"/>
        </w:rPr>
        <w:t xml:space="preserve"> </w:t>
      </w:r>
      <w:r>
        <w:rPr>
          <w:rFonts w:ascii="Garamond" w:hAnsi="Garamond" w:cstheme="majorBidi"/>
          <w:bCs/>
          <w:sz w:val="26"/>
          <w:szCs w:val="26"/>
        </w:rPr>
        <w:t xml:space="preserve">(un poids de moins 7,5%) </w:t>
      </w:r>
      <w:r w:rsidRPr="00206434">
        <w:rPr>
          <w:rFonts w:ascii="Garamond" w:hAnsi="Garamond" w:cstheme="majorBidi"/>
          <w:bCs/>
          <w:sz w:val="26"/>
          <w:szCs w:val="26"/>
        </w:rPr>
        <w:t xml:space="preserve">et, entre les deux, celles les </w:t>
      </w:r>
      <w:r w:rsidRPr="00206434">
        <w:rPr>
          <w:rFonts w:ascii="Garamond" w:hAnsi="Garamond" w:cstheme="majorBidi"/>
          <w:bCs/>
          <w:sz w:val="26"/>
          <w:szCs w:val="26"/>
        </w:rPr>
        <w:lastRenderedPageBreak/>
        <w:t>plus nombreuses affichant une proportion de personnes âgées au voisinage de la moyenne nationale</w:t>
      </w:r>
      <w:r w:rsidR="00CC5D58">
        <w:rPr>
          <w:rFonts w:ascii="Garamond" w:hAnsi="Garamond" w:cstheme="majorBidi"/>
          <w:bCs/>
          <w:sz w:val="26"/>
          <w:szCs w:val="26"/>
        </w:rPr>
        <w:t xml:space="preserve"> </w:t>
      </w:r>
      <w:r w:rsidRPr="00206434">
        <w:rPr>
          <w:rFonts w:ascii="Garamond" w:hAnsi="Garamond" w:cstheme="majorBidi"/>
          <w:bCs/>
          <w:sz w:val="26"/>
          <w:szCs w:val="26"/>
        </w:rPr>
        <w:t>:</w:t>
      </w:r>
      <w:r w:rsidR="00CC5D58">
        <w:rPr>
          <w:rFonts w:ascii="Garamond" w:hAnsi="Garamond" w:cstheme="majorBidi"/>
          <w:bCs/>
          <w:sz w:val="26"/>
          <w:szCs w:val="26"/>
        </w:rPr>
        <w:t xml:space="preserve"> </w:t>
      </w:r>
      <w:r w:rsidRPr="00206434">
        <w:rPr>
          <w:rFonts w:ascii="Garamond" w:hAnsi="Garamond" w:cstheme="majorBidi"/>
          <w:bCs/>
          <w:sz w:val="26"/>
          <w:szCs w:val="26"/>
        </w:rPr>
        <w:t>Souss-Massa et Guelmim-Oued Noun, Rabat-Salé-Kénitra, Drâa-Tafilalet, Marrakech-Safi, et Tanger-Tétouan-Al Hoceima. Cette typologie est valable aussi bien en 2021 qu’en 2030 bien qu’au sein de chaque groupe l’ordre d’importance ne</w:t>
      </w:r>
      <w:r>
        <w:rPr>
          <w:rFonts w:ascii="Garamond" w:hAnsi="Garamond" w:cstheme="majorBidi"/>
          <w:bCs/>
          <w:sz w:val="26"/>
          <w:szCs w:val="26"/>
        </w:rPr>
        <w:t xml:space="preserve"> serait </w:t>
      </w:r>
      <w:r w:rsidRPr="00206434">
        <w:rPr>
          <w:rFonts w:ascii="Garamond" w:hAnsi="Garamond" w:cstheme="majorBidi"/>
          <w:bCs/>
          <w:sz w:val="26"/>
          <w:szCs w:val="26"/>
        </w:rPr>
        <w:t>pas toujours maintenu.</w:t>
      </w:r>
    </w:p>
    <w:p w:rsidR="00A7119A" w:rsidRPr="00CC5D58" w:rsidRDefault="00A7119A" w:rsidP="00A7119A">
      <w:pPr>
        <w:pStyle w:val="Titre7"/>
        <w:spacing w:before="0"/>
        <w:jc w:val="center"/>
        <w:rPr>
          <w:rFonts w:ascii="Garamond" w:hAnsi="Garamond"/>
          <w:b/>
          <w:bCs/>
          <w:i w:val="0"/>
          <w:iCs w:val="0"/>
          <w:color w:val="0053A0"/>
          <w:w w:val="85"/>
          <w:sz w:val="28"/>
          <w:szCs w:val="28"/>
        </w:rPr>
      </w:pPr>
      <w:r w:rsidRPr="00CC5D58">
        <w:rPr>
          <w:rFonts w:ascii="Garamond" w:hAnsi="Garamond"/>
          <w:b/>
          <w:bCs/>
          <w:i w:val="0"/>
          <w:iCs w:val="0"/>
          <w:color w:val="0053A0"/>
          <w:spacing w:val="5"/>
          <w:w w:val="85"/>
          <w:sz w:val="28"/>
          <w:szCs w:val="28"/>
        </w:rPr>
        <w:t>Evolution</w:t>
      </w:r>
      <w:r w:rsidR="00CC5D58" w:rsidRPr="00CC5D58">
        <w:rPr>
          <w:rFonts w:ascii="Garamond" w:hAnsi="Garamond"/>
          <w:b/>
          <w:bCs/>
          <w:i w:val="0"/>
          <w:iCs w:val="0"/>
          <w:color w:val="0053A0"/>
          <w:spacing w:val="5"/>
          <w:w w:val="85"/>
          <w:sz w:val="28"/>
          <w:szCs w:val="28"/>
        </w:rPr>
        <w:t xml:space="preserve"> </w:t>
      </w:r>
      <w:r w:rsidRPr="00CC5D58">
        <w:rPr>
          <w:rFonts w:ascii="Garamond" w:hAnsi="Garamond"/>
          <w:b/>
          <w:bCs/>
          <w:i w:val="0"/>
          <w:iCs w:val="0"/>
          <w:color w:val="0053A0"/>
          <w:spacing w:val="5"/>
          <w:w w:val="85"/>
          <w:sz w:val="28"/>
          <w:szCs w:val="28"/>
        </w:rPr>
        <w:t xml:space="preserve">de la part </w:t>
      </w:r>
      <w:r w:rsidRPr="00CC5D58">
        <w:rPr>
          <w:rFonts w:ascii="Garamond" w:hAnsi="Garamond"/>
          <w:b/>
          <w:bCs/>
          <w:i w:val="0"/>
          <w:iCs w:val="0"/>
          <w:color w:val="0053A0"/>
          <w:w w:val="85"/>
          <w:sz w:val="28"/>
          <w:szCs w:val="28"/>
        </w:rPr>
        <w:t>des</w:t>
      </w:r>
      <w:r w:rsidR="00CC5D58" w:rsidRPr="00CC5D58">
        <w:rPr>
          <w:rFonts w:ascii="Garamond" w:hAnsi="Garamond"/>
          <w:b/>
          <w:bCs/>
          <w:i w:val="0"/>
          <w:iCs w:val="0"/>
          <w:color w:val="0053A0"/>
          <w:w w:val="85"/>
          <w:sz w:val="28"/>
          <w:szCs w:val="28"/>
        </w:rPr>
        <w:t xml:space="preserve"> </w:t>
      </w:r>
      <w:r w:rsidRPr="00CC5D58">
        <w:rPr>
          <w:rFonts w:ascii="Garamond" w:hAnsi="Garamond"/>
          <w:b/>
          <w:bCs/>
          <w:i w:val="0"/>
          <w:iCs w:val="0"/>
          <w:color w:val="0053A0"/>
          <w:w w:val="85"/>
          <w:sz w:val="28"/>
          <w:szCs w:val="28"/>
        </w:rPr>
        <w:t>personnes</w:t>
      </w:r>
      <w:r w:rsidR="00CC5D58" w:rsidRPr="00CC5D58">
        <w:rPr>
          <w:rFonts w:ascii="Garamond" w:hAnsi="Garamond"/>
          <w:b/>
          <w:bCs/>
          <w:i w:val="0"/>
          <w:iCs w:val="0"/>
          <w:color w:val="0053A0"/>
          <w:w w:val="85"/>
          <w:sz w:val="28"/>
          <w:szCs w:val="28"/>
        </w:rPr>
        <w:t xml:space="preserve"> </w:t>
      </w:r>
      <w:r w:rsidRPr="00CC5D58">
        <w:rPr>
          <w:rFonts w:ascii="Garamond" w:hAnsi="Garamond"/>
          <w:b/>
          <w:bCs/>
          <w:i w:val="0"/>
          <w:iCs w:val="0"/>
          <w:color w:val="0053A0"/>
          <w:w w:val="85"/>
          <w:sz w:val="28"/>
          <w:szCs w:val="28"/>
        </w:rPr>
        <w:t>de</w:t>
      </w:r>
      <w:r w:rsidR="00CC5D58" w:rsidRPr="00CC5D58">
        <w:rPr>
          <w:rFonts w:ascii="Garamond" w:hAnsi="Garamond"/>
          <w:b/>
          <w:bCs/>
          <w:i w:val="0"/>
          <w:iCs w:val="0"/>
          <w:color w:val="0053A0"/>
          <w:w w:val="85"/>
          <w:sz w:val="28"/>
          <w:szCs w:val="28"/>
        </w:rPr>
        <w:t xml:space="preserve"> </w:t>
      </w:r>
      <w:r w:rsidRPr="00CC5D58">
        <w:rPr>
          <w:rFonts w:ascii="Garamond" w:hAnsi="Garamond"/>
          <w:b/>
          <w:bCs/>
          <w:i w:val="0"/>
          <w:iCs w:val="0"/>
          <w:color w:val="0053A0"/>
          <w:w w:val="85"/>
          <w:sz w:val="28"/>
          <w:szCs w:val="28"/>
        </w:rPr>
        <w:t>60</w:t>
      </w:r>
      <w:r w:rsidR="00CC5D58" w:rsidRPr="00CC5D58">
        <w:rPr>
          <w:rFonts w:ascii="Garamond" w:hAnsi="Garamond"/>
          <w:b/>
          <w:bCs/>
          <w:i w:val="0"/>
          <w:iCs w:val="0"/>
          <w:color w:val="0053A0"/>
          <w:w w:val="85"/>
          <w:sz w:val="28"/>
          <w:szCs w:val="28"/>
        </w:rPr>
        <w:t xml:space="preserve"> </w:t>
      </w:r>
      <w:r w:rsidRPr="00CC5D58">
        <w:rPr>
          <w:rFonts w:ascii="Garamond" w:hAnsi="Garamond"/>
          <w:b/>
          <w:bCs/>
          <w:i w:val="0"/>
          <w:iCs w:val="0"/>
          <w:color w:val="0053A0"/>
          <w:w w:val="85"/>
          <w:sz w:val="28"/>
          <w:szCs w:val="28"/>
        </w:rPr>
        <w:t>ans</w:t>
      </w:r>
      <w:r w:rsidR="00CC5D58" w:rsidRPr="00CC5D58">
        <w:rPr>
          <w:rFonts w:ascii="Garamond" w:hAnsi="Garamond"/>
          <w:b/>
          <w:bCs/>
          <w:i w:val="0"/>
          <w:iCs w:val="0"/>
          <w:color w:val="0053A0"/>
          <w:w w:val="85"/>
          <w:sz w:val="28"/>
          <w:szCs w:val="28"/>
        </w:rPr>
        <w:t xml:space="preserve"> </w:t>
      </w:r>
      <w:r w:rsidRPr="00CC5D58">
        <w:rPr>
          <w:rFonts w:ascii="Garamond" w:hAnsi="Garamond"/>
          <w:b/>
          <w:bCs/>
          <w:i w:val="0"/>
          <w:iCs w:val="0"/>
          <w:color w:val="0053A0"/>
          <w:w w:val="85"/>
          <w:sz w:val="28"/>
          <w:szCs w:val="28"/>
        </w:rPr>
        <w:t>et</w:t>
      </w:r>
      <w:r w:rsidR="00CC5D58" w:rsidRPr="00CC5D58">
        <w:rPr>
          <w:rFonts w:ascii="Garamond" w:hAnsi="Garamond"/>
          <w:b/>
          <w:bCs/>
          <w:i w:val="0"/>
          <w:iCs w:val="0"/>
          <w:color w:val="0053A0"/>
          <w:w w:val="85"/>
          <w:sz w:val="28"/>
          <w:szCs w:val="28"/>
        </w:rPr>
        <w:t xml:space="preserve"> </w:t>
      </w:r>
      <w:r w:rsidRPr="00CC5D58">
        <w:rPr>
          <w:rFonts w:ascii="Garamond" w:hAnsi="Garamond"/>
          <w:b/>
          <w:bCs/>
          <w:i w:val="0"/>
          <w:iCs w:val="0"/>
          <w:color w:val="0053A0"/>
          <w:w w:val="85"/>
          <w:sz w:val="28"/>
          <w:szCs w:val="28"/>
        </w:rPr>
        <w:t>plus</w:t>
      </w:r>
      <w:r w:rsidR="00CC5D58" w:rsidRPr="00CC5D58">
        <w:rPr>
          <w:rFonts w:ascii="Garamond" w:hAnsi="Garamond"/>
          <w:b/>
          <w:bCs/>
          <w:i w:val="0"/>
          <w:iCs w:val="0"/>
          <w:color w:val="0053A0"/>
          <w:w w:val="85"/>
          <w:sz w:val="28"/>
          <w:szCs w:val="28"/>
        </w:rPr>
        <w:t xml:space="preserve"> </w:t>
      </w:r>
      <w:r w:rsidRPr="00CC5D58">
        <w:rPr>
          <w:rFonts w:ascii="Garamond" w:hAnsi="Garamond"/>
          <w:b/>
          <w:bCs/>
          <w:i w:val="0"/>
          <w:iCs w:val="0"/>
          <w:color w:val="0053A0"/>
          <w:w w:val="85"/>
          <w:sz w:val="28"/>
          <w:szCs w:val="28"/>
        </w:rPr>
        <w:t>par</w:t>
      </w:r>
      <w:r w:rsidR="00CC5D58" w:rsidRPr="00CC5D58">
        <w:rPr>
          <w:rFonts w:ascii="Garamond" w:hAnsi="Garamond"/>
          <w:b/>
          <w:bCs/>
          <w:i w:val="0"/>
          <w:iCs w:val="0"/>
          <w:color w:val="0053A0"/>
          <w:w w:val="85"/>
          <w:sz w:val="28"/>
          <w:szCs w:val="28"/>
        </w:rPr>
        <w:t xml:space="preserve"> </w:t>
      </w:r>
      <w:r w:rsidRPr="00CC5D58">
        <w:rPr>
          <w:rFonts w:ascii="Garamond" w:hAnsi="Garamond"/>
          <w:b/>
          <w:bCs/>
          <w:i w:val="0"/>
          <w:iCs w:val="0"/>
          <w:color w:val="0053A0"/>
          <w:w w:val="85"/>
          <w:sz w:val="28"/>
          <w:szCs w:val="28"/>
        </w:rPr>
        <w:t>région</w:t>
      </w:r>
      <w:r w:rsidR="00CC5D58" w:rsidRPr="00CC5D58">
        <w:rPr>
          <w:rFonts w:ascii="Garamond" w:hAnsi="Garamond"/>
          <w:b/>
          <w:bCs/>
          <w:i w:val="0"/>
          <w:iCs w:val="0"/>
          <w:color w:val="0053A0"/>
          <w:w w:val="85"/>
          <w:sz w:val="28"/>
          <w:szCs w:val="28"/>
        </w:rPr>
        <w:t xml:space="preserve"> </w:t>
      </w:r>
      <w:r w:rsidRPr="00CC5D58">
        <w:rPr>
          <w:rFonts w:ascii="Garamond" w:hAnsi="Garamond"/>
          <w:b/>
          <w:bCs/>
          <w:i w:val="0"/>
          <w:iCs w:val="0"/>
          <w:color w:val="0053A0"/>
          <w:spacing w:val="5"/>
          <w:w w:val="85"/>
          <w:sz w:val="28"/>
          <w:szCs w:val="28"/>
        </w:rPr>
        <w:t xml:space="preserve">entre </w:t>
      </w:r>
      <w:r w:rsidRPr="00CC5D58">
        <w:rPr>
          <w:rFonts w:ascii="Garamond" w:hAnsi="Garamond"/>
          <w:b/>
          <w:bCs/>
          <w:i w:val="0"/>
          <w:iCs w:val="0"/>
          <w:color w:val="0053A0"/>
          <w:w w:val="85"/>
          <w:sz w:val="28"/>
          <w:szCs w:val="28"/>
        </w:rPr>
        <w:t>2021</w:t>
      </w:r>
      <w:r w:rsidR="00CC5D58">
        <w:rPr>
          <w:rFonts w:ascii="Garamond" w:hAnsi="Garamond"/>
          <w:b/>
          <w:bCs/>
          <w:i w:val="0"/>
          <w:iCs w:val="0"/>
          <w:color w:val="0053A0"/>
          <w:w w:val="85"/>
          <w:sz w:val="28"/>
          <w:szCs w:val="28"/>
        </w:rPr>
        <w:t xml:space="preserve"> </w:t>
      </w:r>
      <w:r w:rsidRPr="00CC5D58">
        <w:rPr>
          <w:rFonts w:ascii="Garamond" w:hAnsi="Garamond"/>
          <w:b/>
          <w:bCs/>
          <w:i w:val="0"/>
          <w:iCs w:val="0"/>
          <w:color w:val="0053A0"/>
          <w:w w:val="85"/>
          <w:sz w:val="28"/>
          <w:szCs w:val="28"/>
        </w:rPr>
        <w:t>et</w:t>
      </w:r>
      <w:r w:rsidR="00CC5D58">
        <w:rPr>
          <w:rFonts w:ascii="Garamond" w:hAnsi="Garamond"/>
          <w:b/>
          <w:bCs/>
          <w:i w:val="0"/>
          <w:iCs w:val="0"/>
          <w:color w:val="0053A0"/>
          <w:w w:val="85"/>
          <w:sz w:val="28"/>
          <w:szCs w:val="28"/>
        </w:rPr>
        <w:t xml:space="preserve"> </w:t>
      </w:r>
      <w:r w:rsidRPr="00CC5D58">
        <w:rPr>
          <w:rFonts w:ascii="Garamond" w:hAnsi="Garamond"/>
          <w:b/>
          <w:bCs/>
          <w:i w:val="0"/>
          <w:iCs w:val="0"/>
          <w:color w:val="0053A0"/>
          <w:w w:val="85"/>
          <w:sz w:val="28"/>
          <w:szCs w:val="28"/>
        </w:rPr>
        <w:t>2030 (en%)</w:t>
      </w:r>
    </w:p>
    <w:tbl>
      <w:tblPr>
        <w:tblW w:w="6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767"/>
        <w:gridCol w:w="2106"/>
        <w:gridCol w:w="2107"/>
      </w:tblGrid>
      <w:tr w:rsidR="00A7119A" w:rsidRPr="00B03C97" w:rsidTr="0050094A">
        <w:trPr>
          <w:trHeight w:val="325"/>
          <w:jc w:val="center"/>
        </w:trPr>
        <w:tc>
          <w:tcPr>
            <w:tcW w:w="2767" w:type="dxa"/>
            <w:shd w:val="clear" w:color="auto" w:fill="F2F2F2" w:themeFill="background1" w:themeFillShade="F2"/>
            <w:noWrap/>
            <w:vAlign w:val="center"/>
            <w:hideMark/>
          </w:tcPr>
          <w:p w:rsidR="00A7119A" w:rsidRPr="004D4B69" w:rsidRDefault="00A7119A" w:rsidP="0050094A">
            <w:pPr>
              <w:spacing w:after="0" w:line="240" w:lineRule="auto"/>
              <w:rPr>
                <w:rFonts w:ascii="Garamond" w:eastAsia="Times New Roman" w:hAnsi="Garamond" w:cs="Arial"/>
                <w:b/>
                <w:bCs/>
                <w:lang w:eastAsia="fr-FR"/>
              </w:rPr>
            </w:pPr>
            <w:r w:rsidRPr="004D4B69">
              <w:rPr>
                <w:rFonts w:ascii="Garamond" w:eastAsia="Times New Roman" w:hAnsi="Garamond" w:cs="Arial"/>
                <w:b/>
                <w:bCs/>
                <w:lang w:eastAsia="fr-FR"/>
              </w:rPr>
              <w:t> </w:t>
            </w:r>
            <w:r w:rsidRPr="00B03C97">
              <w:rPr>
                <w:rFonts w:ascii="Garamond" w:eastAsia="Times New Roman" w:hAnsi="Garamond" w:cs="Arial"/>
                <w:b/>
                <w:bCs/>
                <w:lang w:eastAsia="fr-FR"/>
              </w:rPr>
              <w:t xml:space="preserve">Régions </w:t>
            </w:r>
          </w:p>
        </w:tc>
        <w:tc>
          <w:tcPr>
            <w:tcW w:w="2106" w:type="dxa"/>
            <w:shd w:val="clear" w:color="auto" w:fill="F2F2F2" w:themeFill="background1" w:themeFillShade="F2"/>
            <w:noWrap/>
            <w:vAlign w:val="center"/>
            <w:hideMark/>
          </w:tcPr>
          <w:p w:rsidR="00A7119A" w:rsidRPr="004D4B69" w:rsidRDefault="00A7119A" w:rsidP="0050094A">
            <w:pPr>
              <w:spacing w:after="0" w:line="240" w:lineRule="auto"/>
              <w:jc w:val="center"/>
              <w:rPr>
                <w:rFonts w:ascii="Garamond" w:eastAsia="Times New Roman" w:hAnsi="Garamond" w:cs="Arial"/>
                <w:b/>
                <w:bCs/>
                <w:lang w:eastAsia="fr-FR"/>
              </w:rPr>
            </w:pPr>
            <w:r w:rsidRPr="004D4B69">
              <w:rPr>
                <w:rFonts w:ascii="Garamond" w:eastAsia="Times New Roman" w:hAnsi="Garamond" w:cs="Arial"/>
                <w:b/>
                <w:bCs/>
                <w:lang w:eastAsia="fr-FR"/>
              </w:rPr>
              <w:t>2021</w:t>
            </w:r>
          </w:p>
        </w:tc>
        <w:tc>
          <w:tcPr>
            <w:tcW w:w="2107" w:type="dxa"/>
            <w:shd w:val="clear" w:color="auto" w:fill="F2F2F2" w:themeFill="background1" w:themeFillShade="F2"/>
            <w:noWrap/>
            <w:vAlign w:val="center"/>
            <w:hideMark/>
          </w:tcPr>
          <w:p w:rsidR="00A7119A" w:rsidRPr="004D4B69" w:rsidRDefault="00A7119A" w:rsidP="0050094A">
            <w:pPr>
              <w:spacing w:after="0" w:line="240" w:lineRule="auto"/>
              <w:jc w:val="center"/>
              <w:rPr>
                <w:rFonts w:ascii="Garamond" w:eastAsia="Times New Roman" w:hAnsi="Garamond" w:cs="Arial"/>
                <w:b/>
                <w:bCs/>
                <w:lang w:eastAsia="fr-FR"/>
              </w:rPr>
            </w:pPr>
            <w:r w:rsidRPr="004D4B69">
              <w:rPr>
                <w:rFonts w:ascii="Garamond" w:eastAsia="Times New Roman" w:hAnsi="Garamond" w:cs="Arial"/>
                <w:b/>
                <w:bCs/>
                <w:lang w:eastAsia="fr-FR"/>
              </w:rPr>
              <w:t>2030</w:t>
            </w:r>
          </w:p>
        </w:tc>
      </w:tr>
      <w:tr w:rsidR="00A7119A" w:rsidRPr="00B03C97" w:rsidTr="0050094A">
        <w:trPr>
          <w:trHeight w:val="255"/>
          <w:jc w:val="center"/>
        </w:trPr>
        <w:tc>
          <w:tcPr>
            <w:tcW w:w="2767" w:type="dxa"/>
            <w:shd w:val="clear" w:color="auto" w:fill="auto"/>
            <w:noWrap/>
            <w:vAlign w:val="center"/>
            <w:hideMark/>
          </w:tcPr>
          <w:p w:rsidR="00A7119A" w:rsidRPr="00036846" w:rsidRDefault="00A7119A" w:rsidP="0050094A">
            <w:pPr>
              <w:spacing w:after="0" w:line="240" w:lineRule="auto"/>
              <w:rPr>
                <w:rFonts w:ascii="Garamond" w:eastAsia="Times New Roman" w:hAnsi="Garamond" w:cs="Arial"/>
                <w:lang w:eastAsia="fr-FR"/>
              </w:rPr>
            </w:pPr>
            <w:r w:rsidRPr="00036846">
              <w:rPr>
                <w:rFonts w:ascii="Garamond" w:eastAsia="Times New Roman" w:hAnsi="Garamond" w:cs="Arial"/>
                <w:lang w:eastAsia="fr-FR"/>
              </w:rPr>
              <w:t>Eddakhla-Oued Eddahab</w:t>
            </w:r>
          </w:p>
        </w:tc>
        <w:tc>
          <w:tcPr>
            <w:tcW w:w="2106" w:type="dxa"/>
            <w:shd w:val="clear" w:color="auto" w:fill="auto"/>
            <w:noWrap/>
            <w:vAlign w:val="center"/>
            <w:hideMark/>
          </w:tcPr>
          <w:p w:rsidR="00A7119A" w:rsidRPr="00036846" w:rsidRDefault="00A7119A" w:rsidP="0050094A">
            <w:pPr>
              <w:spacing w:after="0" w:line="240" w:lineRule="auto"/>
              <w:jc w:val="center"/>
              <w:rPr>
                <w:rFonts w:ascii="Garamond" w:eastAsia="Times New Roman" w:hAnsi="Garamond" w:cs="Calibri"/>
                <w:color w:val="000000"/>
                <w:lang w:eastAsia="fr-FR"/>
              </w:rPr>
            </w:pPr>
            <w:r w:rsidRPr="00036846">
              <w:rPr>
                <w:rFonts w:ascii="Garamond" w:eastAsia="Times New Roman" w:hAnsi="Garamond" w:cs="Calibri"/>
                <w:color w:val="000000"/>
                <w:lang w:eastAsia="fr-FR"/>
              </w:rPr>
              <w:t>4,1</w:t>
            </w:r>
          </w:p>
        </w:tc>
        <w:tc>
          <w:tcPr>
            <w:tcW w:w="2107" w:type="dxa"/>
            <w:shd w:val="clear" w:color="auto" w:fill="auto"/>
            <w:noWrap/>
            <w:vAlign w:val="center"/>
            <w:hideMark/>
          </w:tcPr>
          <w:p w:rsidR="00A7119A" w:rsidRPr="00036846" w:rsidRDefault="00A7119A" w:rsidP="0050094A">
            <w:pPr>
              <w:spacing w:after="0" w:line="240" w:lineRule="auto"/>
              <w:jc w:val="center"/>
              <w:rPr>
                <w:rFonts w:ascii="Garamond" w:eastAsia="Times New Roman" w:hAnsi="Garamond" w:cs="Calibri"/>
                <w:color w:val="000000"/>
                <w:lang w:eastAsia="fr-FR"/>
              </w:rPr>
            </w:pPr>
            <w:r w:rsidRPr="00036846">
              <w:rPr>
                <w:rFonts w:ascii="Garamond" w:eastAsia="Times New Roman" w:hAnsi="Garamond" w:cs="Calibri"/>
                <w:color w:val="000000"/>
                <w:lang w:eastAsia="fr-FR"/>
              </w:rPr>
              <w:t>5,9</w:t>
            </w:r>
          </w:p>
        </w:tc>
      </w:tr>
      <w:tr w:rsidR="00A7119A" w:rsidRPr="00B03C97" w:rsidTr="0050094A">
        <w:trPr>
          <w:trHeight w:val="255"/>
          <w:jc w:val="center"/>
        </w:trPr>
        <w:tc>
          <w:tcPr>
            <w:tcW w:w="2767" w:type="dxa"/>
            <w:shd w:val="clear" w:color="auto" w:fill="auto"/>
            <w:noWrap/>
            <w:vAlign w:val="center"/>
            <w:hideMark/>
          </w:tcPr>
          <w:p w:rsidR="00A7119A" w:rsidRPr="00036846" w:rsidRDefault="00A7119A" w:rsidP="0050094A">
            <w:pPr>
              <w:spacing w:after="0" w:line="240" w:lineRule="auto"/>
              <w:rPr>
                <w:rFonts w:ascii="Garamond" w:eastAsia="Times New Roman" w:hAnsi="Garamond" w:cs="Arial"/>
                <w:lang w:eastAsia="fr-FR"/>
              </w:rPr>
            </w:pPr>
            <w:r w:rsidRPr="00036846">
              <w:rPr>
                <w:rFonts w:ascii="Garamond" w:eastAsia="Times New Roman" w:hAnsi="Garamond" w:cs="Arial"/>
                <w:lang w:eastAsia="fr-FR"/>
              </w:rPr>
              <w:t>Laayoune-Sakia El Hamra</w:t>
            </w:r>
          </w:p>
        </w:tc>
        <w:tc>
          <w:tcPr>
            <w:tcW w:w="2106" w:type="dxa"/>
            <w:shd w:val="clear" w:color="auto" w:fill="auto"/>
            <w:noWrap/>
            <w:vAlign w:val="center"/>
            <w:hideMark/>
          </w:tcPr>
          <w:p w:rsidR="00A7119A" w:rsidRPr="00036846" w:rsidRDefault="00A7119A" w:rsidP="0050094A">
            <w:pPr>
              <w:spacing w:after="0" w:line="240" w:lineRule="auto"/>
              <w:jc w:val="center"/>
              <w:rPr>
                <w:rFonts w:ascii="Garamond" w:eastAsia="Times New Roman" w:hAnsi="Garamond" w:cs="Calibri"/>
                <w:color w:val="000000"/>
                <w:lang w:eastAsia="fr-FR"/>
              </w:rPr>
            </w:pPr>
            <w:r w:rsidRPr="00036846">
              <w:rPr>
                <w:rFonts w:ascii="Garamond" w:eastAsia="Times New Roman" w:hAnsi="Garamond" w:cs="Calibri"/>
                <w:color w:val="000000"/>
                <w:lang w:eastAsia="fr-FR"/>
              </w:rPr>
              <w:t>7,5</w:t>
            </w:r>
          </w:p>
        </w:tc>
        <w:tc>
          <w:tcPr>
            <w:tcW w:w="2107" w:type="dxa"/>
            <w:shd w:val="clear" w:color="auto" w:fill="auto"/>
            <w:noWrap/>
            <w:vAlign w:val="center"/>
            <w:hideMark/>
          </w:tcPr>
          <w:p w:rsidR="00A7119A" w:rsidRPr="00036846" w:rsidRDefault="00A7119A" w:rsidP="0050094A">
            <w:pPr>
              <w:spacing w:after="0" w:line="240" w:lineRule="auto"/>
              <w:jc w:val="center"/>
              <w:rPr>
                <w:rFonts w:ascii="Garamond" w:eastAsia="Times New Roman" w:hAnsi="Garamond" w:cs="Calibri"/>
                <w:color w:val="000000"/>
                <w:lang w:eastAsia="fr-FR"/>
              </w:rPr>
            </w:pPr>
            <w:r w:rsidRPr="00036846">
              <w:rPr>
                <w:rFonts w:ascii="Garamond" w:eastAsia="Times New Roman" w:hAnsi="Garamond" w:cs="Calibri"/>
                <w:color w:val="000000"/>
                <w:lang w:eastAsia="fr-FR"/>
              </w:rPr>
              <w:t>10,3</w:t>
            </w:r>
          </w:p>
        </w:tc>
      </w:tr>
      <w:tr w:rsidR="00A7119A" w:rsidRPr="00B03C97" w:rsidTr="0050094A">
        <w:trPr>
          <w:trHeight w:val="255"/>
          <w:jc w:val="center"/>
        </w:trPr>
        <w:tc>
          <w:tcPr>
            <w:tcW w:w="2767" w:type="dxa"/>
            <w:shd w:val="clear" w:color="auto" w:fill="auto"/>
            <w:noWrap/>
            <w:vAlign w:val="center"/>
            <w:hideMark/>
          </w:tcPr>
          <w:p w:rsidR="00A7119A" w:rsidRPr="00036846" w:rsidRDefault="00A7119A" w:rsidP="0050094A">
            <w:pPr>
              <w:spacing w:after="0" w:line="240" w:lineRule="auto"/>
              <w:rPr>
                <w:rFonts w:ascii="Garamond" w:eastAsia="Times New Roman" w:hAnsi="Garamond" w:cs="Arial"/>
                <w:lang w:eastAsia="fr-FR"/>
              </w:rPr>
            </w:pPr>
            <w:r w:rsidRPr="00036846">
              <w:rPr>
                <w:rFonts w:ascii="Garamond" w:eastAsia="Times New Roman" w:hAnsi="Garamond" w:cs="Arial"/>
                <w:lang w:eastAsia="fr-FR"/>
              </w:rPr>
              <w:t>Tanger-Tétouan-Al Hoceima</w:t>
            </w:r>
          </w:p>
        </w:tc>
        <w:tc>
          <w:tcPr>
            <w:tcW w:w="2106" w:type="dxa"/>
            <w:shd w:val="clear" w:color="auto" w:fill="auto"/>
            <w:noWrap/>
            <w:vAlign w:val="center"/>
            <w:hideMark/>
          </w:tcPr>
          <w:p w:rsidR="00A7119A" w:rsidRPr="00036846" w:rsidRDefault="00A7119A" w:rsidP="0050094A">
            <w:pPr>
              <w:spacing w:after="0" w:line="240" w:lineRule="auto"/>
              <w:jc w:val="center"/>
              <w:rPr>
                <w:rFonts w:ascii="Garamond" w:eastAsia="Times New Roman" w:hAnsi="Garamond" w:cs="Calibri"/>
                <w:color w:val="000000"/>
                <w:lang w:eastAsia="fr-FR"/>
              </w:rPr>
            </w:pPr>
            <w:r w:rsidRPr="00036846">
              <w:rPr>
                <w:rFonts w:ascii="Garamond" w:eastAsia="Times New Roman" w:hAnsi="Garamond" w:cs="Calibri"/>
                <w:color w:val="000000"/>
                <w:lang w:eastAsia="fr-FR"/>
              </w:rPr>
              <w:t>11,4</w:t>
            </w:r>
          </w:p>
        </w:tc>
        <w:tc>
          <w:tcPr>
            <w:tcW w:w="2107" w:type="dxa"/>
            <w:shd w:val="clear" w:color="auto" w:fill="auto"/>
            <w:noWrap/>
            <w:vAlign w:val="center"/>
            <w:hideMark/>
          </w:tcPr>
          <w:p w:rsidR="00A7119A" w:rsidRPr="00036846" w:rsidRDefault="00A7119A" w:rsidP="0050094A">
            <w:pPr>
              <w:spacing w:after="0" w:line="240" w:lineRule="auto"/>
              <w:jc w:val="center"/>
              <w:rPr>
                <w:rFonts w:ascii="Garamond" w:eastAsia="Times New Roman" w:hAnsi="Garamond" w:cs="Calibri"/>
                <w:color w:val="000000"/>
                <w:lang w:eastAsia="fr-FR"/>
              </w:rPr>
            </w:pPr>
            <w:r w:rsidRPr="00036846">
              <w:rPr>
                <w:rFonts w:ascii="Garamond" w:eastAsia="Times New Roman" w:hAnsi="Garamond" w:cs="Calibri"/>
                <w:color w:val="000000"/>
                <w:lang w:eastAsia="fr-FR"/>
              </w:rPr>
              <w:t>15,8</w:t>
            </w:r>
          </w:p>
        </w:tc>
      </w:tr>
      <w:tr w:rsidR="00A7119A" w:rsidRPr="00B03C97" w:rsidTr="0050094A">
        <w:trPr>
          <w:trHeight w:val="255"/>
          <w:jc w:val="center"/>
        </w:trPr>
        <w:tc>
          <w:tcPr>
            <w:tcW w:w="2767" w:type="dxa"/>
            <w:shd w:val="clear" w:color="auto" w:fill="auto"/>
            <w:noWrap/>
            <w:vAlign w:val="center"/>
            <w:hideMark/>
          </w:tcPr>
          <w:p w:rsidR="00A7119A" w:rsidRPr="00036846" w:rsidRDefault="00A7119A" w:rsidP="0050094A">
            <w:pPr>
              <w:spacing w:after="0" w:line="240" w:lineRule="auto"/>
              <w:rPr>
                <w:rFonts w:ascii="Garamond" w:eastAsia="Times New Roman" w:hAnsi="Garamond" w:cs="Arial"/>
                <w:lang w:eastAsia="fr-FR"/>
              </w:rPr>
            </w:pPr>
            <w:r w:rsidRPr="00036846">
              <w:rPr>
                <w:rFonts w:ascii="Garamond" w:eastAsia="Times New Roman" w:hAnsi="Garamond" w:cs="Arial"/>
                <w:lang w:eastAsia="fr-FR"/>
              </w:rPr>
              <w:t>Draa-Tafilalet</w:t>
            </w:r>
          </w:p>
        </w:tc>
        <w:tc>
          <w:tcPr>
            <w:tcW w:w="2106" w:type="dxa"/>
            <w:shd w:val="clear" w:color="auto" w:fill="auto"/>
            <w:noWrap/>
            <w:vAlign w:val="center"/>
            <w:hideMark/>
          </w:tcPr>
          <w:p w:rsidR="00A7119A" w:rsidRPr="00036846" w:rsidRDefault="00A7119A" w:rsidP="0050094A">
            <w:pPr>
              <w:spacing w:after="0" w:line="240" w:lineRule="auto"/>
              <w:jc w:val="center"/>
              <w:rPr>
                <w:rFonts w:ascii="Garamond" w:eastAsia="Times New Roman" w:hAnsi="Garamond" w:cs="Calibri"/>
                <w:color w:val="000000"/>
                <w:lang w:eastAsia="fr-FR"/>
              </w:rPr>
            </w:pPr>
            <w:r w:rsidRPr="00036846">
              <w:rPr>
                <w:rFonts w:ascii="Garamond" w:eastAsia="Times New Roman" w:hAnsi="Garamond" w:cs="Calibri"/>
                <w:color w:val="000000"/>
                <w:lang w:eastAsia="fr-FR"/>
              </w:rPr>
              <w:t>12,1</w:t>
            </w:r>
          </w:p>
        </w:tc>
        <w:tc>
          <w:tcPr>
            <w:tcW w:w="2107" w:type="dxa"/>
            <w:shd w:val="clear" w:color="auto" w:fill="auto"/>
            <w:noWrap/>
            <w:vAlign w:val="center"/>
            <w:hideMark/>
          </w:tcPr>
          <w:p w:rsidR="00A7119A" w:rsidRPr="00036846" w:rsidRDefault="00A7119A" w:rsidP="0050094A">
            <w:pPr>
              <w:spacing w:after="0" w:line="240" w:lineRule="auto"/>
              <w:jc w:val="center"/>
              <w:rPr>
                <w:rFonts w:ascii="Garamond" w:eastAsia="Times New Roman" w:hAnsi="Garamond" w:cs="Calibri"/>
                <w:color w:val="000000"/>
                <w:lang w:eastAsia="fr-FR"/>
              </w:rPr>
            </w:pPr>
            <w:r w:rsidRPr="00036846">
              <w:rPr>
                <w:rFonts w:ascii="Garamond" w:eastAsia="Times New Roman" w:hAnsi="Garamond" w:cs="Calibri"/>
                <w:color w:val="000000"/>
                <w:lang w:eastAsia="fr-FR"/>
              </w:rPr>
              <w:t>16,5</w:t>
            </w:r>
          </w:p>
        </w:tc>
      </w:tr>
      <w:tr w:rsidR="00A7119A" w:rsidRPr="00B03C97" w:rsidTr="0050094A">
        <w:trPr>
          <w:trHeight w:val="255"/>
          <w:jc w:val="center"/>
        </w:trPr>
        <w:tc>
          <w:tcPr>
            <w:tcW w:w="2767" w:type="dxa"/>
            <w:shd w:val="clear" w:color="auto" w:fill="auto"/>
            <w:noWrap/>
            <w:vAlign w:val="center"/>
            <w:hideMark/>
          </w:tcPr>
          <w:p w:rsidR="00A7119A" w:rsidRPr="00036846" w:rsidRDefault="00A7119A" w:rsidP="0050094A">
            <w:pPr>
              <w:spacing w:after="0" w:line="240" w:lineRule="auto"/>
              <w:rPr>
                <w:rFonts w:ascii="Garamond" w:eastAsia="Times New Roman" w:hAnsi="Garamond" w:cs="Arial"/>
                <w:lang w:eastAsia="fr-FR"/>
              </w:rPr>
            </w:pPr>
            <w:r w:rsidRPr="00036846">
              <w:rPr>
                <w:rFonts w:ascii="Garamond" w:eastAsia="Times New Roman" w:hAnsi="Garamond" w:cs="Arial"/>
                <w:lang w:eastAsia="fr-FR"/>
              </w:rPr>
              <w:t>Rabat-Sale-Kenitra</w:t>
            </w:r>
          </w:p>
        </w:tc>
        <w:tc>
          <w:tcPr>
            <w:tcW w:w="2106" w:type="dxa"/>
            <w:shd w:val="clear" w:color="auto" w:fill="auto"/>
            <w:noWrap/>
            <w:vAlign w:val="center"/>
            <w:hideMark/>
          </w:tcPr>
          <w:p w:rsidR="00A7119A" w:rsidRPr="00036846" w:rsidRDefault="00A7119A" w:rsidP="0050094A">
            <w:pPr>
              <w:spacing w:after="0" w:line="240" w:lineRule="auto"/>
              <w:jc w:val="center"/>
              <w:rPr>
                <w:rFonts w:ascii="Garamond" w:eastAsia="Times New Roman" w:hAnsi="Garamond" w:cs="Calibri"/>
                <w:color w:val="000000"/>
                <w:lang w:eastAsia="fr-FR"/>
              </w:rPr>
            </w:pPr>
            <w:r w:rsidRPr="00036846">
              <w:rPr>
                <w:rFonts w:ascii="Garamond" w:eastAsia="Times New Roman" w:hAnsi="Garamond" w:cs="Calibri"/>
                <w:color w:val="000000"/>
                <w:lang w:eastAsia="fr-FR"/>
              </w:rPr>
              <w:t>12,5</w:t>
            </w:r>
          </w:p>
        </w:tc>
        <w:tc>
          <w:tcPr>
            <w:tcW w:w="2107" w:type="dxa"/>
            <w:shd w:val="clear" w:color="auto" w:fill="auto"/>
            <w:noWrap/>
            <w:vAlign w:val="center"/>
            <w:hideMark/>
          </w:tcPr>
          <w:p w:rsidR="00A7119A" w:rsidRPr="00036846" w:rsidRDefault="00A7119A" w:rsidP="0050094A">
            <w:pPr>
              <w:spacing w:after="0" w:line="240" w:lineRule="auto"/>
              <w:jc w:val="center"/>
              <w:rPr>
                <w:rFonts w:ascii="Garamond" w:eastAsia="Times New Roman" w:hAnsi="Garamond" w:cs="Calibri"/>
                <w:color w:val="000000"/>
                <w:lang w:eastAsia="fr-FR"/>
              </w:rPr>
            </w:pPr>
            <w:r w:rsidRPr="00036846">
              <w:rPr>
                <w:rFonts w:ascii="Garamond" w:eastAsia="Times New Roman" w:hAnsi="Garamond" w:cs="Calibri"/>
                <w:color w:val="000000"/>
                <w:lang w:eastAsia="fr-FR"/>
              </w:rPr>
              <w:t>17,1</w:t>
            </w:r>
          </w:p>
        </w:tc>
      </w:tr>
      <w:tr w:rsidR="00A7119A" w:rsidRPr="00B03C97" w:rsidTr="0050094A">
        <w:trPr>
          <w:trHeight w:val="255"/>
          <w:jc w:val="center"/>
        </w:trPr>
        <w:tc>
          <w:tcPr>
            <w:tcW w:w="2767" w:type="dxa"/>
            <w:shd w:val="clear" w:color="auto" w:fill="auto"/>
            <w:noWrap/>
            <w:vAlign w:val="center"/>
            <w:hideMark/>
          </w:tcPr>
          <w:p w:rsidR="00A7119A" w:rsidRPr="00036846" w:rsidRDefault="00A7119A" w:rsidP="0050094A">
            <w:pPr>
              <w:spacing w:after="0" w:line="240" w:lineRule="auto"/>
              <w:rPr>
                <w:rFonts w:ascii="Garamond" w:eastAsia="Times New Roman" w:hAnsi="Garamond" w:cs="Arial"/>
                <w:lang w:eastAsia="fr-FR"/>
              </w:rPr>
            </w:pPr>
            <w:r w:rsidRPr="00036846">
              <w:rPr>
                <w:rFonts w:ascii="Garamond" w:eastAsia="Times New Roman" w:hAnsi="Garamond" w:cs="Arial"/>
                <w:lang w:eastAsia="fr-FR"/>
              </w:rPr>
              <w:t>Souss-Massa</w:t>
            </w:r>
          </w:p>
        </w:tc>
        <w:tc>
          <w:tcPr>
            <w:tcW w:w="2106" w:type="dxa"/>
            <w:shd w:val="clear" w:color="auto" w:fill="auto"/>
            <w:noWrap/>
            <w:vAlign w:val="center"/>
            <w:hideMark/>
          </w:tcPr>
          <w:p w:rsidR="00A7119A" w:rsidRPr="00036846" w:rsidRDefault="00A7119A" w:rsidP="0050094A">
            <w:pPr>
              <w:spacing w:after="0" w:line="240" w:lineRule="auto"/>
              <w:jc w:val="center"/>
              <w:rPr>
                <w:rFonts w:ascii="Garamond" w:eastAsia="Times New Roman" w:hAnsi="Garamond" w:cs="Calibri"/>
                <w:color w:val="000000"/>
                <w:lang w:eastAsia="fr-FR"/>
              </w:rPr>
            </w:pPr>
            <w:r w:rsidRPr="00036846">
              <w:rPr>
                <w:rFonts w:ascii="Garamond" w:eastAsia="Times New Roman" w:hAnsi="Garamond" w:cs="Calibri"/>
                <w:color w:val="000000"/>
                <w:lang w:eastAsia="fr-FR"/>
              </w:rPr>
              <w:t>12,6</w:t>
            </w:r>
          </w:p>
        </w:tc>
        <w:tc>
          <w:tcPr>
            <w:tcW w:w="2107" w:type="dxa"/>
            <w:shd w:val="clear" w:color="auto" w:fill="auto"/>
            <w:noWrap/>
            <w:vAlign w:val="center"/>
            <w:hideMark/>
          </w:tcPr>
          <w:p w:rsidR="00A7119A" w:rsidRPr="00036846" w:rsidRDefault="00A7119A" w:rsidP="0050094A">
            <w:pPr>
              <w:spacing w:after="0" w:line="240" w:lineRule="auto"/>
              <w:jc w:val="center"/>
              <w:rPr>
                <w:rFonts w:ascii="Garamond" w:eastAsia="Times New Roman" w:hAnsi="Garamond" w:cs="Calibri"/>
                <w:color w:val="000000"/>
                <w:lang w:eastAsia="fr-FR"/>
              </w:rPr>
            </w:pPr>
            <w:r w:rsidRPr="00036846">
              <w:rPr>
                <w:rFonts w:ascii="Garamond" w:eastAsia="Times New Roman" w:hAnsi="Garamond" w:cs="Calibri"/>
                <w:color w:val="000000"/>
                <w:lang w:eastAsia="fr-FR"/>
              </w:rPr>
              <w:t>16,8</w:t>
            </w:r>
          </w:p>
        </w:tc>
      </w:tr>
      <w:tr w:rsidR="00A7119A" w:rsidRPr="00B03C97" w:rsidTr="0050094A">
        <w:trPr>
          <w:trHeight w:val="255"/>
          <w:jc w:val="center"/>
        </w:trPr>
        <w:tc>
          <w:tcPr>
            <w:tcW w:w="2767" w:type="dxa"/>
            <w:shd w:val="clear" w:color="auto" w:fill="auto"/>
            <w:noWrap/>
            <w:vAlign w:val="center"/>
            <w:hideMark/>
          </w:tcPr>
          <w:p w:rsidR="00A7119A" w:rsidRPr="00036846" w:rsidRDefault="00A7119A" w:rsidP="0050094A">
            <w:pPr>
              <w:spacing w:after="0" w:line="240" w:lineRule="auto"/>
              <w:rPr>
                <w:rFonts w:ascii="Garamond" w:eastAsia="Times New Roman" w:hAnsi="Garamond" w:cs="Arial"/>
                <w:lang w:eastAsia="fr-FR"/>
              </w:rPr>
            </w:pPr>
            <w:r w:rsidRPr="00036846">
              <w:rPr>
                <w:rFonts w:ascii="Garamond" w:eastAsia="Times New Roman" w:hAnsi="Garamond" w:cs="Arial"/>
                <w:lang w:eastAsia="fr-FR"/>
              </w:rPr>
              <w:t>Marrakech-Safi</w:t>
            </w:r>
          </w:p>
        </w:tc>
        <w:tc>
          <w:tcPr>
            <w:tcW w:w="2106" w:type="dxa"/>
            <w:shd w:val="clear" w:color="auto" w:fill="auto"/>
            <w:noWrap/>
            <w:vAlign w:val="center"/>
            <w:hideMark/>
          </w:tcPr>
          <w:p w:rsidR="00A7119A" w:rsidRPr="00036846" w:rsidRDefault="00A7119A" w:rsidP="0050094A">
            <w:pPr>
              <w:spacing w:after="0" w:line="240" w:lineRule="auto"/>
              <w:jc w:val="center"/>
              <w:rPr>
                <w:rFonts w:ascii="Garamond" w:eastAsia="Times New Roman" w:hAnsi="Garamond" w:cs="Calibri"/>
                <w:color w:val="000000"/>
                <w:lang w:eastAsia="fr-FR"/>
              </w:rPr>
            </w:pPr>
            <w:r w:rsidRPr="00036846">
              <w:rPr>
                <w:rFonts w:ascii="Garamond" w:eastAsia="Times New Roman" w:hAnsi="Garamond" w:cs="Calibri"/>
                <w:color w:val="000000"/>
                <w:lang w:eastAsia="fr-FR"/>
              </w:rPr>
              <w:t>12,7</w:t>
            </w:r>
          </w:p>
        </w:tc>
        <w:tc>
          <w:tcPr>
            <w:tcW w:w="2107" w:type="dxa"/>
            <w:shd w:val="clear" w:color="auto" w:fill="auto"/>
            <w:noWrap/>
            <w:vAlign w:val="center"/>
            <w:hideMark/>
          </w:tcPr>
          <w:p w:rsidR="00A7119A" w:rsidRPr="00036846" w:rsidRDefault="00A7119A" w:rsidP="0050094A">
            <w:pPr>
              <w:spacing w:after="0" w:line="240" w:lineRule="auto"/>
              <w:jc w:val="center"/>
              <w:rPr>
                <w:rFonts w:ascii="Garamond" w:eastAsia="Times New Roman" w:hAnsi="Garamond" w:cs="Calibri"/>
                <w:color w:val="000000"/>
                <w:lang w:eastAsia="fr-FR"/>
              </w:rPr>
            </w:pPr>
            <w:r w:rsidRPr="00036846">
              <w:rPr>
                <w:rFonts w:ascii="Garamond" w:eastAsia="Times New Roman" w:hAnsi="Garamond" w:cs="Calibri"/>
                <w:color w:val="000000"/>
                <w:lang w:eastAsia="fr-FR"/>
              </w:rPr>
              <w:t>17,2</w:t>
            </w:r>
          </w:p>
        </w:tc>
      </w:tr>
      <w:tr w:rsidR="00A7119A" w:rsidRPr="00B03C97" w:rsidTr="0050094A">
        <w:trPr>
          <w:trHeight w:val="255"/>
          <w:jc w:val="center"/>
        </w:trPr>
        <w:tc>
          <w:tcPr>
            <w:tcW w:w="2767" w:type="dxa"/>
            <w:shd w:val="clear" w:color="auto" w:fill="auto"/>
            <w:noWrap/>
            <w:vAlign w:val="center"/>
            <w:hideMark/>
          </w:tcPr>
          <w:p w:rsidR="00A7119A" w:rsidRPr="00036846" w:rsidRDefault="00A7119A" w:rsidP="0050094A">
            <w:pPr>
              <w:spacing w:after="0" w:line="240" w:lineRule="auto"/>
              <w:rPr>
                <w:rFonts w:ascii="Garamond" w:eastAsia="Times New Roman" w:hAnsi="Garamond" w:cs="Arial"/>
                <w:lang w:eastAsia="fr-FR"/>
              </w:rPr>
            </w:pPr>
            <w:r w:rsidRPr="00036846">
              <w:rPr>
                <w:rFonts w:ascii="Garamond" w:eastAsia="Times New Roman" w:hAnsi="Garamond" w:cs="Arial"/>
                <w:lang w:eastAsia="fr-FR"/>
              </w:rPr>
              <w:t>Guelmim-Oued Noun</w:t>
            </w:r>
          </w:p>
        </w:tc>
        <w:tc>
          <w:tcPr>
            <w:tcW w:w="2106" w:type="dxa"/>
            <w:shd w:val="clear" w:color="auto" w:fill="auto"/>
            <w:noWrap/>
            <w:vAlign w:val="center"/>
            <w:hideMark/>
          </w:tcPr>
          <w:p w:rsidR="00A7119A" w:rsidRPr="00036846" w:rsidRDefault="00A7119A" w:rsidP="0050094A">
            <w:pPr>
              <w:spacing w:after="0" w:line="240" w:lineRule="auto"/>
              <w:jc w:val="center"/>
              <w:rPr>
                <w:rFonts w:ascii="Garamond" w:eastAsia="Times New Roman" w:hAnsi="Garamond" w:cs="Calibri"/>
                <w:color w:val="000000"/>
                <w:lang w:eastAsia="fr-FR"/>
              </w:rPr>
            </w:pPr>
            <w:r w:rsidRPr="00036846">
              <w:rPr>
                <w:rFonts w:ascii="Garamond" w:eastAsia="Times New Roman" w:hAnsi="Garamond" w:cs="Calibri"/>
                <w:color w:val="000000"/>
                <w:lang w:eastAsia="fr-FR"/>
              </w:rPr>
              <w:t>12,8</w:t>
            </w:r>
          </w:p>
        </w:tc>
        <w:tc>
          <w:tcPr>
            <w:tcW w:w="2107" w:type="dxa"/>
            <w:shd w:val="clear" w:color="auto" w:fill="auto"/>
            <w:noWrap/>
            <w:vAlign w:val="center"/>
            <w:hideMark/>
          </w:tcPr>
          <w:p w:rsidR="00A7119A" w:rsidRPr="00036846" w:rsidRDefault="00A7119A" w:rsidP="0050094A">
            <w:pPr>
              <w:spacing w:after="0" w:line="240" w:lineRule="auto"/>
              <w:jc w:val="center"/>
              <w:rPr>
                <w:rFonts w:ascii="Garamond" w:eastAsia="Times New Roman" w:hAnsi="Garamond" w:cs="Calibri"/>
                <w:color w:val="000000"/>
                <w:lang w:eastAsia="fr-FR"/>
              </w:rPr>
            </w:pPr>
            <w:r w:rsidRPr="00036846">
              <w:rPr>
                <w:rFonts w:ascii="Garamond" w:eastAsia="Times New Roman" w:hAnsi="Garamond" w:cs="Calibri"/>
                <w:color w:val="000000"/>
                <w:lang w:eastAsia="fr-FR"/>
              </w:rPr>
              <w:t>17,1</w:t>
            </w:r>
          </w:p>
        </w:tc>
      </w:tr>
      <w:tr w:rsidR="00A7119A" w:rsidRPr="00B03C97" w:rsidTr="0050094A">
        <w:trPr>
          <w:trHeight w:val="255"/>
          <w:jc w:val="center"/>
        </w:trPr>
        <w:tc>
          <w:tcPr>
            <w:tcW w:w="2767" w:type="dxa"/>
            <w:shd w:val="clear" w:color="auto" w:fill="auto"/>
            <w:noWrap/>
            <w:vAlign w:val="center"/>
            <w:hideMark/>
          </w:tcPr>
          <w:p w:rsidR="00A7119A" w:rsidRPr="00036846" w:rsidRDefault="00A7119A" w:rsidP="0050094A">
            <w:pPr>
              <w:spacing w:after="0" w:line="240" w:lineRule="auto"/>
              <w:rPr>
                <w:rFonts w:ascii="Garamond" w:eastAsia="Times New Roman" w:hAnsi="Garamond" w:cs="Arial"/>
                <w:lang w:eastAsia="fr-FR"/>
              </w:rPr>
            </w:pPr>
            <w:r w:rsidRPr="00036846">
              <w:rPr>
                <w:rFonts w:ascii="Garamond" w:eastAsia="Times New Roman" w:hAnsi="Garamond" w:cs="Arial"/>
                <w:lang w:eastAsia="fr-FR"/>
              </w:rPr>
              <w:t>Fès-Meknès</w:t>
            </w:r>
          </w:p>
        </w:tc>
        <w:tc>
          <w:tcPr>
            <w:tcW w:w="2106" w:type="dxa"/>
            <w:shd w:val="clear" w:color="auto" w:fill="auto"/>
            <w:noWrap/>
            <w:vAlign w:val="center"/>
            <w:hideMark/>
          </w:tcPr>
          <w:p w:rsidR="00A7119A" w:rsidRPr="00036846" w:rsidRDefault="00A7119A" w:rsidP="0050094A">
            <w:pPr>
              <w:spacing w:after="0" w:line="240" w:lineRule="auto"/>
              <w:jc w:val="center"/>
              <w:rPr>
                <w:rFonts w:ascii="Garamond" w:eastAsia="Times New Roman" w:hAnsi="Garamond" w:cs="Calibri"/>
                <w:color w:val="000000"/>
                <w:lang w:eastAsia="fr-FR"/>
              </w:rPr>
            </w:pPr>
            <w:r w:rsidRPr="00036846">
              <w:rPr>
                <w:rFonts w:ascii="Garamond" w:eastAsia="Times New Roman" w:hAnsi="Garamond" w:cs="Calibri"/>
                <w:color w:val="000000"/>
                <w:lang w:eastAsia="fr-FR"/>
              </w:rPr>
              <w:t>13,0</w:t>
            </w:r>
          </w:p>
        </w:tc>
        <w:tc>
          <w:tcPr>
            <w:tcW w:w="2107" w:type="dxa"/>
            <w:shd w:val="clear" w:color="auto" w:fill="auto"/>
            <w:noWrap/>
            <w:vAlign w:val="center"/>
            <w:hideMark/>
          </w:tcPr>
          <w:p w:rsidR="00A7119A" w:rsidRPr="00036846" w:rsidRDefault="00A7119A" w:rsidP="0050094A">
            <w:pPr>
              <w:spacing w:after="0" w:line="240" w:lineRule="auto"/>
              <w:jc w:val="center"/>
              <w:rPr>
                <w:rFonts w:ascii="Garamond" w:eastAsia="Times New Roman" w:hAnsi="Garamond" w:cs="Calibri"/>
                <w:color w:val="000000"/>
                <w:lang w:eastAsia="fr-FR"/>
              </w:rPr>
            </w:pPr>
            <w:r w:rsidRPr="00036846">
              <w:rPr>
                <w:rFonts w:ascii="Garamond" w:eastAsia="Times New Roman" w:hAnsi="Garamond" w:cs="Calibri"/>
                <w:color w:val="000000"/>
                <w:lang w:eastAsia="fr-FR"/>
              </w:rPr>
              <w:t>17,7</w:t>
            </w:r>
          </w:p>
        </w:tc>
      </w:tr>
      <w:tr w:rsidR="00A7119A" w:rsidRPr="00B03C97" w:rsidTr="0050094A">
        <w:trPr>
          <w:trHeight w:val="255"/>
          <w:jc w:val="center"/>
        </w:trPr>
        <w:tc>
          <w:tcPr>
            <w:tcW w:w="2767" w:type="dxa"/>
            <w:shd w:val="clear" w:color="auto" w:fill="auto"/>
            <w:noWrap/>
            <w:vAlign w:val="center"/>
            <w:hideMark/>
          </w:tcPr>
          <w:p w:rsidR="00A7119A" w:rsidRPr="00036846" w:rsidRDefault="00A7119A" w:rsidP="0050094A">
            <w:pPr>
              <w:spacing w:after="0" w:line="240" w:lineRule="auto"/>
              <w:rPr>
                <w:rFonts w:ascii="Garamond" w:eastAsia="Times New Roman" w:hAnsi="Garamond" w:cs="Arial"/>
                <w:lang w:eastAsia="fr-FR"/>
              </w:rPr>
            </w:pPr>
            <w:r w:rsidRPr="00036846">
              <w:rPr>
                <w:rFonts w:ascii="Garamond" w:eastAsia="Times New Roman" w:hAnsi="Garamond" w:cs="Arial"/>
                <w:lang w:eastAsia="fr-FR"/>
              </w:rPr>
              <w:t>Grand Casablanca-Settat</w:t>
            </w:r>
          </w:p>
        </w:tc>
        <w:tc>
          <w:tcPr>
            <w:tcW w:w="2106" w:type="dxa"/>
            <w:shd w:val="clear" w:color="auto" w:fill="auto"/>
            <w:noWrap/>
            <w:vAlign w:val="center"/>
            <w:hideMark/>
          </w:tcPr>
          <w:p w:rsidR="00A7119A" w:rsidRPr="00036846" w:rsidRDefault="00A7119A" w:rsidP="0050094A">
            <w:pPr>
              <w:spacing w:after="0" w:line="240" w:lineRule="auto"/>
              <w:jc w:val="center"/>
              <w:rPr>
                <w:rFonts w:ascii="Garamond" w:eastAsia="Times New Roman" w:hAnsi="Garamond" w:cs="Calibri"/>
                <w:color w:val="000000"/>
                <w:lang w:eastAsia="fr-FR"/>
              </w:rPr>
            </w:pPr>
            <w:r w:rsidRPr="00036846">
              <w:rPr>
                <w:rFonts w:ascii="Garamond" w:eastAsia="Times New Roman" w:hAnsi="Garamond" w:cs="Calibri"/>
                <w:color w:val="000000"/>
                <w:lang w:eastAsia="fr-FR"/>
              </w:rPr>
              <w:t>13,1</w:t>
            </w:r>
          </w:p>
        </w:tc>
        <w:tc>
          <w:tcPr>
            <w:tcW w:w="2107" w:type="dxa"/>
            <w:shd w:val="clear" w:color="auto" w:fill="auto"/>
            <w:noWrap/>
            <w:vAlign w:val="center"/>
            <w:hideMark/>
          </w:tcPr>
          <w:p w:rsidR="00A7119A" w:rsidRPr="00036846" w:rsidRDefault="00A7119A" w:rsidP="0050094A">
            <w:pPr>
              <w:spacing w:after="0" w:line="240" w:lineRule="auto"/>
              <w:jc w:val="center"/>
              <w:rPr>
                <w:rFonts w:ascii="Garamond" w:eastAsia="Times New Roman" w:hAnsi="Garamond" w:cs="Calibri"/>
                <w:color w:val="000000"/>
                <w:lang w:eastAsia="fr-FR"/>
              </w:rPr>
            </w:pPr>
            <w:r w:rsidRPr="00036846">
              <w:rPr>
                <w:rFonts w:ascii="Garamond" w:eastAsia="Times New Roman" w:hAnsi="Garamond" w:cs="Calibri"/>
                <w:color w:val="000000"/>
                <w:lang w:eastAsia="fr-FR"/>
              </w:rPr>
              <w:t>17,8</w:t>
            </w:r>
          </w:p>
        </w:tc>
      </w:tr>
      <w:tr w:rsidR="00A7119A" w:rsidRPr="00B03C97" w:rsidTr="0050094A">
        <w:trPr>
          <w:trHeight w:val="255"/>
          <w:jc w:val="center"/>
        </w:trPr>
        <w:tc>
          <w:tcPr>
            <w:tcW w:w="2767" w:type="dxa"/>
            <w:shd w:val="clear" w:color="auto" w:fill="auto"/>
            <w:noWrap/>
            <w:vAlign w:val="center"/>
            <w:hideMark/>
          </w:tcPr>
          <w:p w:rsidR="00A7119A" w:rsidRPr="00036846" w:rsidRDefault="00A7119A" w:rsidP="0050094A">
            <w:pPr>
              <w:spacing w:after="0" w:line="240" w:lineRule="auto"/>
              <w:rPr>
                <w:rFonts w:ascii="Garamond" w:eastAsia="Times New Roman" w:hAnsi="Garamond" w:cs="Arial"/>
                <w:lang w:eastAsia="fr-FR"/>
              </w:rPr>
            </w:pPr>
            <w:r w:rsidRPr="00036846">
              <w:rPr>
                <w:rFonts w:ascii="Garamond" w:eastAsia="Times New Roman" w:hAnsi="Garamond" w:cs="Arial"/>
                <w:lang w:eastAsia="fr-FR"/>
              </w:rPr>
              <w:t>Beni Mellal-Khénifra</w:t>
            </w:r>
          </w:p>
        </w:tc>
        <w:tc>
          <w:tcPr>
            <w:tcW w:w="2106" w:type="dxa"/>
            <w:shd w:val="clear" w:color="auto" w:fill="auto"/>
            <w:noWrap/>
            <w:vAlign w:val="center"/>
            <w:hideMark/>
          </w:tcPr>
          <w:p w:rsidR="00A7119A" w:rsidRPr="00036846" w:rsidRDefault="00A7119A" w:rsidP="0050094A">
            <w:pPr>
              <w:spacing w:after="0" w:line="240" w:lineRule="auto"/>
              <w:jc w:val="center"/>
              <w:rPr>
                <w:rFonts w:ascii="Garamond" w:eastAsia="Times New Roman" w:hAnsi="Garamond" w:cs="Calibri"/>
                <w:color w:val="000000"/>
                <w:lang w:eastAsia="fr-FR"/>
              </w:rPr>
            </w:pPr>
            <w:r w:rsidRPr="00036846">
              <w:rPr>
                <w:rFonts w:ascii="Garamond" w:eastAsia="Times New Roman" w:hAnsi="Garamond" w:cs="Calibri"/>
                <w:color w:val="000000"/>
                <w:lang w:eastAsia="fr-FR"/>
              </w:rPr>
              <w:t>13,4</w:t>
            </w:r>
          </w:p>
        </w:tc>
        <w:tc>
          <w:tcPr>
            <w:tcW w:w="2107" w:type="dxa"/>
            <w:shd w:val="clear" w:color="auto" w:fill="auto"/>
            <w:noWrap/>
            <w:vAlign w:val="center"/>
            <w:hideMark/>
          </w:tcPr>
          <w:p w:rsidR="00A7119A" w:rsidRPr="00036846" w:rsidRDefault="00A7119A" w:rsidP="0050094A">
            <w:pPr>
              <w:spacing w:after="0" w:line="240" w:lineRule="auto"/>
              <w:jc w:val="center"/>
              <w:rPr>
                <w:rFonts w:ascii="Garamond" w:eastAsia="Times New Roman" w:hAnsi="Garamond" w:cs="Calibri"/>
                <w:color w:val="000000"/>
                <w:lang w:eastAsia="fr-FR"/>
              </w:rPr>
            </w:pPr>
            <w:r w:rsidRPr="00036846">
              <w:rPr>
                <w:rFonts w:ascii="Garamond" w:eastAsia="Times New Roman" w:hAnsi="Garamond" w:cs="Calibri"/>
                <w:color w:val="000000"/>
                <w:lang w:eastAsia="fr-FR"/>
              </w:rPr>
              <w:t>18,2</w:t>
            </w:r>
          </w:p>
        </w:tc>
      </w:tr>
      <w:tr w:rsidR="00A7119A" w:rsidRPr="00B03C97" w:rsidTr="0050094A">
        <w:trPr>
          <w:trHeight w:val="255"/>
          <w:jc w:val="center"/>
        </w:trPr>
        <w:tc>
          <w:tcPr>
            <w:tcW w:w="2767" w:type="dxa"/>
            <w:shd w:val="clear" w:color="auto" w:fill="auto"/>
            <w:noWrap/>
            <w:vAlign w:val="center"/>
            <w:hideMark/>
          </w:tcPr>
          <w:p w:rsidR="00A7119A" w:rsidRPr="00036846" w:rsidRDefault="00A7119A" w:rsidP="0050094A">
            <w:pPr>
              <w:spacing w:after="0" w:line="240" w:lineRule="auto"/>
              <w:rPr>
                <w:rFonts w:ascii="Garamond" w:eastAsia="Times New Roman" w:hAnsi="Garamond" w:cs="Arial"/>
                <w:lang w:eastAsia="fr-FR"/>
              </w:rPr>
            </w:pPr>
            <w:r w:rsidRPr="00036846">
              <w:rPr>
                <w:rFonts w:ascii="Garamond" w:eastAsia="Times New Roman" w:hAnsi="Garamond" w:cs="Arial"/>
                <w:lang w:eastAsia="fr-FR"/>
              </w:rPr>
              <w:t>Oriental</w:t>
            </w:r>
          </w:p>
        </w:tc>
        <w:tc>
          <w:tcPr>
            <w:tcW w:w="2106" w:type="dxa"/>
            <w:shd w:val="clear" w:color="auto" w:fill="auto"/>
            <w:noWrap/>
            <w:vAlign w:val="center"/>
            <w:hideMark/>
          </w:tcPr>
          <w:p w:rsidR="00A7119A" w:rsidRPr="00036846" w:rsidRDefault="00A7119A" w:rsidP="0050094A">
            <w:pPr>
              <w:spacing w:after="0" w:line="240" w:lineRule="auto"/>
              <w:jc w:val="center"/>
              <w:rPr>
                <w:rFonts w:ascii="Garamond" w:eastAsia="Times New Roman" w:hAnsi="Garamond" w:cs="Calibri"/>
                <w:color w:val="000000"/>
                <w:lang w:eastAsia="fr-FR"/>
              </w:rPr>
            </w:pPr>
            <w:r w:rsidRPr="00036846">
              <w:rPr>
                <w:rFonts w:ascii="Garamond" w:eastAsia="Times New Roman" w:hAnsi="Garamond" w:cs="Calibri"/>
                <w:color w:val="000000"/>
                <w:lang w:eastAsia="fr-FR"/>
              </w:rPr>
              <w:t>13,8</w:t>
            </w:r>
          </w:p>
        </w:tc>
        <w:tc>
          <w:tcPr>
            <w:tcW w:w="2107" w:type="dxa"/>
            <w:shd w:val="clear" w:color="auto" w:fill="auto"/>
            <w:noWrap/>
            <w:vAlign w:val="center"/>
            <w:hideMark/>
          </w:tcPr>
          <w:p w:rsidR="00A7119A" w:rsidRPr="00036846" w:rsidRDefault="00A7119A" w:rsidP="0050094A">
            <w:pPr>
              <w:spacing w:after="0" w:line="240" w:lineRule="auto"/>
              <w:jc w:val="center"/>
              <w:rPr>
                <w:rFonts w:ascii="Garamond" w:eastAsia="Times New Roman" w:hAnsi="Garamond" w:cs="Calibri"/>
                <w:color w:val="000000"/>
                <w:lang w:eastAsia="fr-FR"/>
              </w:rPr>
            </w:pPr>
            <w:r w:rsidRPr="00036846">
              <w:rPr>
                <w:rFonts w:ascii="Garamond" w:eastAsia="Times New Roman" w:hAnsi="Garamond" w:cs="Calibri"/>
                <w:color w:val="000000"/>
                <w:lang w:eastAsia="fr-FR"/>
              </w:rPr>
              <w:t>19,3</w:t>
            </w:r>
          </w:p>
        </w:tc>
      </w:tr>
      <w:tr w:rsidR="00A7119A" w:rsidRPr="00B03C97" w:rsidTr="0050094A">
        <w:trPr>
          <w:trHeight w:val="255"/>
          <w:jc w:val="center"/>
        </w:trPr>
        <w:tc>
          <w:tcPr>
            <w:tcW w:w="2767" w:type="dxa"/>
            <w:shd w:val="clear" w:color="auto" w:fill="F2F2F2" w:themeFill="background1" w:themeFillShade="F2"/>
            <w:noWrap/>
            <w:vAlign w:val="center"/>
            <w:hideMark/>
          </w:tcPr>
          <w:p w:rsidR="00A7119A" w:rsidRPr="00036846" w:rsidRDefault="00A7119A" w:rsidP="0050094A">
            <w:pPr>
              <w:spacing w:after="0" w:line="240" w:lineRule="auto"/>
              <w:rPr>
                <w:rFonts w:ascii="Garamond" w:eastAsia="Times New Roman" w:hAnsi="Garamond" w:cs="Arial"/>
                <w:b/>
                <w:bCs/>
                <w:lang w:eastAsia="fr-FR"/>
              </w:rPr>
            </w:pPr>
            <w:r w:rsidRPr="00036846">
              <w:rPr>
                <w:rFonts w:ascii="Garamond" w:eastAsia="Times New Roman" w:hAnsi="Garamond" w:cs="Arial"/>
                <w:b/>
                <w:bCs/>
                <w:lang w:eastAsia="fr-FR"/>
              </w:rPr>
              <w:t>Total du Maroc</w:t>
            </w:r>
          </w:p>
        </w:tc>
        <w:tc>
          <w:tcPr>
            <w:tcW w:w="2106" w:type="dxa"/>
            <w:shd w:val="clear" w:color="auto" w:fill="F2F2F2" w:themeFill="background1" w:themeFillShade="F2"/>
            <w:noWrap/>
            <w:vAlign w:val="center"/>
            <w:hideMark/>
          </w:tcPr>
          <w:p w:rsidR="00A7119A" w:rsidRPr="00036846" w:rsidRDefault="00A7119A" w:rsidP="0050094A">
            <w:pPr>
              <w:spacing w:after="0" w:line="240" w:lineRule="auto"/>
              <w:jc w:val="center"/>
              <w:rPr>
                <w:rFonts w:ascii="Garamond" w:eastAsia="Times New Roman" w:hAnsi="Garamond" w:cs="Calibri"/>
                <w:b/>
                <w:bCs/>
                <w:color w:val="000000"/>
                <w:lang w:eastAsia="fr-FR"/>
              </w:rPr>
            </w:pPr>
            <w:r w:rsidRPr="00036846">
              <w:rPr>
                <w:rFonts w:ascii="Garamond" w:eastAsia="Times New Roman" w:hAnsi="Garamond" w:cs="Calibri"/>
                <w:b/>
                <w:bCs/>
                <w:color w:val="000000"/>
                <w:lang w:eastAsia="fr-FR"/>
              </w:rPr>
              <w:t>11,7</w:t>
            </w:r>
          </w:p>
        </w:tc>
        <w:tc>
          <w:tcPr>
            <w:tcW w:w="2107" w:type="dxa"/>
            <w:shd w:val="clear" w:color="auto" w:fill="F2F2F2" w:themeFill="background1" w:themeFillShade="F2"/>
            <w:noWrap/>
            <w:vAlign w:val="center"/>
            <w:hideMark/>
          </w:tcPr>
          <w:p w:rsidR="00A7119A" w:rsidRPr="00036846" w:rsidRDefault="00A7119A" w:rsidP="0050094A">
            <w:pPr>
              <w:spacing w:after="0" w:line="240" w:lineRule="auto"/>
              <w:jc w:val="center"/>
              <w:rPr>
                <w:rFonts w:ascii="Garamond" w:eastAsia="Times New Roman" w:hAnsi="Garamond" w:cs="Calibri"/>
                <w:b/>
                <w:bCs/>
                <w:color w:val="000000"/>
                <w:lang w:eastAsia="fr-FR"/>
              </w:rPr>
            </w:pPr>
            <w:r w:rsidRPr="00036846">
              <w:rPr>
                <w:rFonts w:ascii="Garamond" w:eastAsia="Times New Roman" w:hAnsi="Garamond" w:cs="Calibri"/>
                <w:b/>
                <w:bCs/>
                <w:color w:val="000000"/>
                <w:lang w:eastAsia="fr-FR"/>
              </w:rPr>
              <w:t>15,4</w:t>
            </w:r>
          </w:p>
        </w:tc>
      </w:tr>
    </w:tbl>
    <w:p w:rsidR="00A7119A" w:rsidRDefault="00A7119A" w:rsidP="00A7119A">
      <w:pPr>
        <w:rPr>
          <w:rFonts w:ascii="Garamond" w:hAnsi="Garamond"/>
        </w:rPr>
      </w:pPr>
    </w:p>
    <w:p w:rsidR="00A7119A" w:rsidRPr="00917EAF" w:rsidRDefault="00A7119A" w:rsidP="00A7119A">
      <w:pPr>
        <w:pStyle w:val="Paragraphedeliste"/>
        <w:spacing w:before="240" w:after="120"/>
        <w:ind w:left="0"/>
        <w:contextualSpacing w:val="0"/>
        <w:rPr>
          <w:rFonts w:ascii="Garamond" w:eastAsia="Calibri" w:hAnsi="Garamond" w:cstheme="majorBidi"/>
          <w:b/>
          <w:i/>
          <w:iCs/>
          <w:color w:val="0000FF"/>
          <w:sz w:val="28"/>
          <w:szCs w:val="28"/>
          <w:lang w:eastAsia="fr-FR" w:bidi="ar-MA"/>
        </w:rPr>
      </w:pPr>
      <w:r w:rsidRPr="00917EAF">
        <w:rPr>
          <w:rFonts w:ascii="Garamond" w:eastAsia="Calibri" w:hAnsi="Garamond" w:cstheme="majorBidi"/>
          <w:b/>
          <w:i/>
          <w:iCs/>
          <w:color w:val="0000FF"/>
          <w:sz w:val="28"/>
          <w:szCs w:val="28"/>
          <w:lang w:eastAsia="fr-FR" w:bidi="ar-MA"/>
        </w:rPr>
        <w:t>Plus</w:t>
      </w:r>
      <w:r w:rsidR="00917EAF">
        <w:rPr>
          <w:rFonts w:ascii="Garamond" w:eastAsia="Calibri" w:hAnsi="Garamond" w:cstheme="majorBidi"/>
          <w:b/>
          <w:i/>
          <w:iCs/>
          <w:color w:val="0000FF"/>
          <w:sz w:val="28"/>
          <w:szCs w:val="28"/>
          <w:lang w:eastAsia="fr-FR" w:bidi="ar-MA"/>
        </w:rPr>
        <w:t xml:space="preserve"> </w:t>
      </w:r>
      <w:r w:rsidRPr="00917EAF">
        <w:rPr>
          <w:rFonts w:ascii="Garamond" w:eastAsia="Calibri" w:hAnsi="Garamond" w:cstheme="majorBidi"/>
          <w:b/>
          <w:i/>
          <w:iCs/>
          <w:color w:val="0000FF"/>
          <w:sz w:val="28"/>
          <w:szCs w:val="28"/>
          <w:lang w:eastAsia="fr-FR" w:bidi="ar-MA"/>
        </w:rPr>
        <w:t>de personnes âgées avec maladies chroniques et avec une limitation fonctionnelle</w:t>
      </w:r>
      <w:r w:rsidR="00917EAF">
        <w:rPr>
          <w:rFonts w:ascii="Garamond" w:eastAsia="Calibri" w:hAnsi="Garamond" w:cstheme="majorBidi"/>
          <w:b/>
          <w:i/>
          <w:iCs/>
          <w:color w:val="0000FF"/>
          <w:sz w:val="28"/>
          <w:szCs w:val="28"/>
          <w:lang w:eastAsia="fr-FR" w:bidi="ar-MA"/>
        </w:rPr>
        <w:t xml:space="preserve"> </w:t>
      </w:r>
      <w:r w:rsidRPr="00917EAF">
        <w:rPr>
          <w:rFonts w:ascii="Garamond" w:eastAsia="Calibri" w:hAnsi="Garamond" w:cstheme="majorBidi"/>
          <w:b/>
          <w:i/>
          <w:iCs/>
          <w:color w:val="0000FF"/>
          <w:sz w:val="28"/>
          <w:szCs w:val="28"/>
          <w:lang w:eastAsia="fr-FR" w:bidi="ar-MA"/>
        </w:rPr>
        <w:t>à l’horizon 2030</w:t>
      </w:r>
    </w:p>
    <w:p w:rsidR="00A7119A" w:rsidRPr="00EA25CE" w:rsidRDefault="00A7119A" w:rsidP="00A7119A">
      <w:pPr>
        <w:pStyle w:val="Paragraphedeliste"/>
        <w:spacing w:before="240" w:after="120"/>
        <w:ind w:left="0"/>
        <w:contextualSpacing w:val="0"/>
        <w:jc w:val="both"/>
        <w:rPr>
          <w:rFonts w:ascii="Garamond" w:hAnsi="Garamond" w:cstheme="majorBidi"/>
          <w:bCs/>
          <w:color w:val="000000" w:themeColor="text1"/>
          <w:sz w:val="26"/>
          <w:szCs w:val="26"/>
        </w:rPr>
      </w:pPr>
      <w:r w:rsidRPr="00EA25CE">
        <w:rPr>
          <w:rFonts w:ascii="Garamond" w:hAnsi="Garamond" w:cstheme="majorBidi"/>
          <w:bCs/>
          <w:color w:val="000000" w:themeColor="text1"/>
          <w:sz w:val="26"/>
          <w:szCs w:val="26"/>
        </w:rPr>
        <w:t>Cette évolution annonce les difficultés auxquelles seraient confrontées les caisses de retraite et le système de santé puisqu’il devrait à la fois faire face aux maladies transmissibles caractéristiques des pays en développement et aux maladies de la vieillesse de longue durée reconnues être très coûteuses. Si actuellement avec une prévalence des maladies chroniques</w:t>
      </w:r>
      <w:r w:rsidRPr="00EA25CE">
        <w:rPr>
          <w:color w:val="000000" w:themeColor="text1"/>
          <w:vertAlign w:val="superscript"/>
        </w:rPr>
        <w:footnoteReference w:id="2"/>
      </w:r>
      <w:r w:rsidRPr="00EA25CE">
        <w:rPr>
          <w:rFonts w:ascii="Garamond" w:hAnsi="Garamond" w:cstheme="majorBidi"/>
          <w:bCs/>
          <w:color w:val="000000" w:themeColor="text1"/>
          <w:sz w:val="26"/>
          <w:szCs w:val="26"/>
        </w:rPr>
        <w:t>de près de 6</w:t>
      </w:r>
      <w:r>
        <w:rPr>
          <w:rFonts w:ascii="Garamond" w:hAnsi="Garamond" w:cstheme="majorBidi"/>
          <w:bCs/>
          <w:color w:val="000000" w:themeColor="text1"/>
          <w:sz w:val="26"/>
          <w:szCs w:val="26"/>
        </w:rPr>
        <w:t>4,4</w:t>
      </w:r>
      <w:bookmarkStart w:id="0" w:name="_GoBack"/>
      <w:bookmarkEnd w:id="0"/>
      <w:r w:rsidRPr="00EA25CE">
        <w:rPr>
          <w:rFonts w:ascii="Garamond" w:hAnsi="Garamond" w:cstheme="majorBidi"/>
          <w:bCs/>
          <w:color w:val="000000" w:themeColor="text1"/>
          <w:sz w:val="26"/>
          <w:szCs w:val="26"/>
        </w:rPr>
        <w:t xml:space="preserve">% touchant pas moins de 2,7 millions de personnes âgées, en supposant que ce taux restera constant dans un avenir proche, il faut compter sur environ 3,9 millions de personnes âgées dans cette situation en 2030 ceci sans compter les conséquences dues au coronavirus. </w:t>
      </w:r>
    </w:p>
    <w:p w:rsidR="00A7119A" w:rsidRDefault="00A7119A" w:rsidP="00A7119A">
      <w:pPr>
        <w:pStyle w:val="Paragraphedeliste"/>
        <w:spacing w:before="240" w:after="120"/>
        <w:ind w:left="0"/>
        <w:contextualSpacing w:val="0"/>
        <w:jc w:val="both"/>
        <w:rPr>
          <w:rFonts w:ascii="Garamond" w:hAnsi="Garamond" w:cstheme="majorBidi"/>
          <w:bCs/>
          <w:sz w:val="26"/>
          <w:szCs w:val="26"/>
        </w:rPr>
      </w:pPr>
      <w:r>
        <w:rPr>
          <w:rFonts w:ascii="Garamond" w:hAnsi="Garamond" w:cstheme="majorBidi"/>
          <w:bCs/>
          <w:sz w:val="26"/>
          <w:szCs w:val="26"/>
        </w:rPr>
        <w:t>En outre, en raison de l</w:t>
      </w:r>
      <w:r w:rsidRPr="00B93F90">
        <w:rPr>
          <w:rFonts w:ascii="Garamond" w:hAnsi="Garamond" w:cstheme="majorBidi"/>
          <w:bCs/>
          <w:sz w:val="26"/>
          <w:szCs w:val="26"/>
        </w:rPr>
        <w:t>'augmentation des problèmes de santé chroniques</w:t>
      </w:r>
      <w:r>
        <w:rPr>
          <w:rFonts w:ascii="Garamond" w:hAnsi="Garamond" w:cstheme="majorBidi"/>
          <w:bCs/>
          <w:sz w:val="26"/>
          <w:szCs w:val="26"/>
        </w:rPr>
        <w:t xml:space="preserve">, </w:t>
      </w:r>
      <w:r w:rsidRPr="00B93F90">
        <w:rPr>
          <w:rFonts w:ascii="Garamond" w:hAnsi="Garamond" w:cstheme="majorBidi"/>
          <w:bCs/>
          <w:sz w:val="26"/>
          <w:szCs w:val="26"/>
        </w:rPr>
        <w:t xml:space="preserve">le vieillissement entraîne souvent une augmentation du nombre de personnes à risque d'invalidité. </w:t>
      </w:r>
      <w:r>
        <w:rPr>
          <w:rFonts w:ascii="Garamond" w:hAnsi="Garamond" w:cstheme="majorBidi"/>
          <w:bCs/>
          <w:sz w:val="26"/>
          <w:szCs w:val="26"/>
        </w:rPr>
        <w:t xml:space="preserve">En examinant </w:t>
      </w:r>
      <w:r w:rsidRPr="00B93F90">
        <w:rPr>
          <w:rFonts w:ascii="Garamond" w:hAnsi="Garamond" w:cstheme="majorBidi"/>
          <w:bCs/>
          <w:sz w:val="26"/>
          <w:szCs w:val="26"/>
        </w:rPr>
        <w:t>spécifiquement l'incapacité fonctionnelle, définie sur le plan opérationnel comme la difficulté à effectuer une ou plusieurs activités de la vie quotidienne</w:t>
      </w:r>
      <w:r>
        <w:rPr>
          <w:rFonts w:ascii="Garamond" w:hAnsi="Garamond" w:cstheme="majorBidi"/>
          <w:bCs/>
          <w:sz w:val="26"/>
          <w:szCs w:val="26"/>
        </w:rPr>
        <w:t xml:space="preserve">, la part des personnes âgées dans cette situation selon l’enquête du ministère de la Santé s’élève à 45,7%. En supposant ce taux constant pour l’avenir, </w:t>
      </w:r>
      <w:r w:rsidRPr="00430E3F">
        <w:rPr>
          <w:rFonts w:ascii="Garamond" w:hAnsi="Garamond" w:cstheme="majorBidi"/>
          <w:bCs/>
          <w:sz w:val="26"/>
          <w:szCs w:val="26"/>
        </w:rPr>
        <w:t xml:space="preserve">l’effectif des personnes avec incapacité </w:t>
      </w:r>
      <w:r w:rsidRPr="00B93F90">
        <w:rPr>
          <w:rFonts w:ascii="Garamond" w:hAnsi="Garamond" w:cstheme="majorBidi"/>
          <w:bCs/>
          <w:sz w:val="26"/>
          <w:szCs w:val="26"/>
        </w:rPr>
        <w:t>fonctionnelle</w:t>
      </w:r>
      <w:r w:rsidR="00FE4F4E">
        <w:rPr>
          <w:rFonts w:ascii="Garamond" w:hAnsi="Garamond" w:cstheme="majorBidi"/>
          <w:bCs/>
          <w:sz w:val="26"/>
          <w:szCs w:val="26"/>
        </w:rPr>
        <w:t xml:space="preserve">  </w:t>
      </w:r>
      <w:r w:rsidRPr="00430E3F">
        <w:rPr>
          <w:rFonts w:ascii="Garamond" w:hAnsi="Garamond" w:cstheme="majorBidi"/>
          <w:bCs/>
          <w:sz w:val="26"/>
          <w:szCs w:val="26"/>
        </w:rPr>
        <w:t>serait d</w:t>
      </w:r>
      <w:r>
        <w:rPr>
          <w:rFonts w:ascii="Garamond" w:hAnsi="Garamond" w:cstheme="majorBidi"/>
          <w:bCs/>
          <w:sz w:val="26"/>
          <w:szCs w:val="26"/>
        </w:rPr>
        <w:t xml:space="preserve">’environ2,8 millions </w:t>
      </w:r>
      <w:r w:rsidRPr="00430E3F">
        <w:rPr>
          <w:rFonts w:ascii="Garamond" w:hAnsi="Garamond" w:cstheme="majorBidi"/>
          <w:bCs/>
          <w:sz w:val="26"/>
          <w:szCs w:val="26"/>
        </w:rPr>
        <w:t>en 2030</w:t>
      </w:r>
      <w:r>
        <w:rPr>
          <w:rFonts w:ascii="Garamond" w:hAnsi="Garamond" w:cstheme="majorBidi"/>
          <w:bCs/>
          <w:sz w:val="26"/>
          <w:szCs w:val="26"/>
        </w:rPr>
        <w:t xml:space="preserve"> contre 1,9 millions actuellement</w:t>
      </w:r>
      <w:r w:rsidRPr="00430E3F">
        <w:rPr>
          <w:rFonts w:ascii="Garamond" w:hAnsi="Garamond" w:cstheme="majorBidi"/>
          <w:bCs/>
          <w:sz w:val="26"/>
          <w:szCs w:val="26"/>
        </w:rPr>
        <w:t xml:space="preserve">. </w:t>
      </w:r>
    </w:p>
    <w:p w:rsidR="00A7119A" w:rsidRDefault="00A7119A" w:rsidP="00A7119A">
      <w:pPr>
        <w:pStyle w:val="Paragraphedeliste"/>
        <w:spacing w:before="240" w:after="120"/>
        <w:ind w:left="0"/>
        <w:contextualSpacing w:val="0"/>
        <w:jc w:val="both"/>
        <w:rPr>
          <w:rFonts w:ascii="Garamond" w:hAnsi="Garamond" w:cstheme="majorBidi"/>
          <w:bCs/>
          <w:sz w:val="26"/>
          <w:szCs w:val="26"/>
        </w:rPr>
      </w:pPr>
      <w:r w:rsidRPr="001F56D2">
        <w:rPr>
          <w:rFonts w:ascii="Garamond" w:hAnsi="Garamond" w:cstheme="majorBidi"/>
          <w:bCs/>
          <w:sz w:val="26"/>
          <w:szCs w:val="26"/>
        </w:rPr>
        <w:lastRenderedPageBreak/>
        <w:t xml:space="preserve">Bien qu’il s’agisse de situations hypothétiques, les </w:t>
      </w:r>
      <w:r>
        <w:rPr>
          <w:rFonts w:ascii="Garamond" w:hAnsi="Garamond" w:cstheme="majorBidi"/>
          <w:bCs/>
          <w:sz w:val="26"/>
          <w:szCs w:val="26"/>
        </w:rPr>
        <w:t xml:space="preserve">prévalences de maladies chroniques ou de limitation fonctionnelle </w:t>
      </w:r>
      <w:r w:rsidRPr="001F56D2">
        <w:rPr>
          <w:rFonts w:ascii="Garamond" w:hAnsi="Garamond" w:cstheme="majorBidi"/>
          <w:bCs/>
          <w:sz w:val="26"/>
          <w:szCs w:val="26"/>
        </w:rPr>
        <w:t xml:space="preserve">ne sont jamais </w:t>
      </w:r>
      <w:r w:rsidRPr="004D6350">
        <w:rPr>
          <w:rFonts w:ascii="Garamond" w:hAnsi="Garamond" w:cstheme="majorBidi"/>
          <w:bCs/>
          <w:sz w:val="26"/>
          <w:szCs w:val="26"/>
        </w:rPr>
        <w:t>constantes</w:t>
      </w:r>
      <w:r>
        <w:rPr>
          <w:rFonts w:ascii="Garamond" w:hAnsi="Garamond" w:cstheme="majorBidi"/>
          <w:bCs/>
          <w:sz w:val="26"/>
          <w:szCs w:val="26"/>
        </w:rPr>
        <w:t>, c</w:t>
      </w:r>
      <w:r w:rsidRPr="00206434">
        <w:rPr>
          <w:rFonts w:ascii="Garamond" w:hAnsi="Garamond" w:cstheme="majorBidi"/>
          <w:bCs/>
          <w:sz w:val="26"/>
          <w:szCs w:val="26"/>
        </w:rPr>
        <w:t xml:space="preserve">et exercice </w:t>
      </w:r>
      <w:r>
        <w:rPr>
          <w:rFonts w:ascii="Garamond" w:hAnsi="Garamond" w:cstheme="majorBidi"/>
          <w:bCs/>
          <w:sz w:val="26"/>
          <w:szCs w:val="26"/>
        </w:rPr>
        <w:t xml:space="preserve">met en exergue </w:t>
      </w:r>
      <w:r w:rsidRPr="00206434">
        <w:rPr>
          <w:rFonts w:ascii="Garamond" w:hAnsi="Garamond" w:cstheme="majorBidi"/>
          <w:bCs/>
          <w:sz w:val="26"/>
          <w:szCs w:val="26"/>
        </w:rPr>
        <w:t xml:space="preserve">l'ampleur de l'impact du vieillissement sur le système de santé. </w:t>
      </w:r>
      <w:r>
        <w:rPr>
          <w:rFonts w:ascii="Garamond" w:hAnsi="Garamond" w:cstheme="majorBidi"/>
          <w:bCs/>
          <w:sz w:val="26"/>
          <w:szCs w:val="26"/>
        </w:rPr>
        <w:t xml:space="preserve">Situation qui </w:t>
      </w:r>
      <w:r w:rsidRPr="00B93F90">
        <w:rPr>
          <w:rFonts w:ascii="Garamond" w:hAnsi="Garamond" w:cstheme="majorBidi"/>
          <w:bCs/>
          <w:sz w:val="26"/>
          <w:szCs w:val="26"/>
        </w:rPr>
        <w:t>augmentera inévitablement la demande de services de santé, les dépenses médicales et le fardeau des soins de longue durée</w:t>
      </w:r>
      <w:r w:rsidR="00FE4F4E">
        <w:rPr>
          <w:rFonts w:ascii="Garamond" w:hAnsi="Garamond" w:cstheme="majorBidi"/>
          <w:bCs/>
          <w:sz w:val="26"/>
          <w:szCs w:val="26"/>
        </w:rPr>
        <w:t xml:space="preserve"> </w:t>
      </w:r>
      <w:r w:rsidRPr="000F522B">
        <w:rPr>
          <w:rFonts w:ascii="Garamond" w:hAnsi="Garamond" w:cstheme="majorBidi"/>
          <w:bCs/>
          <w:sz w:val="26"/>
          <w:szCs w:val="26"/>
        </w:rPr>
        <w:t xml:space="preserve">à un moment où le Maroc s’apprête à généraliser la couverture médicale à toute sa population. </w:t>
      </w:r>
    </w:p>
    <w:p w:rsidR="00A7119A" w:rsidRPr="00FE4F4E" w:rsidRDefault="00A7119A" w:rsidP="00A7119A">
      <w:pPr>
        <w:pStyle w:val="Titre7"/>
        <w:spacing w:before="0"/>
        <w:jc w:val="center"/>
        <w:rPr>
          <w:rFonts w:ascii="Garamond" w:hAnsi="Garamond"/>
          <w:b/>
          <w:bCs/>
          <w:i w:val="0"/>
          <w:iCs w:val="0"/>
          <w:color w:val="0053A0"/>
          <w:w w:val="85"/>
          <w:sz w:val="28"/>
          <w:szCs w:val="28"/>
        </w:rPr>
      </w:pPr>
      <w:r w:rsidRPr="00FE4F4E">
        <w:rPr>
          <w:rFonts w:ascii="Garamond" w:hAnsi="Garamond"/>
          <w:b/>
          <w:bCs/>
          <w:i w:val="0"/>
          <w:iCs w:val="0"/>
          <w:color w:val="0053A0"/>
          <w:spacing w:val="5"/>
          <w:w w:val="85"/>
          <w:sz w:val="28"/>
          <w:szCs w:val="28"/>
        </w:rPr>
        <w:t xml:space="preserve">Effectif des </w:t>
      </w:r>
      <w:r w:rsidRPr="00FE4F4E">
        <w:rPr>
          <w:rFonts w:ascii="Garamond" w:hAnsi="Garamond"/>
          <w:b/>
          <w:bCs/>
          <w:i w:val="0"/>
          <w:iCs w:val="0"/>
          <w:color w:val="0053A0"/>
          <w:w w:val="85"/>
          <w:sz w:val="28"/>
          <w:szCs w:val="28"/>
        </w:rPr>
        <w:t>personnes</w:t>
      </w:r>
      <w:r w:rsidR="00FE4F4E">
        <w:rPr>
          <w:rFonts w:ascii="Garamond" w:hAnsi="Garamond"/>
          <w:b/>
          <w:bCs/>
          <w:i w:val="0"/>
          <w:iCs w:val="0"/>
          <w:color w:val="0053A0"/>
          <w:w w:val="85"/>
          <w:sz w:val="28"/>
          <w:szCs w:val="28"/>
        </w:rPr>
        <w:t xml:space="preserve"> </w:t>
      </w:r>
      <w:r w:rsidRPr="00FE4F4E">
        <w:rPr>
          <w:rFonts w:ascii="Garamond" w:hAnsi="Garamond"/>
          <w:b/>
          <w:bCs/>
          <w:i w:val="0"/>
          <w:iCs w:val="0"/>
          <w:color w:val="0053A0"/>
          <w:w w:val="85"/>
          <w:sz w:val="28"/>
          <w:szCs w:val="28"/>
        </w:rPr>
        <w:t>de</w:t>
      </w:r>
      <w:r w:rsidR="00FE4F4E">
        <w:rPr>
          <w:rFonts w:ascii="Garamond" w:hAnsi="Garamond"/>
          <w:b/>
          <w:bCs/>
          <w:i w:val="0"/>
          <w:iCs w:val="0"/>
          <w:color w:val="0053A0"/>
          <w:w w:val="85"/>
          <w:sz w:val="28"/>
          <w:szCs w:val="28"/>
        </w:rPr>
        <w:t xml:space="preserve"> </w:t>
      </w:r>
      <w:r w:rsidRPr="00FE4F4E">
        <w:rPr>
          <w:rFonts w:ascii="Garamond" w:hAnsi="Garamond"/>
          <w:b/>
          <w:bCs/>
          <w:i w:val="0"/>
          <w:iCs w:val="0"/>
          <w:color w:val="0053A0"/>
          <w:w w:val="85"/>
          <w:sz w:val="28"/>
          <w:szCs w:val="28"/>
        </w:rPr>
        <w:t>60</w:t>
      </w:r>
      <w:r w:rsidR="00FE4F4E">
        <w:rPr>
          <w:rFonts w:ascii="Garamond" w:hAnsi="Garamond"/>
          <w:b/>
          <w:bCs/>
          <w:i w:val="0"/>
          <w:iCs w:val="0"/>
          <w:color w:val="0053A0"/>
          <w:w w:val="85"/>
          <w:sz w:val="28"/>
          <w:szCs w:val="28"/>
        </w:rPr>
        <w:t xml:space="preserve"> </w:t>
      </w:r>
      <w:r w:rsidRPr="00FE4F4E">
        <w:rPr>
          <w:rFonts w:ascii="Garamond" w:hAnsi="Garamond"/>
          <w:b/>
          <w:bCs/>
          <w:i w:val="0"/>
          <w:iCs w:val="0"/>
          <w:color w:val="0053A0"/>
          <w:w w:val="85"/>
          <w:sz w:val="28"/>
          <w:szCs w:val="28"/>
        </w:rPr>
        <w:t>ans</w:t>
      </w:r>
      <w:r w:rsidR="00FE4F4E">
        <w:rPr>
          <w:rFonts w:ascii="Garamond" w:hAnsi="Garamond"/>
          <w:b/>
          <w:bCs/>
          <w:i w:val="0"/>
          <w:iCs w:val="0"/>
          <w:color w:val="0053A0"/>
          <w:w w:val="85"/>
          <w:sz w:val="28"/>
          <w:szCs w:val="28"/>
        </w:rPr>
        <w:t xml:space="preserve"> </w:t>
      </w:r>
      <w:r w:rsidRPr="00FE4F4E">
        <w:rPr>
          <w:rFonts w:ascii="Garamond" w:hAnsi="Garamond"/>
          <w:b/>
          <w:bCs/>
          <w:i w:val="0"/>
          <w:iCs w:val="0"/>
          <w:color w:val="0053A0"/>
          <w:spacing w:val="5"/>
          <w:w w:val="85"/>
          <w:sz w:val="28"/>
          <w:szCs w:val="28"/>
        </w:rPr>
        <w:t xml:space="preserve">et plus avec au moins une maladie chronique </w:t>
      </w:r>
      <w:r w:rsidRPr="00FE4F4E">
        <w:rPr>
          <w:rFonts w:ascii="Garamond" w:hAnsi="Garamond"/>
          <w:b/>
          <w:bCs/>
          <w:i w:val="0"/>
          <w:iCs w:val="0"/>
          <w:color w:val="0053A0"/>
          <w:w w:val="85"/>
          <w:sz w:val="28"/>
          <w:szCs w:val="28"/>
        </w:rPr>
        <w:t>et</w:t>
      </w:r>
      <w:r w:rsidR="00FE4F4E">
        <w:rPr>
          <w:rFonts w:ascii="Garamond" w:hAnsi="Garamond"/>
          <w:b/>
          <w:bCs/>
          <w:i w:val="0"/>
          <w:iCs w:val="0"/>
          <w:color w:val="0053A0"/>
          <w:w w:val="85"/>
          <w:sz w:val="28"/>
          <w:szCs w:val="28"/>
        </w:rPr>
        <w:t xml:space="preserve"> </w:t>
      </w:r>
      <w:r w:rsidRPr="00FE4F4E">
        <w:rPr>
          <w:rFonts w:ascii="Garamond" w:hAnsi="Garamond"/>
          <w:b/>
          <w:bCs/>
          <w:i w:val="0"/>
          <w:iCs w:val="0"/>
          <w:color w:val="0053A0"/>
          <w:spacing w:val="5"/>
          <w:w w:val="85"/>
          <w:sz w:val="28"/>
          <w:szCs w:val="28"/>
        </w:rPr>
        <w:t>celles avec incapacité fonctionnelle en 2021 et 2030 (en millions)</w:t>
      </w:r>
    </w:p>
    <w:p w:rsidR="00A7119A" w:rsidRDefault="00A7119A" w:rsidP="00A7119A">
      <w:pPr>
        <w:autoSpaceDE w:val="0"/>
        <w:autoSpaceDN w:val="0"/>
        <w:adjustRightInd w:val="0"/>
        <w:jc w:val="center"/>
        <w:rPr>
          <w:rStyle w:val="ft3"/>
          <w:sz w:val="28"/>
          <w:szCs w:val="28"/>
        </w:rPr>
      </w:pPr>
      <w:r>
        <w:rPr>
          <w:noProof/>
          <w:lang w:eastAsia="fr-FR"/>
        </w:rPr>
        <w:drawing>
          <wp:inline distT="0" distB="0" distL="0" distR="0">
            <wp:extent cx="4155744" cy="2374710"/>
            <wp:effectExtent l="0" t="0" r="16510" b="6985"/>
            <wp:docPr id="2" name="Graphique 1">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19D45FFB-AF4A-4B40-AF7D-4A574BE408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7119A" w:rsidRDefault="00A7119A" w:rsidP="00A7119A">
      <w:pPr>
        <w:autoSpaceDE w:val="0"/>
        <w:autoSpaceDN w:val="0"/>
        <w:adjustRightInd w:val="0"/>
        <w:jc w:val="center"/>
        <w:rPr>
          <w:rStyle w:val="ft3"/>
          <w:sz w:val="28"/>
          <w:szCs w:val="28"/>
        </w:rPr>
      </w:pPr>
    </w:p>
    <w:p w:rsidR="00A7119A" w:rsidRPr="00917EAF" w:rsidRDefault="00A7119A" w:rsidP="00A7119A">
      <w:pPr>
        <w:pStyle w:val="Paragraphedeliste"/>
        <w:spacing w:before="240" w:after="120"/>
        <w:ind w:left="0"/>
        <w:contextualSpacing w:val="0"/>
        <w:rPr>
          <w:rFonts w:ascii="Garamond" w:eastAsia="Calibri" w:hAnsi="Garamond" w:cstheme="majorBidi"/>
          <w:b/>
          <w:i/>
          <w:iCs/>
          <w:color w:val="0000FF"/>
          <w:sz w:val="28"/>
          <w:szCs w:val="28"/>
          <w:lang w:eastAsia="fr-FR" w:bidi="ar-MA"/>
        </w:rPr>
      </w:pPr>
      <w:r w:rsidRPr="00917EAF">
        <w:rPr>
          <w:rFonts w:ascii="Garamond" w:eastAsia="Calibri" w:hAnsi="Garamond" w:cstheme="majorBidi"/>
          <w:b/>
          <w:i/>
          <w:iCs/>
          <w:color w:val="0000FF"/>
          <w:sz w:val="28"/>
          <w:szCs w:val="28"/>
          <w:lang w:eastAsia="fr-FR" w:bidi="ar-MA"/>
        </w:rPr>
        <w:t>Et les 70 ans et plus ?</w:t>
      </w:r>
    </w:p>
    <w:p w:rsidR="00A7119A" w:rsidRDefault="00A7119A" w:rsidP="00A7119A">
      <w:pPr>
        <w:pStyle w:val="Paragraphedeliste"/>
        <w:spacing w:before="240" w:after="120"/>
        <w:ind w:left="0"/>
        <w:contextualSpacing w:val="0"/>
        <w:jc w:val="both"/>
        <w:rPr>
          <w:rFonts w:ascii="Garamond" w:hAnsi="Garamond" w:cstheme="majorBidi"/>
          <w:bCs/>
          <w:sz w:val="26"/>
          <w:szCs w:val="26"/>
        </w:rPr>
      </w:pPr>
      <w:r w:rsidRPr="008831A9">
        <w:rPr>
          <w:rFonts w:ascii="Garamond" w:hAnsi="Garamond" w:cstheme="majorBidi"/>
          <w:bCs/>
          <w:sz w:val="26"/>
          <w:szCs w:val="26"/>
        </w:rPr>
        <w:t>Les personnes de 70 ans et plus, mérite une attention particulière car elles sont les plus vulnérables face à la maladie</w:t>
      </w:r>
      <w:r>
        <w:rPr>
          <w:rFonts w:ascii="Garamond" w:hAnsi="Garamond" w:cstheme="majorBidi"/>
          <w:bCs/>
          <w:sz w:val="26"/>
          <w:szCs w:val="26"/>
        </w:rPr>
        <w:t xml:space="preserve">, au handicap </w:t>
      </w:r>
      <w:r w:rsidRPr="008831A9">
        <w:rPr>
          <w:rFonts w:ascii="Garamond" w:hAnsi="Garamond" w:cstheme="majorBidi"/>
          <w:bCs/>
          <w:sz w:val="26"/>
          <w:szCs w:val="26"/>
        </w:rPr>
        <w:t>et à la précarité des conditions de vie. Sous</w:t>
      </w:r>
      <w:r w:rsidR="00F64F5B">
        <w:rPr>
          <w:rFonts w:ascii="Garamond" w:hAnsi="Garamond" w:cstheme="majorBidi"/>
          <w:bCs/>
          <w:sz w:val="26"/>
          <w:szCs w:val="26"/>
        </w:rPr>
        <w:t xml:space="preserve"> </w:t>
      </w:r>
      <w:r w:rsidRPr="008831A9">
        <w:rPr>
          <w:rFonts w:ascii="Garamond" w:hAnsi="Garamond" w:cstheme="majorBidi"/>
          <w:bCs/>
          <w:sz w:val="26"/>
          <w:szCs w:val="26"/>
        </w:rPr>
        <w:t>l’effet de l’amélioration des conditions de survie</w:t>
      </w:r>
      <w:r>
        <w:rPr>
          <w:rFonts w:ascii="Garamond" w:hAnsi="Garamond" w:cstheme="majorBidi"/>
          <w:bCs/>
          <w:sz w:val="26"/>
          <w:szCs w:val="26"/>
        </w:rPr>
        <w:t>, l</w:t>
      </w:r>
      <w:r w:rsidRPr="00886740">
        <w:rPr>
          <w:rFonts w:ascii="Garamond" w:hAnsi="Garamond" w:cstheme="majorBidi"/>
          <w:bCs/>
          <w:sz w:val="26"/>
          <w:szCs w:val="26"/>
        </w:rPr>
        <w:t xml:space="preserve">eur effectif, s’accroîtra rapidement </w:t>
      </w:r>
      <w:r>
        <w:rPr>
          <w:rFonts w:ascii="Garamond" w:hAnsi="Garamond" w:cstheme="majorBidi"/>
          <w:bCs/>
          <w:sz w:val="26"/>
          <w:szCs w:val="26"/>
        </w:rPr>
        <w:t>passant de1,6 millions de personnes en 2021 à près de 2,6 millions en 2030, soit une augmentation de 63%. En termes relatif, l</w:t>
      </w:r>
      <w:r w:rsidRPr="00886740">
        <w:rPr>
          <w:rFonts w:ascii="Garamond" w:hAnsi="Garamond" w:cstheme="majorBidi"/>
          <w:bCs/>
          <w:sz w:val="26"/>
          <w:szCs w:val="26"/>
        </w:rPr>
        <w:t xml:space="preserve">eur poids démographique pourrait atteindre </w:t>
      </w:r>
      <w:r>
        <w:rPr>
          <w:rFonts w:ascii="Garamond" w:hAnsi="Garamond" w:cstheme="majorBidi"/>
          <w:bCs/>
          <w:sz w:val="26"/>
          <w:szCs w:val="26"/>
        </w:rPr>
        <w:t>6,7</w:t>
      </w:r>
      <w:r w:rsidRPr="00886740">
        <w:rPr>
          <w:rFonts w:ascii="Garamond" w:hAnsi="Garamond" w:cstheme="majorBidi"/>
          <w:bCs/>
          <w:sz w:val="26"/>
          <w:szCs w:val="26"/>
        </w:rPr>
        <w:t xml:space="preserve">% </w:t>
      </w:r>
      <w:r>
        <w:rPr>
          <w:rFonts w:ascii="Garamond" w:hAnsi="Garamond" w:cstheme="majorBidi"/>
          <w:bCs/>
          <w:sz w:val="26"/>
          <w:szCs w:val="26"/>
        </w:rPr>
        <w:t xml:space="preserve">en 2030 </w:t>
      </w:r>
      <w:r w:rsidRPr="00886740">
        <w:rPr>
          <w:rFonts w:ascii="Garamond" w:hAnsi="Garamond" w:cstheme="majorBidi"/>
          <w:bCs/>
          <w:sz w:val="26"/>
          <w:szCs w:val="26"/>
        </w:rPr>
        <w:t xml:space="preserve">au lieu de </w:t>
      </w:r>
      <w:r>
        <w:rPr>
          <w:rFonts w:ascii="Garamond" w:hAnsi="Garamond" w:cstheme="majorBidi"/>
          <w:bCs/>
          <w:sz w:val="26"/>
          <w:szCs w:val="26"/>
        </w:rPr>
        <w:t>4</w:t>
      </w:r>
      <w:r w:rsidRPr="00886740">
        <w:rPr>
          <w:rFonts w:ascii="Garamond" w:hAnsi="Garamond" w:cstheme="majorBidi"/>
          <w:bCs/>
          <w:sz w:val="26"/>
          <w:szCs w:val="26"/>
        </w:rPr>
        <w:t>,</w:t>
      </w:r>
      <w:r>
        <w:rPr>
          <w:rFonts w:ascii="Garamond" w:hAnsi="Garamond" w:cstheme="majorBidi"/>
          <w:bCs/>
          <w:sz w:val="26"/>
          <w:szCs w:val="26"/>
        </w:rPr>
        <w:t>4</w:t>
      </w:r>
      <w:r w:rsidRPr="00886740">
        <w:rPr>
          <w:rFonts w:ascii="Garamond" w:hAnsi="Garamond" w:cstheme="majorBidi"/>
          <w:bCs/>
          <w:sz w:val="26"/>
          <w:szCs w:val="26"/>
        </w:rPr>
        <w:t xml:space="preserve">% </w:t>
      </w:r>
      <w:r>
        <w:rPr>
          <w:rFonts w:ascii="Garamond" w:hAnsi="Garamond" w:cstheme="majorBidi"/>
          <w:bCs/>
          <w:sz w:val="26"/>
          <w:szCs w:val="26"/>
        </w:rPr>
        <w:t>actuellement</w:t>
      </w:r>
      <w:r w:rsidRPr="00886740">
        <w:rPr>
          <w:rFonts w:ascii="Garamond" w:hAnsi="Garamond" w:cstheme="majorBidi"/>
          <w:bCs/>
          <w:sz w:val="26"/>
          <w:szCs w:val="26"/>
        </w:rPr>
        <w:t>.</w:t>
      </w:r>
    </w:p>
    <w:p w:rsidR="00A7119A" w:rsidRDefault="00A7119A" w:rsidP="00A7119A">
      <w:pPr>
        <w:pStyle w:val="Paragraphedeliste"/>
        <w:spacing w:before="240" w:after="120"/>
        <w:ind w:left="0"/>
        <w:contextualSpacing w:val="0"/>
        <w:jc w:val="both"/>
        <w:rPr>
          <w:rStyle w:val="ft3"/>
          <w:sz w:val="28"/>
          <w:szCs w:val="28"/>
        </w:rPr>
      </w:pPr>
      <w:r w:rsidRPr="003C458F">
        <w:rPr>
          <w:rFonts w:ascii="Garamond" w:hAnsi="Garamond" w:cstheme="majorBidi"/>
          <w:bCs/>
          <w:sz w:val="26"/>
          <w:szCs w:val="26"/>
        </w:rPr>
        <w:t xml:space="preserve">Cette population est la plus susceptible </w:t>
      </w:r>
      <w:r>
        <w:rPr>
          <w:rFonts w:ascii="Garamond" w:hAnsi="Garamond" w:cstheme="majorBidi"/>
          <w:bCs/>
          <w:sz w:val="26"/>
          <w:szCs w:val="26"/>
        </w:rPr>
        <w:t xml:space="preserve">d’avoir des maladies chroniques et </w:t>
      </w:r>
      <w:r w:rsidRPr="003C458F">
        <w:rPr>
          <w:rFonts w:ascii="Garamond" w:hAnsi="Garamond" w:cstheme="majorBidi"/>
          <w:bCs/>
          <w:sz w:val="26"/>
          <w:szCs w:val="26"/>
        </w:rPr>
        <w:t>de tomber dans une situation de dépendance à même d’induire une demande qui suppose un renforcement conséquent de l’offre de soins et de prise en charge adaptée aux besoins spécifiques à ces âges.</w:t>
      </w:r>
      <w:r w:rsidR="00F64F5B">
        <w:rPr>
          <w:rFonts w:ascii="Garamond" w:hAnsi="Garamond" w:cstheme="majorBidi"/>
          <w:bCs/>
          <w:sz w:val="26"/>
          <w:szCs w:val="26"/>
        </w:rPr>
        <w:t xml:space="preserve"> </w:t>
      </w:r>
      <w:r>
        <w:rPr>
          <w:rFonts w:ascii="Garamond" w:hAnsi="Garamond" w:cstheme="majorBidi"/>
          <w:bCs/>
          <w:sz w:val="26"/>
          <w:szCs w:val="26"/>
        </w:rPr>
        <w:t xml:space="preserve">En reprenant le même exercice en haut, l’effectif des personnes âgées de 70 ans et plus avec au moins une maladie chronique atteindrait 1,9 millions au lieu de 1,2 millions actuellement, également, la part des personnes de 70 ans et plus avec une </w:t>
      </w:r>
      <w:r w:rsidRPr="00B93F90">
        <w:rPr>
          <w:rFonts w:ascii="Garamond" w:hAnsi="Garamond" w:cstheme="majorBidi"/>
          <w:bCs/>
          <w:sz w:val="26"/>
          <w:szCs w:val="26"/>
        </w:rPr>
        <w:t>incapacité fonctionnelle</w:t>
      </w:r>
      <w:r>
        <w:rPr>
          <w:rFonts w:ascii="Garamond" w:hAnsi="Garamond" w:cstheme="majorBidi"/>
          <w:bCs/>
          <w:sz w:val="26"/>
          <w:szCs w:val="26"/>
        </w:rPr>
        <w:t xml:space="preserve"> serait d’environ 1,7 millions en 2030 au lieu de 1,1 millions en 2021.</w:t>
      </w:r>
    </w:p>
    <w:p w:rsidR="00A7119A" w:rsidRDefault="00A7119A" w:rsidP="003D1BF4">
      <w:pPr>
        <w:autoSpaceDE w:val="0"/>
        <w:autoSpaceDN w:val="0"/>
        <w:adjustRightInd w:val="0"/>
        <w:spacing w:after="0" w:line="240" w:lineRule="auto"/>
        <w:jc w:val="center"/>
        <w:rPr>
          <w:rFonts w:ascii="Times New Roman" w:hAnsi="Times New Roman" w:cs="Times New Roman"/>
          <w:b/>
          <w:bCs/>
          <w:sz w:val="26"/>
          <w:szCs w:val="26"/>
        </w:rPr>
      </w:pPr>
    </w:p>
    <w:sectPr w:rsidR="00A7119A" w:rsidSect="001162EA">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3C5D" w:rsidRDefault="00CC3C5D" w:rsidP="00A01B4E">
      <w:pPr>
        <w:spacing w:after="0" w:line="240" w:lineRule="auto"/>
      </w:pPr>
      <w:r>
        <w:separator/>
      </w:r>
    </w:p>
  </w:endnote>
  <w:endnote w:type="continuationSeparator" w:id="1">
    <w:p w:rsidR="00CC3C5D" w:rsidRDefault="00CC3C5D" w:rsidP="00A01B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323999"/>
      <w:docPartObj>
        <w:docPartGallery w:val="Page Numbers (Bottom of Page)"/>
        <w:docPartUnique/>
      </w:docPartObj>
    </w:sdtPr>
    <w:sdtContent>
      <w:p w:rsidR="00A01B4E" w:rsidRDefault="00400B4F">
        <w:pPr>
          <w:pStyle w:val="Pieddepage"/>
          <w:jc w:val="center"/>
        </w:pPr>
        <w:r>
          <w:fldChar w:fldCharType="begin"/>
        </w:r>
        <w:r w:rsidR="001644D1">
          <w:instrText xml:space="preserve"> PAGE   \* MERGEFORMAT </w:instrText>
        </w:r>
        <w:r>
          <w:fldChar w:fldCharType="separate"/>
        </w:r>
        <w:r w:rsidR="00F64F5B">
          <w:rPr>
            <w:noProof/>
          </w:rPr>
          <w:t>1</w:t>
        </w:r>
        <w:r>
          <w:rPr>
            <w:noProof/>
          </w:rPr>
          <w:fldChar w:fldCharType="end"/>
        </w:r>
      </w:p>
    </w:sdtContent>
  </w:sdt>
  <w:p w:rsidR="00A01B4E" w:rsidRDefault="00A01B4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3C5D" w:rsidRDefault="00CC3C5D" w:rsidP="00A01B4E">
      <w:pPr>
        <w:spacing w:after="0" w:line="240" w:lineRule="auto"/>
      </w:pPr>
      <w:r>
        <w:separator/>
      </w:r>
    </w:p>
  </w:footnote>
  <w:footnote w:type="continuationSeparator" w:id="1">
    <w:p w:rsidR="00CC3C5D" w:rsidRDefault="00CC3C5D" w:rsidP="00A01B4E">
      <w:pPr>
        <w:spacing w:after="0" w:line="240" w:lineRule="auto"/>
      </w:pPr>
      <w:r>
        <w:continuationSeparator/>
      </w:r>
    </w:p>
  </w:footnote>
  <w:footnote w:id="2">
    <w:p w:rsidR="00A7119A" w:rsidRPr="00803E3B" w:rsidRDefault="00A7119A" w:rsidP="00A7119A">
      <w:pPr>
        <w:pStyle w:val="Notedebasdepage"/>
      </w:pPr>
      <w:r w:rsidRPr="00803E3B">
        <w:rPr>
          <w:rStyle w:val="Appelnotedebasdep"/>
        </w:rPr>
        <w:footnoteRef/>
      </w:r>
      <w:r w:rsidRPr="003D18B1">
        <w:rPr>
          <w:rFonts w:ascii="Garamond" w:eastAsiaTheme="minorHAnsi" w:hAnsi="Garamond" w:cstheme="majorBidi"/>
          <w:bCs/>
          <w:sz w:val="22"/>
          <w:szCs w:val="22"/>
          <w:lang w:eastAsia="en-US"/>
        </w:rPr>
        <w:t>Ministère de la santé : Enquête sur la Population et la Santé Familiale 2018.</w:t>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w15:presenceInfo w15:providerId="None" w15:userId="hp"/>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0"/>
    <w:footnote w:id="1"/>
  </w:footnotePr>
  <w:endnotePr>
    <w:endnote w:id="0"/>
    <w:endnote w:id="1"/>
  </w:endnotePr>
  <w:compat/>
  <w:rsids>
    <w:rsidRoot w:val="00A872BC"/>
    <w:rsid w:val="0000029E"/>
    <w:rsid w:val="00003814"/>
    <w:rsid w:val="00004598"/>
    <w:rsid w:val="00021B63"/>
    <w:rsid w:val="00027A43"/>
    <w:rsid w:val="00030909"/>
    <w:rsid w:val="00041715"/>
    <w:rsid w:val="00042862"/>
    <w:rsid w:val="000678E2"/>
    <w:rsid w:val="00070E45"/>
    <w:rsid w:val="00074386"/>
    <w:rsid w:val="00090AAD"/>
    <w:rsid w:val="000927B4"/>
    <w:rsid w:val="0009413B"/>
    <w:rsid w:val="000A2187"/>
    <w:rsid w:val="000C0E72"/>
    <w:rsid w:val="000C5DAA"/>
    <w:rsid w:val="000F0B13"/>
    <w:rsid w:val="000F14DF"/>
    <w:rsid w:val="00106D9C"/>
    <w:rsid w:val="001162EA"/>
    <w:rsid w:val="00150DA9"/>
    <w:rsid w:val="00151336"/>
    <w:rsid w:val="001644D1"/>
    <w:rsid w:val="0016455A"/>
    <w:rsid w:val="00173D24"/>
    <w:rsid w:val="00191CB3"/>
    <w:rsid w:val="00194338"/>
    <w:rsid w:val="001959DB"/>
    <w:rsid w:val="001A316E"/>
    <w:rsid w:val="001A62A3"/>
    <w:rsid w:val="001D4630"/>
    <w:rsid w:val="001E4AF7"/>
    <w:rsid w:val="00213853"/>
    <w:rsid w:val="00252E6B"/>
    <w:rsid w:val="002615D5"/>
    <w:rsid w:val="00271D92"/>
    <w:rsid w:val="00297119"/>
    <w:rsid w:val="002A336A"/>
    <w:rsid w:val="002A585B"/>
    <w:rsid w:val="002B3EAB"/>
    <w:rsid w:val="002B7FD0"/>
    <w:rsid w:val="002D08EC"/>
    <w:rsid w:val="003101D1"/>
    <w:rsid w:val="00311577"/>
    <w:rsid w:val="00315318"/>
    <w:rsid w:val="00344CAD"/>
    <w:rsid w:val="00387365"/>
    <w:rsid w:val="003A53FD"/>
    <w:rsid w:val="003D1BF4"/>
    <w:rsid w:val="00400B4F"/>
    <w:rsid w:val="00413150"/>
    <w:rsid w:val="00415EFB"/>
    <w:rsid w:val="00437232"/>
    <w:rsid w:val="00440F54"/>
    <w:rsid w:val="004573B7"/>
    <w:rsid w:val="00477D6A"/>
    <w:rsid w:val="004B572B"/>
    <w:rsid w:val="004C6889"/>
    <w:rsid w:val="004E467D"/>
    <w:rsid w:val="004F5DB7"/>
    <w:rsid w:val="00521FCF"/>
    <w:rsid w:val="0053359D"/>
    <w:rsid w:val="00536625"/>
    <w:rsid w:val="00541C23"/>
    <w:rsid w:val="0055054A"/>
    <w:rsid w:val="0055727A"/>
    <w:rsid w:val="00563964"/>
    <w:rsid w:val="00585FB5"/>
    <w:rsid w:val="00596B2A"/>
    <w:rsid w:val="005A7990"/>
    <w:rsid w:val="005B1FE7"/>
    <w:rsid w:val="005B3EA1"/>
    <w:rsid w:val="005F32F2"/>
    <w:rsid w:val="00624623"/>
    <w:rsid w:val="00625497"/>
    <w:rsid w:val="0062790A"/>
    <w:rsid w:val="006547AC"/>
    <w:rsid w:val="0067354F"/>
    <w:rsid w:val="00684E53"/>
    <w:rsid w:val="00692936"/>
    <w:rsid w:val="0069645D"/>
    <w:rsid w:val="006B687B"/>
    <w:rsid w:val="006B7A1B"/>
    <w:rsid w:val="006C7296"/>
    <w:rsid w:val="006F473D"/>
    <w:rsid w:val="006F4D57"/>
    <w:rsid w:val="00727700"/>
    <w:rsid w:val="00727FE4"/>
    <w:rsid w:val="007503CE"/>
    <w:rsid w:val="00753F0C"/>
    <w:rsid w:val="00755401"/>
    <w:rsid w:val="007B43F6"/>
    <w:rsid w:val="007C235F"/>
    <w:rsid w:val="007C290F"/>
    <w:rsid w:val="007C60FC"/>
    <w:rsid w:val="007D06BF"/>
    <w:rsid w:val="007D126F"/>
    <w:rsid w:val="007D253D"/>
    <w:rsid w:val="00804678"/>
    <w:rsid w:val="008447E1"/>
    <w:rsid w:val="00875C57"/>
    <w:rsid w:val="00882762"/>
    <w:rsid w:val="00885819"/>
    <w:rsid w:val="008C08E3"/>
    <w:rsid w:val="008C47BD"/>
    <w:rsid w:val="008D4B12"/>
    <w:rsid w:val="008F71F2"/>
    <w:rsid w:val="0090286A"/>
    <w:rsid w:val="009033E6"/>
    <w:rsid w:val="00905CBC"/>
    <w:rsid w:val="00917EAF"/>
    <w:rsid w:val="00935B48"/>
    <w:rsid w:val="009502BA"/>
    <w:rsid w:val="00962DC8"/>
    <w:rsid w:val="00963AFB"/>
    <w:rsid w:val="00973FC9"/>
    <w:rsid w:val="009926B2"/>
    <w:rsid w:val="009A3E2F"/>
    <w:rsid w:val="009B2285"/>
    <w:rsid w:val="009C2B55"/>
    <w:rsid w:val="00A01B4E"/>
    <w:rsid w:val="00A04E3A"/>
    <w:rsid w:val="00A054C1"/>
    <w:rsid w:val="00A057A4"/>
    <w:rsid w:val="00A43515"/>
    <w:rsid w:val="00A46D58"/>
    <w:rsid w:val="00A66842"/>
    <w:rsid w:val="00A7119A"/>
    <w:rsid w:val="00A7233E"/>
    <w:rsid w:val="00A76190"/>
    <w:rsid w:val="00A872BC"/>
    <w:rsid w:val="00A932AD"/>
    <w:rsid w:val="00AA2420"/>
    <w:rsid w:val="00AA5850"/>
    <w:rsid w:val="00AB0915"/>
    <w:rsid w:val="00AB440C"/>
    <w:rsid w:val="00AC6160"/>
    <w:rsid w:val="00AC6F41"/>
    <w:rsid w:val="00AD439E"/>
    <w:rsid w:val="00AD5DF9"/>
    <w:rsid w:val="00AD6488"/>
    <w:rsid w:val="00AD7375"/>
    <w:rsid w:val="00B305E4"/>
    <w:rsid w:val="00B36ACD"/>
    <w:rsid w:val="00B4347F"/>
    <w:rsid w:val="00B528DF"/>
    <w:rsid w:val="00B536A3"/>
    <w:rsid w:val="00B55889"/>
    <w:rsid w:val="00B67EF4"/>
    <w:rsid w:val="00B96098"/>
    <w:rsid w:val="00BA00F2"/>
    <w:rsid w:val="00BB06B0"/>
    <w:rsid w:val="00BD1431"/>
    <w:rsid w:val="00BD3B32"/>
    <w:rsid w:val="00BD7ED2"/>
    <w:rsid w:val="00C307C6"/>
    <w:rsid w:val="00C47912"/>
    <w:rsid w:val="00C64752"/>
    <w:rsid w:val="00CA295B"/>
    <w:rsid w:val="00CA295C"/>
    <w:rsid w:val="00CA5B12"/>
    <w:rsid w:val="00CC3C5D"/>
    <w:rsid w:val="00CC4936"/>
    <w:rsid w:val="00CC5D58"/>
    <w:rsid w:val="00CD117B"/>
    <w:rsid w:val="00D16385"/>
    <w:rsid w:val="00D313EB"/>
    <w:rsid w:val="00D35CD7"/>
    <w:rsid w:val="00D75316"/>
    <w:rsid w:val="00D92F15"/>
    <w:rsid w:val="00D958A1"/>
    <w:rsid w:val="00DC00D7"/>
    <w:rsid w:val="00DF100A"/>
    <w:rsid w:val="00E54870"/>
    <w:rsid w:val="00E7304C"/>
    <w:rsid w:val="00E843B9"/>
    <w:rsid w:val="00E924C0"/>
    <w:rsid w:val="00EB07D6"/>
    <w:rsid w:val="00EC0B52"/>
    <w:rsid w:val="00EC3D56"/>
    <w:rsid w:val="00ED6595"/>
    <w:rsid w:val="00EF72D3"/>
    <w:rsid w:val="00F0248B"/>
    <w:rsid w:val="00F255C8"/>
    <w:rsid w:val="00F4192C"/>
    <w:rsid w:val="00F43302"/>
    <w:rsid w:val="00F4379C"/>
    <w:rsid w:val="00F45048"/>
    <w:rsid w:val="00F46DDE"/>
    <w:rsid w:val="00F5113C"/>
    <w:rsid w:val="00F64F5B"/>
    <w:rsid w:val="00F95AD9"/>
    <w:rsid w:val="00FB49E5"/>
    <w:rsid w:val="00FC50CE"/>
    <w:rsid w:val="00FC6E24"/>
    <w:rsid w:val="00FD0CBA"/>
    <w:rsid w:val="00FE4F4E"/>
    <w:rsid w:val="00FE5D3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BF4"/>
  </w:style>
  <w:style w:type="paragraph" w:styleId="Titre7">
    <w:name w:val="heading 7"/>
    <w:basedOn w:val="Normal"/>
    <w:next w:val="Normal"/>
    <w:link w:val="Titre7Car"/>
    <w:uiPriority w:val="9"/>
    <w:semiHidden/>
    <w:unhideWhenUsed/>
    <w:qFormat/>
    <w:rsid w:val="00A7119A"/>
    <w:pPr>
      <w:keepNext/>
      <w:keepLines/>
      <w:spacing w:before="40" w:after="0" w:line="259" w:lineRule="auto"/>
      <w:outlineLvl w:val="6"/>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21">
    <w:name w:val="A2+1"/>
    <w:uiPriority w:val="99"/>
    <w:rsid w:val="00003814"/>
    <w:rPr>
      <w:color w:val="000000"/>
      <w:sz w:val="26"/>
      <w:szCs w:val="26"/>
    </w:rPr>
  </w:style>
  <w:style w:type="table" w:styleId="Grilledutableau">
    <w:name w:val="Table Grid"/>
    <w:basedOn w:val="TableauNormal"/>
    <w:uiPriority w:val="59"/>
    <w:rsid w:val="007C23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F4379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4379C"/>
    <w:rPr>
      <w:rFonts w:ascii="Tahoma" w:hAnsi="Tahoma" w:cs="Tahoma"/>
      <w:sz w:val="16"/>
      <w:szCs w:val="16"/>
    </w:rPr>
  </w:style>
  <w:style w:type="paragraph" w:customStyle="1" w:styleId="Default">
    <w:name w:val="Default"/>
    <w:rsid w:val="00AA5850"/>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semiHidden/>
    <w:unhideWhenUsed/>
    <w:rsid w:val="00A01B4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01B4E"/>
  </w:style>
  <w:style w:type="paragraph" w:styleId="Pieddepage">
    <w:name w:val="footer"/>
    <w:basedOn w:val="Normal"/>
    <w:link w:val="PieddepageCar"/>
    <w:uiPriority w:val="99"/>
    <w:unhideWhenUsed/>
    <w:rsid w:val="00A01B4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01B4E"/>
  </w:style>
  <w:style w:type="paragraph" w:styleId="Rvision">
    <w:name w:val="Revision"/>
    <w:hidden/>
    <w:uiPriority w:val="99"/>
    <w:semiHidden/>
    <w:rsid w:val="00935B48"/>
    <w:pPr>
      <w:spacing w:after="0" w:line="240" w:lineRule="auto"/>
    </w:pPr>
  </w:style>
  <w:style w:type="character" w:customStyle="1" w:styleId="Titre7Car">
    <w:name w:val="Titre 7 Car"/>
    <w:basedOn w:val="Policepardfaut"/>
    <w:link w:val="Titre7"/>
    <w:uiPriority w:val="9"/>
    <w:semiHidden/>
    <w:rsid w:val="00A7119A"/>
    <w:rPr>
      <w:rFonts w:asciiTheme="majorHAnsi" w:eastAsiaTheme="majorEastAsia" w:hAnsiTheme="majorHAnsi" w:cstheme="majorBidi"/>
      <w:i/>
      <w:iCs/>
      <w:color w:val="243F60" w:themeColor="accent1" w:themeShade="7F"/>
    </w:rPr>
  </w:style>
  <w:style w:type="paragraph" w:styleId="Notedebasdepage">
    <w:name w:val="footnote text"/>
    <w:aliases w:val="fn,Footnote Text Char Char Char,Footnote Text Char Char,Fußnote,Car Car,footnote text,Footnotes,Footnote ak,fn Char,Footnotes Char,Footnote ak Char,ft,fn cafc,Footnotes Char Char,fn Char Char,footnote text Char Char Char Ch,fn1,ft1"/>
    <w:basedOn w:val="Normal"/>
    <w:link w:val="NotedebasdepageCar"/>
    <w:uiPriority w:val="99"/>
    <w:unhideWhenUsed/>
    <w:rsid w:val="00A7119A"/>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aliases w:val="fn Car,Footnote Text Char Char Char Car,Footnote Text Char Char Car,Fußnote Car,Car Car Car,footnote text Car,Footnotes Car,Footnote ak Car,fn Char Car,Footnotes Char Car,Footnote ak Char Car,ft Car,fn cafc Car,fn Char Char Car"/>
    <w:basedOn w:val="Policepardfaut"/>
    <w:link w:val="Notedebasdepage"/>
    <w:uiPriority w:val="99"/>
    <w:rsid w:val="00A7119A"/>
    <w:rPr>
      <w:rFonts w:ascii="Times New Roman" w:eastAsia="Times New Roman" w:hAnsi="Times New Roman" w:cs="Times New Roman"/>
      <w:sz w:val="20"/>
      <w:szCs w:val="20"/>
      <w:lang w:eastAsia="fr-FR"/>
    </w:rPr>
  </w:style>
  <w:style w:type="character" w:styleId="Appelnotedebasdep">
    <w:name w:val="footnote reference"/>
    <w:uiPriority w:val="99"/>
    <w:unhideWhenUsed/>
    <w:rsid w:val="00A7119A"/>
    <w:rPr>
      <w:vertAlign w:val="superscript"/>
    </w:rPr>
  </w:style>
  <w:style w:type="paragraph" w:styleId="Paragraphedeliste">
    <w:name w:val="List Paragraph"/>
    <w:basedOn w:val="Normal"/>
    <w:link w:val="ParagraphedelisteCar"/>
    <w:uiPriority w:val="34"/>
    <w:qFormat/>
    <w:rsid w:val="00A7119A"/>
    <w:pPr>
      <w:ind w:left="720"/>
      <w:contextualSpacing/>
    </w:pPr>
  </w:style>
  <w:style w:type="character" w:customStyle="1" w:styleId="ParagraphedelisteCar">
    <w:name w:val="Paragraphe de liste Car"/>
    <w:basedOn w:val="Policepardfaut"/>
    <w:link w:val="Paragraphedeliste"/>
    <w:uiPriority w:val="34"/>
    <w:locked/>
    <w:rsid w:val="00A7119A"/>
  </w:style>
  <w:style w:type="character" w:customStyle="1" w:styleId="ft3">
    <w:name w:val="ft3"/>
    <w:basedOn w:val="Policepardfaut"/>
    <w:rsid w:val="00A7119A"/>
  </w:style>
</w:styles>
</file>

<file path=word/webSettings.xml><?xml version="1.0" encoding="utf-8"?>
<w:webSettings xmlns:r="http://schemas.openxmlformats.org/officeDocument/2006/relationships" xmlns:w="http://schemas.openxmlformats.org/wordprocessingml/2006/main">
  <w:divs>
    <w:div w:id="250822540">
      <w:bodyDiv w:val="1"/>
      <w:marLeft w:val="0"/>
      <w:marRight w:val="0"/>
      <w:marTop w:val="0"/>
      <w:marBottom w:val="0"/>
      <w:divBdr>
        <w:top w:val="none" w:sz="0" w:space="0" w:color="auto"/>
        <w:left w:val="none" w:sz="0" w:space="0" w:color="auto"/>
        <w:bottom w:val="none" w:sz="0" w:space="0" w:color="auto"/>
        <w:right w:val="none" w:sz="0" w:space="0" w:color="auto"/>
      </w:divBdr>
    </w:div>
    <w:div w:id="358046126">
      <w:bodyDiv w:val="1"/>
      <w:marLeft w:val="0"/>
      <w:marRight w:val="0"/>
      <w:marTop w:val="0"/>
      <w:marBottom w:val="0"/>
      <w:divBdr>
        <w:top w:val="none" w:sz="0" w:space="0" w:color="auto"/>
        <w:left w:val="none" w:sz="0" w:space="0" w:color="auto"/>
        <w:bottom w:val="none" w:sz="0" w:space="0" w:color="auto"/>
        <w:right w:val="none" w:sz="0" w:space="0" w:color="auto"/>
      </w:divBdr>
    </w:div>
    <w:div w:id="832375374">
      <w:bodyDiv w:val="1"/>
      <w:marLeft w:val="0"/>
      <w:marRight w:val="0"/>
      <w:marTop w:val="0"/>
      <w:marBottom w:val="0"/>
      <w:divBdr>
        <w:top w:val="none" w:sz="0" w:space="0" w:color="auto"/>
        <w:left w:val="none" w:sz="0" w:space="0" w:color="auto"/>
        <w:bottom w:val="none" w:sz="0" w:space="0" w:color="auto"/>
        <w:right w:val="none" w:sz="0" w:space="0" w:color="auto"/>
      </w:divBdr>
    </w:div>
    <w:div w:id="1211529503">
      <w:bodyDiv w:val="1"/>
      <w:marLeft w:val="0"/>
      <w:marRight w:val="0"/>
      <w:marTop w:val="0"/>
      <w:marBottom w:val="0"/>
      <w:divBdr>
        <w:top w:val="none" w:sz="0" w:space="0" w:color="auto"/>
        <w:left w:val="none" w:sz="0" w:space="0" w:color="auto"/>
        <w:bottom w:val="none" w:sz="0" w:space="0" w:color="auto"/>
        <w:right w:val="none" w:sz="0" w:space="0" w:color="auto"/>
      </w:divBdr>
    </w:div>
    <w:div w:id="196766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webSettings" Target="webSettings.xml"/><Relationship Id="rId7" Type="http://schemas.openxmlformats.org/officeDocument/2006/relationships/oleObject" Target="embeddings/oleObject1.bin"/><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1%20Octobre%202021\Pyramide%20d'ag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barChart>
        <c:barDir val="col"/>
        <c:grouping val="clustered"/>
        <c:ser>
          <c:idx val="0"/>
          <c:order val="0"/>
          <c:tx>
            <c:strRef>
              <c:f>PA!$A$33</c:f>
              <c:strCache>
                <c:ptCount val="1"/>
                <c:pt idx="0">
                  <c:v>2021</c:v>
                </c:pt>
              </c:strCache>
            </c:strRef>
          </c:tx>
          <c:spPr>
            <a:solidFill>
              <a:schemeClr val="accent1"/>
            </a:solidFill>
            <a:ln>
              <a:noFill/>
            </a:ln>
            <a:effectLst/>
          </c:spP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PA!$B$32:$C$32</c:f>
              <c:strCache>
                <c:ptCount val="2"/>
                <c:pt idx="0">
                  <c:v>Personne âgées avec au moins une maladie chronique</c:v>
                </c:pt>
                <c:pt idx="1">
                  <c:v>Personne âgées avec une incapacité fonctionnelle </c:v>
                </c:pt>
              </c:strCache>
            </c:strRef>
          </c:cat>
          <c:val>
            <c:numRef>
              <c:f>PA!$B$33:$C$33</c:f>
              <c:numCache>
                <c:formatCode>0.0</c:formatCode>
                <c:ptCount val="2"/>
                <c:pt idx="0">
                  <c:v>2.722</c:v>
                </c:pt>
                <c:pt idx="1">
                  <c:v>1.885</c:v>
                </c:pt>
              </c:numCache>
            </c:numRef>
          </c:val>
          <c:extLst xmlns:c16r2="http://schemas.microsoft.com/office/drawing/2015/06/chart">
            <c:ext xmlns:c16="http://schemas.microsoft.com/office/drawing/2014/chart" uri="{C3380CC4-5D6E-409C-BE32-E72D297353CC}">
              <c16:uniqueId val="{00000000-25B8-4FFE-8687-1414DB0DDB9B}"/>
            </c:ext>
          </c:extLst>
        </c:ser>
        <c:ser>
          <c:idx val="1"/>
          <c:order val="1"/>
          <c:tx>
            <c:strRef>
              <c:f>PA!$A$34</c:f>
              <c:strCache>
                <c:ptCount val="1"/>
                <c:pt idx="0">
                  <c:v>2030</c:v>
                </c:pt>
              </c:strCache>
            </c:strRef>
          </c:tx>
          <c:spPr>
            <a:solidFill>
              <a:schemeClr val="accent2"/>
            </a:solidFill>
            <a:ln>
              <a:noFill/>
            </a:ln>
            <a:effectLst/>
          </c:spP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PA!$B$32:$C$32</c:f>
              <c:strCache>
                <c:ptCount val="2"/>
                <c:pt idx="0">
                  <c:v>Personne âgées avec au moins une maladie chronique</c:v>
                </c:pt>
                <c:pt idx="1">
                  <c:v>Personne âgées avec une incapacité fonctionnelle </c:v>
                </c:pt>
              </c:strCache>
            </c:strRef>
          </c:cat>
          <c:val>
            <c:numRef>
              <c:f>PA!$B$34:$C$34</c:f>
              <c:numCache>
                <c:formatCode>0.0</c:formatCode>
                <c:ptCount val="2"/>
                <c:pt idx="0">
                  <c:v>3.9059999999999997</c:v>
                </c:pt>
                <c:pt idx="1">
                  <c:v>2.7749999999999999</c:v>
                </c:pt>
              </c:numCache>
            </c:numRef>
          </c:val>
          <c:extLst xmlns:c16r2="http://schemas.microsoft.com/office/drawing/2015/06/chart">
            <c:ext xmlns:c16="http://schemas.microsoft.com/office/drawing/2014/chart" uri="{C3380CC4-5D6E-409C-BE32-E72D297353CC}">
              <c16:uniqueId val="{00000001-25B8-4FFE-8687-1414DB0DDB9B}"/>
            </c:ext>
          </c:extLst>
        </c:ser>
        <c:gapWidth val="219"/>
        <c:overlap val="-27"/>
        <c:axId val="75742208"/>
        <c:axId val="75753728"/>
      </c:barChart>
      <c:catAx>
        <c:axId val="7574220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crossAx val="75753728"/>
        <c:crosses val="autoZero"/>
        <c:auto val="1"/>
        <c:lblAlgn val="ctr"/>
        <c:lblOffset val="100"/>
      </c:catAx>
      <c:valAx>
        <c:axId val="75753728"/>
        <c:scaling>
          <c:orientation val="minMax"/>
        </c:scaling>
        <c:delete val="1"/>
        <c:axPos val="l"/>
        <c:majorGridlines>
          <c:spPr>
            <a:ln w="9525" cap="flat" cmpd="sng" algn="ctr">
              <a:solidFill>
                <a:schemeClr val="tx1">
                  <a:lumMod val="15000"/>
                  <a:lumOff val="85000"/>
                </a:schemeClr>
              </a:solidFill>
              <a:round/>
            </a:ln>
            <a:effectLst/>
          </c:spPr>
        </c:majorGridlines>
        <c:numFmt formatCode="0.0" sourceLinked="1"/>
        <c:majorTickMark val="none"/>
        <c:tickLblPos val="nextTo"/>
        <c:crossAx val="7574220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fr-FR"/>
    </a:p>
  </c:txPr>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981</Words>
  <Characters>5400</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ROUIHA</dc:creator>
  <cp:lastModifiedBy>hp</cp:lastModifiedBy>
  <cp:revision>11</cp:revision>
  <cp:lastPrinted>2017-06-15T10:02:00Z</cp:lastPrinted>
  <dcterms:created xsi:type="dcterms:W3CDTF">2021-09-30T22:38:00Z</dcterms:created>
  <dcterms:modified xsi:type="dcterms:W3CDTF">2021-09-30T22:55:00Z</dcterms:modified>
</cp:coreProperties>
</file>