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B9" w:rsidRPr="00BD2429" w:rsidRDefault="004C3DB9" w:rsidP="004C3DB9">
      <w:pPr>
        <w:jc w:val="center"/>
        <w:rPr>
          <w:rFonts w:ascii="Times New Roman" w:hAnsi="Times New Roman" w:cs="Times New Roman"/>
          <w:b/>
          <w:bCs/>
          <w:color w:val="0000FF"/>
          <w:sz w:val="28"/>
          <w:szCs w:val="28"/>
        </w:rPr>
      </w:pPr>
      <w:r w:rsidRPr="00BD2429">
        <w:rPr>
          <w:rFonts w:ascii="Times New Roman" w:hAnsi="Times New Roman" w:cs="Times New Roman"/>
          <w:b/>
          <w:bCs/>
          <w:color w:val="0000FF"/>
          <w:sz w:val="28"/>
          <w:szCs w:val="28"/>
        </w:rPr>
        <w:t>QUELQUES CARACTERISTIQUES DES P</w:t>
      </w:r>
      <w:r>
        <w:rPr>
          <w:rFonts w:ascii="Times New Roman" w:hAnsi="Times New Roman" w:cs="Times New Roman"/>
          <w:b/>
          <w:bCs/>
          <w:color w:val="0000FF"/>
          <w:sz w:val="28"/>
          <w:szCs w:val="28"/>
        </w:rPr>
        <w:t>RIMO-VOTANTS</w:t>
      </w:r>
      <w:r w:rsidRPr="00BD2429">
        <w:rPr>
          <w:rFonts w:ascii="Times New Roman" w:hAnsi="Times New Roman" w:cs="Times New Roman"/>
          <w:b/>
          <w:bCs/>
          <w:color w:val="0000FF"/>
          <w:sz w:val="28"/>
          <w:szCs w:val="28"/>
        </w:rPr>
        <w:t xml:space="preserve"> AUX E</w:t>
      </w:r>
      <w:r>
        <w:rPr>
          <w:rFonts w:ascii="Times New Roman" w:hAnsi="Times New Roman" w:cs="Times New Roman"/>
          <w:b/>
          <w:bCs/>
          <w:color w:val="0000FF"/>
          <w:sz w:val="28"/>
          <w:szCs w:val="28"/>
        </w:rPr>
        <w:t>LECTIONS DE 2021</w:t>
      </w:r>
    </w:p>
    <w:p w:rsidR="004C3DB9" w:rsidRPr="005A7892" w:rsidRDefault="004674B8" w:rsidP="004C3DB9">
      <w:pPr>
        <w:jc w:val="center"/>
        <w:rPr>
          <w:rFonts w:ascii="Book Antiqua" w:eastAsia="Calibri" w:hAnsi="Book Antiqua"/>
          <w:sz w:val="24"/>
          <w:szCs w:val="24"/>
        </w:rPr>
      </w:pPr>
      <w:r>
        <w:rPr>
          <w:rFonts w:ascii="Book Antiqua" w:eastAsia="Calibri" w:hAnsi="Book Antiqua"/>
          <w:sz w:val="24"/>
          <w:szCs w:val="24"/>
        </w:rPr>
        <w:t xml:space="preserve">                     </w:t>
      </w:r>
    </w:p>
    <w:p w:rsidR="004C3DB9" w:rsidRPr="005A7892" w:rsidRDefault="004C3DB9" w:rsidP="004C3DB9">
      <w:pPr>
        <w:spacing w:before="240" w:line="312" w:lineRule="auto"/>
        <w:jc w:val="both"/>
        <w:rPr>
          <w:rFonts w:ascii="Book Antiqua" w:hAnsi="Book Antiqua" w:cs="Times New Roman"/>
          <w:sz w:val="24"/>
          <w:szCs w:val="24"/>
        </w:rPr>
      </w:pPr>
      <w:r w:rsidRPr="005A7892">
        <w:rPr>
          <w:rFonts w:ascii="Book Antiqua" w:hAnsi="Book Antiqua" w:cs="Times New Roman"/>
          <w:sz w:val="24"/>
          <w:szCs w:val="24"/>
        </w:rPr>
        <w:t xml:space="preserve">A l’occasion des </w:t>
      </w:r>
      <w:r w:rsidR="00AB5BAA" w:rsidRPr="005A7892">
        <w:rPr>
          <w:rFonts w:ascii="Book Antiqua" w:hAnsi="Book Antiqua" w:cs="Times New Roman"/>
          <w:sz w:val="24"/>
          <w:szCs w:val="24"/>
        </w:rPr>
        <w:t xml:space="preserve">triples </w:t>
      </w:r>
      <w:r w:rsidRPr="005A7892">
        <w:rPr>
          <w:rFonts w:ascii="Book Antiqua" w:hAnsi="Book Antiqua" w:cs="Times New Roman"/>
          <w:sz w:val="24"/>
          <w:szCs w:val="24"/>
        </w:rPr>
        <w:t>élections législatives, régionales et communales prévues le 8 septembre 2021, le Haut-commissariat au Plan (HCP) présente quelques données relatives au paysage électoral de 2021. Il s’agit, notamment, d’une analyse de la population marocaine en âge de voter en mettant l'accent sur les primo-votants.</w:t>
      </w:r>
    </w:p>
    <w:p w:rsidR="004C3DB9" w:rsidRPr="005A7892" w:rsidRDefault="004C3DB9" w:rsidP="0049228C">
      <w:pPr>
        <w:spacing w:before="240" w:line="312" w:lineRule="auto"/>
        <w:jc w:val="both"/>
        <w:rPr>
          <w:rFonts w:ascii="Book Antiqua" w:hAnsi="Book Antiqua" w:cs="Times New Roman"/>
          <w:sz w:val="24"/>
          <w:szCs w:val="24"/>
        </w:rPr>
      </w:pPr>
      <w:r w:rsidRPr="005A7892">
        <w:rPr>
          <w:rFonts w:ascii="Book Antiqua" w:hAnsi="Book Antiqua" w:cs="Times New Roman"/>
          <w:sz w:val="24"/>
          <w:szCs w:val="24"/>
        </w:rPr>
        <w:t>La population en âge de voter s’élève à près de 25,</w:t>
      </w:r>
      <w:r w:rsidR="007969E6" w:rsidRPr="005A7892">
        <w:rPr>
          <w:rFonts w:ascii="Book Antiqua" w:hAnsi="Book Antiqua" w:cs="Times New Roman"/>
          <w:sz w:val="24"/>
          <w:szCs w:val="24"/>
        </w:rPr>
        <w:t>226</w:t>
      </w:r>
      <w:r w:rsidRPr="005A7892">
        <w:rPr>
          <w:rFonts w:ascii="Book Antiqua" w:hAnsi="Book Antiqua" w:cs="Times New Roman"/>
          <w:sz w:val="24"/>
          <w:szCs w:val="24"/>
        </w:rPr>
        <w:t xml:space="preserve"> millions de Marocains (contre 23,21</w:t>
      </w:r>
      <w:r w:rsidR="0049228C" w:rsidRPr="005A7892">
        <w:rPr>
          <w:rFonts w:ascii="Book Antiqua" w:hAnsi="Book Antiqua" w:cs="Times New Roman"/>
          <w:sz w:val="24"/>
          <w:szCs w:val="24"/>
        </w:rPr>
        <w:t>1</w:t>
      </w:r>
      <w:r w:rsidRPr="005A7892">
        <w:rPr>
          <w:rFonts w:ascii="Book Antiqua" w:hAnsi="Book Antiqua" w:cs="Times New Roman"/>
          <w:sz w:val="24"/>
          <w:szCs w:val="24"/>
        </w:rPr>
        <w:t xml:space="preserve"> millions en 2016, avec une différence de 2 millions) ce qui représente 69,5% de la population totale du Maroc, dont un peu plus de la moitié sont des femmes (12,801 millions et 50,7%). Ces électeurs potentiels seraient en majorité des citadins avec un effectif de 16,68</w:t>
      </w:r>
      <w:r w:rsidR="00AD79E2" w:rsidRPr="005A7892">
        <w:rPr>
          <w:rFonts w:ascii="Book Antiqua" w:hAnsi="Book Antiqua" w:cs="Times New Roman"/>
          <w:sz w:val="24"/>
          <w:szCs w:val="24"/>
        </w:rPr>
        <w:t>3</w:t>
      </w:r>
      <w:r w:rsidRPr="005A7892">
        <w:rPr>
          <w:rFonts w:ascii="Book Antiqua" w:hAnsi="Book Antiqua" w:cs="Times New Roman"/>
          <w:sz w:val="24"/>
          <w:szCs w:val="24"/>
        </w:rPr>
        <w:t xml:space="preserve"> millions représentant 66,1% de l’ensemble de l’électorat de 2021.</w:t>
      </w:r>
    </w:p>
    <w:p w:rsidR="007F37A0" w:rsidRPr="005A7892" w:rsidRDefault="00660530" w:rsidP="0088106D">
      <w:pPr>
        <w:spacing w:before="240" w:line="312" w:lineRule="auto"/>
        <w:jc w:val="both"/>
        <w:rPr>
          <w:rFonts w:ascii="Book Antiqua" w:hAnsi="Book Antiqua" w:cs="Times New Roman"/>
          <w:sz w:val="24"/>
          <w:szCs w:val="24"/>
        </w:rPr>
      </w:pPr>
      <w:r w:rsidRPr="005A7892">
        <w:rPr>
          <w:rFonts w:ascii="Book Antiqua" w:hAnsi="Book Antiqua" w:cs="Times New Roman"/>
          <w:sz w:val="24"/>
          <w:szCs w:val="24"/>
        </w:rPr>
        <w:t>Selon les listes électorales arrêtées au 31 juillet 2021, on com</w:t>
      </w:r>
      <w:r w:rsidR="00B50568" w:rsidRPr="005A7892">
        <w:rPr>
          <w:rFonts w:ascii="Book Antiqua" w:hAnsi="Book Antiqua" w:cs="Times New Roman"/>
          <w:sz w:val="24"/>
          <w:szCs w:val="24"/>
        </w:rPr>
        <w:t>p</w:t>
      </w:r>
      <w:r w:rsidRPr="005A7892">
        <w:rPr>
          <w:rFonts w:ascii="Book Antiqua" w:hAnsi="Book Antiqua" w:cs="Times New Roman"/>
          <w:sz w:val="24"/>
          <w:szCs w:val="24"/>
        </w:rPr>
        <w:t>te 17,509 millions de personnes inscrit</w:t>
      </w:r>
      <w:r w:rsidR="00FB4E6F" w:rsidRPr="005A7892">
        <w:rPr>
          <w:rFonts w:ascii="Book Antiqua" w:hAnsi="Book Antiqua" w:cs="Times New Roman"/>
          <w:sz w:val="24"/>
          <w:szCs w:val="24"/>
        </w:rPr>
        <w:t>e</w:t>
      </w:r>
      <w:r w:rsidRPr="005A7892">
        <w:rPr>
          <w:rFonts w:ascii="Book Antiqua" w:hAnsi="Book Antiqua" w:cs="Times New Roman"/>
          <w:sz w:val="24"/>
          <w:szCs w:val="24"/>
        </w:rPr>
        <w:t xml:space="preserve">s à ces listes, soit un taux d’inscription de 69,4%. Ce taux est plus élevé en milieu rural (8,054 </w:t>
      </w:r>
      <w:r w:rsidR="00B67D4C">
        <w:rPr>
          <w:rFonts w:ascii="Book Antiqua" w:hAnsi="Book Antiqua" w:cs="Times New Roman"/>
          <w:sz w:val="24"/>
          <w:szCs w:val="24"/>
        </w:rPr>
        <w:t xml:space="preserve">millions </w:t>
      </w:r>
      <w:r w:rsidR="000B7121" w:rsidRPr="005A7892">
        <w:rPr>
          <w:rFonts w:ascii="Book Antiqua" w:hAnsi="Book Antiqua" w:cs="Times New Roman"/>
          <w:sz w:val="24"/>
          <w:szCs w:val="24"/>
        </w:rPr>
        <w:t>inscrits ;</w:t>
      </w:r>
      <w:r w:rsidRPr="005A7892">
        <w:rPr>
          <w:rFonts w:ascii="Book Antiqua" w:hAnsi="Book Antiqua" w:cs="Times New Roman"/>
          <w:sz w:val="24"/>
          <w:szCs w:val="24"/>
        </w:rPr>
        <w:t xml:space="preserve"> 94,3%), qu’en milieu urbain (9,455 millions d’inscrits, 56,7%)</w:t>
      </w:r>
      <w:r w:rsidR="001C3C76" w:rsidRPr="005A7892">
        <w:rPr>
          <w:rFonts w:ascii="Book Antiqua" w:hAnsi="Book Antiqua" w:cs="Times New Roman"/>
          <w:sz w:val="24"/>
          <w:szCs w:val="24"/>
        </w:rPr>
        <w:t>. Selon le genre</w:t>
      </w:r>
      <w:r w:rsidR="00B50568" w:rsidRPr="005A7892">
        <w:rPr>
          <w:rFonts w:ascii="Book Antiqua" w:hAnsi="Book Antiqua" w:cs="Times New Roman"/>
          <w:sz w:val="24"/>
          <w:szCs w:val="24"/>
        </w:rPr>
        <w:t>,</w:t>
      </w:r>
      <w:r w:rsidR="001C3C76" w:rsidRPr="005A7892">
        <w:rPr>
          <w:rFonts w:ascii="Book Antiqua" w:hAnsi="Book Antiqua" w:cs="Times New Roman"/>
          <w:sz w:val="24"/>
          <w:szCs w:val="24"/>
        </w:rPr>
        <w:t xml:space="preserve"> il y a plus d'hommes inscrits </w:t>
      </w:r>
      <w:r w:rsidRPr="005A7892">
        <w:rPr>
          <w:rFonts w:ascii="Book Antiqua" w:hAnsi="Book Antiqua" w:cs="Times New Roman"/>
          <w:sz w:val="24"/>
          <w:szCs w:val="24"/>
        </w:rPr>
        <w:t>(9,455</w:t>
      </w:r>
      <w:r w:rsidR="00CB5D40" w:rsidRPr="005A7892">
        <w:rPr>
          <w:rFonts w:ascii="Book Antiqua" w:hAnsi="Book Antiqua" w:cs="Times New Roman"/>
          <w:sz w:val="24"/>
          <w:szCs w:val="24"/>
        </w:rPr>
        <w:t xml:space="preserve"> million</w:t>
      </w:r>
      <w:r w:rsidRPr="005A7892">
        <w:rPr>
          <w:rFonts w:ascii="Book Antiqua" w:hAnsi="Book Antiqua" w:cs="Times New Roman"/>
          <w:sz w:val="24"/>
          <w:szCs w:val="24"/>
        </w:rPr>
        <w:t xml:space="preserve"> inscrits</w:t>
      </w:r>
      <w:r w:rsidR="001C3C76" w:rsidRPr="005A7892">
        <w:rPr>
          <w:rFonts w:ascii="Book Antiqua" w:hAnsi="Book Antiqua" w:cs="Times New Roman"/>
          <w:sz w:val="24"/>
          <w:szCs w:val="24"/>
        </w:rPr>
        <w:t>, 76,1%</w:t>
      </w:r>
      <w:r w:rsidRPr="005A7892">
        <w:rPr>
          <w:rFonts w:ascii="Book Antiqua" w:hAnsi="Book Antiqua" w:cs="Times New Roman"/>
          <w:sz w:val="24"/>
          <w:szCs w:val="24"/>
        </w:rPr>
        <w:t xml:space="preserve">) que </w:t>
      </w:r>
      <w:r w:rsidR="001C3C76" w:rsidRPr="005A7892">
        <w:rPr>
          <w:rFonts w:ascii="Book Antiqua" w:hAnsi="Book Antiqua" w:cs="Times New Roman"/>
          <w:sz w:val="24"/>
          <w:szCs w:val="24"/>
        </w:rPr>
        <w:t xml:space="preserve">de femmes </w:t>
      </w:r>
      <w:r w:rsidRPr="005A7892">
        <w:rPr>
          <w:rFonts w:ascii="Book Antiqua" w:hAnsi="Book Antiqua" w:cs="Times New Roman"/>
          <w:sz w:val="24"/>
          <w:szCs w:val="24"/>
        </w:rPr>
        <w:t>(8,054</w:t>
      </w:r>
      <w:r w:rsidR="00CB5D40" w:rsidRPr="005A7892">
        <w:rPr>
          <w:rFonts w:ascii="Book Antiqua" w:hAnsi="Book Antiqua" w:cs="Times New Roman"/>
          <w:sz w:val="24"/>
          <w:szCs w:val="24"/>
        </w:rPr>
        <w:t xml:space="preserve"> millions </w:t>
      </w:r>
      <w:r w:rsidRPr="005A7892">
        <w:rPr>
          <w:rFonts w:ascii="Book Antiqua" w:hAnsi="Book Antiqua" w:cs="Times New Roman"/>
          <w:sz w:val="24"/>
          <w:szCs w:val="24"/>
        </w:rPr>
        <w:t>inscrit</w:t>
      </w:r>
      <w:r w:rsidR="001C3C76" w:rsidRPr="005A7892">
        <w:rPr>
          <w:rFonts w:ascii="Book Antiqua" w:hAnsi="Book Antiqua" w:cs="Times New Roman"/>
          <w:sz w:val="24"/>
          <w:szCs w:val="24"/>
        </w:rPr>
        <w:t>e</w:t>
      </w:r>
      <w:r w:rsidRPr="005A7892">
        <w:rPr>
          <w:rFonts w:ascii="Book Antiqua" w:hAnsi="Book Antiqua" w:cs="Times New Roman"/>
          <w:sz w:val="24"/>
          <w:szCs w:val="24"/>
        </w:rPr>
        <w:t>s</w:t>
      </w:r>
      <w:r w:rsidR="001C3C76" w:rsidRPr="005A7892">
        <w:rPr>
          <w:rFonts w:ascii="Book Antiqua" w:hAnsi="Book Antiqua" w:cs="Times New Roman"/>
          <w:sz w:val="24"/>
          <w:szCs w:val="24"/>
        </w:rPr>
        <w:t>, 62,9%</w:t>
      </w:r>
      <w:r w:rsidRPr="005A7892">
        <w:rPr>
          <w:rFonts w:ascii="Book Antiqua" w:hAnsi="Book Antiqua" w:cs="Times New Roman"/>
          <w:sz w:val="24"/>
          <w:szCs w:val="24"/>
        </w:rPr>
        <w:t>)</w:t>
      </w:r>
      <w:r w:rsidR="001C3C76" w:rsidRPr="005A7892">
        <w:rPr>
          <w:rFonts w:ascii="Book Antiqua" w:hAnsi="Book Antiqua" w:cs="Times New Roman"/>
          <w:sz w:val="24"/>
          <w:szCs w:val="24"/>
        </w:rPr>
        <w:t xml:space="preserve">. </w:t>
      </w:r>
      <w:r w:rsidR="00FB4E6F" w:rsidRPr="005A7892">
        <w:rPr>
          <w:rFonts w:ascii="Book Antiqua" w:hAnsi="Book Antiqua" w:cs="Times New Roman"/>
          <w:sz w:val="24"/>
          <w:szCs w:val="24"/>
        </w:rPr>
        <w:t>Également</w:t>
      </w:r>
      <w:r w:rsidR="0088106D" w:rsidRPr="005A7892">
        <w:rPr>
          <w:rFonts w:ascii="Book Antiqua" w:hAnsi="Book Antiqua" w:cs="Times New Roman"/>
          <w:sz w:val="24"/>
          <w:szCs w:val="24"/>
        </w:rPr>
        <w:t xml:space="preserve">, </w:t>
      </w:r>
      <w:r w:rsidR="00FB4E6F" w:rsidRPr="005A7892">
        <w:rPr>
          <w:rFonts w:ascii="Book Antiqua" w:hAnsi="Book Antiqua" w:cs="Times New Roman"/>
          <w:sz w:val="24"/>
          <w:szCs w:val="24"/>
        </w:rPr>
        <w:t>à</w:t>
      </w:r>
      <w:r w:rsidR="00294567" w:rsidRPr="005A7892">
        <w:rPr>
          <w:rFonts w:ascii="Book Antiqua" w:hAnsi="Book Antiqua" w:cs="Times New Roman"/>
          <w:sz w:val="24"/>
          <w:szCs w:val="24"/>
        </w:rPr>
        <w:t xml:space="preserve"> mesure que l'âge augmente, l</w:t>
      </w:r>
      <w:r w:rsidR="001C3C76" w:rsidRPr="005A7892">
        <w:rPr>
          <w:rFonts w:ascii="Book Antiqua" w:hAnsi="Book Antiqua" w:cs="Times New Roman"/>
          <w:sz w:val="24"/>
          <w:szCs w:val="24"/>
        </w:rPr>
        <w:t xml:space="preserve">e taux d'inscription </w:t>
      </w:r>
      <w:r w:rsidR="00294567" w:rsidRPr="005A7892">
        <w:rPr>
          <w:rFonts w:ascii="Book Antiqua" w:hAnsi="Book Antiqua" w:cs="Times New Roman"/>
          <w:sz w:val="24"/>
          <w:szCs w:val="24"/>
        </w:rPr>
        <w:t>s'élève</w:t>
      </w:r>
      <w:r w:rsidR="007F37A0" w:rsidRPr="005A7892">
        <w:rPr>
          <w:rFonts w:ascii="Book Antiqua" w:hAnsi="Book Antiqua" w:cs="Times New Roman"/>
          <w:sz w:val="24"/>
          <w:szCs w:val="24"/>
        </w:rPr>
        <w:t>, passant de 33,6% pour les 18-24 ans à 94,4% pour les 60 ans et plus.</w:t>
      </w:r>
    </w:p>
    <w:p w:rsidR="005A7892" w:rsidRPr="005A7892" w:rsidRDefault="005A7892" w:rsidP="005A7892">
      <w:pPr>
        <w:spacing w:after="0" w:line="312" w:lineRule="auto"/>
        <w:jc w:val="center"/>
        <w:rPr>
          <w:rFonts w:ascii="Book Antiqua" w:hAnsi="Book Antiqua" w:cs="Times New Roman"/>
          <w:b/>
          <w:bCs/>
          <w:sz w:val="24"/>
          <w:szCs w:val="24"/>
        </w:rPr>
      </w:pPr>
      <w:r>
        <w:rPr>
          <w:rFonts w:ascii="Book Antiqua" w:hAnsi="Book Antiqua" w:cs="Times New Roman"/>
          <w:b/>
          <w:bCs/>
          <w:sz w:val="24"/>
          <w:szCs w:val="24"/>
        </w:rPr>
        <w:t xml:space="preserve">Graphique </w:t>
      </w:r>
      <w:r w:rsidRPr="005A7892">
        <w:rPr>
          <w:rFonts w:ascii="Book Antiqua" w:hAnsi="Book Antiqua" w:cs="Times New Roman"/>
          <w:b/>
          <w:bCs/>
          <w:sz w:val="24"/>
          <w:szCs w:val="24"/>
        </w:rPr>
        <w:t>1 : Taux d’inscription aux listes électorales (en %)</w:t>
      </w:r>
    </w:p>
    <w:p w:rsidR="005A7892" w:rsidRDefault="005A7892" w:rsidP="005A7892">
      <w:pPr>
        <w:spacing w:after="0" w:line="312" w:lineRule="auto"/>
        <w:jc w:val="center"/>
        <w:rPr>
          <w:rFonts w:ascii="Book Antiqua" w:hAnsi="Book Antiqua" w:cs="Times New Roman"/>
          <w:sz w:val="24"/>
          <w:szCs w:val="24"/>
        </w:rPr>
      </w:pPr>
      <w:r>
        <w:rPr>
          <w:noProof/>
        </w:rPr>
        <w:drawing>
          <wp:inline distT="0" distB="0" distL="0" distR="0">
            <wp:extent cx="5015552" cy="2292824"/>
            <wp:effectExtent l="0" t="0" r="0" b="0"/>
            <wp:docPr id="1" name="Graphique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CAC34DD-66B3-42A9-8650-4D99CCEFF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C3DB9" w:rsidRDefault="00CD2F87" w:rsidP="00CD2F87">
      <w:pPr>
        <w:spacing w:before="240" w:line="312" w:lineRule="auto"/>
        <w:jc w:val="both"/>
        <w:rPr>
          <w:rFonts w:ascii="Book Antiqua" w:hAnsi="Book Antiqua" w:cs="Times New Roman"/>
          <w:sz w:val="24"/>
          <w:szCs w:val="24"/>
        </w:rPr>
      </w:pPr>
      <w:r w:rsidRPr="00266C2B">
        <w:rPr>
          <w:rFonts w:ascii="Book Antiqua" w:hAnsi="Book Antiqua" w:cs="Times New Roman"/>
          <w:sz w:val="24"/>
          <w:szCs w:val="24"/>
        </w:rPr>
        <w:t>Chaque nouvelle élection est l’occasion d’un renouvellement générationnel du corps électoral</w:t>
      </w:r>
      <w:r w:rsidR="00F71048" w:rsidRPr="00266C2B">
        <w:rPr>
          <w:rFonts w:ascii="Book Antiqua" w:hAnsi="Book Antiqua" w:cs="Times New Roman"/>
          <w:sz w:val="24"/>
          <w:szCs w:val="24"/>
        </w:rPr>
        <w:t xml:space="preserve">. </w:t>
      </w:r>
      <w:r w:rsidR="00367256" w:rsidRPr="00266C2B">
        <w:rPr>
          <w:rFonts w:ascii="Book Antiqua" w:hAnsi="Book Antiqua" w:cs="Times New Roman"/>
          <w:sz w:val="24"/>
          <w:szCs w:val="24"/>
        </w:rPr>
        <w:t xml:space="preserve">Les </w:t>
      </w:r>
      <w:r>
        <w:rPr>
          <w:rFonts w:ascii="Book Antiqua" w:hAnsi="Book Antiqua" w:cs="Times New Roman"/>
          <w:sz w:val="24"/>
          <w:szCs w:val="24"/>
        </w:rPr>
        <w:t>primo-votants</w:t>
      </w:r>
      <w:r w:rsidR="000B34BE">
        <w:rPr>
          <w:rFonts w:ascii="Book Antiqua" w:hAnsi="Book Antiqua" w:cs="Times New Roman"/>
          <w:sz w:val="24"/>
          <w:szCs w:val="24"/>
        </w:rPr>
        <w:t xml:space="preserve"> </w:t>
      </w:r>
      <w:r w:rsidR="00350A6B">
        <w:rPr>
          <w:rFonts w:ascii="Book Antiqua" w:hAnsi="Book Antiqua" w:cs="Times New Roman"/>
          <w:sz w:val="24"/>
          <w:szCs w:val="24"/>
        </w:rPr>
        <w:t xml:space="preserve">comptent 3,002 millions d’individus et </w:t>
      </w:r>
      <w:r w:rsidR="004A204E">
        <w:rPr>
          <w:rFonts w:ascii="Book Antiqua" w:hAnsi="Book Antiqua" w:cs="Times New Roman"/>
          <w:sz w:val="24"/>
          <w:szCs w:val="24"/>
        </w:rPr>
        <w:t>constituent</w:t>
      </w:r>
      <w:r w:rsidR="000B34BE">
        <w:rPr>
          <w:rFonts w:ascii="Book Antiqua" w:hAnsi="Book Antiqua" w:cs="Times New Roman"/>
          <w:sz w:val="24"/>
          <w:szCs w:val="24"/>
        </w:rPr>
        <w:t xml:space="preserve"> </w:t>
      </w:r>
      <w:r w:rsidR="004C3DB9">
        <w:rPr>
          <w:rFonts w:ascii="Book Antiqua" w:hAnsi="Book Antiqua" w:cs="Times New Roman"/>
          <w:sz w:val="24"/>
          <w:szCs w:val="24"/>
        </w:rPr>
        <w:t xml:space="preserve">près de 11,9% </w:t>
      </w:r>
      <w:r>
        <w:rPr>
          <w:rFonts w:ascii="Book Antiqua" w:hAnsi="Book Antiqua" w:cs="Times New Roman"/>
          <w:sz w:val="24"/>
          <w:szCs w:val="24"/>
        </w:rPr>
        <w:t>de la population en âge de voter</w:t>
      </w:r>
      <w:r w:rsidR="00350A6B">
        <w:rPr>
          <w:rFonts w:ascii="Book Antiqua" w:hAnsi="Book Antiqua" w:cs="Times New Roman"/>
          <w:sz w:val="24"/>
          <w:szCs w:val="24"/>
        </w:rPr>
        <w:t>.</w:t>
      </w:r>
      <w:r w:rsidR="004C3DB9">
        <w:rPr>
          <w:rFonts w:ascii="Book Antiqua" w:hAnsi="Book Antiqua" w:cs="Times New Roman"/>
          <w:sz w:val="24"/>
          <w:szCs w:val="24"/>
        </w:rPr>
        <w:t xml:space="preserve"> Il s'agit des </w:t>
      </w:r>
      <w:r w:rsidR="004C3DB9" w:rsidRPr="00BD2429">
        <w:rPr>
          <w:rFonts w:ascii="Book Antiqua" w:hAnsi="Book Antiqua" w:cs="Times New Roman"/>
          <w:sz w:val="24"/>
          <w:szCs w:val="24"/>
        </w:rPr>
        <w:t xml:space="preserve">jeunes </w:t>
      </w:r>
      <w:r w:rsidR="004C3DB9">
        <w:rPr>
          <w:rFonts w:ascii="Book Antiqua" w:hAnsi="Book Antiqua" w:cs="Times New Roman"/>
          <w:sz w:val="24"/>
          <w:szCs w:val="24"/>
        </w:rPr>
        <w:t xml:space="preserve">entre 18 et 22 ans </w:t>
      </w:r>
      <w:r w:rsidR="004C3DB9" w:rsidRPr="00BD2429">
        <w:rPr>
          <w:rFonts w:ascii="Book Antiqua" w:hAnsi="Book Antiqua" w:cs="Times New Roman"/>
          <w:sz w:val="24"/>
          <w:szCs w:val="24"/>
        </w:rPr>
        <w:t xml:space="preserve">qui </w:t>
      </w:r>
      <w:r w:rsidR="004C3DB9" w:rsidRPr="00BD2429">
        <w:rPr>
          <w:rFonts w:ascii="Book Antiqua" w:hAnsi="Book Antiqua" w:cs="Times New Roman"/>
          <w:sz w:val="24"/>
          <w:szCs w:val="24"/>
        </w:rPr>
        <w:lastRenderedPageBreak/>
        <w:t>auront, à cette échéance, atteint, pour la première fois, l’âge de voter</w:t>
      </w:r>
      <w:r w:rsidR="004C3DB9">
        <w:rPr>
          <w:rFonts w:ascii="Book Antiqua" w:hAnsi="Book Antiqua" w:cs="Times New Roman"/>
          <w:sz w:val="24"/>
          <w:szCs w:val="24"/>
        </w:rPr>
        <w:t xml:space="preserve">. </w:t>
      </w:r>
      <w:r w:rsidR="004C3DB9" w:rsidRPr="002675AC">
        <w:rPr>
          <w:rFonts w:ascii="Book Antiqua" w:hAnsi="Book Antiqua" w:cs="Times New Roman"/>
          <w:sz w:val="24"/>
          <w:szCs w:val="24"/>
        </w:rPr>
        <w:t xml:space="preserve">Parmi </w:t>
      </w:r>
      <w:r w:rsidR="004C3DB9">
        <w:rPr>
          <w:rFonts w:ascii="Book Antiqua" w:hAnsi="Book Antiqua" w:cs="Times New Roman"/>
          <w:sz w:val="24"/>
          <w:szCs w:val="24"/>
        </w:rPr>
        <w:t>c</w:t>
      </w:r>
      <w:r w:rsidR="004C3DB9" w:rsidRPr="002675AC">
        <w:rPr>
          <w:rFonts w:ascii="Book Antiqua" w:hAnsi="Book Antiqua" w:cs="Times New Roman"/>
          <w:sz w:val="24"/>
          <w:szCs w:val="24"/>
        </w:rPr>
        <w:t xml:space="preserve">es </w:t>
      </w:r>
      <w:r w:rsidR="004C3DB9">
        <w:rPr>
          <w:rFonts w:ascii="Book Antiqua" w:hAnsi="Book Antiqua" w:cs="Times New Roman"/>
          <w:sz w:val="24"/>
          <w:szCs w:val="24"/>
        </w:rPr>
        <w:t>primo-votants</w:t>
      </w:r>
      <w:r w:rsidR="004C3DB9" w:rsidRPr="002675AC">
        <w:rPr>
          <w:rFonts w:ascii="Book Antiqua" w:hAnsi="Book Antiqua" w:cs="Times New Roman"/>
          <w:sz w:val="24"/>
          <w:szCs w:val="24"/>
        </w:rPr>
        <w:t xml:space="preserve"> on compterait </w:t>
      </w:r>
      <w:r w:rsidR="004C3DB9">
        <w:rPr>
          <w:rFonts w:ascii="Book Antiqua" w:hAnsi="Book Antiqua" w:cs="Times New Roman"/>
          <w:sz w:val="24"/>
          <w:szCs w:val="24"/>
        </w:rPr>
        <w:t xml:space="preserve">1,473millions </w:t>
      </w:r>
      <w:r w:rsidR="004C3DB9" w:rsidRPr="00BD2429">
        <w:rPr>
          <w:rFonts w:ascii="Book Antiqua" w:hAnsi="Book Antiqua" w:cs="Times New Roman"/>
          <w:sz w:val="24"/>
          <w:szCs w:val="24"/>
        </w:rPr>
        <w:t xml:space="preserve">de femmes </w:t>
      </w:r>
      <w:r w:rsidR="004C3DB9">
        <w:rPr>
          <w:rFonts w:ascii="Book Antiqua" w:hAnsi="Book Antiqua" w:cs="Times New Roman"/>
          <w:sz w:val="24"/>
          <w:szCs w:val="24"/>
        </w:rPr>
        <w:t>(49</w:t>
      </w:r>
      <w:r w:rsidR="004C3DB9" w:rsidRPr="00BD2429">
        <w:rPr>
          <w:rFonts w:ascii="Book Antiqua" w:hAnsi="Book Antiqua" w:cs="Times New Roman"/>
          <w:sz w:val="24"/>
          <w:szCs w:val="24"/>
        </w:rPr>
        <w:t>,</w:t>
      </w:r>
      <w:r w:rsidR="004C3DB9">
        <w:rPr>
          <w:rFonts w:ascii="Book Antiqua" w:hAnsi="Book Antiqua" w:cs="Times New Roman"/>
          <w:sz w:val="24"/>
          <w:szCs w:val="24"/>
        </w:rPr>
        <w:t>1</w:t>
      </w:r>
      <w:r w:rsidR="004C3DB9" w:rsidRPr="00BD2429">
        <w:rPr>
          <w:rFonts w:ascii="Book Antiqua" w:hAnsi="Book Antiqua" w:cs="Times New Roman"/>
          <w:sz w:val="24"/>
          <w:szCs w:val="24"/>
        </w:rPr>
        <w:t>%</w:t>
      </w:r>
      <w:r w:rsidR="004C3DB9">
        <w:rPr>
          <w:rFonts w:ascii="Book Antiqua" w:hAnsi="Book Antiqua" w:cs="Times New Roman"/>
          <w:sz w:val="24"/>
          <w:szCs w:val="24"/>
        </w:rPr>
        <w:t xml:space="preserve">) et </w:t>
      </w:r>
      <w:r w:rsidR="00A96C66" w:rsidRPr="00A96C66">
        <w:rPr>
          <w:rFonts w:ascii="Book Antiqua" w:hAnsi="Book Antiqua" w:cs="Times New Roman"/>
          <w:sz w:val="24"/>
          <w:szCs w:val="24"/>
        </w:rPr>
        <w:t>1</w:t>
      </w:r>
      <w:r w:rsidR="00A96C66">
        <w:rPr>
          <w:rFonts w:ascii="Book Antiqua" w:hAnsi="Book Antiqua" w:cs="Times New Roman"/>
          <w:sz w:val="24"/>
          <w:szCs w:val="24"/>
        </w:rPr>
        <w:t xml:space="preserve">,792 </w:t>
      </w:r>
      <w:r w:rsidR="00E05AFF">
        <w:rPr>
          <w:rFonts w:ascii="Book Antiqua" w:hAnsi="Book Antiqua" w:cs="Times New Roman"/>
          <w:sz w:val="24"/>
          <w:szCs w:val="24"/>
        </w:rPr>
        <w:t xml:space="preserve">millions </w:t>
      </w:r>
      <w:r w:rsidR="004C3DB9">
        <w:rPr>
          <w:rFonts w:ascii="Book Antiqua" w:hAnsi="Book Antiqua" w:cs="Times New Roman"/>
          <w:sz w:val="24"/>
          <w:szCs w:val="24"/>
        </w:rPr>
        <w:t>de citadins (</w:t>
      </w:r>
      <w:r w:rsidR="00A96C66">
        <w:rPr>
          <w:rFonts w:ascii="Book Antiqua" w:hAnsi="Book Antiqua" w:cs="Times New Roman"/>
          <w:sz w:val="24"/>
          <w:szCs w:val="24"/>
        </w:rPr>
        <w:t>59,7</w:t>
      </w:r>
      <w:r w:rsidR="004C3DB9">
        <w:rPr>
          <w:rFonts w:ascii="Book Antiqua" w:hAnsi="Book Antiqua" w:cs="Times New Roman"/>
          <w:sz w:val="24"/>
          <w:szCs w:val="24"/>
        </w:rPr>
        <w:t xml:space="preserve">%). </w:t>
      </w:r>
    </w:p>
    <w:p w:rsidR="004C3DB9" w:rsidRDefault="004971B0" w:rsidP="00643D00">
      <w:pPr>
        <w:spacing w:before="240" w:line="312" w:lineRule="auto"/>
        <w:jc w:val="both"/>
        <w:rPr>
          <w:rFonts w:ascii="Book Antiqua" w:hAnsi="Book Antiqua" w:cs="Times New Roman"/>
          <w:sz w:val="24"/>
          <w:szCs w:val="24"/>
        </w:rPr>
      </w:pPr>
      <w:r>
        <w:rPr>
          <w:rFonts w:ascii="Book Antiqua" w:hAnsi="Book Antiqua" w:cs="Times New Roman"/>
          <w:sz w:val="24"/>
          <w:szCs w:val="24"/>
        </w:rPr>
        <w:t xml:space="preserve">Selon les </w:t>
      </w:r>
      <w:r w:rsidR="004C3DB9" w:rsidRPr="009F461B">
        <w:rPr>
          <w:rFonts w:ascii="Book Antiqua" w:hAnsi="Book Antiqua" w:cs="Times New Roman"/>
          <w:sz w:val="24"/>
          <w:szCs w:val="24"/>
        </w:rPr>
        <w:t>région</w:t>
      </w:r>
      <w:r>
        <w:rPr>
          <w:rFonts w:ascii="Book Antiqua" w:hAnsi="Book Antiqua" w:cs="Times New Roman"/>
          <w:sz w:val="24"/>
          <w:szCs w:val="24"/>
        </w:rPr>
        <w:t xml:space="preserve">s, le </w:t>
      </w:r>
      <w:r w:rsidR="004C3DB9" w:rsidRPr="009F461B">
        <w:rPr>
          <w:rFonts w:ascii="Book Antiqua" w:hAnsi="Book Antiqua" w:cs="Times New Roman"/>
          <w:sz w:val="24"/>
          <w:szCs w:val="24"/>
        </w:rPr>
        <w:t xml:space="preserve">Grand Casablanca-Settat concentre près du cinquième (19,1%) des primo-votants. La région de Marrakech-Safi vient en seconde position (13,6%), suivie par Rabat-Salé-Kénitra (13,1%) et Fès-Meknès (12,2%). </w:t>
      </w:r>
      <w:r w:rsidR="00643D00" w:rsidRPr="00643D00">
        <w:rPr>
          <w:rFonts w:ascii="Book Antiqua" w:hAnsi="Book Antiqua" w:cs="Times New Roman"/>
          <w:sz w:val="24"/>
          <w:szCs w:val="24"/>
        </w:rPr>
        <w:t xml:space="preserve">En revanche, les régions de Guelmim-Oued Noun, Laâyoune-Sakia El Hamra et Dakhla-Oued Ed Dahab enregistrent les proportions les plus faibles, respectivement 1,3%, 1,1% et 0,5% de l’ensemble </w:t>
      </w:r>
      <w:r w:rsidR="00643D00" w:rsidRPr="009F461B">
        <w:rPr>
          <w:rFonts w:ascii="Book Antiqua" w:hAnsi="Book Antiqua" w:cs="Times New Roman"/>
          <w:sz w:val="24"/>
          <w:szCs w:val="24"/>
        </w:rPr>
        <w:t>des primo-votants</w:t>
      </w:r>
      <w:r w:rsidR="00643D00" w:rsidRPr="00643D00">
        <w:rPr>
          <w:rFonts w:ascii="Book Antiqua" w:hAnsi="Book Antiqua" w:cs="Times New Roman"/>
          <w:sz w:val="24"/>
          <w:szCs w:val="24"/>
        </w:rPr>
        <w:t>.</w:t>
      </w:r>
    </w:p>
    <w:p w:rsidR="0058602A" w:rsidRPr="0058602A" w:rsidRDefault="0058602A" w:rsidP="006A0FAA">
      <w:pPr>
        <w:spacing w:before="240" w:line="312" w:lineRule="auto"/>
        <w:jc w:val="both"/>
        <w:rPr>
          <w:rFonts w:ascii="Book Antiqua" w:hAnsi="Book Antiqua" w:cs="Times New Roman"/>
          <w:sz w:val="24"/>
          <w:szCs w:val="24"/>
        </w:rPr>
      </w:pPr>
      <w:r w:rsidRPr="0058602A">
        <w:rPr>
          <w:rFonts w:ascii="Book Antiqua" w:hAnsi="Book Antiqua" w:cs="Times New Roman"/>
          <w:sz w:val="24"/>
          <w:szCs w:val="24"/>
        </w:rPr>
        <w:t>P</w:t>
      </w:r>
      <w:r>
        <w:rPr>
          <w:rFonts w:ascii="Book Antiqua" w:hAnsi="Book Antiqua" w:cs="Times New Roman"/>
          <w:sz w:val="24"/>
          <w:szCs w:val="24"/>
        </w:rPr>
        <w:t xml:space="preserve">rès de 9 </w:t>
      </w:r>
      <w:r w:rsidRPr="0058602A">
        <w:rPr>
          <w:rFonts w:ascii="Book Antiqua" w:hAnsi="Book Antiqua" w:cs="Times New Roman"/>
          <w:sz w:val="24"/>
          <w:szCs w:val="24"/>
        </w:rPr>
        <w:t xml:space="preserve">primo-votants sur 10, soit 88,9% sont célibataires, 98,6% parmi les hommes et 79% parmi les femmes. Alors que, la part des mariés est de l’ordre de 10,8%. Elle est de 20,3% pour les femmes contre 1,4 % pour les hommes. </w:t>
      </w:r>
    </w:p>
    <w:p w:rsidR="0058602A" w:rsidRPr="0058602A" w:rsidRDefault="0058602A" w:rsidP="0058602A">
      <w:pPr>
        <w:spacing w:before="240" w:line="312" w:lineRule="auto"/>
        <w:jc w:val="both"/>
        <w:rPr>
          <w:rFonts w:ascii="Book Antiqua" w:hAnsi="Book Antiqua" w:cs="Times New Roman"/>
          <w:sz w:val="24"/>
          <w:szCs w:val="24"/>
        </w:rPr>
      </w:pPr>
      <w:r w:rsidRPr="0058602A">
        <w:rPr>
          <w:rFonts w:ascii="Book Antiqua" w:hAnsi="Book Antiqua" w:cs="Times New Roman"/>
          <w:sz w:val="24"/>
          <w:szCs w:val="24"/>
        </w:rPr>
        <w:t xml:space="preserve">Selon le niveau d’instruction, </w:t>
      </w:r>
      <w:r w:rsidR="006A0FAA">
        <w:rPr>
          <w:rFonts w:ascii="Book Antiqua" w:hAnsi="Book Antiqua" w:cs="Times New Roman"/>
          <w:sz w:val="24"/>
          <w:szCs w:val="24"/>
        </w:rPr>
        <w:t xml:space="preserve">un peu </w:t>
      </w:r>
      <w:r w:rsidRPr="0058602A">
        <w:rPr>
          <w:rFonts w:ascii="Book Antiqua" w:hAnsi="Book Antiqua" w:cs="Times New Roman"/>
          <w:sz w:val="24"/>
          <w:szCs w:val="24"/>
        </w:rPr>
        <w:t>plus de la moitié des primo-votants (55,1%) ont le niveau secondaire (collégial avec 25,1% et qualifiant 30%), 24,5% ont le niveau supérieur, 16,2% ont le niveau primaire et 3,5% n’ont aucun niveau d’instruction.</w:t>
      </w:r>
    </w:p>
    <w:p w:rsidR="00F70F64" w:rsidRDefault="00F70F64" w:rsidP="00F70F64">
      <w:pPr>
        <w:spacing w:before="240" w:line="312" w:lineRule="auto"/>
        <w:jc w:val="both"/>
        <w:rPr>
          <w:rFonts w:ascii="Book Antiqua" w:hAnsi="Book Antiqua" w:cs="Times New Roman"/>
          <w:sz w:val="24"/>
          <w:szCs w:val="24"/>
        </w:rPr>
      </w:pPr>
      <w:r w:rsidRPr="00A27574">
        <w:rPr>
          <w:rFonts w:ascii="Book Antiqua" w:hAnsi="Book Antiqua" w:cs="Times New Roman"/>
          <w:sz w:val="24"/>
          <w:szCs w:val="24"/>
        </w:rPr>
        <w:t xml:space="preserve">Selon l’enquête nationale sur l’emploi, au deuxième trimestre de 2021, on compterait parmi les primo-votants près de 18,9% d’actifs occupés, 18,4% des femmes au foyers et 51,6% d’élèves ou étudiants. </w:t>
      </w:r>
    </w:p>
    <w:p w:rsidR="00F70F64" w:rsidRPr="00AE21A7" w:rsidRDefault="00F70F64" w:rsidP="00F70F64">
      <w:pPr>
        <w:spacing w:before="240" w:line="312" w:lineRule="auto"/>
        <w:jc w:val="both"/>
        <w:rPr>
          <w:rFonts w:ascii="Book Antiqua" w:hAnsi="Book Antiqua" w:cs="Times New Roman"/>
          <w:sz w:val="24"/>
          <w:szCs w:val="24"/>
        </w:rPr>
      </w:pPr>
      <w:r w:rsidRPr="00A27574">
        <w:rPr>
          <w:rFonts w:ascii="Book Antiqua" w:hAnsi="Book Antiqua" w:cs="Times New Roman"/>
          <w:sz w:val="24"/>
          <w:szCs w:val="24"/>
        </w:rPr>
        <w:t>En outre, près de trois primo-votants sur dix (29%) au niveau national ne travaillent pas, ne sont pas à l’école et ne suivent aucune formation. Près de 72% d’entre eux sont des filles. En milieu rural, environ 81% de cette catégorie sont des jeunes filles.</w:t>
      </w:r>
    </w:p>
    <w:p w:rsidR="004C3DB9" w:rsidRDefault="004C3DB9" w:rsidP="004C3DB9">
      <w:pPr>
        <w:spacing w:before="240" w:line="312" w:lineRule="auto"/>
        <w:jc w:val="both"/>
        <w:rPr>
          <w:rFonts w:ascii="Book Antiqua" w:hAnsi="Book Antiqua" w:cs="Times New Roman"/>
          <w:sz w:val="24"/>
          <w:szCs w:val="24"/>
        </w:rPr>
      </w:pPr>
      <w:r w:rsidRPr="00A27574">
        <w:rPr>
          <w:rFonts w:ascii="Book Antiqua" w:hAnsi="Book Antiqua" w:cs="Times New Roman"/>
          <w:sz w:val="24"/>
          <w:szCs w:val="24"/>
        </w:rPr>
        <w:t xml:space="preserve">Le taux d'emploi des primo-votants, quant à lui, est de 18,9% (29,4% parmi les hommes contre 8,3% parmi les femmes). Ce taux est plus élevé en milieu rural </w:t>
      </w:r>
      <w:r>
        <w:rPr>
          <w:rFonts w:ascii="Book Antiqua" w:hAnsi="Book Antiqua" w:cs="Times New Roman"/>
          <w:sz w:val="24"/>
          <w:szCs w:val="24"/>
        </w:rPr>
        <w:t>(</w:t>
      </w:r>
      <w:r w:rsidRPr="00A27574">
        <w:rPr>
          <w:rFonts w:ascii="Book Antiqua" w:hAnsi="Book Antiqua" w:cs="Times New Roman"/>
          <w:sz w:val="24"/>
          <w:szCs w:val="24"/>
        </w:rPr>
        <w:t>31,7%</w:t>
      </w:r>
      <w:r>
        <w:rPr>
          <w:rFonts w:ascii="Book Antiqua" w:hAnsi="Book Antiqua" w:cs="Times New Roman"/>
          <w:sz w:val="24"/>
          <w:szCs w:val="24"/>
        </w:rPr>
        <w:t>)</w:t>
      </w:r>
      <w:r w:rsidRPr="00A27574">
        <w:rPr>
          <w:rFonts w:ascii="Book Antiqua" w:hAnsi="Book Antiqua" w:cs="Times New Roman"/>
          <w:sz w:val="24"/>
          <w:szCs w:val="24"/>
        </w:rPr>
        <w:t xml:space="preserve"> qu'en milieu urbain (11,2%). </w:t>
      </w:r>
    </w:p>
    <w:p w:rsidR="005F4B19" w:rsidRPr="005F4B19" w:rsidRDefault="005F4B19" w:rsidP="005F4B19">
      <w:pPr>
        <w:spacing w:after="0" w:line="312" w:lineRule="auto"/>
        <w:jc w:val="center"/>
        <w:rPr>
          <w:rFonts w:ascii="Book Antiqua" w:hAnsi="Book Antiqua" w:cs="Times New Roman"/>
          <w:b/>
          <w:bCs/>
          <w:sz w:val="24"/>
          <w:szCs w:val="24"/>
        </w:rPr>
      </w:pPr>
      <w:r>
        <w:rPr>
          <w:rFonts w:ascii="Book Antiqua" w:hAnsi="Book Antiqua" w:cs="Times New Roman"/>
          <w:b/>
          <w:bCs/>
          <w:sz w:val="24"/>
          <w:szCs w:val="24"/>
        </w:rPr>
        <w:t>Graphique 2 : T</w:t>
      </w:r>
      <w:r w:rsidRPr="005F4B19">
        <w:rPr>
          <w:rFonts w:ascii="Book Antiqua" w:hAnsi="Book Antiqua" w:cs="Times New Roman"/>
          <w:b/>
          <w:bCs/>
          <w:sz w:val="24"/>
          <w:szCs w:val="24"/>
        </w:rPr>
        <w:t>aux d'emploi et taux de chômage des primo-votants (en %)</w:t>
      </w:r>
    </w:p>
    <w:p w:rsidR="00A45106" w:rsidRDefault="00A45106" w:rsidP="005F4B19">
      <w:pPr>
        <w:spacing w:before="240" w:line="312" w:lineRule="auto"/>
        <w:jc w:val="center"/>
        <w:rPr>
          <w:rFonts w:ascii="Book Antiqua" w:hAnsi="Book Antiqua" w:cs="Times New Roman"/>
          <w:sz w:val="24"/>
          <w:szCs w:val="24"/>
        </w:rPr>
      </w:pPr>
      <w:r>
        <w:rPr>
          <w:noProof/>
        </w:rPr>
        <w:lastRenderedPageBreak/>
        <w:drawing>
          <wp:inline distT="0" distB="0" distL="0" distR="0">
            <wp:extent cx="5041900" cy="2228850"/>
            <wp:effectExtent l="0" t="0" r="6350" b="0"/>
            <wp:docPr id="3" name="Graphique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B5A5097-C9B8-4F71-8028-41E626CE5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3DB9" w:rsidRPr="00A27574" w:rsidRDefault="004C3DB9" w:rsidP="004C3DB9">
      <w:pPr>
        <w:spacing w:before="240" w:line="312" w:lineRule="auto"/>
        <w:jc w:val="both"/>
        <w:rPr>
          <w:rFonts w:ascii="Book Antiqua" w:hAnsi="Book Antiqua" w:cs="Times New Roman"/>
          <w:sz w:val="24"/>
          <w:szCs w:val="24"/>
        </w:rPr>
      </w:pPr>
      <w:r w:rsidRPr="00A27574">
        <w:rPr>
          <w:rFonts w:ascii="Book Antiqua" w:hAnsi="Book Antiqua" w:cs="Times New Roman"/>
          <w:sz w:val="24"/>
          <w:szCs w:val="24"/>
        </w:rPr>
        <w:t>Au niveau national, les primo-votants</w:t>
      </w:r>
      <w:r>
        <w:rPr>
          <w:rFonts w:ascii="Book Antiqua" w:hAnsi="Book Antiqua" w:cs="Times New Roman"/>
          <w:sz w:val="24"/>
          <w:szCs w:val="24"/>
        </w:rPr>
        <w:t xml:space="preserve"> actifs occupés</w:t>
      </w:r>
      <w:r w:rsidRPr="00A27574">
        <w:rPr>
          <w:rFonts w:ascii="Book Antiqua" w:hAnsi="Book Antiqua" w:cs="Times New Roman"/>
          <w:sz w:val="24"/>
          <w:szCs w:val="24"/>
        </w:rPr>
        <w:t xml:space="preserve"> sont plus présents dans le secteur de "l'agriculture, forêt et pêche" avec une part de 49,8% de l'emploi de cette catégorie. Le secteur des "services" constitue le deuxième secteu</w:t>
      </w:r>
      <w:bookmarkStart w:id="0" w:name="_GoBack"/>
      <w:bookmarkEnd w:id="0"/>
      <w:r w:rsidRPr="00A27574">
        <w:rPr>
          <w:rFonts w:ascii="Book Antiqua" w:hAnsi="Book Antiqua" w:cs="Times New Roman"/>
          <w:sz w:val="24"/>
          <w:szCs w:val="24"/>
        </w:rPr>
        <w:t xml:space="preserve">r pourvoyeur d'emplois avec une proportion de 29,3%, suivi de l'industrie y compris l’artisanat (10,9%) et des BTP (10,1%). </w:t>
      </w:r>
    </w:p>
    <w:p w:rsidR="004C3DB9" w:rsidRDefault="00A07896" w:rsidP="004C3DB9">
      <w:pPr>
        <w:spacing w:before="240" w:line="312" w:lineRule="auto"/>
        <w:jc w:val="both"/>
      </w:pPr>
      <w:r>
        <w:rPr>
          <w:rFonts w:ascii="Book Antiqua" w:hAnsi="Book Antiqua" w:cs="Times New Roman"/>
          <w:sz w:val="24"/>
          <w:szCs w:val="24"/>
        </w:rPr>
        <w:t xml:space="preserve">La catégorie des </w:t>
      </w:r>
      <w:r w:rsidRPr="00A27574">
        <w:rPr>
          <w:rFonts w:ascii="Book Antiqua" w:hAnsi="Book Antiqua" w:cs="Times New Roman"/>
          <w:sz w:val="24"/>
          <w:szCs w:val="24"/>
        </w:rPr>
        <w:t>primo-votants</w:t>
      </w:r>
      <w:r w:rsidR="004C3DB9" w:rsidRPr="00A27574">
        <w:rPr>
          <w:rFonts w:ascii="Book Antiqua" w:hAnsi="Book Antiqua" w:cs="Times New Roman"/>
          <w:sz w:val="24"/>
          <w:szCs w:val="24"/>
        </w:rPr>
        <w:t xml:space="preserve"> reste plus touchée par le chômage</w:t>
      </w:r>
      <w:r w:rsidR="004C3DB9">
        <w:rPr>
          <w:rFonts w:ascii="Book Antiqua" w:hAnsi="Book Antiqua" w:cs="Times New Roman"/>
          <w:sz w:val="24"/>
          <w:szCs w:val="24"/>
        </w:rPr>
        <w:t xml:space="preserve">, avec un </w:t>
      </w:r>
      <w:r w:rsidR="004C3DB9" w:rsidRPr="00A27574">
        <w:rPr>
          <w:rFonts w:ascii="Book Antiqua" w:hAnsi="Book Antiqua" w:cs="Times New Roman"/>
          <w:sz w:val="24"/>
          <w:szCs w:val="24"/>
        </w:rPr>
        <w:t xml:space="preserve">taux de chômage </w:t>
      </w:r>
      <w:r w:rsidR="004C3DB9">
        <w:rPr>
          <w:rFonts w:ascii="Book Antiqua" w:hAnsi="Book Antiqua" w:cs="Times New Roman"/>
          <w:sz w:val="24"/>
          <w:szCs w:val="24"/>
        </w:rPr>
        <w:t xml:space="preserve">qui </w:t>
      </w:r>
      <w:r w:rsidR="004C3DB9" w:rsidRPr="00A27574">
        <w:rPr>
          <w:rFonts w:ascii="Book Antiqua" w:hAnsi="Book Antiqua" w:cs="Times New Roman"/>
          <w:sz w:val="24"/>
          <w:szCs w:val="24"/>
        </w:rPr>
        <w:t>att</w:t>
      </w:r>
      <w:r w:rsidR="004C3DB9">
        <w:rPr>
          <w:rFonts w:ascii="Book Antiqua" w:hAnsi="Book Antiqua" w:cs="Times New Roman"/>
          <w:sz w:val="24"/>
          <w:szCs w:val="24"/>
        </w:rPr>
        <w:t xml:space="preserve">eint </w:t>
      </w:r>
      <w:r w:rsidR="004C3DB9" w:rsidRPr="00A27574">
        <w:rPr>
          <w:rFonts w:ascii="Book Antiqua" w:hAnsi="Book Antiqua" w:cs="Times New Roman"/>
          <w:sz w:val="24"/>
          <w:szCs w:val="24"/>
        </w:rPr>
        <w:t>30,1%</w:t>
      </w:r>
      <w:r w:rsidR="004C3DB9">
        <w:rPr>
          <w:rFonts w:ascii="Book Antiqua" w:hAnsi="Book Antiqua" w:cs="Times New Roman"/>
          <w:sz w:val="24"/>
          <w:szCs w:val="24"/>
        </w:rPr>
        <w:t xml:space="preserve"> ; </w:t>
      </w:r>
      <w:r w:rsidR="004C3DB9" w:rsidRPr="00A27574">
        <w:rPr>
          <w:rFonts w:ascii="Book Antiqua" w:hAnsi="Book Antiqua" w:cs="Times New Roman"/>
          <w:sz w:val="24"/>
          <w:szCs w:val="24"/>
        </w:rPr>
        <w:t xml:space="preserve">les femmes plus que les hommes, avec des taux de chômage respectifs de 35,4% et de 28,5%. Dans les villes, le taux de chômage </w:t>
      </w:r>
      <w:r w:rsidR="004C3DB9">
        <w:rPr>
          <w:rFonts w:ascii="Book Antiqua" w:hAnsi="Book Antiqua" w:cs="Times New Roman"/>
          <w:sz w:val="24"/>
          <w:szCs w:val="24"/>
        </w:rPr>
        <w:t>de c</w:t>
      </w:r>
      <w:r w:rsidR="004C3DB9" w:rsidRPr="00A27574">
        <w:rPr>
          <w:rFonts w:ascii="Book Antiqua" w:hAnsi="Book Antiqua" w:cs="Times New Roman"/>
          <w:sz w:val="24"/>
          <w:szCs w:val="24"/>
        </w:rPr>
        <w:t>ette catégorie est plus que le triple que dans la campagne avec respectivement 47% et 14%.</w:t>
      </w:r>
    </w:p>
    <w:sectPr w:rsidR="004C3DB9" w:rsidSect="00FD78B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8AD" w:rsidRDefault="00BD18AD" w:rsidP="00FB4E6F">
      <w:pPr>
        <w:spacing w:after="0" w:line="240" w:lineRule="auto"/>
      </w:pPr>
      <w:r>
        <w:separator/>
      </w:r>
    </w:p>
  </w:endnote>
  <w:endnote w:type="continuationSeparator" w:id="1">
    <w:p w:rsidR="00BD18AD" w:rsidRDefault="00BD18AD" w:rsidP="00FB4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172282"/>
      <w:docPartObj>
        <w:docPartGallery w:val="Page Numbers (Bottom of Page)"/>
        <w:docPartUnique/>
      </w:docPartObj>
    </w:sdtPr>
    <w:sdtContent>
      <w:p w:rsidR="00FB4E6F" w:rsidRDefault="0097725C">
        <w:pPr>
          <w:pStyle w:val="Pieddepage"/>
          <w:jc w:val="right"/>
        </w:pPr>
        <w:r>
          <w:fldChar w:fldCharType="begin"/>
        </w:r>
        <w:r w:rsidR="00FB4E6F">
          <w:instrText>PAGE   \* MERGEFORMAT</w:instrText>
        </w:r>
        <w:r>
          <w:fldChar w:fldCharType="separate"/>
        </w:r>
        <w:r w:rsidR="000B34BE">
          <w:rPr>
            <w:noProof/>
          </w:rPr>
          <w:t>3</w:t>
        </w:r>
        <w:r>
          <w:fldChar w:fldCharType="end"/>
        </w:r>
      </w:p>
    </w:sdtContent>
  </w:sdt>
  <w:p w:rsidR="00FB4E6F" w:rsidRDefault="00FB4E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8AD" w:rsidRDefault="00BD18AD" w:rsidP="00FB4E6F">
      <w:pPr>
        <w:spacing w:after="0" w:line="240" w:lineRule="auto"/>
      </w:pPr>
      <w:r>
        <w:separator/>
      </w:r>
    </w:p>
  </w:footnote>
  <w:footnote w:type="continuationSeparator" w:id="1">
    <w:p w:rsidR="00BD18AD" w:rsidRDefault="00BD18AD" w:rsidP="00FB4E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4C3DB9"/>
    <w:rsid w:val="000B34BE"/>
    <w:rsid w:val="000B7121"/>
    <w:rsid w:val="000C266C"/>
    <w:rsid w:val="000D270E"/>
    <w:rsid w:val="00176E47"/>
    <w:rsid w:val="001C3C76"/>
    <w:rsid w:val="00266C2B"/>
    <w:rsid w:val="00294567"/>
    <w:rsid w:val="002B6E4B"/>
    <w:rsid w:val="0031611C"/>
    <w:rsid w:val="00350A6B"/>
    <w:rsid w:val="00367256"/>
    <w:rsid w:val="003F49AE"/>
    <w:rsid w:val="004674B8"/>
    <w:rsid w:val="00482B98"/>
    <w:rsid w:val="0049228C"/>
    <w:rsid w:val="004971B0"/>
    <w:rsid w:val="004A204E"/>
    <w:rsid w:val="004C3DB9"/>
    <w:rsid w:val="004F5DC0"/>
    <w:rsid w:val="0058602A"/>
    <w:rsid w:val="005A7892"/>
    <w:rsid w:val="005B4089"/>
    <w:rsid w:val="005F4B19"/>
    <w:rsid w:val="00623DB6"/>
    <w:rsid w:val="00643D00"/>
    <w:rsid w:val="0065742F"/>
    <w:rsid w:val="00660530"/>
    <w:rsid w:val="0067173C"/>
    <w:rsid w:val="006A0FAA"/>
    <w:rsid w:val="006B70CF"/>
    <w:rsid w:val="007969E6"/>
    <w:rsid w:val="007F37A0"/>
    <w:rsid w:val="00864F8A"/>
    <w:rsid w:val="0088106D"/>
    <w:rsid w:val="008B4D18"/>
    <w:rsid w:val="0097725C"/>
    <w:rsid w:val="00A07896"/>
    <w:rsid w:val="00A34795"/>
    <w:rsid w:val="00A45106"/>
    <w:rsid w:val="00A96C66"/>
    <w:rsid w:val="00AB5BAA"/>
    <w:rsid w:val="00AC3E80"/>
    <w:rsid w:val="00AD79E2"/>
    <w:rsid w:val="00AF6CB5"/>
    <w:rsid w:val="00B315BE"/>
    <w:rsid w:val="00B50568"/>
    <w:rsid w:val="00B67D4C"/>
    <w:rsid w:val="00BD18AD"/>
    <w:rsid w:val="00BE63F6"/>
    <w:rsid w:val="00BF5CFC"/>
    <w:rsid w:val="00CB5D40"/>
    <w:rsid w:val="00CC4780"/>
    <w:rsid w:val="00CD2F87"/>
    <w:rsid w:val="00D217C9"/>
    <w:rsid w:val="00D6634E"/>
    <w:rsid w:val="00E05AFF"/>
    <w:rsid w:val="00EE0487"/>
    <w:rsid w:val="00EF7F86"/>
    <w:rsid w:val="00F70F64"/>
    <w:rsid w:val="00F71048"/>
    <w:rsid w:val="00F8237D"/>
    <w:rsid w:val="00FB4E6F"/>
    <w:rsid w:val="00FD78B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B9"/>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4E6F"/>
    <w:pPr>
      <w:tabs>
        <w:tab w:val="center" w:pos="4536"/>
        <w:tab w:val="right" w:pos="9072"/>
      </w:tabs>
      <w:spacing w:after="0" w:line="240" w:lineRule="auto"/>
    </w:pPr>
  </w:style>
  <w:style w:type="character" w:customStyle="1" w:styleId="En-tteCar">
    <w:name w:val="En-tête Car"/>
    <w:basedOn w:val="Policepardfaut"/>
    <w:link w:val="En-tte"/>
    <w:uiPriority w:val="99"/>
    <w:rsid w:val="00FB4E6F"/>
    <w:rPr>
      <w:rFonts w:ascii="Calibri" w:eastAsia="Times New Roman" w:hAnsi="Calibri" w:cs="Arial"/>
      <w:lang w:eastAsia="fr-FR"/>
    </w:rPr>
  </w:style>
  <w:style w:type="paragraph" w:styleId="Pieddepage">
    <w:name w:val="footer"/>
    <w:basedOn w:val="Normal"/>
    <w:link w:val="PieddepageCar"/>
    <w:uiPriority w:val="99"/>
    <w:unhideWhenUsed/>
    <w:rsid w:val="00FB4E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4E6F"/>
    <w:rPr>
      <w:rFonts w:ascii="Calibri" w:eastAsia="Times New Roman" w:hAnsi="Calibri" w:cs="Arial"/>
      <w:lang w:eastAsia="fr-FR"/>
    </w:rPr>
  </w:style>
  <w:style w:type="paragraph" w:styleId="Textedebulles">
    <w:name w:val="Balloon Text"/>
    <w:basedOn w:val="Normal"/>
    <w:link w:val="TextedebullesCar"/>
    <w:uiPriority w:val="99"/>
    <w:semiHidden/>
    <w:unhideWhenUsed/>
    <w:rsid w:val="004674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74B8"/>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98531450">
      <w:bodyDiv w:val="1"/>
      <w:marLeft w:val="0"/>
      <w:marRight w:val="0"/>
      <w:marTop w:val="0"/>
      <w:marBottom w:val="0"/>
      <w:divBdr>
        <w:top w:val="none" w:sz="0" w:space="0" w:color="auto"/>
        <w:left w:val="none" w:sz="0" w:space="0" w:color="auto"/>
        <w:bottom w:val="none" w:sz="0" w:space="0" w:color="auto"/>
        <w:right w:val="none" w:sz="0" w:space="0" w:color="auto"/>
      </w:divBdr>
    </w:div>
    <w:div w:id="8789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rimovota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rimovota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inscri!$J$2</c:f>
              <c:strCache>
                <c:ptCount val="1"/>
                <c:pt idx="0">
                  <c:v>% inscrit</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F660-4937-AC90-106C1CB02A88}"/>
              </c:ext>
            </c:extLst>
          </c:dPt>
          <c:dPt>
            <c:idx val="1"/>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3-F660-4937-AC90-106C1CB02A88}"/>
              </c:ext>
            </c:extLst>
          </c:dPt>
          <c:dPt>
            <c:idx val="3"/>
            <c:spPr>
              <a:solidFill>
                <a:schemeClr val="accent3">
                  <a:lumMod val="60000"/>
                  <a:lumOff val="40000"/>
                </a:schemeClr>
              </a:solidFill>
              <a:ln>
                <a:noFill/>
              </a:ln>
              <a:effectLst/>
            </c:spPr>
            <c:extLst xmlns:c16r2="http://schemas.microsoft.com/office/drawing/2015/06/chart">
              <c:ext xmlns:c16="http://schemas.microsoft.com/office/drawing/2014/chart" uri="{C3380CC4-5D6E-409C-BE32-E72D297353CC}">
                <c16:uniqueId val="{00000005-F660-4937-AC90-106C1CB02A88}"/>
              </c:ext>
            </c:extLst>
          </c:dPt>
          <c:dPt>
            <c:idx val="4"/>
            <c:spPr>
              <a:solidFill>
                <a:schemeClr val="accent3">
                  <a:lumMod val="40000"/>
                  <a:lumOff val="60000"/>
                </a:schemeClr>
              </a:solidFill>
              <a:ln>
                <a:noFill/>
              </a:ln>
              <a:effectLst/>
            </c:spPr>
            <c:extLst xmlns:c16r2="http://schemas.microsoft.com/office/drawing/2015/06/chart">
              <c:ext xmlns:c16="http://schemas.microsoft.com/office/drawing/2014/chart" uri="{C3380CC4-5D6E-409C-BE32-E72D297353CC}">
                <c16:uniqueId val="{00000007-F660-4937-AC90-106C1CB02A88}"/>
              </c:ext>
            </c:extLst>
          </c:dPt>
          <c:dPt>
            <c:idx val="13"/>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9-F660-4937-AC90-106C1CB02A88}"/>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inscri!$I$3:$I$16</c:f>
              <c:strCache>
                <c:ptCount val="14"/>
                <c:pt idx="0">
                  <c:v>Masculin</c:v>
                </c:pt>
                <c:pt idx="1">
                  <c:v>Féminin</c:v>
                </c:pt>
                <c:pt idx="3">
                  <c:v>Urbain</c:v>
                </c:pt>
                <c:pt idx="4">
                  <c:v>Rural</c:v>
                </c:pt>
                <c:pt idx="6">
                  <c:v>18-24</c:v>
                </c:pt>
                <c:pt idx="7">
                  <c:v>25-34</c:v>
                </c:pt>
                <c:pt idx="8">
                  <c:v>35-44</c:v>
                </c:pt>
                <c:pt idx="9">
                  <c:v>45-54</c:v>
                </c:pt>
                <c:pt idx="10">
                  <c:v>55-59</c:v>
                </c:pt>
                <c:pt idx="11">
                  <c:v>60 et+</c:v>
                </c:pt>
                <c:pt idx="13">
                  <c:v>Total</c:v>
                </c:pt>
              </c:strCache>
            </c:strRef>
          </c:cat>
          <c:val>
            <c:numRef>
              <c:f>inscri!$J$3:$J$16</c:f>
              <c:numCache>
                <c:formatCode>0.0</c:formatCode>
                <c:ptCount val="14"/>
                <c:pt idx="0">
                  <c:v>76.097765799499754</c:v>
                </c:pt>
                <c:pt idx="1">
                  <c:v>62.918368743510285</c:v>
                </c:pt>
                <c:pt idx="3">
                  <c:v>56.675674300227001</c:v>
                </c:pt>
                <c:pt idx="4">
                  <c:v>94.275861197131107</c:v>
                </c:pt>
                <c:pt idx="6">
                  <c:v>33.602130224357289</c:v>
                </c:pt>
                <c:pt idx="7">
                  <c:v>57.10598014537355</c:v>
                </c:pt>
                <c:pt idx="8">
                  <c:v>72.471687213257809</c:v>
                </c:pt>
                <c:pt idx="9">
                  <c:v>85.137758902713458</c:v>
                </c:pt>
                <c:pt idx="10">
                  <c:v>88.522754786024095</c:v>
                </c:pt>
                <c:pt idx="11">
                  <c:v>94.427064330754348</c:v>
                </c:pt>
                <c:pt idx="13">
                  <c:v>69.409762829167235</c:v>
                </c:pt>
              </c:numCache>
            </c:numRef>
          </c:val>
          <c:extLst xmlns:c16r2="http://schemas.microsoft.com/office/drawing/2015/06/chart">
            <c:ext xmlns:c16="http://schemas.microsoft.com/office/drawing/2014/chart" uri="{C3380CC4-5D6E-409C-BE32-E72D297353CC}">
              <c16:uniqueId val="{0000000A-F660-4937-AC90-106C1CB02A88}"/>
            </c:ext>
          </c:extLst>
        </c:ser>
        <c:gapWidth val="219"/>
        <c:overlap val="-27"/>
        <c:axId val="102114048"/>
        <c:axId val="102115584"/>
      </c:barChart>
      <c:catAx>
        <c:axId val="1021140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fr-FR"/>
          </a:p>
        </c:txPr>
        <c:crossAx val="102115584"/>
        <c:crosses val="autoZero"/>
        <c:auto val="1"/>
        <c:lblAlgn val="ctr"/>
        <c:lblOffset val="100"/>
      </c:catAx>
      <c:valAx>
        <c:axId val="102115584"/>
        <c:scaling>
          <c:orientation val="minMax"/>
          <c:min val="20"/>
        </c:scaling>
        <c:delete val="1"/>
        <c:axPos val="l"/>
        <c:majorGridlines>
          <c:spPr>
            <a:ln w="9525" cap="flat" cmpd="sng" algn="ctr">
              <a:solidFill>
                <a:schemeClr val="tx1">
                  <a:lumMod val="15000"/>
                  <a:lumOff val="85000"/>
                </a:schemeClr>
              </a:solidFill>
              <a:round/>
            </a:ln>
            <a:effectLst/>
          </c:spPr>
        </c:majorGridlines>
        <c:numFmt formatCode="0.0" sourceLinked="1"/>
        <c:majorTickMark val="none"/>
        <c:tickLblPos val="nextTo"/>
        <c:crossAx val="10211404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inscri!$C$34</c:f>
              <c:strCache>
                <c:ptCount val="1"/>
                <c:pt idx="0">
                  <c:v>Acti</c:v>
                </c:pt>
              </c:strCache>
            </c:strRef>
          </c:tx>
          <c:spPr>
            <a:solidFill>
              <a:schemeClr val="accent1"/>
            </a:solidFill>
            <a:ln>
              <a:noFill/>
            </a:ln>
            <a:effectLst/>
          </c:spPr>
          <c:dPt>
            <c:idx val="4"/>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A50B-4F6D-AC9F-C962AEA94DE2}"/>
              </c:ext>
            </c:extLst>
          </c:dPt>
          <c:dPt>
            <c:idx val="5"/>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3-A50B-4F6D-AC9F-C962AEA94DE2}"/>
              </c:ext>
            </c:extLst>
          </c:dPt>
          <c:dPt>
            <c:idx val="6"/>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5-A50B-4F6D-AC9F-C962AEA94DE2}"/>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inscri!$A$35:$B$41</c:f>
              <c:multiLvlStrCache>
                <c:ptCount val="7"/>
                <c:lvl>
                  <c:pt idx="0">
                    <c:v>Masculin</c:v>
                  </c:pt>
                  <c:pt idx="1">
                    <c:v>Féminin</c:v>
                  </c:pt>
                  <c:pt idx="2">
                    <c:v>Total</c:v>
                  </c:pt>
                  <c:pt idx="4">
                    <c:v>Masculin</c:v>
                  </c:pt>
                  <c:pt idx="5">
                    <c:v>Féminin</c:v>
                  </c:pt>
                  <c:pt idx="6">
                    <c:v>Total</c:v>
                  </c:pt>
                </c:lvl>
                <c:lvl>
                  <c:pt idx="0">
                    <c:v>Taux d'emploi</c:v>
                  </c:pt>
                  <c:pt idx="4">
                    <c:v>Taux de chômage</c:v>
                  </c:pt>
                </c:lvl>
              </c:multiLvlStrCache>
            </c:multiLvlStrRef>
          </c:cat>
          <c:val>
            <c:numRef>
              <c:f>inscri!$C$35:$C$41</c:f>
              <c:numCache>
                <c:formatCode>0.0</c:formatCode>
                <c:ptCount val="7"/>
                <c:pt idx="0">
                  <c:v>29.4</c:v>
                </c:pt>
                <c:pt idx="1">
                  <c:v>8.3000000000000007</c:v>
                </c:pt>
                <c:pt idx="2">
                  <c:v>18.899999999999999</c:v>
                </c:pt>
                <c:pt idx="4">
                  <c:v>28.5</c:v>
                </c:pt>
                <c:pt idx="5">
                  <c:v>35.4</c:v>
                </c:pt>
                <c:pt idx="6">
                  <c:v>30.1</c:v>
                </c:pt>
              </c:numCache>
            </c:numRef>
          </c:val>
          <c:extLst xmlns:c16r2="http://schemas.microsoft.com/office/drawing/2015/06/chart">
            <c:ext xmlns:c16="http://schemas.microsoft.com/office/drawing/2014/chart" uri="{C3380CC4-5D6E-409C-BE32-E72D297353CC}">
              <c16:uniqueId val="{00000006-A50B-4F6D-AC9F-C962AEA94DE2}"/>
            </c:ext>
          </c:extLst>
        </c:ser>
        <c:gapWidth val="219"/>
        <c:overlap val="-27"/>
        <c:axId val="102156928"/>
        <c:axId val="102162816"/>
      </c:barChart>
      <c:catAx>
        <c:axId val="1021569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fr-FR"/>
          </a:p>
        </c:txPr>
        <c:crossAx val="102162816"/>
        <c:crosses val="autoZero"/>
        <c:auto val="1"/>
        <c:lblAlgn val="ctr"/>
        <c:lblOffset val="100"/>
      </c:catAx>
      <c:valAx>
        <c:axId val="10216281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tickLblPos val="nextTo"/>
        <c:crossAx val="10215692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651</Words>
  <Characters>3581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15</cp:revision>
  <dcterms:created xsi:type="dcterms:W3CDTF">2021-09-06T13:39:00Z</dcterms:created>
  <dcterms:modified xsi:type="dcterms:W3CDTF">2021-09-06T17:35:00Z</dcterms:modified>
</cp:coreProperties>
</file>