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Default="00DD53DF" w:rsidP="00DD53DF">
      <w:pPr>
        <w:spacing w:line="280" w:lineRule="exact"/>
        <w:jc w:val="center"/>
        <w:rPr>
          <w:rFonts w:ascii="Arial" w:hAnsi="Arial" w:cs="Arial"/>
          <w:b/>
          <w:bCs/>
          <w:szCs w:val="32"/>
          <w:rtl/>
          <w:lang w:bidi="ar-MA"/>
        </w:rPr>
      </w:pPr>
      <w:r>
        <w:rPr>
          <w:rFonts w:ascii="Arial" w:hAnsi="Arial" w:cs="Arial"/>
          <w:b/>
          <w:bCs/>
          <w:szCs w:val="32"/>
          <w:lang w:bidi="ar-MA"/>
        </w:rPr>
        <w:t xml:space="preserve">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                    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4671FE" w:rsidRDefault="008841C6" w:rsidP="00DF073E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  <w:lang w:bidi="ar-MA"/>
        </w:rPr>
      </w:pPr>
      <w:r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9C4E77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يونيو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8E3B58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F43DEF" w:rsidRDefault="00F43DEF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3C6BD6" w:rsidP="006D0884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انخفاض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4D093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4B4A6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</w:t>
      </w:r>
      <w:r w:rsidR="004D093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9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Pr="004254E3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92116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.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6D088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0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D088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7F0371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7F0371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6D088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6D088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3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3C6BD6" w:rsidRPr="004671FE" w:rsidRDefault="00115C8F" w:rsidP="00921161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3B58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ا ب </w:t>
      </w:r>
      <w:r w:rsidR="003C6BD6">
        <w:rPr>
          <w:rFonts w:ascii="Arial" w:hAnsi="Arial" w:cs="Arial"/>
          <w:sz w:val="28"/>
          <w:szCs w:val="28"/>
          <w:lang w:bidi="ar-MA"/>
        </w:rPr>
        <w:t>0,</w:t>
      </w:r>
      <w:r w:rsidR="004D0934">
        <w:rPr>
          <w:rFonts w:ascii="Arial" w:hAnsi="Arial" w:cs="Arial"/>
          <w:sz w:val="28"/>
          <w:szCs w:val="28"/>
          <w:lang w:bidi="ar-MA"/>
        </w:rPr>
        <w:t>7</w:t>
      </w:r>
      <w:r w:rsidR="003C6BD6">
        <w:rPr>
          <w:rFonts w:ascii="Arial" w:hAnsi="Arial" w:cs="Arial"/>
          <w:sz w:val="28"/>
          <w:szCs w:val="28"/>
          <w:lang w:bidi="ar-MA"/>
        </w:rPr>
        <w:t>%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 xml:space="preserve">بالمقارنة مع الشهر السابق. وقد نتج هذا </w:t>
      </w:r>
      <w:r w:rsidR="003C6BD6">
        <w:rPr>
          <w:rFonts w:ascii="Arial" w:hAnsi="Arial" w:cs="Arial"/>
          <w:sz w:val="28"/>
          <w:szCs w:val="28"/>
          <w:rtl/>
          <w:lang w:bidi="ar-MA"/>
        </w:rPr>
        <w:t>ا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 للمواد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6BD6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3C6BD6">
        <w:rPr>
          <w:rFonts w:ascii="Arial" w:hAnsi="Arial" w:cs="Arial"/>
          <w:sz w:val="28"/>
          <w:szCs w:val="28"/>
          <w:lang w:bidi="ar-MA"/>
        </w:rPr>
        <w:t>1,</w:t>
      </w:r>
      <w:r w:rsidR="004D0934">
        <w:rPr>
          <w:rFonts w:ascii="Arial" w:hAnsi="Arial" w:cs="Arial"/>
          <w:sz w:val="28"/>
          <w:szCs w:val="28"/>
          <w:lang w:bidi="ar-MA"/>
        </w:rPr>
        <w:t>9</w:t>
      </w:r>
      <w:r w:rsidR="003C6BD6">
        <w:rPr>
          <w:rFonts w:ascii="Arial" w:hAnsi="Arial" w:cs="Arial"/>
          <w:sz w:val="28"/>
          <w:szCs w:val="28"/>
          <w:lang w:bidi="ar-MA"/>
        </w:rPr>
        <w:t>%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3C6BD6" w:rsidRPr="004B4A60">
        <w:rPr>
          <w:rtl/>
        </w:rPr>
        <w:t xml:space="preserve"> 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3C6BD6" w:rsidRPr="004B4A60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>
        <w:rPr>
          <w:rFonts w:ascii="Arial" w:hAnsi="Arial" w:cs="Arial"/>
          <w:sz w:val="28"/>
          <w:szCs w:val="28"/>
          <w:rtl/>
          <w:lang w:bidi="ar-MA"/>
        </w:rPr>
        <w:t>ا</w:t>
      </w:r>
      <w:r w:rsidR="003C6BD6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3C6BD6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3C6BD6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6BD6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3C6BD6">
        <w:rPr>
          <w:rFonts w:ascii="Arial" w:hAnsi="Arial" w:cs="Arial"/>
          <w:sz w:val="28"/>
          <w:szCs w:val="28"/>
          <w:lang w:bidi="ar-MA"/>
        </w:rPr>
        <w:t xml:space="preserve"> </w:t>
      </w:r>
      <w:r w:rsidR="003C6BD6" w:rsidRPr="004254E3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3C6BD6" w:rsidRPr="004254E3">
        <w:rPr>
          <w:rFonts w:ascii="Arial" w:hAnsi="Arial" w:cs="Arial"/>
          <w:sz w:val="28"/>
          <w:szCs w:val="28"/>
          <w:lang w:bidi="ar-MA"/>
        </w:rPr>
        <w:t>0,</w:t>
      </w:r>
      <w:r w:rsidR="00921161">
        <w:rPr>
          <w:rFonts w:ascii="Arial" w:hAnsi="Arial" w:cs="Arial"/>
          <w:sz w:val="28"/>
          <w:szCs w:val="28"/>
          <w:lang w:bidi="ar-MA"/>
        </w:rPr>
        <w:t>1</w:t>
      </w:r>
      <w:r w:rsidR="003C6BD6" w:rsidRPr="004254E3">
        <w:rPr>
          <w:rFonts w:ascii="Arial" w:hAnsi="Arial" w:cs="Arial"/>
          <w:sz w:val="28"/>
          <w:szCs w:val="28"/>
          <w:lang w:bidi="ar-MA"/>
        </w:rPr>
        <w:t>%</w:t>
      </w:r>
      <w:r w:rsidR="003C6BD6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3C6BD6" w:rsidRDefault="009E579A" w:rsidP="003C6BD6">
      <w:pPr>
        <w:tabs>
          <w:tab w:val="left" w:pos="708"/>
        </w:tabs>
        <w:spacing w:line="320" w:lineRule="exact"/>
        <w:ind w:left="989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2BD7" w:rsidRDefault="009C7931" w:rsidP="006A5F12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23EC7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ماي ويونيو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E3B58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Pr="009C7931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4D093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D0934">
        <w:rPr>
          <w:rFonts w:ascii="Arial" w:hAnsi="Arial" w:cs="Arial"/>
          <w:sz w:val="28"/>
          <w:szCs w:val="28"/>
          <w:lang w:bidi="ar-MA"/>
        </w:rPr>
        <w:t xml:space="preserve"> </w:t>
      </w:r>
      <w:r w:rsidR="004D0934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D0934" w:rsidRPr="004D0934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4D0934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4D0934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D0934">
        <w:rPr>
          <w:rFonts w:ascii="Arial" w:hAnsi="Arial" w:cs="Arial"/>
          <w:sz w:val="28"/>
          <w:szCs w:val="28"/>
          <w:lang w:bidi="ar-MA"/>
        </w:rPr>
        <w:t xml:space="preserve"> 6,9</w:t>
      </w:r>
      <w:r w:rsidR="004D0934" w:rsidRPr="006C19CB">
        <w:rPr>
          <w:rFonts w:ascii="Arial" w:hAnsi="Arial" w:cs="Arial"/>
          <w:sz w:val="28"/>
          <w:szCs w:val="28"/>
          <w:lang w:bidi="ar-MA"/>
        </w:rPr>
        <w:t>%</w:t>
      </w:r>
      <w:r w:rsidR="004D0934">
        <w:rPr>
          <w:rFonts w:ascii="Arial" w:hAnsi="Arial" w:cs="Arial"/>
          <w:sz w:val="28"/>
          <w:szCs w:val="28"/>
          <w:lang w:bidi="ar-MA"/>
        </w:rPr>
        <w:t xml:space="preserve"> 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Pr="009C793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817806">
        <w:rPr>
          <w:rFonts w:ascii="Arial" w:hAnsi="Arial" w:cs="Arial"/>
          <w:sz w:val="28"/>
          <w:szCs w:val="28"/>
          <w:rtl/>
          <w:lang w:bidi="ar-MA"/>
        </w:rPr>
        <w:t>الخضر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D0934">
        <w:rPr>
          <w:rFonts w:ascii="Arial" w:hAnsi="Arial" w:cs="Arial"/>
          <w:sz w:val="28"/>
          <w:szCs w:val="28"/>
          <w:lang w:bidi="ar-MA"/>
        </w:rPr>
        <w:t>6</w:t>
      </w:r>
      <w:r w:rsidR="009C4E77">
        <w:rPr>
          <w:rFonts w:ascii="Arial" w:hAnsi="Arial" w:cs="Arial"/>
          <w:sz w:val="28"/>
          <w:szCs w:val="28"/>
          <w:lang w:bidi="ar-MA"/>
        </w:rPr>
        <w:t>,</w:t>
      </w:r>
      <w:r w:rsidR="004D0934">
        <w:rPr>
          <w:rFonts w:ascii="Arial" w:hAnsi="Arial" w:cs="Arial"/>
          <w:sz w:val="28"/>
          <w:szCs w:val="28"/>
          <w:lang w:bidi="ar-MA"/>
        </w:rPr>
        <w:t>0</w:t>
      </w:r>
      <w:r w:rsidR="00CB5D83">
        <w:rPr>
          <w:rFonts w:ascii="Arial" w:hAnsi="Arial" w:cs="Arial"/>
          <w:sz w:val="28"/>
          <w:szCs w:val="28"/>
          <w:lang w:bidi="ar-MA"/>
        </w:rPr>
        <w:t>%</w:t>
      </w:r>
      <w:r w:rsidR="00817806" w:rsidRPr="0081780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D0934" w:rsidRPr="009C7931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4D09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>1</w:t>
      </w:r>
      <w:r w:rsidR="00D82EA6">
        <w:rPr>
          <w:rFonts w:ascii="Arial" w:hAnsi="Arial" w:cs="Arial"/>
          <w:sz w:val="28"/>
          <w:szCs w:val="28"/>
          <w:lang w:bidi="ar-MA"/>
        </w:rPr>
        <w:t>,</w:t>
      </w:r>
      <w:r w:rsidR="00172BD7">
        <w:rPr>
          <w:rFonts w:ascii="Arial" w:hAnsi="Arial" w:cs="Arial"/>
          <w:sz w:val="28"/>
          <w:szCs w:val="28"/>
          <w:lang w:bidi="ar-MA"/>
        </w:rPr>
        <w:t>1</w:t>
      </w:r>
      <w:r w:rsidR="00D82EA6">
        <w:rPr>
          <w:rFonts w:ascii="Arial" w:hAnsi="Arial" w:cs="Arial"/>
          <w:sz w:val="28"/>
          <w:szCs w:val="28"/>
          <w:lang w:bidi="ar-MA"/>
        </w:rPr>
        <w:t>%</w:t>
      </w:r>
      <w:r w:rsidR="00D82EA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1780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172BD7" w:rsidRPr="00172BD7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81780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="00172BD7">
        <w:rPr>
          <w:rFonts w:ascii="Arial" w:hAnsi="Arial" w:cs="Arial"/>
          <w:sz w:val="28"/>
          <w:szCs w:val="28"/>
          <w:lang w:bidi="ar-MA"/>
        </w:rPr>
        <w:t>.</w:t>
      </w:r>
      <w:r w:rsidR="00817806">
        <w:rPr>
          <w:rFonts w:ascii="Arial" w:hAnsi="Arial" w:cs="Arial"/>
          <w:sz w:val="28"/>
          <w:szCs w:val="28"/>
          <w:lang w:bidi="ar-MA"/>
        </w:rPr>
        <w:t>0,</w:t>
      </w:r>
      <w:r w:rsidR="00172BD7">
        <w:rPr>
          <w:rFonts w:ascii="Arial" w:hAnsi="Arial" w:cs="Arial"/>
          <w:sz w:val="28"/>
          <w:szCs w:val="28"/>
          <w:lang w:bidi="ar-MA"/>
        </w:rPr>
        <w:t>7</w:t>
      </w:r>
      <w:r w:rsidR="00817806">
        <w:rPr>
          <w:rFonts w:ascii="Arial" w:hAnsi="Arial" w:cs="Arial"/>
          <w:sz w:val="28"/>
          <w:szCs w:val="28"/>
          <w:lang w:bidi="ar-MA"/>
        </w:rPr>
        <w:t>%</w:t>
      </w:r>
      <w:r w:rsidR="00172BD7" w:rsidRPr="00172B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>وعلى العكس من ذلك، ارتفعت أثمان "</w:t>
      </w:r>
      <w:r w:rsidR="00F75169" w:rsidRPr="00F75169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72BD7" w:rsidRPr="00CD7C1A">
        <w:rPr>
          <w:rFonts w:ascii="Arial" w:hAnsi="Arial" w:cs="Arial"/>
          <w:sz w:val="28"/>
          <w:szCs w:val="28"/>
          <w:lang w:bidi="ar-MA"/>
        </w:rPr>
        <w:t>0,</w:t>
      </w:r>
      <w:r w:rsidR="006A5F12" w:rsidRPr="00CD7C1A">
        <w:rPr>
          <w:rFonts w:ascii="Arial" w:hAnsi="Arial" w:cs="Arial"/>
          <w:sz w:val="28"/>
          <w:szCs w:val="28"/>
          <w:lang w:bidi="ar-MA"/>
        </w:rPr>
        <w:t>9</w:t>
      </w:r>
      <w:r w:rsidR="00172BD7" w:rsidRPr="00CD7C1A">
        <w:rPr>
          <w:rFonts w:ascii="Arial" w:hAnsi="Arial" w:cs="Arial"/>
          <w:sz w:val="28"/>
          <w:szCs w:val="28"/>
          <w:lang w:bidi="ar-MA"/>
        </w:rPr>
        <w:t>%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F75169" w:rsidRPr="00172BD7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172BD7" w:rsidRPr="00AF3737">
        <w:rPr>
          <w:rFonts w:ascii="Arial" w:hAnsi="Arial" w:cs="Arial"/>
          <w:sz w:val="28"/>
          <w:szCs w:val="28"/>
          <w:lang w:bidi="ar-MA"/>
        </w:rPr>
        <w:t>0,</w:t>
      </w:r>
      <w:r w:rsidR="006A5F12">
        <w:rPr>
          <w:rFonts w:ascii="Arial" w:hAnsi="Arial" w:cs="Arial"/>
          <w:sz w:val="28"/>
          <w:szCs w:val="28"/>
          <w:lang w:bidi="ar-MA"/>
        </w:rPr>
        <w:t>3</w:t>
      </w:r>
      <w:r w:rsidR="00172BD7">
        <w:rPr>
          <w:rFonts w:ascii="Arial" w:hAnsi="Arial" w:cs="Arial"/>
          <w:sz w:val="28"/>
          <w:szCs w:val="28"/>
          <w:lang w:bidi="ar-MA"/>
        </w:rPr>
        <w:t>%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 xml:space="preserve">. فيما يخص المواد غير الغذائية، فإن </w:t>
      </w:r>
      <w:r w:rsidR="00172BD7">
        <w:rPr>
          <w:rFonts w:ascii="Arial" w:hAnsi="Arial" w:cs="Arial"/>
          <w:sz w:val="28"/>
          <w:szCs w:val="28"/>
          <w:rtl/>
          <w:lang w:bidi="ar-MA"/>
        </w:rPr>
        <w:t>ا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172BD7" w:rsidRPr="00490DBF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172BD7">
        <w:rPr>
          <w:rFonts w:ascii="Arial" w:hAnsi="Arial" w:cs="Arial"/>
          <w:sz w:val="28"/>
          <w:szCs w:val="28"/>
          <w:lang w:bidi="ar-MA"/>
        </w:rPr>
        <w:t>1,2%</w:t>
      </w:r>
      <w:r w:rsidR="00172BD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172BD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F43DEF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/>
          <w:sz w:val="28"/>
          <w:szCs w:val="28"/>
          <w:rtl/>
          <w:lang w:bidi="ar-MA"/>
        </w:rPr>
        <w:t>ا</w:t>
      </w:r>
      <w:r w:rsidR="00CB5D8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9C7931" w:rsidRPr="008E33D1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9C7931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F66088" w:rsidRPr="0056255B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F66088" w:rsidRPr="0056255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F66088">
        <w:rPr>
          <w:rFonts w:ascii="Arial" w:hAnsi="Arial" w:cs="Arial"/>
          <w:sz w:val="28"/>
          <w:szCs w:val="28"/>
          <w:lang w:bidi="ar-MA"/>
        </w:rPr>
        <w:t xml:space="preserve"> </w:t>
      </w:r>
      <w:r w:rsidR="009C7931">
        <w:rPr>
          <w:rFonts w:ascii="Arial" w:hAnsi="Arial" w:cs="Arial"/>
          <w:sz w:val="28"/>
          <w:szCs w:val="28"/>
          <w:lang w:bidi="ar-MA"/>
        </w:rPr>
        <w:t>2</w:t>
      </w:r>
      <w:r w:rsidR="00F66088">
        <w:rPr>
          <w:rFonts w:ascii="Arial" w:hAnsi="Arial" w:cs="Arial"/>
          <w:sz w:val="28"/>
          <w:szCs w:val="28"/>
          <w:lang w:bidi="ar-MA"/>
        </w:rPr>
        <w:t>,</w:t>
      </w:r>
      <w:r w:rsidR="003626E2">
        <w:rPr>
          <w:rFonts w:ascii="Arial" w:hAnsi="Arial" w:cs="Arial"/>
          <w:sz w:val="28"/>
          <w:szCs w:val="28"/>
          <w:lang w:bidi="ar-MA"/>
        </w:rPr>
        <w:t>3</w:t>
      </w:r>
      <w:r w:rsidR="00F66088">
        <w:rPr>
          <w:rFonts w:ascii="Arial" w:hAnsi="Arial" w:cs="Arial"/>
          <w:sz w:val="28"/>
          <w:szCs w:val="28"/>
          <w:lang w:bidi="ar-MA"/>
        </w:rPr>
        <w:t>%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2559FB">
        <w:rPr>
          <w:rFonts w:ascii="Arial" w:hAnsi="Arial" w:cs="Arial"/>
          <w:sz w:val="28"/>
          <w:szCs w:val="28"/>
          <w:rtl/>
          <w:lang w:bidi="ar-MA"/>
        </w:rPr>
        <w:t>في</w:t>
      </w:r>
      <w:r w:rsidR="009C7931" w:rsidRPr="009C7931">
        <w:rPr>
          <w:rFonts w:ascii="Arial" w:hAnsi="Arial" w:cs="Arial"/>
          <w:sz w:val="28"/>
          <w:szCs w:val="28"/>
          <w:rtl/>
          <w:lang w:bidi="ar-MA"/>
        </w:rPr>
        <w:t xml:space="preserve"> آسفي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C7931">
        <w:rPr>
          <w:rFonts w:ascii="Arial" w:hAnsi="Arial" w:cs="Arial"/>
          <w:sz w:val="28"/>
          <w:szCs w:val="28"/>
          <w:lang w:bidi="ar-MA"/>
        </w:rPr>
        <w:t>1</w:t>
      </w:r>
      <w:r w:rsidR="00110E90">
        <w:rPr>
          <w:rFonts w:ascii="Arial" w:hAnsi="Arial" w:cs="Arial"/>
          <w:sz w:val="28"/>
          <w:szCs w:val="28"/>
          <w:lang w:bidi="ar-MA"/>
        </w:rPr>
        <w:t>,</w:t>
      </w:r>
      <w:r w:rsidR="003626E2">
        <w:rPr>
          <w:rFonts w:ascii="Arial" w:hAnsi="Arial" w:cs="Arial"/>
          <w:sz w:val="28"/>
          <w:szCs w:val="28"/>
          <w:lang w:bidi="ar-MA"/>
        </w:rPr>
        <w:t>9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بني ملال</w:t>
      </w:r>
      <w:r w:rsidR="00F66088" w:rsidRPr="002D26B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lang w:bidi="ar-MA"/>
        </w:rPr>
        <w:t>1</w:t>
      </w:r>
      <w:r w:rsidR="003C50E1">
        <w:rPr>
          <w:rFonts w:ascii="Arial" w:hAnsi="Arial" w:cs="Arial"/>
          <w:sz w:val="28"/>
          <w:szCs w:val="28"/>
          <w:lang w:bidi="ar-MA"/>
        </w:rPr>
        <w:t>,</w:t>
      </w:r>
      <w:r w:rsidR="003626E2">
        <w:rPr>
          <w:rFonts w:ascii="Arial" w:hAnsi="Arial" w:cs="Arial"/>
          <w:sz w:val="28"/>
          <w:szCs w:val="28"/>
          <w:lang w:bidi="ar-MA"/>
        </w:rPr>
        <w:t>5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 xml:space="preserve"> الرشيدية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626E2">
        <w:rPr>
          <w:rFonts w:ascii="Arial" w:hAnsi="Arial" w:cs="Arial"/>
          <w:sz w:val="28"/>
          <w:szCs w:val="28"/>
          <w:lang w:bidi="ar-MA"/>
        </w:rPr>
        <w:t>1</w:t>
      </w:r>
      <w:r w:rsidR="00B60705">
        <w:rPr>
          <w:rFonts w:ascii="Arial" w:hAnsi="Arial" w:cs="Arial"/>
          <w:sz w:val="28"/>
          <w:szCs w:val="28"/>
          <w:lang w:bidi="ar-MA"/>
        </w:rPr>
        <w:t>,</w:t>
      </w:r>
      <w:r w:rsidR="003626E2">
        <w:rPr>
          <w:rFonts w:ascii="Arial" w:hAnsi="Arial" w:cs="Arial"/>
          <w:sz w:val="28"/>
          <w:szCs w:val="28"/>
          <w:lang w:bidi="ar-MA"/>
        </w:rPr>
        <w:t>2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E5B5B" w:rsidRPr="000E5B5B">
        <w:rPr>
          <w:rFonts w:ascii="Arial" w:hAnsi="Arial" w:cs="Arial"/>
          <w:sz w:val="28"/>
          <w:szCs w:val="28"/>
          <w:rtl/>
          <w:lang w:bidi="ar-MA"/>
        </w:rPr>
        <w:t>فاس</w:t>
      </w:r>
      <w:r w:rsidR="00F6608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3626E2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3626E2">
        <w:rPr>
          <w:rFonts w:ascii="Arial" w:hAnsi="Arial" w:cs="Arial"/>
          <w:sz w:val="28"/>
          <w:szCs w:val="28"/>
          <w:lang w:bidi="ar-MA"/>
        </w:rPr>
        <w:t>1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CA1A74" w:rsidRPr="00CA1A74">
        <w:rPr>
          <w:rFonts w:ascii="Arial" w:hAnsi="Arial" w:cs="Arial"/>
          <w:sz w:val="28"/>
          <w:szCs w:val="28"/>
          <w:rtl/>
          <w:lang w:bidi="ar-MA"/>
        </w:rPr>
        <w:t>وجدة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A1A7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A1A74" w:rsidRPr="00CA1A74">
        <w:rPr>
          <w:rFonts w:ascii="Arial" w:hAnsi="Arial" w:cs="Arial"/>
          <w:sz w:val="28"/>
          <w:szCs w:val="28"/>
          <w:rtl/>
          <w:lang w:bidi="ar-MA"/>
        </w:rPr>
        <w:t>تطوان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9C4E77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</w:t>
      </w:r>
      <w:r w:rsidR="00CA1A74">
        <w:rPr>
          <w:rFonts w:ascii="Arial" w:hAnsi="Arial" w:cs="Arial"/>
          <w:sz w:val="28"/>
          <w:szCs w:val="28"/>
          <w:lang w:bidi="ar-MA"/>
        </w:rPr>
        <w:t>1</w:t>
      </w:r>
      <w:r w:rsidR="005A5DAC">
        <w:rPr>
          <w:rFonts w:ascii="Arial" w:hAnsi="Arial" w:cs="Arial"/>
          <w:sz w:val="28"/>
          <w:szCs w:val="28"/>
          <w:lang w:bidi="ar-MA"/>
        </w:rPr>
        <w:t>,</w:t>
      </w:r>
      <w:r w:rsidR="00CA1A74">
        <w:rPr>
          <w:rFonts w:ascii="Arial" w:hAnsi="Arial" w:cs="Arial"/>
          <w:sz w:val="28"/>
          <w:szCs w:val="28"/>
          <w:lang w:bidi="ar-MA"/>
        </w:rPr>
        <w:t>0</w:t>
      </w:r>
      <w:r w:rsidR="005A5DAC">
        <w:rPr>
          <w:rFonts w:ascii="Arial" w:hAnsi="Arial" w:cs="Arial"/>
          <w:sz w:val="28"/>
          <w:szCs w:val="28"/>
          <w:lang w:bidi="ar-MA"/>
        </w:rPr>
        <w:t>%</w:t>
      </w:r>
      <w:r w:rsidR="000E5B5B">
        <w:rPr>
          <w:rFonts w:ascii="Arial" w:hAnsi="Arial" w:cs="Arial"/>
          <w:sz w:val="28"/>
          <w:szCs w:val="28"/>
          <w:lang w:bidi="ar-MA"/>
        </w:rPr>
        <w:t xml:space="preserve"> </w:t>
      </w:r>
      <w:r w:rsidR="000E5B5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E5B5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CA1A74" w:rsidRPr="00CA1A74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0E5B5B">
        <w:rPr>
          <w:rFonts w:ascii="Arial" w:hAnsi="Arial" w:cs="Arial"/>
          <w:sz w:val="28"/>
          <w:szCs w:val="28"/>
          <w:rtl/>
          <w:lang w:bidi="ar-MA"/>
        </w:rPr>
        <w:t>ب</w:t>
      </w:r>
      <w:r w:rsidR="000E5B5B">
        <w:rPr>
          <w:rFonts w:ascii="Arial" w:hAnsi="Arial" w:cs="Arial"/>
          <w:sz w:val="28"/>
          <w:szCs w:val="28"/>
          <w:lang w:bidi="ar-MA"/>
        </w:rPr>
        <w:t>0,</w:t>
      </w:r>
      <w:r w:rsidR="00CA1A74">
        <w:rPr>
          <w:rFonts w:ascii="Arial" w:hAnsi="Arial" w:cs="Arial"/>
          <w:sz w:val="28"/>
          <w:szCs w:val="28"/>
          <w:lang w:bidi="ar-MA"/>
        </w:rPr>
        <w:t>9</w:t>
      </w:r>
      <w:r w:rsidR="000E5B5B">
        <w:rPr>
          <w:rFonts w:ascii="Arial" w:hAnsi="Arial" w:cs="Arial"/>
          <w:sz w:val="28"/>
          <w:szCs w:val="28"/>
          <w:lang w:bidi="ar-MA"/>
        </w:rPr>
        <w:t>%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CA1A74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B36131" w:rsidRPr="00B36131">
        <w:rPr>
          <w:rFonts w:ascii="Arial" w:hAnsi="Arial" w:cs="Arial"/>
          <w:sz w:val="28"/>
          <w:szCs w:val="28"/>
          <w:rtl/>
          <w:lang w:bidi="ar-MA"/>
        </w:rPr>
        <w:t>الدار البيضاء</w:t>
      </w:r>
      <w:r w:rsidR="00CA1A74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A1A74" w:rsidRPr="00CA1A74">
        <w:rPr>
          <w:rtl/>
        </w:rPr>
        <w:t xml:space="preserve"> </w:t>
      </w:r>
      <w:r w:rsidR="00B36131" w:rsidRPr="00CA1A74">
        <w:rPr>
          <w:rFonts w:ascii="Arial" w:hAnsi="Arial" w:cs="Arial"/>
          <w:sz w:val="28"/>
          <w:szCs w:val="28"/>
          <w:rtl/>
          <w:lang w:bidi="ar-MA"/>
        </w:rPr>
        <w:t>العيون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B3613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36131" w:rsidRPr="00B36131">
        <w:rPr>
          <w:rFonts w:ascii="Arial" w:hAnsi="Arial" w:cs="Arial"/>
          <w:sz w:val="28"/>
          <w:szCs w:val="28"/>
          <w:rtl/>
          <w:lang w:bidi="ar-MA"/>
        </w:rPr>
        <w:t>الداخلة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CA1A74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CA1A74" w:rsidRPr="00CA1A74">
        <w:rPr>
          <w:rtl/>
        </w:rPr>
        <w:t xml:space="preserve"> </w:t>
      </w:r>
      <w:r w:rsidR="00CA1A74" w:rsidRPr="00CA1A74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CA1A74">
        <w:rPr>
          <w:rFonts w:ascii="Arial" w:hAnsi="Arial" w:cs="Arial"/>
          <w:sz w:val="28"/>
          <w:szCs w:val="28"/>
          <w:lang w:bidi="ar-MA"/>
        </w:rPr>
        <w:t xml:space="preserve"> </w:t>
      </w:r>
      <w:r w:rsidR="00CA1A74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CA1A74">
        <w:rPr>
          <w:rFonts w:ascii="Arial" w:hAnsi="Arial" w:cs="Arial"/>
          <w:sz w:val="28"/>
          <w:szCs w:val="28"/>
          <w:lang w:bidi="ar-MA"/>
        </w:rPr>
        <w:t>0,7%</w:t>
      </w:r>
      <w:r w:rsidR="00CA1A74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F75169" w:rsidRDefault="00F75169" w:rsidP="00E35238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1,5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</w:t>
      </w:r>
      <w:r>
        <w:rPr>
          <w:rFonts w:ascii="Arial" w:hAnsi="Arial" w:cs="Arial"/>
          <w:sz w:val="28"/>
          <w:szCs w:val="28"/>
          <w:rtl/>
          <w:lang w:bidi="ar-MA"/>
        </w:rPr>
        <w:t>شه</w:t>
      </w:r>
      <w:r>
        <w:rPr>
          <w:rFonts w:ascii="Arial" w:hAnsi="Arial" w:cs="Arial" w:hint="cs"/>
          <w:sz w:val="28"/>
          <w:szCs w:val="28"/>
          <w:rtl/>
          <w:lang w:bidi="ar-MA"/>
        </w:rPr>
        <w:t>ر يونيو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0,</w:t>
      </w:r>
      <w:r w:rsidR="00E35238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064E41">
        <w:rPr>
          <w:rtl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ب </w:t>
      </w:r>
      <w:r>
        <w:rPr>
          <w:rFonts w:ascii="Arial" w:hAnsi="Arial" w:cs="Arial"/>
          <w:sz w:val="28"/>
          <w:szCs w:val="28"/>
          <w:lang w:bidi="ar-MA"/>
        </w:rPr>
        <w:t>2,</w:t>
      </w:r>
      <w:r w:rsidR="00E35238">
        <w:rPr>
          <w:rFonts w:ascii="Arial" w:hAnsi="Arial" w:cs="Arial"/>
          <w:sz w:val="28"/>
          <w:szCs w:val="28"/>
          <w:lang w:bidi="ar-MA"/>
        </w:rPr>
        <w:t>0</w:t>
      </w:r>
      <w:r w:rsidRPr="00C954F8"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انخفاض</w:t>
      </w:r>
      <w:r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 xml:space="preserve"> 0,3%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Pr="0071477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 w:rsidRPr="00714776">
        <w:rPr>
          <w:rFonts w:ascii="Arial" w:hAnsi="Arial" w:cs="Arial" w:hint="cs"/>
          <w:sz w:val="28"/>
          <w:szCs w:val="28"/>
          <w:rtl/>
          <w:lang w:bidi="ar-MA"/>
        </w:rPr>
        <w:t>المواصلات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ارتفاع قدره</w:t>
      </w:r>
      <w:r>
        <w:rPr>
          <w:rFonts w:ascii="Arial" w:hAnsi="Arial" w:cs="Arial"/>
          <w:sz w:val="28"/>
          <w:szCs w:val="28"/>
          <w:lang w:bidi="ar-MA"/>
        </w:rPr>
        <w:t>7,</w:t>
      </w:r>
      <w:r w:rsidR="00E35238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 xml:space="preserve">%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 ل "</w:t>
      </w:r>
      <w:r w:rsidRPr="00714776">
        <w:rPr>
          <w:rFonts w:ascii="Arial" w:hAnsi="Arial" w:cs="Arial" w:hint="cs"/>
          <w:sz w:val="28"/>
          <w:szCs w:val="28"/>
          <w:rtl/>
          <w:lang w:bidi="ar-MA"/>
        </w:rPr>
        <w:t>النقل</w:t>
      </w:r>
      <w:r w:rsidRPr="00714776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</w:p>
    <w:p w:rsidR="000E5B5B" w:rsidRPr="00F75169" w:rsidRDefault="000E5B5B" w:rsidP="000E5B5B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6D0884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8E3B58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D0884" w:rsidRPr="006D0884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7F037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7F0371">
        <w:rPr>
          <w:rFonts w:ascii="Arial" w:hAnsi="Arial" w:cs="Arial"/>
          <w:sz w:val="28"/>
          <w:szCs w:val="28"/>
          <w:lang w:bidi="ar-MA"/>
        </w:rPr>
        <w:t xml:space="preserve"> </w:t>
      </w:r>
      <w:r w:rsidR="007F0371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7F0371">
        <w:rPr>
          <w:rFonts w:ascii="Arial" w:hAnsi="Arial" w:cs="Arial"/>
          <w:sz w:val="28"/>
          <w:szCs w:val="28"/>
          <w:lang w:bidi="ar-MA"/>
        </w:rPr>
        <w:t>0</w:t>
      </w:r>
      <w:r w:rsidR="007F0371" w:rsidRPr="00495D0A">
        <w:rPr>
          <w:rFonts w:ascii="Arial" w:hAnsi="Arial" w:cs="Arial"/>
          <w:sz w:val="28"/>
          <w:szCs w:val="28"/>
          <w:lang w:bidi="ar-MA"/>
        </w:rPr>
        <w:t>,</w:t>
      </w:r>
      <w:r w:rsidR="006D0884">
        <w:rPr>
          <w:rFonts w:ascii="Arial" w:hAnsi="Arial" w:cs="Arial"/>
          <w:sz w:val="28"/>
          <w:szCs w:val="28"/>
          <w:lang w:bidi="ar-MA"/>
        </w:rPr>
        <w:t>1</w:t>
      </w:r>
      <w:r w:rsidR="007F0371" w:rsidRPr="00495D0A">
        <w:rPr>
          <w:rFonts w:ascii="Arial" w:hAnsi="Arial" w:cs="Arial"/>
          <w:sz w:val="28"/>
          <w:szCs w:val="28"/>
          <w:lang w:bidi="ar-MA"/>
        </w:rPr>
        <w:t>%</w:t>
      </w:r>
      <w:r w:rsidR="007F0371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ماي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E3B58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6D0884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6D0884">
        <w:rPr>
          <w:rFonts w:ascii="Arial" w:hAnsi="Arial" w:cs="Arial"/>
          <w:sz w:val="28"/>
          <w:szCs w:val="28"/>
          <w:lang w:bidi="ar-MA"/>
        </w:rPr>
        <w:t>3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5A5DAC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8E3B58">
        <w:rPr>
          <w:rFonts w:ascii="Arial" w:hAnsi="Arial" w:cs="Arial"/>
          <w:sz w:val="28"/>
          <w:szCs w:val="28"/>
          <w:rtl/>
          <w:lang w:bidi="ar-MA"/>
        </w:rPr>
        <w:t>2020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863D9B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</w:p>
    <w:p w:rsidR="00605727" w:rsidRPr="004671FE" w:rsidRDefault="00605727" w:rsidP="00605727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DF073E" w:rsidRPr="004671FE" w:rsidRDefault="00DF073E" w:rsidP="00DF073E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DF073E" w:rsidRPr="004671FE" w:rsidRDefault="00DF073E" w:rsidP="00DF073E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DF073E" w:rsidRPr="001F441C" w:rsidTr="003C6BD6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1F441C" w:rsidRDefault="00DF073E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1F441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DF073E" w:rsidRPr="001F441C" w:rsidTr="003C6BD6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1F441C" w:rsidTr="003C6BD6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1F441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ماي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8E3B5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يونيو </w:t>
            </w:r>
            <w:r w:rsidR="008E3B58">
              <w:rPr>
                <w:rFonts w:ascii="Arial" w:hAnsi="Arial" w:cs="Arial" w:hint="cs"/>
                <w:b/>
                <w:bCs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1F441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-1,9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-2,1</w:t>
            </w:r>
          </w:p>
        </w:tc>
      </w:tr>
      <w:tr w:rsidR="002B26DA" w:rsidRPr="001F441C" w:rsidTr="003C6BD6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1F441C" w:rsidTr="003C6BD6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1F441C" w:rsidTr="003C6BD6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1F441C" w:rsidRDefault="002B26DA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Default="00DF073E" w:rsidP="00DF073E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DF073E" w:rsidRPr="004671FE" w:rsidRDefault="00DF073E" w:rsidP="00DF073E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DF073E" w:rsidRPr="008631BC" w:rsidTr="003C6BD6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8631B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للستة أشهر الأولى</w:t>
            </w:r>
          </w:p>
        </w:tc>
      </w:tr>
      <w:tr w:rsidR="00DF073E" w:rsidRPr="008631BC" w:rsidTr="003C6BD6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8631BC" w:rsidTr="003C6BD6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8631B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يونيو </w:t>
            </w:r>
            <w:r w:rsidR="008E3B5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يونيو </w:t>
            </w:r>
            <w:r w:rsidR="008E3B5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8631B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793709" w:rsidRDefault="008E3B58" w:rsidP="003C6BD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793709" w:rsidRDefault="008E3B58" w:rsidP="003C6BD6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DF073E" w:rsidRPr="008631B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-0,1</w:t>
            </w:r>
          </w:p>
        </w:tc>
      </w:tr>
      <w:tr w:rsidR="002B26DA" w:rsidRPr="008631BC" w:rsidTr="003C6BD6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-0,4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4,3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5,6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-0,1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1,7</w:t>
            </w:r>
          </w:p>
        </w:tc>
      </w:tr>
      <w:tr w:rsidR="002B26DA" w:rsidRPr="008631BC" w:rsidTr="003C6BD6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104,4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104,2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0,9</w:t>
            </w:r>
          </w:p>
        </w:tc>
      </w:tr>
      <w:tr w:rsidR="002B26DA" w:rsidRPr="008631BC" w:rsidTr="003C6BD6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105,5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1,1</w:t>
            </w:r>
          </w:p>
        </w:tc>
      </w:tr>
      <w:tr w:rsidR="002B26DA" w:rsidRPr="008631BC" w:rsidTr="003C6BD6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8631BC" w:rsidRDefault="002B26DA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101,9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1,5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Default="00DF073E" w:rsidP="00DF073E">
      <w:pPr>
        <w:spacing w:line="240" w:lineRule="exact"/>
        <w:rPr>
          <w:rFonts w:cs="Arial"/>
          <w:b/>
          <w:bCs/>
          <w:szCs w:val="28"/>
          <w:lang w:bidi="ar-MA"/>
        </w:rPr>
      </w:pPr>
    </w:p>
    <w:p w:rsidR="00DF073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83F47" w:rsidRDefault="00A83F47" w:rsidP="00A83F47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DF073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DF073E" w:rsidRPr="004671FE" w:rsidRDefault="00DF073E" w:rsidP="00DF073E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DF073E" w:rsidRPr="00A153EC" w:rsidTr="003C6BD6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للستة أشهر الأولى</w:t>
            </w:r>
          </w:p>
        </w:tc>
      </w:tr>
      <w:tr w:rsidR="00DF073E" w:rsidRPr="00A153EC" w:rsidTr="003C6BD6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DF073E" w:rsidRPr="00A153EC" w:rsidTr="003C6BD6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DF073E" w:rsidRPr="00A153EC" w:rsidRDefault="00DF073E" w:rsidP="003C6BD6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ماي </w:t>
            </w:r>
            <w:r w:rsidR="008E3B5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DF073E" w:rsidP="003C6BD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يونيو </w:t>
            </w:r>
            <w:r w:rsidR="008E3B5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8E3B58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DF073E" w:rsidRPr="00A153EC" w:rsidRDefault="008E3B58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DF073E" w:rsidRPr="00A153EC" w:rsidRDefault="00DF073E" w:rsidP="003C6BD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0,8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0,2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1,2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0,6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0,4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0,1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1,6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104,8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2B26DA" w:rsidRPr="00A153EC" w:rsidTr="003C6BD6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1,0</w:t>
            </w:r>
          </w:p>
        </w:tc>
      </w:tr>
      <w:tr w:rsidR="002B26DA" w:rsidRPr="00A153EC" w:rsidTr="003C6BD6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2B26DA" w:rsidRPr="00A153EC" w:rsidRDefault="002B26DA" w:rsidP="003C6BD6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104,1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103,4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2B26DA" w:rsidRDefault="002B26DA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0,9</w:t>
            </w:r>
          </w:p>
        </w:tc>
      </w:tr>
    </w:tbl>
    <w:p w:rsidR="00DF073E" w:rsidRPr="004671FE" w:rsidRDefault="00DF073E" w:rsidP="00DF073E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DF073E" w:rsidRPr="00070661" w:rsidRDefault="00DF073E" w:rsidP="00DF073E">
      <w:pPr>
        <w:rPr>
          <w:lang w:bidi="ar-MA"/>
        </w:rPr>
      </w:pPr>
    </w:p>
    <w:p w:rsidR="00DF073E" w:rsidRDefault="00DF073E" w:rsidP="00DF073E">
      <w:pPr>
        <w:rPr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E1254B" w:rsidRPr="00E1254B" w:rsidRDefault="00E1254B" w:rsidP="00E1254B">
      <w:pPr>
        <w:rPr>
          <w:lang w:bidi="ar-MA"/>
        </w:rPr>
      </w:pPr>
    </w:p>
    <w:p w:rsidR="009E579A" w:rsidRPr="00DB00D9" w:rsidRDefault="009E579A" w:rsidP="00703CB8">
      <w:pPr>
        <w:tabs>
          <w:tab w:val="left" w:pos="-720"/>
        </w:tabs>
        <w:spacing w:line="360" w:lineRule="auto"/>
        <w:ind w:left="-283" w:right="-283"/>
        <w:jc w:val="right"/>
        <w:rPr>
          <w:rFonts w:ascii="Arial" w:hAnsi="Arial" w:cs="Arial"/>
          <w:b/>
          <w:i/>
          <w:sz w:val="24"/>
          <w:lang w:bidi="ar-MA"/>
        </w:rPr>
      </w:pPr>
      <w:r w:rsidRPr="004671FE">
        <w:rPr>
          <w:rFonts w:ascii="Arial" w:hAnsi="Arial" w:cs="Arial"/>
          <w:i/>
          <w:spacing w:val="-2"/>
          <w:lang w:bidi="ar-MA"/>
        </w:rPr>
        <w:t>.</w:t>
      </w:r>
    </w:p>
    <w:sectPr w:rsidR="009E579A" w:rsidRPr="00DB00D9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C47" w:rsidRDefault="00607C47">
      <w:pPr>
        <w:jc w:val="right"/>
      </w:pPr>
      <w:r>
        <w:separator/>
      </w:r>
    </w:p>
  </w:endnote>
  <w:endnote w:type="continuationSeparator" w:id="1">
    <w:p w:rsidR="00607C47" w:rsidRDefault="00607C4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C47" w:rsidRDefault="00607C47">
      <w:pPr>
        <w:jc w:val="right"/>
      </w:pPr>
      <w:r>
        <w:separator/>
      </w:r>
    </w:p>
  </w:footnote>
  <w:footnote w:type="continuationSeparator" w:id="1">
    <w:p w:rsidR="00607C47" w:rsidRDefault="00607C4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FF15EE8"/>
    <w:multiLevelType w:val="hybridMultilevel"/>
    <w:tmpl w:val="8EA61D6A"/>
    <w:lvl w:ilvl="0" w:tplc="040C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ar-MA" w:vendorID="64" w:dllVersion="131078" w:nlCheck="1" w:checkStyle="0"/>
  <w:activeWritingStyle w:appName="MSWord" w:lang="fr-FR" w:vendorID="64" w:dllVersion="131078" w:nlCheck="1" w:checkStyle="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A1360"/>
    <w:rsid w:val="00001A27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5330"/>
    <w:rsid w:val="00027104"/>
    <w:rsid w:val="00027809"/>
    <w:rsid w:val="00030CA7"/>
    <w:rsid w:val="00031EB8"/>
    <w:rsid w:val="00032DD3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7B8"/>
    <w:rsid w:val="00047D6A"/>
    <w:rsid w:val="00050F52"/>
    <w:rsid w:val="00052E8D"/>
    <w:rsid w:val="00054AE8"/>
    <w:rsid w:val="000558D2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1C5B"/>
    <w:rsid w:val="000D26CA"/>
    <w:rsid w:val="000D583E"/>
    <w:rsid w:val="000D5C67"/>
    <w:rsid w:val="000D7448"/>
    <w:rsid w:val="000E3762"/>
    <w:rsid w:val="000E5B5B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D20"/>
    <w:rsid w:val="00170F76"/>
    <w:rsid w:val="00172BD7"/>
    <w:rsid w:val="001738F8"/>
    <w:rsid w:val="00173A84"/>
    <w:rsid w:val="00173AF2"/>
    <w:rsid w:val="001741F7"/>
    <w:rsid w:val="0017468D"/>
    <w:rsid w:val="0017734F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706"/>
    <w:rsid w:val="001C6D07"/>
    <w:rsid w:val="001D0A49"/>
    <w:rsid w:val="001D12D8"/>
    <w:rsid w:val="001D1D06"/>
    <w:rsid w:val="001D2451"/>
    <w:rsid w:val="001D349F"/>
    <w:rsid w:val="001D69C8"/>
    <w:rsid w:val="001E017E"/>
    <w:rsid w:val="001E0CA4"/>
    <w:rsid w:val="001E4E88"/>
    <w:rsid w:val="001F018C"/>
    <w:rsid w:val="001F0BCC"/>
    <w:rsid w:val="001F0ECC"/>
    <w:rsid w:val="001F1068"/>
    <w:rsid w:val="001F1B15"/>
    <w:rsid w:val="001F3BB0"/>
    <w:rsid w:val="001F441C"/>
    <w:rsid w:val="001F4D4B"/>
    <w:rsid w:val="001F5B23"/>
    <w:rsid w:val="001F6587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9E8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57BEA"/>
    <w:rsid w:val="00260C05"/>
    <w:rsid w:val="00262D0A"/>
    <w:rsid w:val="00264881"/>
    <w:rsid w:val="00264CB6"/>
    <w:rsid w:val="0026524C"/>
    <w:rsid w:val="00271254"/>
    <w:rsid w:val="002718B2"/>
    <w:rsid w:val="00271966"/>
    <w:rsid w:val="00272F23"/>
    <w:rsid w:val="00275306"/>
    <w:rsid w:val="00275643"/>
    <w:rsid w:val="002807A5"/>
    <w:rsid w:val="002817D4"/>
    <w:rsid w:val="00282A29"/>
    <w:rsid w:val="002832F8"/>
    <w:rsid w:val="0028367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F8E"/>
    <w:rsid w:val="002B1996"/>
    <w:rsid w:val="002B2409"/>
    <w:rsid w:val="002B26DA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C7C67"/>
    <w:rsid w:val="002D01D6"/>
    <w:rsid w:val="002D08B0"/>
    <w:rsid w:val="002D0A0F"/>
    <w:rsid w:val="002D0CC6"/>
    <w:rsid w:val="002D5B8E"/>
    <w:rsid w:val="002D5F73"/>
    <w:rsid w:val="002E07F6"/>
    <w:rsid w:val="002E162B"/>
    <w:rsid w:val="002E7663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500A"/>
    <w:rsid w:val="00320BC0"/>
    <w:rsid w:val="00320FD2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26E2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973B7"/>
    <w:rsid w:val="003A2C52"/>
    <w:rsid w:val="003A37E8"/>
    <w:rsid w:val="003A4CF3"/>
    <w:rsid w:val="003A59B9"/>
    <w:rsid w:val="003A60C2"/>
    <w:rsid w:val="003A6D10"/>
    <w:rsid w:val="003A6FBC"/>
    <w:rsid w:val="003A7961"/>
    <w:rsid w:val="003B4A5D"/>
    <w:rsid w:val="003B4DD6"/>
    <w:rsid w:val="003B5A22"/>
    <w:rsid w:val="003B5B50"/>
    <w:rsid w:val="003B6514"/>
    <w:rsid w:val="003B6F5F"/>
    <w:rsid w:val="003B7751"/>
    <w:rsid w:val="003B7E99"/>
    <w:rsid w:val="003C0247"/>
    <w:rsid w:val="003C036F"/>
    <w:rsid w:val="003C03C1"/>
    <w:rsid w:val="003C15B3"/>
    <w:rsid w:val="003C1AA9"/>
    <w:rsid w:val="003C3334"/>
    <w:rsid w:val="003C4E49"/>
    <w:rsid w:val="003C50E1"/>
    <w:rsid w:val="003C57CE"/>
    <w:rsid w:val="003C5A34"/>
    <w:rsid w:val="003C6B7F"/>
    <w:rsid w:val="003C6BD6"/>
    <w:rsid w:val="003D2A04"/>
    <w:rsid w:val="003D33E8"/>
    <w:rsid w:val="003D6526"/>
    <w:rsid w:val="003D7D59"/>
    <w:rsid w:val="003E1B9B"/>
    <w:rsid w:val="003E373D"/>
    <w:rsid w:val="003E42D0"/>
    <w:rsid w:val="003E58D5"/>
    <w:rsid w:val="003F0E4C"/>
    <w:rsid w:val="003F3E53"/>
    <w:rsid w:val="003F6165"/>
    <w:rsid w:val="003F6C1D"/>
    <w:rsid w:val="003F7907"/>
    <w:rsid w:val="00402008"/>
    <w:rsid w:val="0040576C"/>
    <w:rsid w:val="00405C08"/>
    <w:rsid w:val="00406899"/>
    <w:rsid w:val="00410156"/>
    <w:rsid w:val="00412622"/>
    <w:rsid w:val="0041282A"/>
    <w:rsid w:val="004129CE"/>
    <w:rsid w:val="004155AD"/>
    <w:rsid w:val="00417A51"/>
    <w:rsid w:val="00417D14"/>
    <w:rsid w:val="004215B1"/>
    <w:rsid w:val="004216F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D5A"/>
    <w:rsid w:val="004532C7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A0835"/>
    <w:rsid w:val="004A11C4"/>
    <w:rsid w:val="004A333F"/>
    <w:rsid w:val="004A4C50"/>
    <w:rsid w:val="004A5950"/>
    <w:rsid w:val="004A62F4"/>
    <w:rsid w:val="004A6F3D"/>
    <w:rsid w:val="004B319A"/>
    <w:rsid w:val="004B51B7"/>
    <w:rsid w:val="004C177A"/>
    <w:rsid w:val="004C3747"/>
    <w:rsid w:val="004C44EB"/>
    <w:rsid w:val="004C68D9"/>
    <w:rsid w:val="004D073B"/>
    <w:rsid w:val="004D0833"/>
    <w:rsid w:val="004D0934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0FEA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34F4"/>
    <w:rsid w:val="00514BD2"/>
    <w:rsid w:val="0052180B"/>
    <w:rsid w:val="00521844"/>
    <w:rsid w:val="00524EC5"/>
    <w:rsid w:val="005251E3"/>
    <w:rsid w:val="00526621"/>
    <w:rsid w:val="0053037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3074"/>
    <w:rsid w:val="005633CB"/>
    <w:rsid w:val="00565857"/>
    <w:rsid w:val="005662A0"/>
    <w:rsid w:val="00567C76"/>
    <w:rsid w:val="00572F92"/>
    <w:rsid w:val="005744B1"/>
    <w:rsid w:val="00580177"/>
    <w:rsid w:val="005826ED"/>
    <w:rsid w:val="00583C17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55BD"/>
    <w:rsid w:val="005A5DAC"/>
    <w:rsid w:val="005A700F"/>
    <w:rsid w:val="005B30D6"/>
    <w:rsid w:val="005B5A63"/>
    <w:rsid w:val="005B6A9C"/>
    <w:rsid w:val="005B7E50"/>
    <w:rsid w:val="005C1C8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07C47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7380"/>
    <w:rsid w:val="006279EE"/>
    <w:rsid w:val="00631454"/>
    <w:rsid w:val="00631A29"/>
    <w:rsid w:val="00631D9B"/>
    <w:rsid w:val="00632DB2"/>
    <w:rsid w:val="006361BD"/>
    <w:rsid w:val="006431D6"/>
    <w:rsid w:val="00643FA2"/>
    <w:rsid w:val="00646C82"/>
    <w:rsid w:val="00647467"/>
    <w:rsid w:val="006478E1"/>
    <w:rsid w:val="00651B2C"/>
    <w:rsid w:val="00654B8F"/>
    <w:rsid w:val="00654DBB"/>
    <w:rsid w:val="006567C6"/>
    <w:rsid w:val="006568B8"/>
    <w:rsid w:val="006570A5"/>
    <w:rsid w:val="00657D72"/>
    <w:rsid w:val="00662302"/>
    <w:rsid w:val="00662335"/>
    <w:rsid w:val="006637DA"/>
    <w:rsid w:val="00665B89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39AF"/>
    <w:rsid w:val="006A3E02"/>
    <w:rsid w:val="006A5B97"/>
    <w:rsid w:val="006A5F12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79AE"/>
    <w:rsid w:val="006D0884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5E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603"/>
    <w:rsid w:val="00733DD1"/>
    <w:rsid w:val="00734DB8"/>
    <w:rsid w:val="00736AB1"/>
    <w:rsid w:val="007405DA"/>
    <w:rsid w:val="00740918"/>
    <w:rsid w:val="00741AC5"/>
    <w:rsid w:val="007426AE"/>
    <w:rsid w:val="00743537"/>
    <w:rsid w:val="00744C6F"/>
    <w:rsid w:val="00744DB2"/>
    <w:rsid w:val="007453D6"/>
    <w:rsid w:val="007458BF"/>
    <w:rsid w:val="00751473"/>
    <w:rsid w:val="007521B1"/>
    <w:rsid w:val="007533A7"/>
    <w:rsid w:val="0075479A"/>
    <w:rsid w:val="00755B56"/>
    <w:rsid w:val="00757F8F"/>
    <w:rsid w:val="00760661"/>
    <w:rsid w:val="0076276D"/>
    <w:rsid w:val="007656B4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B0A7C"/>
    <w:rsid w:val="007B1FF5"/>
    <w:rsid w:val="007B2740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A34"/>
    <w:rsid w:val="007D2A04"/>
    <w:rsid w:val="007D369C"/>
    <w:rsid w:val="007E2139"/>
    <w:rsid w:val="007E2BD3"/>
    <w:rsid w:val="007E2F92"/>
    <w:rsid w:val="007E5922"/>
    <w:rsid w:val="007E67FF"/>
    <w:rsid w:val="007E7AA6"/>
    <w:rsid w:val="007F0371"/>
    <w:rsid w:val="007F0F2B"/>
    <w:rsid w:val="007F1A78"/>
    <w:rsid w:val="007F43FA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17806"/>
    <w:rsid w:val="008209C0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73B"/>
    <w:rsid w:val="008409FF"/>
    <w:rsid w:val="008421E5"/>
    <w:rsid w:val="00842948"/>
    <w:rsid w:val="00843FA9"/>
    <w:rsid w:val="00844F9B"/>
    <w:rsid w:val="008468E2"/>
    <w:rsid w:val="0085055E"/>
    <w:rsid w:val="00853744"/>
    <w:rsid w:val="00854EB7"/>
    <w:rsid w:val="008631BC"/>
    <w:rsid w:val="008634FB"/>
    <w:rsid w:val="00863D9B"/>
    <w:rsid w:val="0086705F"/>
    <w:rsid w:val="00867339"/>
    <w:rsid w:val="008704B4"/>
    <w:rsid w:val="00871324"/>
    <w:rsid w:val="00871931"/>
    <w:rsid w:val="008721B7"/>
    <w:rsid w:val="00873925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B09DB"/>
    <w:rsid w:val="008B2708"/>
    <w:rsid w:val="008B2828"/>
    <w:rsid w:val="008B4030"/>
    <w:rsid w:val="008B6C05"/>
    <w:rsid w:val="008B6DA0"/>
    <w:rsid w:val="008C33AF"/>
    <w:rsid w:val="008C4A68"/>
    <w:rsid w:val="008C5CD8"/>
    <w:rsid w:val="008C7994"/>
    <w:rsid w:val="008D038B"/>
    <w:rsid w:val="008D0BD0"/>
    <w:rsid w:val="008D0CB1"/>
    <w:rsid w:val="008D27F8"/>
    <w:rsid w:val="008D2B8D"/>
    <w:rsid w:val="008D510D"/>
    <w:rsid w:val="008D538D"/>
    <w:rsid w:val="008D5C99"/>
    <w:rsid w:val="008D78DC"/>
    <w:rsid w:val="008E0480"/>
    <w:rsid w:val="008E2358"/>
    <w:rsid w:val="008E3B58"/>
    <w:rsid w:val="008E6BD2"/>
    <w:rsid w:val="008E6EEE"/>
    <w:rsid w:val="008E72E7"/>
    <w:rsid w:val="008E753F"/>
    <w:rsid w:val="008F1073"/>
    <w:rsid w:val="008F305E"/>
    <w:rsid w:val="008F4B00"/>
    <w:rsid w:val="008F5030"/>
    <w:rsid w:val="008F79DC"/>
    <w:rsid w:val="00903489"/>
    <w:rsid w:val="00905ED3"/>
    <w:rsid w:val="009063FE"/>
    <w:rsid w:val="00906BE5"/>
    <w:rsid w:val="00907199"/>
    <w:rsid w:val="0091243D"/>
    <w:rsid w:val="00912AC8"/>
    <w:rsid w:val="009135CC"/>
    <w:rsid w:val="00913EC2"/>
    <w:rsid w:val="009141FB"/>
    <w:rsid w:val="00914631"/>
    <w:rsid w:val="009164CC"/>
    <w:rsid w:val="00921161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568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58D0"/>
    <w:rsid w:val="00976561"/>
    <w:rsid w:val="009770CE"/>
    <w:rsid w:val="00980091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46B"/>
    <w:rsid w:val="009C6E1C"/>
    <w:rsid w:val="009C7931"/>
    <w:rsid w:val="009D0381"/>
    <w:rsid w:val="009D0CAA"/>
    <w:rsid w:val="009D4403"/>
    <w:rsid w:val="009D541A"/>
    <w:rsid w:val="009D5E92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272E7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3F47"/>
    <w:rsid w:val="00A84A36"/>
    <w:rsid w:val="00A86934"/>
    <w:rsid w:val="00A86F1F"/>
    <w:rsid w:val="00A87045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6AF7"/>
    <w:rsid w:val="00AC75E6"/>
    <w:rsid w:val="00AC7E1B"/>
    <w:rsid w:val="00AC7FF7"/>
    <w:rsid w:val="00AD006B"/>
    <w:rsid w:val="00AD0B44"/>
    <w:rsid w:val="00AD216D"/>
    <w:rsid w:val="00AD2794"/>
    <w:rsid w:val="00AD5E40"/>
    <w:rsid w:val="00AD79C5"/>
    <w:rsid w:val="00AD7A8A"/>
    <w:rsid w:val="00AD7E92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09AD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36131"/>
    <w:rsid w:val="00B43EC3"/>
    <w:rsid w:val="00B44A77"/>
    <w:rsid w:val="00B513F0"/>
    <w:rsid w:val="00B51E02"/>
    <w:rsid w:val="00B52843"/>
    <w:rsid w:val="00B5486D"/>
    <w:rsid w:val="00B54F88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3795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33E1"/>
    <w:rsid w:val="00BC46BF"/>
    <w:rsid w:val="00BC4748"/>
    <w:rsid w:val="00BC4FCA"/>
    <w:rsid w:val="00BC7457"/>
    <w:rsid w:val="00BD0726"/>
    <w:rsid w:val="00BD0F3E"/>
    <w:rsid w:val="00BD2912"/>
    <w:rsid w:val="00BD3937"/>
    <w:rsid w:val="00BD4491"/>
    <w:rsid w:val="00BD7817"/>
    <w:rsid w:val="00BE381F"/>
    <w:rsid w:val="00BE4A2E"/>
    <w:rsid w:val="00BE5F43"/>
    <w:rsid w:val="00BF1005"/>
    <w:rsid w:val="00BF1E09"/>
    <w:rsid w:val="00BF40AB"/>
    <w:rsid w:val="00BF6F68"/>
    <w:rsid w:val="00C01A86"/>
    <w:rsid w:val="00C02C33"/>
    <w:rsid w:val="00C03B43"/>
    <w:rsid w:val="00C0404A"/>
    <w:rsid w:val="00C05306"/>
    <w:rsid w:val="00C05593"/>
    <w:rsid w:val="00C06E34"/>
    <w:rsid w:val="00C1000E"/>
    <w:rsid w:val="00C102ED"/>
    <w:rsid w:val="00C118F3"/>
    <w:rsid w:val="00C12E6F"/>
    <w:rsid w:val="00C166B5"/>
    <w:rsid w:val="00C16852"/>
    <w:rsid w:val="00C170C8"/>
    <w:rsid w:val="00C172AC"/>
    <w:rsid w:val="00C17A01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94466"/>
    <w:rsid w:val="00C94B57"/>
    <w:rsid w:val="00C954F8"/>
    <w:rsid w:val="00C97688"/>
    <w:rsid w:val="00CA0D32"/>
    <w:rsid w:val="00CA17F7"/>
    <w:rsid w:val="00CA1A74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2E"/>
    <w:rsid w:val="00CB64C1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D7C1A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4CDA"/>
    <w:rsid w:val="00CF5B05"/>
    <w:rsid w:val="00CF67A7"/>
    <w:rsid w:val="00CF6CF1"/>
    <w:rsid w:val="00D00997"/>
    <w:rsid w:val="00D017CA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49C8"/>
    <w:rsid w:val="00D44DD5"/>
    <w:rsid w:val="00D467CE"/>
    <w:rsid w:val="00D46DA2"/>
    <w:rsid w:val="00D50CBE"/>
    <w:rsid w:val="00D52232"/>
    <w:rsid w:val="00D52D11"/>
    <w:rsid w:val="00D52DA1"/>
    <w:rsid w:val="00D52FCA"/>
    <w:rsid w:val="00D542A3"/>
    <w:rsid w:val="00D603C2"/>
    <w:rsid w:val="00D60D7F"/>
    <w:rsid w:val="00D64124"/>
    <w:rsid w:val="00D7104C"/>
    <w:rsid w:val="00D7295F"/>
    <w:rsid w:val="00D73285"/>
    <w:rsid w:val="00D73A67"/>
    <w:rsid w:val="00D74603"/>
    <w:rsid w:val="00D75BB2"/>
    <w:rsid w:val="00D762EC"/>
    <w:rsid w:val="00D76F6C"/>
    <w:rsid w:val="00D8057A"/>
    <w:rsid w:val="00D8115D"/>
    <w:rsid w:val="00D8234D"/>
    <w:rsid w:val="00D82EA6"/>
    <w:rsid w:val="00D840AA"/>
    <w:rsid w:val="00D8621F"/>
    <w:rsid w:val="00D93038"/>
    <w:rsid w:val="00D96408"/>
    <w:rsid w:val="00D96535"/>
    <w:rsid w:val="00D976A0"/>
    <w:rsid w:val="00DA24DF"/>
    <w:rsid w:val="00DA4365"/>
    <w:rsid w:val="00DA45E8"/>
    <w:rsid w:val="00DB00D9"/>
    <w:rsid w:val="00DB148E"/>
    <w:rsid w:val="00DB2EAF"/>
    <w:rsid w:val="00DB3BAF"/>
    <w:rsid w:val="00DB541B"/>
    <w:rsid w:val="00DB5D22"/>
    <w:rsid w:val="00DC1BDA"/>
    <w:rsid w:val="00DC1D9A"/>
    <w:rsid w:val="00DC21FC"/>
    <w:rsid w:val="00DD08FB"/>
    <w:rsid w:val="00DD1C6F"/>
    <w:rsid w:val="00DD31F6"/>
    <w:rsid w:val="00DD50A4"/>
    <w:rsid w:val="00DD53B1"/>
    <w:rsid w:val="00DD53DF"/>
    <w:rsid w:val="00DD6DBC"/>
    <w:rsid w:val="00DE081D"/>
    <w:rsid w:val="00DE17E0"/>
    <w:rsid w:val="00DE1FC4"/>
    <w:rsid w:val="00DE2077"/>
    <w:rsid w:val="00DE76B1"/>
    <w:rsid w:val="00DF073E"/>
    <w:rsid w:val="00DF0859"/>
    <w:rsid w:val="00DF1D87"/>
    <w:rsid w:val="00DF280C"/>
    <w:rsid w:val="00DF6A56"/>
    <w:rsid w:val="00DF6E3C"/>
    <w:rsid w:val="00DF7520"/>
    <w:rsid w:val="00E03454"/>
    <w:rsid w:val="00E0470E"/>
    <w:rsid w:val="00E0663D"/>
    <w:rsid w:val="00E10676"/>
    <w:rsid w:val="00E10714"/>
    <w:rsid w:val="00E12263"/>
    <w:rsid w:val="00E1254B"/>
    <w:rsid w:val="00E12FE4"/>
    <w:rsid w:val="00E16497"/>
    <w:rsid w:val="00E16595"/>
    <w:rsid w:val="00E2022D"/>
    <w:rsid w:val="00E22226"/>
    <w:rsid w:val="00E226D9"/>
    <w:rsid w:val="00E23BF7"/>
    <w:rsid w:val="00E24032"/>
    <w:rsid w:val="00E31DEC"/>
    <w:rsid w:val="00E31F18"/>
    <w:rsid w:val="00E32578"/>
    <w:rsid w:val="00E35238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61772"/>
    <w:rsid w:val="00E63998"/>
    <w:rsid w:val="00E64F35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3B2B"/>
    <w:rsid w:val="00EA433C"/>
    <w:rsid w:val="00EA539E"/>
    <w:rsid w:val="00EA61D7"/>
    <w:rsid w:val="00EB1444"/>
    <w:rsid w:val="00EB1BEE"/>
    <w:rsid w:val="00EB2982"/>
    <w:rsid w:val="00EB2DD9"/>
    <w:rsid w:val="00EB3BE2"/>
    <w:rsid w:val="00EB4BE4"/>
    <w:rsid w:val="00EB7DCF"/>
    <w:rsid w:val="00EC05DE"/>
    <w:rsid w:val="00EC2965"/>
    <w:rsid w:val="00EC5C71"/>
    <w:rsid w:val="00ED03C1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611F"/>
    <w:rsid w:val="00F27640"/>
    <w:rsid w:val="00F33C49"/>
    <w:rsid w:val="00F34845"/>
    <w:rsid w:val="00F35181"/>
    <w:rsid w:val="00F35913"/>
    <w:rsid w:val="00F35A5E"/>
    <w:rsid w:val="00F3694C"/>
    <w:rsid w:val="00F36F94"/>
    <w:rsid w:val="00F3730C"/>
    <w:rsid w:val="00F4275D"/>
    <w:rsid w:val="00F43DEF"/>
    <w:rsid w:val="00F43E8D"/>
    <w:rsid w:val="00F45056"/>
    <w:rsid w:val="00F5094E"/>
    <w:rsid w:val="00F537D2"/>
    <w:rsid w:val="00F57FC6"/>
    <w:rsid w:val="00F60D07"/>
    <w:rsid w:val="00F63C1E"/>
    <w:rsid w:val="00F645CD"/>
    <w:rsid w:val="00F65313"/>
    <w:rsid w:val="00F65C05"/>
    <w:rsid w:val="00F66088"/>
    <w:rsid w:val="00F7159A"/>
    <w:rsid w:val="00F74497"/>
    <w:rsid w:val="00F75169"/>
    <w:rsid w:val="00F75AFE"/>
    <w:rsid w:val="00F75C74"/>
    <w:rsid w:val="00F75EC1"/>
    <w:rsid w:val="00F80298"/>
    <w:rsid w:val="00F80876"/>
    <w:rsid w:val="00F80D6C"/>
    <w:rsid w:val="00F866F5"/>
    <w:rsid w:val="00F87D67"/>
    <w:rsid w:val="00F930C0"/>
    <w:rsid w:val="00F93394"/>
    <w:rsid w:val="00F93863"/>
    <w:rsid w:val="00F93BA8"/>
    <w:rsid w:val="00F957AB"/>
    <w:rsid w:val="00F96D77"/>
    <w:rsid w:val="00FA06B4"/>
    <w:rsid w:val="00FA0F63"/>
    <w:rsid w:val="00FA2B96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382C"/>
    <w:rsid w:val="00FD5B17"/>
    <w:rsid w:val="00FD67E2"/>
    <w:rsid w:val="00FD6867"/>
    <w:rsid w:val="00FD68D9"/>
    <w:rsid w:val="00FD6DB8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Paragraphedeliste">
    <w:name w:val="List Paragraph"/>
    <w:basedOn w:val="Normal"/>
    <w:uiPriority w:val="34"/>
    <w:qFormat/>
    <w:rsid w:val="003C6B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F105F-2B9E-4770-A2D5-6B7FF8BF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725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2019-07-12T10:55:00Z</cp:lastPrinted>
  <dcterms:created xsi:type="dcterms:W3CDTF">2021-07-19T12:48:00Z</dcterms:created>
  <dcterms:modified xsi:type="dcterms:W3CDTF">2021-07-19T12:55:00Z</dcterms:modified>
</cp:coreProperties>
</file>