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1B5" w:rsidRDefault="002039BB" w:rsidP="00B061B5">
      <w:pPr>
        <w:spacing w:after="0" w:line="240" w:lineRule="auto"/>
        <w:jc w:val="center"/>
        <w:rPr>
          <w:rFonts w:cs="Arial"/>
          <w:b/>
          <w:bCs/>
          <w:sz w:val="32"/>
          <w:szCs w:val="32"/>
          <w:lang w:bidi="ar-MA"/>
        </w:rPr>
      </w:pPr>
      <w:r>
        <w:rPr>
          <w:rFonts w:cs="Arial"/>
          <w:b/>
          <w:bCs/>
          <w:sz w:val="32"/>
          <w:szCs w:val="32"/>
          <w:lang w:bidi="ar-MA"/>
        </w:rPr>
        <w:t xml:space="preserve">           </w:t>
      </w:r>
    </w:p>
    <w:p w:rsidR="00B061B5" w:rsidRDefault="00B061B5" w:rsidP="00B061B5">
      <w:pPr>
        <w:spacing w:after="0" w:line="240" w:lineRule="auto"/>
        <w:jc w:val="center"/>
        <w:rPr>
          <w:rFonts w:cs="Arial"/>
          <w:b/>
          <w:bCs/>
          <w:sz w:val="32"/>
          <w:szCs w:val="32"/>
          <w:lang w:bidi="ar-MA"/>
        </w:rPr>
      </w:pPr>
    </w:p>
    <w:p w:rsidR="00B061B5" w:rsidRDefault="00B061B5" w:rsidP="00B061B5">
      <w:pPr>
        <w:spacing w:after="0" w:line="240" w:lineRule="auto"/>
        <w:jc w:val="center"/>
        <w:rPr>
          <w:rFonts w:cs="Arial"/>
          <w:b/>
          <w:bCs/>
          <w:sz w:val="32"/>
          <w:szCs w:val="32"/>
          <w:lang w:bidi="ar-MA"/>
        </w:rPr>
      </w:pPr>
    </w:p>
    <w:p w:rsidR="00B061B5" w:rsidRPr="003D2EFB" w:rsidRDefault="00B061B5" w:rsidP="00B061B5">
      <w:pPr>
        <w:bidi/>
        <w:spacing w:after="120" w:line="240" w:lineRule="auto"/>
        <w:jc w:val="center"/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</w:pPr>
      <w:r w:rsidRPr="003D2EFB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 xml:space="preserve">مذكرة إخبارية </w:t>
      </w:r>
      <w:r w:rsidRPr="003D2EFB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  <w:lang w:bidi="tzm-Arab-MA"/>
        </w:rPr>
        <w:t>لل</w:t>
      </w:r>
      <w:r w:rsidRPr="003D2EFB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مندوبية السامية للتخطيط حول</w:t>
      </w:r>
    </w:p>
    <w:p w:rsidR="00B061B5" w:rsidRDefault="00B061B5" w:rsidP="0091058B">
      <w:pPr>
        <w:bidi/>
        <w:spacing w:after="0" w:line="240" w:lineRule="auto"/>
        <w:jc w:val="center"/>
        <w:rPr>
          <w:rFonts w:cs="Arial"/>
          <w:b/>
          <w:bCs/>
          <w:sz w:val="32"/>
          <w:szCs w:val="32"/>
          <w:lang w:bidi="ar-MA"/>
        </w:rPr>
      </w:pPr>
      <w:r w:rsidRPr="003D2EFB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وضعية سوق الشغل خلال</w:t>
      </w:r>
      <w:r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  <w:t xml:space="preserve"> </w:t>
      </w:r>
      <w:r w:rsidRPr="003D2EFB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الفصل ال</w:t>
      </w:r>
      <w:r>
        <w:rPr>
          <w:rFonts w:asciiTheme="majorBidi" w:hAnsiTheme="majorBidi" w:cstheme="majorBidi" w:hint="cs"/>
          <w:b/>
          <w:bCs/>
          <w:color w:val="1F497D" w:themeColor="text2"/>
          <w:sz w:val="38"/>
          <w:szCs w:val="38"/>
          <w:rtl/>
        </w:rPr>
        <w:t>أول</w:t>
      </w:r>
      <w:r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  <w:t xml:space="preserve"> </w:t>
      </w:r>
      <w:r w:rsidRPr="003D2EFB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>من</w:t>
      </w:r>
      <w:r>
        <w:rPr>
          <w:rFonts w:asciiTheme="majorBidi" w:hAnsiTheme="majorBidi" w:cstheme="majorBidi"/>
          <w:b/>
          <w:bCs/>
          <w:color w:val="1F497D" w:themeColor="text2"/>
          <w:sz w:val="38"/>
          <w:szCs w:val="38"/>
        </w:rPr>
        <w:t xml:space="preserve"> </w:t>
      </w:r>
      <w:r w:rsidRPr="003D2EFB">
        <w:rPr>
          <w:rFonts w:asciiTheme="majorBidi" w:hAnsiTheme="majorBidi" w:cstheme="majorBidi"/>
          <w:b/>
          <w:bCs/>
          <w:color w:val="1F497D" w:themeColor="text2"/>
          <w:sz w:val="38"/>
          <w:szCs w:val="38"/>
          <w:rtl/>
        </w:rPr>
        <w:t xml:space="preserve">سنة </w:t>
      </w:r>
      <w:r w:rsidR="0091058B">
        <w:rPr>
          <w:rFonts w:asciiTheme="majorBidi" w:hAnsiTheme="majorBidi" w:cstheme="majorBidi" w:hint="cs"/>
          <w:b/>
          <w:bCs/>
          <w:color w:val="1F497D" w:themeColor="text2"/>
          <w:sz w:val="38"/>
          <w:szCs w:val="38"/>
          <w:rtl/>
        </w:rPr>
        <w:t>2021</w:t>
      </w:r>
    </w:p>
    <w:p w:rsidR="00B061B5" w:rsidRDefault="00B061B5" w:rsidP="00B061B5">
      <w:pPr>
        <w:spacing w:after="0" w:line="240" w:lineRule="auto"/>
        <w:jc w:val="center"/>
        <w:rPr>
          <w:rFonts w:cs="Arial"/>
          <w:b/>
          <w:bCs/>
          <w:sz w:val="32"/>
          <w:szCs w:val="32"/>
          <w:lang w:bidi="ar-MA"/>
        </w:rPr>
      </w:pPr>
    </w:p>
    <w:p w:rsidR="00B061B5" w:rsidRPr="00E8059D" w:rsidRDefault="00B061B5" w:rsidP="00B061B5">
      <w:pPr>
        <w:spacing w:after="0" w:line="240" w:lineRule="auto"/>
        <w:jc w:val="center"/>
        <w:rPr>
          <w:sz w:val="32"/>
          <w:szCs w:val="32"/>
          <w:rtl/>
          <w:lang w:bidi="ar-MA"/>
        </w:rPr>
      </w:pPr>
    </w:p>
    <w:p w:rsidR="00686F3B" w:rsidRPr="0091058B" w:rsidRDefault="009B0DE4" w:rsidP="009030EF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لا</w:t>
      </w:r>
      <w:r w:rsidR="00E8059D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 </w:t>
      </w: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تزال وضعية سوق الشغل خلال الفصل ال</w:t>
      </w:r>
      <w:r w:rsidR="0091058B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أ</w:t>
      </w: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ول من سنة 2021 تعاني من مخلفات ال</w:t>
      </w:r>
      <w:r w:rsidR="0091058B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أ</w:t>
      </w: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زمة التي عاشها الاقتصاد الوطني خلال سنة 2020. حيث تميزت أساسا بارتفاع البطالة وعدم النشاط خصوصا في صفوف النساء والشباب.</w:t>
      </w:r>
    </w:p>
    <w:p w:rsidR="0042228F" w:rsidRPr="0091058B" w:rsidRDefault="009B0DE4" w:rsidP="002A7537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ما</w:t>
      </w:r>
      <w:r w:rsidR="00282A7E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بين الفصل </w:t>
      </w:r>
      <w:r w:rsidR="00282A7E" w:rsidRPr="0091058B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الأول</w:t>
      </w: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من سنة 2020 ونفس الفصل من سنة </w:t>
      </w:r>
      <w:r w:rsidR="0042228F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2021، وبإحداث 56.000 منصب شغل بالوسط الحضري وفقدان 258.000 منصب شغل بالوسط القروي،</w:t>
      </w:r>
      <w:r w:rsidR="00282A7E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42228F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فقد</w:t>
      </w:r>
      <w:r w:rsidR="00282A7E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42228F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الاقتصاد الوطني 202.000 منصب شغل على المستوى الوطني،</w:t>
      </w:r>
      <w:r w:rsidR="00282A7E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2A7537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ar-MA"/>
        </w:rPr>
        <w:t>أساسا</w:t>
      </w:r>
      <w:r w:rsidR="002A7537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42228F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مناصب غير المؤدى عنها (185.000). في حين، عرف الاقتصاد الوطني </w:t>
      </w:r>
      <w:r w:rsidR="00282A7E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إ</w:t>
      </w:r>
      <w:r w:rsidR="0042228F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حداث 77.000 منصب </w:t>
      </w:r>
      <w:r w:rsidR="001F593A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ar-MA"/>
        </w:rPr>
        <w:t>ما</w:t>
      </w:r>
      <w:r w:rsidR="001F593A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42228F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بين الفصل ال</w:t>
      </w:r>
      <w:r w:rsidR="00282A7E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أ</w:t>
      </w:r>
      <w:r w:rsidR="0042228F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ول من سنة 2019 و نفس الفصل من سنة 2020. </w:t>
      </w:r>
    </w:p>
    <w:p w:rsidR="0091058B" w:rsidRDefault="00A943BA" w:rsidP="002A7537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وبلغ الحجم </w:t>
      </w:r>
      <w:r w:rsidR="004A357D" w:rsidRPr="0091058B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الإجمالي</w:t>
      </w: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للبطالة 1</w:t>
      </w:r>
      <w:r w:rsidR="00282A7E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.</w:t>
      </w: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534.000 شخص وذلك بزيادة قدرها 242.000 عاطل</w:t>
      </w:r>
      <w:r w:rsidR="002A7537" w:rsidRPr="002A7537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2A7537"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على المستوى الوطني</w:t>
      </w:r>
      <w:r w:rsidRPr="0091058B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، 185.000 بالوسط الحضري و57.000 بالوسط القروي. </w:t>
      </w:r>
    </w:p>
    <w:p w:rsidR="00EC78A0" w:rsidRPr="00C1783F" w:rsidRDefault="00A943BA" w:rsidP="003A2453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و</w:t>
      </w:r>
      <w:r w:rsidR="00282A7E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هكذا،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انتقل معدل البطالة من %10,5 </w:t>
      </w:r>
      <w:r w:rsidR="00282A7E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إلى 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%12,5 على المستوى الوطني</w:t>
      </w:r>
      <w:r w:rsidR="00BC76EB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،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من</w:t>
      </w:r>
      <w:r w:rsidR="00282A7E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 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15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1 </w:t>
      </w:r>
      <w:r w:rsidR="00282A7E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إلى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17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1 بالوسط الحضري ومن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3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9 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إلى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5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3 بالوسط القروي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.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وسجلت 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أ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هم الارتفاعات في معدل البطالة بين النساء من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14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3 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إلى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     %17,</w:t>
      </w:r>
      <w:r w:rsidR="003A2453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5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،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وبين الشباب المتراوحة 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أ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عمارهم مابين 15 و24 سنة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،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من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26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8 </w:t>
      </w:r>
      <w:r w:rsidR="003A2453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إلى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32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5، و بين حاملي الشهادات من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%17,8 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FB4D3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إلى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19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="00EC78A0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8 .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</w:p>
    <w:p w:rsidR="005F6737" w:rsidRDefault="00EC78A0" w:rsidP="003714A7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بلغ عدد السكان النشيطين المشتغلين</w:t>
      </w:r>
      <w:r w:rsidR="00EA3C64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في حالة الشغل الناقص 988.00 شخ</w:t>
      </w:r>
      <w:r w:rsidR="00EA3C6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ص</w:t>
      </w:r>
      <w:r w:rsidR="000E247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.</w:t>
      </w:r>
      <w:r w:rsidR="005675D7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وانتقل</w:t>
      </w:r>
      <w:r w:rsidR="00EA3C6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معدل الشغل الناقص من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%8,8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0E247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إلى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9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2 على المستوى الوطني</w:t>
      </w:r>
      <w:r w:rsidR="003714A7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،</w:t>
      </w:r>
      <w:r w:rsidR="000E247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  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0E247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م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ن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="000E2474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8,7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0E247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إلى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8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9 بالوسط الحضري ومن</w:t>
      </w:r>
      <w:r w:rsidR="000E247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8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9 </w:t>
      </w:r>
      <w:r w:rsidR="000E247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إلى 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%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9</w:t>
      </w:r>
      <w:r w:rsidR="00167E28"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,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6 بالوسط القروي</w:t>
      </w:r>
      <w:r w:rsidR="000E2474" w:rsidRPr="00C1783F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.</w:t>
      </w:r>
      <w:r w:rsidRPr="00C1783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</w:p>
    <w:p w:rsidR="005F6737" w:rsidRDefault="005F6737">
      <w:pPr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br w:type="page"/>
      </w:r>
    </w:p>
    <w:p w:rsidR="00167E28" w:rsidRPr="00F907AB" w:rsidRDefault="001517F2" w:rsidP="00F907AB">
      <w:pPr>
        <w:bidi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lastRenderedPageBreak/>
        <w:t>1.  النشاط والشغل</w:t>
      </w:r>
    </w:p>
    <w:p w:rsidR="00167E28" w:rsidRPr="004C40BA" w:rsidRDefault="00167E28" w:rsidP="004C40BA">
      <w:pPr>
        <w:bidi/>
        <w:ind w:left="360"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 w:rsidRPr="004C40BA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انخفاض النشاط والشغل</w:t>
      </w:r>
    </w:p>
    <w:p w:rsidR="00D80A2E" w:rsidRPr="0091058B" w:rsidRDefault="00D80A2E" w:rsidP="00EF3C58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عرف معدل النشاط مابين الفصل ال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ول من سنة 2020 ونفس الفترة من سنة 2021،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انخفاض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>ا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على المستوى الوطني</w:t>
      </w:r>
      <w:r w:rsidR="00EF3C58">
        <w:rPr>
          <w:rFonts w:asciiTheme="majorBidi" w:hAnsiTheme="majorBidi" w:cstheme="majorBidi" w:hint="cs"/>
          <w:sz w:val="32"/>
          <w:szCs w:val="32"/>
          <w:rtl/>
          <w:lang w:bidi="ar-MA"/>
        </w:rPr>
        <w:t>، منتقلا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</w:t>
      </w:r>
      <w:r w:rsidR="00F907AB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46 </w:t>
      </w:r>
      <w:r w:rsidR="00F907AB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45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5. حيث انخفض من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F907AB" w:rsidRPr="0091058B">
        <w:rPr>
          <w:rFonts w:asciiTheme="majorBidi" w:hAnsiTheme="majorBidi" w:cstheme="majorBidi"/>
          <w:sz w:val="32"/>
          <w:szCs w:val="32"/>
          <w:rtl/>
          <w:lang w:bidi="ar-MA"/>
        </w:rPr>
        <w:t>53,3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F907AB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51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1 بالوسط القروي وارتفع من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42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1 </w:t>
      </w:r>
      <w:r w:rsidR="00F907AB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42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6 بالوسط الحضري،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وقد بلغ الفرق بين معدلات النشاط لدى الرجال والنساء حوالي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49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5 نقطة، وذلك بمعدلات نشاط على التوالي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70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7 و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21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2</w:t>
      </w:r>
      <w:r w:rsidR="005F6737">
        <w:rPr>
          <w:rFonts w:asciiTheme="majorBidi" w:hAnsiTheme="majorBidi" w:cstheme="majorBidi" w:hint="cs"/>
          <w:sz w:val="32"/>
          <w:szCs w:val="32"/>
          <w:rtl/>
          <w:lang w:bidi="ar-MA"/>
        </w:rPr>
        <w:t>.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</w:t>
      </w:r>
      <w:r w:rsidR="00EF3C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قد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بلغ هذين المعدلين على التوالي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70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3 و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22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6 خلال الفصل ال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ول من سنة 2020. </w:t>
      </w:r>
    </w:p>
    <w:p w:rsidR="00FB35C6" w:rsidRPr="0091058B" w:rsidRDefault="00D80A2E" w:rsidP="00EF3C58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و من جه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>ته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F907AB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انخفض معدل الشغل من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41,2 </w:t>
      </w:r>
      <w:r w:rsidR="004C40BA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39,9 على المستوى الوطني. حيث عرف انخفاضا ضعيفا ب 0</w:t>
      </w:r>
      <w:r w:rsidR="004C40BA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4 نقطة بالوسط الحضري (من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35,7 </w:t>
      </w:r>
      <w:r w:rsidR="004C40BA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  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35,3)</w:t>
      </w:r>
      <w:r w:rsidR="00102982" w:rsidRPr="00102982">
        <w:rPr>
          <w:rFonts w:asciiTheme="majorBidi" w:hAnsiTheme="majorBidi" w:cs="Times New Roman"/>
          <w:sz w:val="32"/>
          <w:szCs w:val="32"/>
          <w:rtl/>
          <w:lang w:bidi="ar-MA"/>
        </w:rPr>
        <w:t>،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EF3C58">
        <w:rPr>
          <w:rFonts w:asciiTheme="majorBidi" w:hAnsiTheme="majorBidi" w:cstheme="majorBidi" w:hint="cs"/>
          <w:sz w:val="32"/>
          <w:szCs w:val="32"/>
          <w:rtl/>
          <w:lang w:bidi="ar-MA"/>
        </w:rPr>
        <w:t>في حين فقد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2,8 نقطة بالوسط القروي (من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51,2 </w:t>
      </w:r>
      <w:r w:rsidR="004C40BA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48,4)</w:t>
      </w:r>
      <w:r w:rsidR="0010298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. 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وبلغ الفرق بين معدلات الشغل لدى الرجال والنساء حوالي 45,4 نقطة وذلك على التوالي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62,9 و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17,5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. 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وبلغا هذين المعدلين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63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8 و</w:t>
      </w:r>
      <w:r w:rsidR="004C40BA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>19</w:t>
      </w:r>
      <w:r w:rsidR="00D2088C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292A85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3 </w:t>
      </w:r>
      <w:r w:rsidR="00BE6BBF">
        <w:rPr>
          <w:rFonts w:asciiTheme="majorBidi" w:hAnsiTheme="majorBidi" w:cstheme="majorBidi" w:hint="cs"/>
          <w:sz w:val="32"/>
          <w:szCs w:val="32"/>
          <w:rtl/>
          <w:lang w:bidi="ar-MA"/>
        </w:rPr>
        <w:t>خلال نفس الفترة من السنة الماضية</w:t>
      </w:r>
      <w:r w:rsidR="00FB35C6" w:rsidRPr="0091058B">
        <w:rPr>
          <w:rFonts w:asciiTheme="majorBidi" w:hAnsiTheme="majorBidi" w:cstheme="majorBidi"/>
          <w:sz w:val="32"/>
          <w:szCs w:val="32"/>
          <w:rtl/>
          <w:lang w:bidi="ar-MA"/>
        </w:rPr>
        <w:t>.</w:t>
      </w:r>
    </w:p>
    <w:p w:rsidR="00167E28" w:rsidRPr="004C40BA" w:rsidRDefault="00FB35C6" w:rsidP="004C40BA">
      <w:pPr>
        <w:bidi/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tzm-Arab-MA"/>
        </w:rPr>
      </w:pPr>
      <w:r w:rsidRPr="004C40BA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فقدان مناصب شغل</w:t>
      </w:r>
      <w:r w:rsidR="001517F2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>،</w:t>
      </w:r>
      <w:r w:rsidRPr="004C40BA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خصوصا غير المؤدى عنها </w:t>
      </w:r>
    </w:p>
    <w:p w:rsidR="00372A0B" w:rsidRDefault="00FB35C6" w:rsidP="00491152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انخفض حجم التشغيل ب 202.000 منصب، نتيجة فقدان 258.000 منصب بالوسط القروي و</w:t>
      </w:r>
      <w:r w:rsidR="00430779">
        <w:rPr>
          <w:rFonts w:asciiTheme="majorBidi" w:hAnsiTheme="majorBidi" w:cstheme="majorBidi" w:hint="cs"/>
          <w:sz w:val="32"/>
          <w:szCs w:val="32"/>
          <w:rtl/>
          <w:lang w:bidi="ar-MA"/>
        </w:rPr>
        <w:t>إ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حداث 56.000 منصب بالوسط الحضري. وحسب نوع الشغل،</w:t>
      </w:r>
      <w:r w:rsidR="0043077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ت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 فقدان 185.000 منصب شغل غير مؤدى عنه خلال هذه الفترة، وذلك نتيجة فقدان 178.000 منصب بالوسط القروي و7.000 بالوسط الحضري. كما عرف الشغل المؤدى عنه </w:t>
      </w:r>
      <w:r w:rsidR="00430779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يضا تراجعا ب 16.000 منصب ،</w:t>
      </w:r>
      <w:r w:rsidR="00372A0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وذلك نتيجة فقدان 80.000 منصب بالمناطق القروية و </w:t>
      </w:r>
      <w:r w:rsidR="00430779">
        <w:rPr>
          <w:rFonts w:asciiTheme="majorBidi" w:hAnsiTheme="majorBidi" w:cstheme="majorBidi" w:hint="cs"/>
          <w:sz w:val="32"/>
          <w:szCs w:val="32"/>
          <w:rtl/>
          <w:lang w:bidi="ar-MA"/>
        </w:rPr>
        <w:t>إ</w:t>
      </w:r>
      <w:r w:rsidR="00372A0B" w:rsidRPr="0091058B">
        <w:rPr>
          <w:rFonts w:asciiTheme="majorBidi" w:hAnsiTheme="majorBidi" w:cstheme="majorBidi"/>
          <w:sz w:val="32"/>
          <w:szCs w:val="32"/>
          <w:rtl/>
          <w:lang w:bidi="ar-MA"/>
        </w:rPr>
        <w:t>حداث 64.000 منصب بالمناطق</w:t>
      </w:r>
      <w:r w:rsidR="0043077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372A0B" w:rsidRPr="0091058B">
        <w:rPr>
          <w:rFonts w:asciiTheme="majorBidi" w:hAnsiTheme="majorBidi" w:cstheme="majorBidi"/>
          <w:sz w:val="32"/>
          <w:szCs w:val="32"/>
          <w:rtl/>
          <w:lang w:bidi="ar-MA"/>
        </w:rPr>
        <w:t>الحضرية.</w:t>
      </w:r>
    </w:p>
    <w:p w:rsidR="007D6A29" w:rsidRDefault="007D6A29" w:rsidP="007D6A29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7D6A29" w:rsidRPr="007D6A29" w:rsidRDefault="00372A0B" w:rsidP="007D6A29">
      <w:pPr>
        <w:bidi/>
        <w:spacing w:after="0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7D6A29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مبيان 1 : التغيير الصافي لمناصب الشغل مابين الفصل ال</w:t>
      </w:r>
      <w:r w:rsidR="007D6A29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أ</w:t>
      </w:r>
      <w:r w:rsidRPr="007D6A29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ول من سنة 2020 ونفس الفصل من سنة 2021 حسب نوع الشغل ووسط </w:t>
      </w:r>
      <w:r w:rsidR="007D6A29" w:rsidRPr="007D6A29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الإقامة</w:t>
      </w:r>
    </w:p>
    <w:p w:rsidR="00372A0B" w:rsidRPr="007D6A29" w:rsidRDefault="00372A0B" w:rsidP="007D6A29">
      <w:pPr>
        <w:bidi/>
        <w:spacing w:after="0"/>
        <w:jc w:val="both"/>
        <w:rPr>
          <w:rFonts w:asciiTheme="majorBidi" w:hAnsiTheme="majorBidi" w:cstheme="majorBidi"/>
          <w:color w:val="FF0000"/>
          <w:sz w:val="24"/>
          <w:szCs w:val="24"/>
          <w:rtl/>
          <w:lang w:bidi="ar-MA"/>
        </w:rPr>
      </w:pPr>
      <w:r w:rsidRPr="007D6A29">
        <w:rPr>
          <w:rFonts w:asciiTheme="majorBidi" w:hAnsiTheme="majorBidi" w:cstheme="majorBidi"/>
          <w:color w:val="FF0000"/>
          <w:sz w:val="24"/>
          <w:szCs w:val="24"/>
          <w:rtl/>
          <w:lang w:bidi="ar-MA"/>
        </w:rPr>
        <w:t xml:space="preserve"> </w:t>
      </w:r>
    </w:p>
    <w:p w:rsidR="00491152" w:rsidRDefault="007D6A29" w:rsidP="00796F36">
      <w:pPr>
        <w:bidi/>
        <w:spacing w:after="0"/>
        <w:jc w:val="center"/>
        <w:rPr>
          <w:rFonts w:asciiTheme="majorBidi" w:hAnsiTheme="majorBidi" w:cstheme="majorBidi"/>
          <w:color w:val="FF0000"/>
          <w:sz w:val="32"/>
          <w:szCs w:val="32"/>
          <w:rtl/>
          <w:lang w:bidi="ar-MA"/>
        </w:rPr>
      </w:pPr>
      <w:r w:rsidRPr="007D6A29">
        <w:rPr>
          <w:rFonts w:asciiTheme="majorBidi" w:hAnsiTheme="majorBidi" w:cs="Times New Roman"/>
          <w:noProof/>
          <w:color w:val="FF0000"/>
          <w:sz w:val="32"/>
          <w:szCs w:val="32"/>
          <w:rtl/>
          <w:lang w:eastAsia="fr-FR"/>
        </w:rPr>
        <w:drawing>
          <wp:inline distT="0" distB="0" distL="0" distR="0">
            <wp:extent cx="4663034" cy="184343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3B0986" w:rsidRPr="00C43DC3" w:rsidRDefault="00F81087" w:rsidP="00796F36">
      <w:pPr>
        <w:bidi/>
        <w:spacing w:after="0"/>
        <w:ind w:left="425" w:hanging="624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lang w:bidi="ar-MA"/>
        </w:rPr>
      </w:pPr>
      <w:r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lastRenderedPageBreak/>
        <w:t xml:space="preserve">     </w:t>
      </w:r>
      <w:r w:rsidR="00372A0B" w:rsidRPr="00C43DC3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انخفاض الشغل بقطاع الفلاحة</w:t>
      </w:r>
      <w:r w:rsidR="00152E42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،</w:t>
      </w:r>
      <w:r w:rsidR="00372A0B" w:rsidRPr="00C43DC3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  <w:r w:rsidR="003F47F5" w:rsidRPr="00C43DC3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الغابة والصيد، وقطاع الصناعة بما</w:t>
      </w:r>
      <w:r w:rsidR="00C43DC3" w:rsidRPr="00C43DC3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 xml:space="preserve"> </w:t>
      </w:r>
      <w:r w:rsidR="003F47F5" w:rsidRPr="00C43DC3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فيها الصناعة التقليدية مقابل ارتفاع في قطاعي الخدمات والبناء </w:t>
      </w:r>
      <w:r w:rsidRPr="00C43DC3"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</w:rPr>
        <w:t>والأشغال</w:t>
      </w:r>
      <w:r w:rsidR="003F47F5" w:rsidRPr="00C43DC3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العمومية</w:t>
      </w:r>
    </w:p>
    <w:p w:rsidR="003B0986" w:rsidRPr="0091058B" w:rsidRDefault="00EC78A0" w:rsidP="00E8059D">
      <w:pPr>
        <w:pStyle w:val="Paragraphedeliste"/>
        <w:bidi/>
        <w:spacing w:after="0"/>
        <w:jc w:val="both"/>
        <w:rPr>
          <w:rFonts w:asciiTheme="majorBidi" w:hAnsiTheme="majorBidi" w:cstheme="majorBidi"/>
          <w:sz w:val="32"/>
          <w:szCs w:val="32"/>
          <w:u w:val="single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42228F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  </w:t>
      </w:r>
    </w:p>
    <w:p w:rsidR="00F81087" w:rsidRDefault="003B0986" w:rsidP="00F81087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ما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الفصل </w:t>
      </w:r>
      <w:r w:rsidR="00F81087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الأول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سنة 2020 ونفس الفصل من سنة 2021،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فقد قطاع "الفلاحة، الغابة والصيد " 231.000 منصب شغل (%6</w:t>
      </w:r>
      <w:r w:rsidR="00F81087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4-)،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وذلك نتيجة فقدان 254.000 منصب بالوسط القروي و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>إ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حداث 23.000 منصب بالوسط الحضري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>.</w:t>
      </w:r>
    </w:p>
    <w:p w:rsidR="00E73FC4" w:rsidRDefault="003B0986" w:rsidP="00D04CAB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كما فقد قطاع "الصناعة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>،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بما فيها الصناعة التقليدية " 48.000 منصب ( 25.000 بالوسط الحضري و23.000 بالوسط القروي ) وهو ما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يمثل تراجع ب</w:t>
      </w:r>
      <w:r w:rsidR="00DF3EC6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AD391B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3</w:t>
      </w:r>
      <w:r w:rsidR="00AD391B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6 من حجم التشغيل بهذا </w:t>
      </w:r>
      <w:r w:rsidR="00AD391B" w:rsidRPr="0091058B">
        <w:rPr>
          <w:rFonts w:asciiTheme="majorBidi" w:hAnsiTheme="majorBidi" w:cstheme="majorBidi"/>
          <w:sz w:val="32"/>
          <w:szCs w:val="32"/>
          <w:rtl/>
          <w:lang w:bidi="ar-MA"/>
        </w:rPr>
        <w:t>القطاع</w:t>
      </w:r>
      <w:r w:rsidR="00E73FC4">
        <w:rPr>
          <w:rFonts w:asciiTheme="majorBidi" w:hAnsiTheme="majorBidi" w:cstheme="majorBidi" w:hint="cs"/>
          <w:sz w:val="32"/>
          <w:szCs w:val="32"/>
          <w:rtl/>
          <w:lang w:bidi="ar-MA"/>
        </w:rPr>
        <w:t>.</w:t>
      </w:r>
      <w:r w:rsidR="00D04CAB">
        <w:rPr>
          <w:rFonts w:asciiTheme="majorBidi" w:hAnsiTheme="majorBidi" w:cstheme="majorBidi"/>
          <w:sz w:val="32"/>
          <w:szCs w:val="32"/>
          <w:lang w:bidi="ar-MA"/>
        </w:rPr>
        <w:t xml:space="preserve"> </w:t>
      </w:r>
      <w:r w:rsidR="00D04CAB" w:rsidRPr="00D04CAB">
        <w:rPr>
          <w:rFonts w:asciiTheme="majorBidi" w:hAnsiTheme="majorBidi" w:cstheme="majorBidi"/>
          <w:sz w:val="32"/>
          <w:szCs w:val="32"/>
          <w:rtl/>
          <w:lang w:bidi="ar-MA"/>
        </w:rPr>
        <w:t>وتجدر الإشارة أن نسبة الأنشطة التقليدية</w:t>
      </w:r>
      <w:r w:rsidR="00D04CAB">
        <w:rPr>
          <w:rStyle w:val="Appelnotedebasdep"/>
          <w:rFonts w:asciiTheme="majorBidi" w:hAnsiTheme="majorBidi" w:cstheme="majorBidi"/>
          <w:sz w:val="32"/>
          <w:szCs w:val="32"/>
          <w:rtl/>
          <w:lang w:bidi="ar-MA"/>
        </w:rPr>
        <w:footnoteReference w:id="1"/>
      </w:r>
      <w:r w:rsidR="00D04CAB" w:rsidRPr="00D04CA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بقطاع الصناعة تقدر ب  </w:t>
      </w:r>
      <w:r w:rsidR="00D04CA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% </w:t>
      </w:r>
      <w:r w:rsidR="00D04CAB">
        <w:rPr>
          <w:rFonts w:asciiTheme="majorBidi" w:hAnsiTheme="majorBidi" w:cstheme="majorBidi"/>
          <w:sz w:val="32"/>
          <w:szCs w:val="32"/>
          <w:lang w:bidi="ar-MA"/>
        </w:rPr>
        <w:t>43,7</w:t>
      </w:r>
      <w:r w:rsidR="00D04CAB">
        <w:rPr>
          <w:rFonts w:asciiTheme="majorBidi" w:hAnsiTheme="majorBidi" w:cstheme="majorBidi" w:hint="cs"/>
          <w:sz w:val="32"/>
          <w:szCs w:val="32"/>
          <w:rtl/>
          <w:lang w:bidi="tzm-Arab-MA"/>
        </w:rPr>
        <w:t xml:space="preserve"> </w:t>
      </w:r>
      <w:r w:rsidR="00D04CAB" w:rsidRPr="00D04CAB">
        <w:rPr>
          <w:rFonts w:asciiTheme="majorBidi" w:hAnsiTheme="majorBidi" w:cstheme="majorBidi"/>
          <w:sz w:val="32"/>
          <w:szCs w:val="32"/>
          <w:rtl/>
          <w:lang w:bidi="ar-MA"/>
        </w:rPr>
        <w:t>مقابل   </w:t>
      </w:r>
      <w:r w:rsidR="00D04CA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% </w:t>
      </w:r>
      <w:r w:rsidR="00D04CAB">
        <w:rPr>
          <w:rFonts w:asciiTheme="majorBidi" w:hAnsiTheme="majorBidi" w:cstheme="majorBidi"/>
          <w:sz w:val="32"/>
          <w:szCs w:val="32"/>
          <w:lang w:bidi="ar-MA"/>
        </w:rPr>
        <w:t>47,4</w:t>
      </w:r>
      <w:r w:rsidR="00D04CAB">
        <w:rPr>
          <w:rFonts w:asciiTheme="majorBidi" w:hAnsiTheme="majorBidi" w:cstheme="majorBidi" w:hint="cs"/>
          <w:sz w:val="32"/>
          <w:szCs w:val="32"/>
          <w:rtl/>
          <w:lang w:bidi="tzm-Arab-MA"/>
        </w:rPr>
        <w:t xml:space="preserve"> </w:t>
      </w:r>
      <w:r w:rsidR="00D04CAB" w:rsidRPr="00D04CAB">
        <w:rPr>
          <w:rFonts w:asciiTheme="majorBidi" w:hAnsiTheme="majorBidi" w:cstheme="majorBidi"/>
          <w:sz w:val="32"/>
          <w:szCs w:val="32"/>
          <w:rtl/>
          <w:lang w:bidi="ar-MA"/>
        </w:rPr>
        <w:t>خلال الفصل الأول من سنة 2020</w:t>
      </w:r>
      <w:r w:rsidR="00D04CAB">
        <w:rPr>
          <w:rFonts w:asciiTheme="majorBidi" w:hAnsiTheme="majorBidi" w:cstheme="majorBidi"/>
          <w:sz w:val="32"/>
          <w:szCs w:val="32"/>
          <w:lang w:bidi="ar-MA"/>
        </w:rPr>
        <w:t>.</w:t>
      </w:r>
    </w:p>
    <w:p w:rsidR="00AD391B" w:rsidRPr="0091058B" w:rsidRDefault="00AD391B" w:rsidP="00BE6BBF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في حين، عرف قطاع "الخدمات"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>،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F81087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إحداث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42.000 منصب شغل ع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>لى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المستوى الوطني (24.000 بالوسط الحضري</w:t>
      </w:r>
      <w:r w:rsidR="00F8108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و18.000 بالوسط القروي ) مسجلا بذلك تراجعا </w:t>
      </w:r>
      <w:r w:rsidR="00AA2D7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%1 من حجم التشغيل بهذا القطاع .</w:t>
      </w:r>
    </w:p>
    <w:p w:rsidR="00AD391B" w:rsidRPr="0091058B" w:rsidRDefault="00AD391B" w:rsidP="00BE6BBF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كما </w:t>
      </w:r>
      <w:r w:rsidR="00E73FC4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حدث قطاع "البناء </w:t>
      </w:r>
      <w:r w:rsidR="00E73FC4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والأشغال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العمومية" 39.000 منصب شغل، وذلك نتيجة </w:t>
      </w:r>
      <w:r w:rsidR="00E73FC4">
        <w:rPr>
          <w:rFonts w:asciiTheme="majorBidi" w:hAnsiTheme="majorBidi" w:cstheme="majorBidi" w:hint="cs"/>
          <w:sz w:val="32"/>
          <w:szCs w:val="32"/>
          <w:rtl/>
          <w:lang w:bidi="ar-MA"/>
        </w:rPr>
        <w:t>إ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حداث 38.000 منصب بالوسط الحضري و1.000 منصب بالوسط القروي،</w:t>
      </w:r>
      <w:r w:rsidR="00DF3EC6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وهو ما</w:t>
      </w:r>
      <w:r w:rsidR="00DF3EC6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يمثل زيادة ب</w:t>
      </w:r>
      <w:r w:rsidR="00DF3EC6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% 3,4 من حجم التشغيل بهذا القطاع.</w:t>
      </w:r>
    </w:p>
    <w:p w:rsidR="00BD26C0" w:rsidRDefault="00AD391B" w:rsidP="001517F2">
      <w:pPr>
        <w:jc w:val="right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367C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مبيان </w:t>
      </w:r>
      <w:r w:rsidR="00BD26C0" w:rsidRPr="00367C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2</w:t>
      </w:r>
      <w:r w:rsidRPr="00367C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 :</w:t>
      </w:r>
      <w:r w:rsidR="00BD26C0" w:rsidRPr="00367C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التغيير </w:t>
      </w:r>
      <w:r w:rsidR="0035286D" w:rsidRPr="00367C58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ال</w:t>
      </w:r>
      <w:r w:rsidR="0035286D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صافي</w:t>
      </w:r>
      <w:r w:rsidR="00BD26C0" w:rsidRPr="00367C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 لمناصب الشغل مابين الفصل ال</w:t>
      </w:r>
      <w:r w:rsidR="0035286D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أ</w:t>
      </w:r>
      <w:r w:rsidR="00BD26C0" w:rsidRPr="00367C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ول لسنة</w:t>
      </w:r>
      <w:r w:rsidR="00BD26C0" w:rsidRPr="0091058B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BD26C0" w:rsidRPr="00367C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2020</w:t>
      </w:r>
      <w:r w:rsidR="00BD26C0" w:rsidRPr="0091058B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="00BD26C0" w:rsidRPr="00367C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ونفس الفترة من سنة 2021 حسب قطاع النشاط الاقتصادي ووسط </w:t>
      </w:r>
      <w:r w:rsidR="00236031" w:rsidRPr="00367C58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الإقامة</w:t>
      </w:r>
      <w:r w:rsidR="007F1A6A" w:rsidRPr="00FD1863">
        <w:rPr>
          <w:rStyle w:val="Appelnotedebasdep"/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footnoteReference w:id="2"/>
      </w:r>
    </w:p>
    <w:p w:rsidR="003630A1" w:rsidRDefault="003630A1" w:rsidP="003630A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</w:p>
    <w:p w:rsidR="003630A1" w:rsidRDefault="003630A1" w:rsidP="003630A1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3630A1">
        <w:rPr>
          <w:rFonts w:asciiTheme="majorBidi" w:hAnsiTheme="majorBidi" w:cs="Times New Roman"/>
          <w:b/>
          <w:bCs/>
          <w:noProof/>
          <w:color w:val="548DD4" w:themeColor="text2" w:themeTint="99"/>
          <w:sz w:val="24"/>
          <w:szCs w:val="24"/>
          <w:rtl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185471</wp:posOffset>
            </wp:positionH>
            <wp:positionV relativeFrom="paragraph">
              <wp:posOffset>0</wp:posOffset>
            </wp:positionV>
            <wp:extent cx="5064734" cy="2084832"/>
            <wp:effectExtent l="0" t="0" r="0" b="0"/>
            <wp:wrapTight wrapText="bothSides">
              <wp:wrapPolygon edited="0">
                <wp:start x="16899" y="987"/>
                <wp:lineTo x="162" y="1776"/>
                <wp:lineTo x="162" y="2763"/>
                <wp:lineTo x="10805" y="4145"/>
                <wp:lineTo x="4225" y="5724"/>
                <wp:lineTo x="4225" y="6711"/>
                <wp:lineTo x="10805" y="7303"/>
                <wp:lineTo x="10805" y="10461"/>
                <wp:lineTo x="1137" y="12039"/>
                <wp:lineTo x="1137" y="13224"/>
                <wp:lineTo x="162" y="13816"/>
                <wp:lineTo x="162" y="16776"/>
                <wp:lineTo x="10805" y="16776"/>
                <wp:lineTo x="8449" y="19539"/>
                <wp:lineTo x="8531" y="19934"/>
                <wp:lineTo x="13730" y="19934"/>
                <wp:lineTo x="13893" y="19342"/>
                <wp:lineTo x="13162" y="18553"/>
                <wp:lineTo x="10805" y="16776"/>
                <wp:lineTo x="19417" y="15395"/>
                <wp:lineTo x="19417" y="13816"/>
                <wp:lineTo x="21367" y="13026"/>
                <wp:lineTo x="21367" y="10658"/>
                <wp:lineTo x="10724" y="10461"/>
                <wp:lineTo x="10805" y="4145"/>
                <wp:lineTo x="12593" y="4145"/>
                <wp:lineTo x="18442" y="1776"/>
                <wp:lineTo x="18442" y="987"/>
                <wp:lineTo x="16899" y="987"/>
              </wp:wrapPolygon>
            </wp:wrapTight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</w:p>
    <w:p w:rsidR="0035286D" w:rsidRDefault="0035286D" w:rsidP="0035286D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</w:p>
    <w:p w:rsidR="00B05D05" w:rsidRDefault="00B05D05" w:rsidP="00B05D05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796F36" w:rsidRDefault="00796F36" w:rsidP="00796F3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796F36" w:rsidRDefault="00796F36" w:rsidP="00796F3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796F36" w:rsidRDefault="00796F36" w:rsidP="00796F3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796F36" w:rsidRDefault="00796F36" w:rsidP="00796F3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796F36" w:rsidRDefault="00796F36" w:rsidP="00796F3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796F36" w:rsidRDefault="00796F36" w:rsidP="00796F3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796F36" w:rsidRDefault="00796F36" w:rsidP="00796F3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796F36" w:rsidRDefault="00796F36" w:rsidP="00796F36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1517F2" w:rsidRDefault="001517F2" w:rsidP="001517F2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lang w:bidi="ar-MA"/>
        </w:rPr>
      </w:pPr>
    </w:p>
    <w:p w:rsidR="001517F2" w:rsidRDefault="001517F2" w:rsidP="001517F2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</w:p>
    <w:p w:rsidR="00BD26C0" w:rsidRPr="008917FF" w:rsidRDefault="001517F2" w:rsidP="00796F36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</w:pPr>
      <w:r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lang w:bidi="tzm-Arab-MA"/>
        </w:rPr>
        <w:lastRenderedPageBreak/>
        <w:t>II</w:t>
      </w:r>
      <w:r w:rsidR="00BD26C0" w:rsidRPr="008917FF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. البطالة والشغل</w:t>
      </w:r>
      <w:r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الناقص</w:t>
      </w:r>
    </w:p>
    <w:p w:rsidR="00BD26C0" w:rsidRPr="0091058B" w:rsidRDefault="00BD26C0" w:rsidP="00E8059D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</w:p>
    <w:p w:rsidR="00BD26C0" w:rsidRPr="008917FF" w:rsidRDefault="001517F2" w:rsidP="00B34400">
      <w:pPr>
        <w:bidi/>
        <w:spacing w:after="0" w:line="240" w:lineRule="auto"/>
        <w:jc w:val="both"/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</w:pPr>
      <w:r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ارتفاع البطالة والشغل الناقص</w:t>
      </w:r>
    </w:p>
    <w:p w:rsidR="00AD391B" w:rsidRPr="0091058B" w:rsidRDefault="00BD26C0" w:rsidP="00E8059D">
      <w:pPr>
        <w:pStyle w:val="Paragraphedeliste"/>
        <w:bidi/>
        <w:spacing w:after="0" w:line="240" w:lineRule="auto"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</w:pPr>
      <w:r w:rsidRPr="0091058B">
        <w:rPr>
          <w:rFonts w:asciiTheme="majorBidi" w:hAnsiTheme="majorBidi" w:cstheme="majorBidi"/>
          <w:b/>
          <w:bCs/>
          <w:sz w:val="32"/>
          <w:szCs w:val="32"/>
          <w:u w:val="single"/>
          <w:rtl/>
          <w:lang w:bidi="ar-MA"/>
        </w:rPr>
        <w:t xml:space="preserve"> </w:t>
      </w:r>
    </w:p>
    <w:p w:rsidR="009B0DE4" w:rsidRPr="0091058B" w:rsidRDefault="00BD26C0" w:rsidP="00B34400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ارتفع حجم العاطلين ب 242.000 شخص ما</w:t>
      </w:r>
      <w:r w:rsidR="001D32C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بين الفصل </w:t>
      </w:r>
      <w:r w:rsidR="001D32C5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الأول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سنة 2020 </w:t>
      </w:r>
      <w:r w:rsidR="001D32C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ونفس الفصل من سنة 2021،</w:t>
      </w:r>
      <w:r w:rsidR="001D32C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منتقلا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بذلك من 1.292.000 </w:t>
      </w:r>
      <w:r w:rsidR="001D32C5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1.534.000 عاطل و هو ما يمثل ارتفاعا ب</w:t>
      </w:r>
      <w:r w:rsidR="001D32C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19</w:t>
      </w:r>
      <w:r w:rsidR="001D32C5">
        <w:rPr>
          <w:rFonts w:asciiTheme="majorBidi" w:hAnsiTheme="majorBidi" w:cstheme="majorBidi" w:hint="cs"/>
          <w:sz w:val="32"/>
          <w:szCs w:val="32"/>
          <w:rtl/>
          <w:lang w:bidi="ar-MA"/>
        </w:rPr>
        <w:t>.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وذلك نتيجة ارتفاع عدد العاطلين ب 185.000 بالوسط الحضري و ب 57.000 بالوسط القروي.</w:t>
      </w:r>
    </w:p>
    <w:p w:rsidR="008F2AEB" w:rsidRPr="0091058B" w:rsidRDefault="00B34400" w:rsidP="001517F2">
      <w:pPr>
        <w:bidi/>
        <w:spacing w:after="0"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وهكذا، 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ارتفع معدل البطالة بنقطتين مابين الفصل ال</w:t>
      </w:r>
      <w:r w:rsidR="001D32C5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ول من سنة 2020 ونفس الفصل من سنة</w:t>
      </w:r>
      <w:r w:rsidR="001D32C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2021،</w:t>
      </w:r>
      <w:r w:rsidR="001D32C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منتقلا من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10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5 </w:t>
      </w:r>
      <w:r w:rsidR="00D4613D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%12,5</w:t>
      </w:r>
      <w:r w:rsidR="005014AE">
        <w:rPr>
          <w:rFonts w:asciiTheme="majorBidi" w:hAnsiTheme="majorBidi" w:cstheme="majorBidi"/>
          <w:sz w:val="32"/>
          <w:szCs w:val="32"/>
          <w:lang w:bidi="ar-MA"/>
        </w:rPr>
        <w:t>.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وقد سجل هذا المعدل ارتفاعا بكل من الوسط القروي والوسط الحضري منتقلا على التوالي من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3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9 </w:t>
      </w:r>
      <w:r w:rsidR="00D4613D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%5,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>3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من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15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1 </w:t>
      </w:r>
      <w:r w:rsidR="00D4613D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17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1. كما عرف ارتفاعا حاد في صفوف النساء (3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2 نقطة)، من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14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3 </w:t>
      </w:r>
      <w:r w:rsidR="00D4613D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17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5</w:t>
      </w:r>
      <w:r w:rsidR="005014AE" w:rsidRPr="0091058B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لدى الشباب </w:t>
      </w:r>
      <w:r w:rsidR="001517F2">
        <w:rPr>
          <w:rFonts w:asciiTheme="majorBidi" w:hAnsiTheme="majorBidi" w:cstheme="majorBidi" w:hint="cs"/>
          <w:sz w:val="32"/>
          <w:szCs w:val="32"/>
          <w:rtl/>
          <w:lang w:bidi="tzm-Arab-MA"/>
        </w:rPr>
        <w:t>البالغين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ما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بين 15 و24 سنة</w:t>
      </w:r>
      <w:r w:rsidR="00D72BD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(</w:t>
      </w:r>
      <w:r w:rsidR="00D72BD7" w:rsidRPr="00646DA7">
        <w:rPr>
          <w:rFonts w:asciiTheme="majorBidi" w:hAnsiTheme="majorBidi" w:cstheme="majorBidi"/>
          <w:sz w:val="32"/>
          <w:szCs w:val="32"/>
          <w:lang w:bidi="ar-MA"/>
        </w:rPr>
        <w:t>5,7</w:t>
      </w:r>
      <w:r w:rsidR="00D72BD7" w:rsidRPr="00646DA7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نقطة)</w:t>
      </w:r>
      <w:r w:rsidR="00EE2BEE" w:rsidRPr="0091058B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من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26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8 </w:t>
      </w:r>
      <w:r w:rsidR="00D4613D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>32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F2AEB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5. </w:t>
      </w:r>
    </w:p>
    <w:p w:rsidR="004049A6" w:rsidRPr="0091058B" w:rsidRDefault="008F2AEB" w:rsidP="001517F2">
      <w:pPr>
        <w:bidi/>
        <w:spacing w:before="120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كما عرف معدل البطالة لدى حاملي الشهادات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>،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 جه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>ته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ارتفاعا بنقطتين منتقلا من%17,8 </w:t>
      </w:r>
      <w:r w:rsidR="00D4613D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D4613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4049A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%19,8.</w:t>
      </w:r>
    </w:p>
    <w:p w:rsidR="00EB1F6E" w:rsidRDefault="004049A6" w:rsidP="001517F2">
      <w:pPr>
        <w:jc w:val="right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236031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مبيان 3 :</w:t>
      </w:r>
      <w:r w:rsidR="003149EE" w:rsidRPr="00236031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تطور معدل البطالة مابين الفصل ال</w:t>
      </w:r>
      <w:r w:rsidR="003141B2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أ</w:t>
      </w:r>
      <w:r w:rsidR="003149EE" w:rsidRPr="00236031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ول لسنة 2020 وبنفس الفصل من سنة 2021 لدى بعض فئات </w:t>
      </w:r>
      <w:r w:rsidR="00EB1F6E" w:rsidRPr="00236031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الساكنة ب(%)</w:t>
      </w:r>
    </w:p>
    <w:p w:rsidR="00EB1F6E" w:rsidRDefault="00EB1F6E" w:rsidP="00EB1F6E">
      <w:pPr>
        <w:bidi/>
        <w:spacing w:after="0" w:line="240" w:lineRule="auto"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</w:p>
    <w:p w:rsidR="004049A6" w:rsidRDefault="00EB1F6E" w:rsidP="00796F36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EB1F6E">
        <w:rPr>
          <w:rFonts w:asciiTheme="majorBidi" w:hAnsiTheme="majorBidi" w:cs="Times New Roman"/>
          <w:b/>
          <w:bCs/>
          <w:noProof/>
          <w:color w:val="548DD4" w:themeColor="text2" w:themeTint="99"/>
          <w:sz w:val="24"/>
          <w:szCs w:val="24"/>
          <w:rtl/>
          <w:lang w:eastAsia="fr-FR"/>
        </w:rPr>
        <w:drawing>
          <wp:inline distT="0" distB="0" distL="0" distR="0">
            <wp:extent cx="4441057" cy="2412787"/>
            <wp:effectExtent l="0" t="0" r="0" b="0"/>
            <wp:docPr id="6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0169E" w:rsidRPr="0091058B" w:rsidRDefault="003149EE" w:rsidP="00EE2BEE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جهة </w:t>
      </w:r>
      <w:r w:rsidR="00236031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أخرى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، انتقل حجم النشيطين المشتغلين في حالة شغل ناقص 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بشقيه</w:t>
      </w:r>
      <w:r w:rsidR="00EE2BEE">
        <w:rPr>
          <w:rStyle w:val="Appelnotedebasdep"/>
          <w:rFonts w:asciiTheme="majorBidi" w:hAnsiTheme="majorBidi" w:cstheme="majorBidi"/>
          <w:sz w:val="32"/>
          <w:szCs w:val="32"/>
          <w:rtl/>
          <w:lang w:bidi="ar-MA"/>
        </w:rPr>
        <w:footnoteReference w:id="3"/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،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خلال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هذه الفترة من 954.000 شخص 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>إ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لى 988.000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، 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من 531.000 </w:t>
      </w:r>
      <w:r w:rsidR="00173B95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552.000 بالمدن ومن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423.000 إلى 435.000 بالقرى. وهكذا انتقل معدل الشغل الناقص من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lastRenderedPageBreak/>
        <w:t>%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8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8 </w:t>
      </w:r>
      <w:r w:rsidR="00173B95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9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2 على المستوى الوطني</w:t>
      </w:r>
      <w:r w:rsidR="00D72BD7">
        <w:rPr>
          <w:rFonts w:asciiTheme="majorBidi" w:hAnsiTheme="majorBidi" w:cstheme="majorBidi" w:hint="cs"/>
          <w:sz w:val="32"/>
          <w:szCs w:val="32"/>
          <w:rtl/>
          <w:lang w:bidi="ar-MA"/>
        </w:rPr>
        <w:t>،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من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8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7 </w:t>
      </w:r>
      <w:r w:rsidR="00173B95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8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9 بالوسط الحضري ومن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8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9 </w:t>
      </w:r>
      <w:r w:rsidR="00173B95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إلى</w:t>
      </w:r>
      <w:r w:rsidR="00173B95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9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="0080169E" w:rsidRPr="0091058B">
        <w:rPr>
          <w:rFonts w:asciiTheme="majorBidi" w:hAnsiTheme="majorBidi" w:cstheme="majorBidi"/>
          <w:sz w:val="32"/>
          <w:szCs w:val="32"/>
          <w:rtl/>
          <w:lang w:bidi="ar-MA"/>
        </w:rPr>
        <w:t>6 بالوسط القروي.</w:t>
      </w:r>
    </w:p>
    <w:p w:rsidR="0080169E" w:rsidRPr="0091058B" w:rsidRDefault="0080169E" w:rsidP="00D72BD7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ويقارب معدل الشغل الناقص لدى الرجال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10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2) ضعف نظيره لدى النساء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5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6). ويصل </w:t>
      </w:r>
      <w:r w:rsidR="00D72BD7" w:rsidRPr="0091058B">
        <w:rPr>
          <w:rFonts w:asciiTheme="majorBidi" w:hAnsiTheme="majorBidi" w:cstheme="majorBidi"/>
          <w:sz w:val="32"/>
          <w:szCs w:val="32"/>
          <w:rtl/>
          <w:lang w:bidi="ar-MA"/>
        </w:rPr>
        <w:t>ه</w:t>
      </w:r>
      <w:r w:rsidR="00D72BD7">
        <w:rPr>
          <w:rFonts w:asciiTheme="majorBidi" w:hAnsiTheme="majorBidi" w:cstheme="majorBidi" w:hint="cs"/>
          <w:sz w:val="32"/>
          <w:szCs w:val="32"/>
          <w:rtl/>
          <w:lang w:bidi="ar-MA"/>
        </w:rPr>
        <w:t>ذ</w:t>
      </w:r>
      <w:r w:rsidR="00D72BD7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ا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المعدل</w:t>
      </w:r>
      <w:r w:rsidR="00C45A32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9 بالوسط الحضري (مقابل</w:t>
      </w:r>
      <w:r w:rsidR="00491AF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8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3 لدى النساء) بينما بالوسط </w:t>
      </w:r>
      <w:r w:rsidR="00491AF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القروي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يفوق المعدل المسجل لدى الرجال (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%12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) </w:t>
      </w:r>
      <w:r w:rsidR="00522D2B">
        <w:rPr>
          <w:rFonts w:asciiTheme="majorBidi" w:hAnsiTheme="majorBidi" w:cstheme="majorBidi" w:hint="cs"/>
          <w:sz w:val="32"/>
          <w:szCs w:val="32"/>
          <w:rtl/>
          <w:lang w:bidi="ar-MA"/>
        </w:rPr>
        <w:t>بحوالي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D72BD7">
        <w:rPr>
          <w:rFonts w:asciiTheme="majorBidi" w:hAnsiTheme="majorBidi" w:cstheme="majorBidi"/>
          <w:sz w:val="32"/>
          <w:szCs w:val="32"/>
          <w:lang w:bidi="ar-MA"/>
        </w:rPr>
        <w:t>5</w:t>
      </w:r>
      <w:r w:rsidR="00D72BD7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مرات نظيره المسجل لدى النساء (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2</w:t>
      </w:r>
      <w:r w:rsidR="000536E3" w:rsidRPr="0091058B">
        <w:rPr>
          <w:rFonts w:asciiTheme="majorBidi" w:hAnsiTheme="majorBidi" w:cstheme="majorBidi"/>
          <w:sz w:val="32"/>
          <w:szCs w:val="32"/>
          <w:rtl/>
          <w:lang w:bidi="ar-MA"/>
        </w:rPr>
        <w:t>,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5).</w:t>
      </w:r>
    </w:p>
    <w:p w:rsidR="00245B40" w:rsidRDefault="0080169E" w:rsidP="008E4D6C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245B40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مبيان 4 : تطور معدل الشغل الناقص مابين الفصل ال</w:t>
      </w:r>
      <w:r w:rsidR="00373C59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أ</w:t>
      </w:r>
      <w:r w:rsidRPr="00245B40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ول لسنة 20</w:t>
      </w:r>
      <w:r w:rsidR="008E4D6C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20</w:t>
      </w:r>
      <w:r w:rsidRPr="00245B40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 ونفس الفترة</w:t>
      </w:r>
      <w:r w:rsidRPr="0091058B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245B40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من سنة 202</w:t>
      </w:r>
      <w:r w:rsidR="008E4D6C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1</w:t>
      </w:r>
      <w:r w:rsidRPr="00245B40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 لدى</w:t>
      </w:r>
      <w:r w:rsidRPr="0091058B">
        <w:rPr>
          <w:rFonts w:asciiTheme="majorBidi" w:hAnsiTheme="majorBidi" w:cstheme="majorBidi"/>
          <w:b/>
          <w:bCs/>
          <w:color w:val="FF0000"/>
          <w:sz w:val="32"/>
          <w:szCs w:val="32"/>
          <w:rtl/>
          <w:lang w:bidi="ar-MA"/>
        </w:rPr>
        <w:t xml:space="preserve"> </w:t>
      </w:r>
      <w:r w:rsidRPr="00245B40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بعض فئات الساكنة ب </w:t>
      </w:r>
      <w:r w:rsidR="003149EE" w:rsidRPr="00245B40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 </w:t>
      </w:r>
      <w:r w:rsidRPr="00245B40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(%)</w:t>
      </w:r>
      <w:r w:rsidR="003149EE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</w:p>
    <w:p w:rsidR="001517F2" w:rsidRDefault="00245B40" w:rsidP="001517F2">
      <w:pPr>
        <w:bidi/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  <w:lang w:bidi="tzm-Arab-MA"/>
        </w:rPr>
      </w:pPr>
      <w:r w:rsidRPr="00245B40">
        <w:rPr>
          <w:rFonts w:asciiTheme="majorBidi" w:hAnsiTheme="majorBidi" w:cs="Times New Roman"/>
          <w:noProof/>
          <w:sz w:val="32"/>
          <w:szCs w:val="32"/>
          <w:rtl/>
          <w:lang w:eastAsia="fr-FR"/>
        </w:rPr>
        <w:drawing>
          <wp:inline distT="0" distB="0" distL="0" distR="0">
            <wp:extent cx="4572000" cy="1975104"/>
            <wp:effectExtent l="0" t="0" r="0" b="0"/>
            <wp:docPr id="8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="000536E3" w:rsidRPr="00373C5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 xml:space="preserve"> </w:t>
      </w:r>
    </w:p>
    <w:p w:rsidR="000536E3" w:rsidRPr="001517F2" w:rsidRDefault="001517F2" w:rsidP="001517F2">
      <w:pPr>
        <w:bidi/>
        <w:rPr>
          <w:rFonts w:asciiTheme="majorBidi" w:hAnsiTheme="majorBidi" w:cstheme="majorBidi"/>
          <w:sz w:val="32"/>
          <w:szCs w:val="32"/>
          <w:rtl/>
          <w:lang w:bidi="ar-MA"/>
        </w:rPr>
      </w:pPr>
      <w:r>
        <w:rPr>
          <w:rFonts w:asciiTheme="majorBidi" w:eastAsia="Book Antiqua" w:hAnsiTheme="majorBidi" w:cstheme="majorBidi"/>
          <w:b/>
          <w:bCs/>
          <w:color w:val="0070C0"/>
          <w:sz w:val="32"/>
          <w:szCs w:val="32"/>
        </w:rPr>
        <w:t xml:space="preserve">III </w:t>
      </w:r>
      <w:r>
        <w:rPr>
          <w:rFonts w:asciiTheme="majorBidi" w:eastAsia="Book Antiqua" w:hAnsiTheme="majorBidi" w:cstheme="majorBidi" w:hint="cs"/>
          <w:b/>
          <w:bCs/>
          <w:color w:val="0070C0"/>
          <w:sz w:val="32"/>
          <w:szCs w:val="32"/>
          <w:rtl/>
          <w:lang w:bidi="tzm-Arab-MA"/>
        </w:rPr>
        <w:t xml:space="preserve">. وضعية </w:t>
      </w:r>
      <w:r w:rsidR="000536E3" w:rsidRPr="00373C59">
        <w:rPr>
          <w:rFonts w:asciiTheme="majorBidi" w:eastAsia="Book Antiqua" w:hAnsiTheme="majorBidi" w:cstheme="majorBidi"/>
          <w:b/>
          <w:bCs/>
          <w:color w:val="0070C0"/>
          <w:sz w:val="32"/>
          <w:szCs w:val="32"/>
          <w:rtl/>
        </w:rPr>
        <w:t>سوق الشغل على المستوى الجهوي</w:t>
      </w:r>
    </w:p>
    <w:p w:rsidR="000536E3" w:rsidRPr="0091058B" w:rsidRDefault="000536E3" w:rsidP="00C81886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تضم خمس جهات </w:t>
      </w:r>
      <w:r w:rsidR="00C81886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72 من مجموع السكان النشيطين البالغين من العمر 15 سنة فما فوق. وتأتي جهة الدار البيضاء- سطات في المركز </w:t>
      </w:r>
      <w:r w:rsidR="00C81886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الأول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بنسبة</w:t>
      </w:r>
      <w:r w:rsidR="00C81886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%22,5 من مجموع النشيطين متب</w:t>
      </w:r>
      <w:r w:rsidR="00C81886">
        <w:rPr>
          <w:rFonts w:asciiTheme="majorBidi" w:hAnsiTheme="majorBidi" w:cstheme="majorBidi" w:hint="cs"/>
          <w:sz w:val="32"/>
          <w:szCs w:val="32"/>
          <w:rtl/>
          <w:lang w:bidi="ar-MA"/>
        </w:rPr>
        <w:t>و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ع</w:t>
      </w:r>
      <w:r w:rsidR="00C81886">
        <w:rPr>
          <w:rFonts w:asciiTheme="majorBidi" w:hAnsiTheme="majorBidi" w:cstheme="majorBidi" w:hint="cs"/>
          <w:sz w:val="32"/>
          <w:szCs w:val="32"/>
          <w:rtl/>
          <w:lang w:bidi="ar-MA"/>
        </w:rPr>
        <w:t>ة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C81886">
        <w:rPr>
          <w:rFonts w:asciiTheme="majorBidi" w:hAnsiTheme="majorBidi" w:cstheme="majorBidi" w:hint="cs"/>
          <w:sz w:val="32"/>
          <w:szCs w:val="32"/>
          <w:rtl/>
          <w:lang w:bidi="ar-MA"/>
        </w:rPr>
        <w:t>ب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كل من جهة مراكش-</w:t>
      </w:r>
      <w:r w:rsidR="00C81886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سفي (%13,3)</w:t>
      </w:r>
      <w:r w:rsidR="00C81886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وجهة الرباط </w:t>
      </w:r>
      <w:r w:rsidR="00C81886" w:rsidRPr="0091058B">
        <w:rPr>
          <w:rFonts w:asciiTheme="majorBidi" w:hAnsiTheme="majorBidi" w:cstheme="majorBidi"/>
          <w:sz w:val="32"/>
          <w:szCs w:val="32"/>
          <w:rtl/>
          <w:lang w:bidi="ar-MA"/>
        </w:rPr>
        <w:t>-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سلا-القنيطرة 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13,3)، ثم فاس-مكناس (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1</w:t>
      </w:r>
      <w:r w:rsidR="00C81886">
        <w:rPr>
          <w:rFonts w:asciiTheme="majorBidi" w:hAnsiTheme="majorBidi" w:cstheme="majorBidi" w:hint="cs"/>
          <w:sz w:val="32"/>
          <w:szCs w:val="32"/>
          <w:rtl/>
          <w:lang w:bidi="ar-MA"/>
        </w:rPr>
        <w:t>1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,4) وطنجة</w:t>
      </w:r>
      <w:r w:rsidR="00C81886" w:rsidRPr="0091058B">
        <w:rPr>
          <w:rFonts w:asciiTheme="majorBidi" w:hAnsiTheme="majorBidi" w:cstheme="majorBidi"/>
          <w:sz w:val="32"/>
          <w:szCs w:val="32"/>
          <w:rtl/>
          <w:lang w:bidi="ar-MA"/>
        </w:rPr>
        <w:t>-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تطوان-الحسيمة (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="00C1423C" w:rsidRPr="0091058B">
        <w:rPr>
          <w:rFonts w:asciiTheme="majorBidi" w:hAnsiTheme="majorBidi" w:cstheme="majorBidi"/>
          <w:sz w:val="32"/>
          <w:szCs w:val="32"/>
          <w:rtl/>
          <w:lang w:bidi="ar-MA"/>
        </w:rPr>
        <w:t>11,2).</w:t>
      </w:r>
    </w:p>
    <w:p w:rsidR="00C1423C" w:rsidRPr="0091058B" w:rsidRDefault="00C1423C" w:rsidP="00F15C4D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تسجل </w:t>
      </w:r>
      <w:r w:rsidR="006F6109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ربع جهات معدلات نشاط تفوق المعدل الوطني 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45,5)، ويتعلق الأمر بجهة الدارالبيضاء-سطات</w:t>
      </w:r>
      <w:r w:rsidR="006F61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6F6109" w:rsidRPr="0091058B">
        <w:rPr>
          <w:rFonts w:asciiTheme="majorBidi" w:hAnsiTheme="majorBidi" w:cstheme="majorBidi"/>
          <w:sz w:val="32"/>
          <w:szCs w:val="32"/>
          <w:rtl/>
          <w:lang w:bidi="ar-MA"/>
        </w:rPr>
        <w:t>(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48,6)</w:t>
      </w:r>
      <w:r w:rsidR="006F61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وطنجة-تطوان-الحسيمة 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48,1) ومراكش-</w:t>
      </w:r>
      <w:r w:rsidR="006F6109">
        <w:rPr>
          <w:rFonts w:asciiTheme="majorBidi" w:hAnsiTheme="majorBidi" w:cstheme="majorBidi" w:hint="cs"/>
          <w:sz w:val="32"/>
          <w:szCs w:val="32"/>
          <w:rtl/>
          <w:lang w:bidi="ar-MA"/>
        </w:rPr>
        <w:t>أ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سفي 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46,8) ودرعة</w:t>
      </w:r>
      <w:r w:rsidR="006F61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-تافيلالت 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46,4). بالمقابل،</w:t>
      </w:r>
      <w:r w:rsidR="006F6109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سجلت </w:t>
      </w:r>
      <w:r w:rsidR="006F6109" w:rsidRPr="0091058B">
        <w:rPr>
          <w:rFonts w:asciiTheme="majorBidi" w:hAnsiTheme="majorBidi" w:cstheme="majorBidi" w:hint="cs"/>
          <w:sz w:val="32"/>
          <w:szCs w:val="32"/>
          <w:rtl/>
          <w:lang w:bidi="ar-MA"/>
        </w:rPr>
        <w:t>أدنى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المعدلات بكل من</w:t>
      </w:r>
      <w:r w:rsidR="00F15C4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جهة </w:t>
      </w:r>
      <w:r w:rsidR="00F15C4D" w:rsidRPr="0091058B">
        <w:rPr>
          <w:rFonts w:asciiTheme="majorBidi" w:hAnsiTheme="majorBidi" w:cstheme="majorBidi"/>
          <w:sz w:val="32"/>
          <w:szCs w:val="32"/>
          <w:rtl/>
          <w:lang w:bidi="ar-MA"/>
        </w:rPr>
        <w:t>فاس-مكناس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="00F15C4D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(%42,</w:t>
      </w:r>
      <w:r w:rsidR="00F15C4D">
        <w:rPr>
          <w:rFonts w:asciiTheme="majorBidi" w:hAnsiTheme="majorBidi" w:cstheme="majorBidi" w:hint="cs"/>
          <w:sz w:val="32"/>
          <w:szCs w:val="32"/>
          <w:rtl/>
          <w:lang w:bidi="ar-MA"/>
        </w:rPr>
        <w:t>5</w:t>
      </w:r>
      <w:r w:rsidR="00F15C4D" w:rsidRPr="0091058B">
        <w:rPr>
          <w:rFonts w:asciiTheme="majorBidi" w:hAnsiTheme="majorBidi" w:cstheme="majorBidi"/>
          <w:sz w:val="32"/>
          <w:szCs w:val="32"/>
          <w:rtl/>
          <w:lang w:bidi="ar-MA"/>
        </w:rPr>
        <w:t>)</w:t>
      </w:r>
      <w:r w:rsidR="00F15C4D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، 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جهة سوس-ماسة 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 xml:space="preserve">42,3) و الجهة الشرقية </w:t>
      </w:r>
      <w:r w:rsidR="007A6448" w:rsidRPr="0091058B">
        <w:rPr>
          <w:rFonts w:asciiTheme="majorBidi" w:hAnsiTheme="majorBidi" w:cstheme="majorBidi"/>
          <w:sz w:val="32"/>
          <w:szCs w:val="32"/>
          <w:rtl/>
          <w:lang w:bidi="ar-MA"/>
        </w:rPr>
        <w:t>(%</w:t>
      </w:r>
      <w:r w:rsidRPr="0091058B">
        <w:rPr>
          <w:rFonts w:asciiTheme="majorBidi" w:hAnsiTheme="majorBidi" w:cstheme="majorBidi"/>
          <w:sz w:val="32"/>
          <w:szCs w:val="32"/>
          <w:rtl/>
          <w:lang w:bidi="ar-MA"/>
        </w:rPr>
        <w:t>41,6).</w:t>
      </w:r>
    </w:p>
    <w:p w:rsidR="001517F2" w:rsidRDefault="001517F2">
      <w:pPr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br w:type="page"/>
      </w:r>
    </w:p>
    <w:p w:rsidR="005D6B8A" w:rsidRDefault="00C1423C" w:rsidP="00796F36">
      <w:pPr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3F1CD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lastRenderedPageBreak/>
        <w:t>مبيان 5 :معدل النشاط حسب الجهات خلال الفصل ال</w:t>
      </w:r>
      <w:r w:rsidR="003F1CDF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أ</w:t>
      </w:r>
      <w:r w:rsidRPr="003F1CD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ول من سنة 2021  ب (%)</w:t>
      </w:r>
    </w:p>
    <w:p w:rsidR="00C1423C" w:rsidRDefault="00C1423C" w:rsidP="005D6B8A">
      <w:pPr>
        <w:bidi/>
        <w:jc w:val="both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3F1CD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 </w:t>
      </w:r>
      <w:r w:rsidR="005D6B8A" w:rsidRPr="005D6B8A">
        <w:rPr>
          <w:rFonts w:asciiTheme="majorBidi" w:hAnsiTheme="majorBidi" w:cs="Times New Roman"/>
          <w:b/>
          <w:bCs/>
          <w:noProof/>
          <w:color w:val="548DD4" w:themeColor="text2" w:themeTint="99"/>
          <w:sz w:val="24"/>
          <w:szCs w:val="24"/>
          <w:rtl/>
          <w:lang w:eastAsia="fr-FR"/>
        </w:rPr>
        <w:drawing>
          <wp:inline distT="0" distB="0" distL="0" distR="0">
            <wp:extent cx="4572320" cy="2443523"/>
            <wp:effectExtent l="0" t="0" r="0" b="0"/>
            <wp:docPr id="10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D6AA0" w:rsidRPr="003D2EFB" w:rsidRDefault="00DD6AA0" w:rsidP="00DD6AA0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3D2EFB">
        <w:rPr>
          <w:rFonts w:asciiTheme="majorBidi" w:hAnsiTheme="majorBidi" w:cstheme="majorBidi"/>
          <w:sz w:val="28"/>
          <w:szCs w:val="28"/>
          <w:rtl/>
        </w:rPr>
        <w:t>فيما يتعلق بالبطالة، فإن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ثلاثة أرباع من العاطلين 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 xml:space="preserve">73 </w:t>
      </w:r>
      <w:r w:rsidRPr="003D2EFB">
        <w:rPr>
          <w:rFonts w:asciiTheme="majorBidi" w:hAnsiTheme="majorBidi" w:cstheme="majorBidi"/>
          <w:sz w:val="28"/>
          <w:szCs w:val="28"/>
          <w:rtl/>
        </w:rPr>
        <w:t>يتمركزون بخمس جهات. تأتي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جهة الدار البيضاء-سطات في المقدمة بـ 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2</w:t>
      </w:r>
      <w:r>
        <w:rPr>
          <w:rFonts w:asciiTheme="majorBidi" w:hAnsiTheme="majorBidi" w:cstheme="majorBidi" w:hint="cs"/>
          <w:sz w:val="28"/>
          <w:szCs w:val="28"/>
          <w:rtl/>
        </w:rPr>
        <w:t>7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من مجموع العاطلين، متبوعة بجهة الرباط-سلا-القنيطرة 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1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12058C">
        <w:rPr>
          <w:rFonts w:asciiTheme="majorBidi" w:hAnsiTheme="majorBidi" w:cstheme="majorBidi"/>
          <w:sz w:val="28"/>
          <w:szCs w:val="28"/>
          <w:rtl/>
        </w:rPr>
        <w:t>و</w:t>
      </w:r>
      <w:r w:rsidRPr="003D2EFB">
        <w:rPr>
          <w:rFonts w:asciiTheme="majorBidi" w:hAnsiTheme="majorBidi" w:cstheme="majorBidi"/>
          <w:sz w:val="28"/>
          <w:szCs w:val="28"/>
          <w:rtl/>
        </w:rPr>
        <w:t>جهة فاس-مكناس 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>2</w:t>
      </w:r>
      <w:r w:rsidRPr="003D2EFB">
        <w:rPr>
          <w:rFonts w:asciiTheme="majorBidi" w:hAnsiTheme="majorBidi" w:cstheme="majorBidi"/>
          <w:sz w:val="28"/>
          <w:szCs w:val="28"/>
        </w:rPr>
        <w:t xml:space="preserve"> (</w:t>
      </w:r>
      <w:r w:rsidRPr="003D2EFB">
        <w:rPr>
          <w:rFonts w:asciiTheme="majorBidi" w:hAnsiTheme="majorBidi" w:cstheme="majorBidi"/>
          <w:sz w:val="28"/>
          <w:szCs w:val="28"/>
          <w:rtl/>
        </w:rPr>
        <w:t> وطنجة-تطوان-الحسيمة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>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7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10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، ثم</w:t>
      </w:r>
      <w:r w:rsidRPr="00DD6AA0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>الجهة الشرقية 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6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>
        <w:rPr>
          <w:rFonts w:asciiTheme="majorBidi" w:hAnsiTheme="majorBidi" w:cstheme="majorBidi" w:hint="cs"/>
          <w:sz w:val="28"/>
          <w:szCs w:val="28"/>
          <w:rtl/>
        </w:rPr>
        <w:t>9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</w:p>
    <w:p w:rsidR="00DD6AA0" w:rsidRDefault="00DD6AA0" w:rsidP="001B23F9">
      <w:pPr>
        <w:bidi/>
        <w:spacing w:before="240"/>
        <w:jc w:val="both"/>
        <w:rPr>
          <w:rFonts w:asciiTheme="majorBidi" w:hAnsiTheme="majorBidi" w:cstheme="majorBidi"/>
          <w:sz w:val="28"/>
          <w:szCs w:val="28"/>
          <w:rtl/>
        </w:rPr>
      </w:pPr>
      <w:r w:rsidRPr="003D2EFB">
        <w:rPr>
          <w:rFonts w:asciiTheme="majorBidi" w:hAnsiTheme="majorBidi" w:cstheme="majorBidi"/>
          <w:sz w:val="28"/>
          <w:szCs w:val="28"/>
          <w:rtl/>
        </w:rPr>
        <w:t>وسجلت أعلى مستويات البطالة بكل من جهات الجنوب 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6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19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>والجهة الشرقية 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7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18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. وبحدة أقل، </w:t>
      </w:r>
      <w:r w:rsidR="00F15C4D">
        <w:rPr>
          <w:rFonts w:asciiTheme="majorBidi" w:hAnsiTheme="majorBidi" w:cstheme="majorBidi" w:hint="cs"/>
          <w:sz w:val="28"/>
          <w:szCs w:val="28"/>
          <w:rtl/>
        </w:rPr>
        <w:t xml:space="preserve"> جهتان أخريان </w:t>
      </w:r>
      <w:r w:rsidRPr="003D2EFB">
        <w:rPr>
          <w:rFonts w:asciiTheme="majorBidi" w:hAnsiTheme="majorBidi" w:cstheme="majorBidi"/>
          <w:sz w:val="28"/>
          <w:szCs w:val="28"/>
          <w:rtl/>
        </w:rPr>
        <w:t>تفوق المعدل الوطني 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12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 w:rsidRPr="003D2EFB">
        <w:rPr>
          <w:rFonts w:asciiTheme="majorBidi" w:hAnsiTheme="majorBidi" w:cstheme="majorBidi"/>
          <w:sz w:val="28"/>
          <w:szCs w:val="28"/>
          <w:rtl/>
        </w:rPr>
        <w:t>، ويتعلق الأمر بجه</w:t>
      </w:r>
      <w:r>
        <w:rPr>
          <w:rFonts w:asciiTheme="majorBidi" w:hAnsiTheme="majorBidi" w:cstheme="majorBidi" w:hint="cs"/>
          <w:sz w:val="28"/>
          <w:szCs w:val="28"/>
          <w:rtl/>
        </w:rPr>
        <w:t>تي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الدار البيضاء-سطات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>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>5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و</w:t>
      </w:r>
      <w:r w:rsidRPr="003D2EFB">
        <w:rPr>
          <w:rFonts w:asciiTheme="majorBidi" w:hAnsiTheme="majorBidi" w:cstheme="majorBidi"/>
          <w:sz w:val="28"/>
          <w:szCs w:val="28"/>
          <w:rtl/>
        </w:rPr>
        <w:t>فاس-مكناس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  <w:rtl/>
        </w:rPr>
        <w:t>(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>
        <w:rPr>
          <w:rFonts w:asciiTheme="majorBidi" w:hAnsiTheme="majorBidi" w:cstheme="majorBidi" w:hint="cs"/>
          <w:sz w:val="28"/>
          <w:szCs w:val="28"/>
          <w:rtl/>
        </w:rPr>
        <w:t>6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Pr="0012058C">
        <w:rPr>
          <w:rFonts w:asciiTheme="majorBidi" w:hAnsiTheme="majorBidi" w:cstheme="majorBidi" w:hint="cs"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sz w:val="28"/>
          <w:szCs w:val="28"/>
          <w:rtl/>
        </w:rPr>
        <w:t>3</w:t>
      </w:r>
      <w:r w:rsidR="000D0545" w:rsidRPr="003D2EFB">
        <w:rPr>
          <w:rFonts w:asciiTheme="majorBidi" w:hAnsiTheme="majorBidi" w:cstheme="majorBidi"/>
          <w:sz w:val="28"/>
          <w:szCs w:val="28"/>
        </w:rPr>
        <w:t xml:space="preserve"> </w:t>
      </w:r>
      <w:r w:rsidRPr="003D2EFB">
        <w:rPr>
          <w:rFonts w:asciiTheme="majorBidi" w:hAnsiTheme="majorBidi" w:cstheme="majorBidi"/>
          <w:sz w:val="28"/>
          <w:szCs w:val="28"/>
        </w:rPr>
        <w:t>(</w:t>
      </w:r>
      <w:r>
        <w:rPr>
          <w:rFonts w:asciiTheme="majorBidi" w:hAnsiTheme="majorBidi" w:cstheme="majorBidi" w:hint="cs"/>
          <w:sz w:val="28"/>
          <w:szCs w:val="28"/>
          <w:rtl/>
        </w:rPr>
        <w:t>.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بالمقابل، سجلت أدنى مستويات البطالة بجه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 xml:space="preserve">ات </w:t>
      </w:r>
      <w:r w:rsidR="000D0545" w:rsidRPr="003D2EFB">
        <w:rPr>
          <w:rFonts w:asciiTheme="majorBidi" w:hAnsiTheme="majorBidi" w:cstheme="majorBidi"/>
          <w:sz w:val="28"/>
          <w:szCs w:val="28"/>
          <w:rtl/>
        </w:rPr>
        <w:t>درعــــة – تافيلالــت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 xml:space="preserve">، </w:t>
      </w:r>
      <w:r w:rsidR="000D0545" w:rsidRPr="003D2EFB">
        <w:rPr>
          <w:rFonts w:asciiTheme="majorBidi" w:hAnsiTheme="majorBidi" w:cstheme="majorBidi"/>
          <w:sz w:val="28"/>
          <w:szCs w:val="28"/>
          <w:rtl/>
        </w:rPr>
        <w:t>مراكش-أسفي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>،</w:t>
      </w:r>
      <w:r w:rsidR="000D0545" w:rsidRPr="003D2EF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>و</w:t>
      </w:r>
      <w:r w:rsidR="000D0545" w:rsidRPr="003D2EFB">
        <w:rPr>
          <w:rFonts w:asciiTheme="majorBidi" w:hAnsiTheme="majorBidi" w:cstheme="majorBidi"/>
          <w:sz w:val="28"/>
          <w:szCs w:val="28"/>
          <w:rtl/>
        </w:rPr>
        <w:t xml:space="preserve">بني مــلال-خنيفـرة 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 xml:space="preserve">حيث كانت على التوالي </w:t>
      </w:r>
      <w:r w:rsidR="000D0545" w:rsidRPr="0012058C">
        <w:rPr>
          <w:rFonts w:asciiTheme="majorBidi" w:hAnsiTheme="majorBidi" w:cstheme="majorBidi"/>
          <w:sz w:val="28"/>
          <w:szCs w:val="28"/>
          <w:rtl/>
        </w:rPr>
        <w:t>%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>8</w:t>
      </w:r>
      <w:r w:rsidR="000D0545" w:rsidRPr="0012058C">
        <w:rPr>
          <w:rFonts w:asciiTheme="majorBidi" w:hAnsiTheme="majorBidi" w:cstheme="majorBidi"/>
          <w:sz w:val="28"/>
          <w:szCs w:val="28"/>
        </w:rPr>
        <w:t>,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>7،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>9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>7</w:t>
      </w:r>
      <w:r w:rsidRPr="003D2EFB">
        <w:rPr>
          <w:rFonts w:asciiTheme="majorBidi" w:hAnsiTheme="majorBidi" w:cstheme="majorBidi"/>
          <w:sz w:val="28"/>
          <w:szCs w:val="28"/>
          <w:rtl/>
        </w:rPr>
        <w:t xml:space="preserve"> و</w:t>
      </w:r>
      <w:r w:rsidRPr="0012058C">
        <w:rPr>
          <w:rFonts w:asciiTheme="majorBidi" w:hAnsiTheme="majorBidi" w:cstheme="majorBidi"/>
          <w:sz w:val="28"/>
          <w:szCs w:val="28"/>
          <w:rtl/>
        </w:rPr>
        <w:t>%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>8</w:t>
      </w:r>
      <w:r w:rsidRPr="0012058C">
        <w:rPr>
          <w:rFonts w:asciiTheme="majorBidi" w:hAnsiTheme="majorBidi" w:cstheme="majorBidi"/>
          <w:sz w:val="28"/>
          <w:szCs w:val="28"/>
        </w:rPr>
        <w:t>,</w:t>
      </w:r>
      <w:r w:rsidR="000D0545">
        <w:rPr>
          <w:rFonts w:asciiTheme="majorBidi" w:hAnsiTheme="majorBidi" w:cstheme="majorBidi" w:hint="cs"/>
          <w:sz w:val="28"/>
          <w:szCs w:val="28"/>
          <w:rtl/>
        </w:rPr>
        <w:t>8.</w:t>
      </w:r>
    </w:p>
    <w:p w:rsidR="00F27A58" w:rsidRDefault="00F27A58" w:rsidP="00796F36">
      <w:pPr>
        <w:bidi/>
        <w:jc w:val="center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</w:pPr>
      <w:r w:rsidRPr="00F27A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مبيان 6. معدل البطالة حسب الجهات خلال الفصل </w:t>
      </w:r>
      <w:r w:rsidRPr="00F27A58"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ا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 xml:space="preserve">لأول </w:t>
      </w:r>
      <w:r w:rsidRPr="00F27A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>من سنة 202</w:t>
      </w:r>
      <w:r>
        <w:rPr>
          <w:rFonts w:asciiTheme="majorBidi" w:hAnsiTheme="majorBidi" w:cstheme="majorBidi" w:hint="cs"/>
          <w:b/>
          <w:bCs/>
          <w:color w:val="548DD4" w:themeColor="text2" w:themeTint="99"/>
          <w:sz w:val="24"/>
          <w:szCs w:val="24"/>
          <w:rtl/>
          <w:lang w:bidi="ar-MA"/>
        </w:rPr>
        <w:t>1</w:t>
      </w:r>
      <w:r w:rsidRPr="00F27A58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  <w:rtl/>
          <w:lang w:bidi="ar-MA"/>
        </w:rPr>
        <w:t xml:space="preserve"> (%)</w:t>
      </w:r>
    </w:p>
    <w:p w:rsidR="00D03272" w:rsidRDefault="00D03272" w:rsidP="00796F36">
      <w:pPr>
        <w:bidi/>
        <w:jc w:val="center"/>
        <w:rPr>
          <w:rFonts w:asciiTheme="majorBidi" w:hAnsiTheme="majorBidi" w:cstheme="majorBidi"/>
          <w:sz w:val="32"/>
          <w:szCs w:val="32"/>
          <w:rtl/>
          <w:lang w:bidi="tzm-Arab-MA"/>
        </w:rPr>
      </w:pPr>
      <w:r w:rsidRPr="00D03272">
        <w:rPr>
          <w:rFonts w:asciiTheme="majorBidi" w:hAnsiTheme="majorBidi" w:cs="Times New Roman"/>
          <w:noProof/>
          <w:sz w:val="32"/>
          <w:szCs w:val="32"/>
          <w:rtl/>
          <w:lang w:eastAsia="fr-FR"/>
        </w:rPr>
        <w:drawing>
          <wp:inline distT="0" distB="0" distL="0" distR="0">
            <wp:extent cx="4572000" cy="2743200"/>
            <wp:effectExtent l="0" t="0" r="0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0536E3" w:rsidRDefault="000536E3" w:rsidP="00D03272">
      <w:pPr>
        <w:bidi/>
        <w:jc w:val="center"/>
        <w:rPr>
          <w:rFonts w:asciiTheme="majorBidi" w:hAnsiTheme="majorBidi" w:cstheme="majorBidi"/>
          <w:sz w:val="32"/>
          <w:szCs w:val="32"/>
          <w:lang w:bidi="ar-MA"/>
        </w:rPr>
      </w:pPr>
    </w:p>
    <w:p w:rsidR="00540F41" w:rsidRDefault="00540F41" w:rsidP="001517F2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>
        <w:rPr>
          <w:rFonts w:asciiTheme="majorBidi" w:hAnsiTheme="majorBidi" w:cstheme="majorBidi"/>
          <w:b/>
          <w:bCs/>
          <w:color w:val="548DD4"/>
          <w:sz w:val="28"/>
          <w:szCs w:val="28"/>
        </w:rPr>
        <w:br w:type="page"/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>الفصلية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 xml:space="preserve"> للنشـاط والشغل والبطالـة حسـب وسـط الإقامـة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vertAlign w:val="superscript"/>
        </w:rPr>
        <w:t>(1)</w:t>
      </w:r>
    </w:p>
    <w:tbl>
      <w:tblPr>
        <w:tblW w:w="5000" w:type="pct"/>
        <w:tblLook w:val="04A0"/>
      </w:tblPr>
      <w:tblGrid>
        <w:gridCol w:w="853"/>
        <w:gridCol w:w="807"/>
        <w:gridCol w:w="825"/>
        <w:gridCol w:w="853"/>
        <w:gridCol w:w="808"/>
        <w:gridCol w:w="826"/>
        <w:gridCol w:w="3550"/>
      </w:tblGrid>
      <w:tr w:rsidR="00540F41" w:rsidRPr="005E341E" w:rsidTr="00796F36">
        <w:trPr>
          <w:trHeight w:val="300"/>
        </w:trPr>
        <w:tc>
          <w:tcPr>
            <w:tcW w:w="154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الفصل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الأول</w:t>
            </w: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  <w:t>من سنة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2021 </w:t>
            </w:r>
          </w:p>
        </w:tc>
        <w:tc>
          <w:tcPr>
            <w:tcW w:w="154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الفصل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الأول</w:t>
            </w: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 من سنة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9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المـؤشـــــرات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المجمـوع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قـروي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حضري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المجمـوع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قـروي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حضري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 </w:t>
            </w:r>
          </w:p>
        </w:tc>
      </w:tr>
      <w:tr w:rsidR="00540F41" w:rsidRPr="005E341E" w:rsidTr="00796F36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14"/>
                <w:szCs w:val="14"/>
                <w:rtl/>
                <w:lang w:val="en-US"/>
              </w:rPr>
              <w:t>النشـاط  ( 15سنـة فأكثـر)</w:t>
            </w:r>
          </w:p>
        </w:tc>
      </w:tr>
      <w:tr w:rsidR="00540F41" w:rsidRPr="005E341E" w:rsidTr="00796F36">
        <w:trPr>
          <w:trHeight w:val="37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12 289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4 785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7 504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12 249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4 987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7 262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السكـان النشيطـون (بالآلاف)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23,6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24,7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22,9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24,9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27,5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23,1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نسبـة الإنـاث ضمـن السكـان النشيطيـن  (%)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45,5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51,1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E47C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42,6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46,0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53,3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8F6AFD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42,1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معـدل النشـاط (%)</w:t>
            </w:r>
          </w:p>
        </w:tc>
      </w:tr>
      <w:tr w:rsidR="00540F41" w:rsidRPr="005E341E" w:rsidTr="00796F36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. حسب الجنس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70,7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76,1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67,7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70,3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76,7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66,7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ذكـور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21,2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25,6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19,0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22,6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29,5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18,9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إنـاث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.  حسب السن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24,0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28,4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21,0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25,8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32,1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21,6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 xml:space="preserve">   24 – 15سنـة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59,9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60,4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59,6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60,2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62,6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58,9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 xml:space="preserve">   34 – 25سنـة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60,8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66,7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58,0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61,8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68,6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58,4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 xml:space="preserve">   44 – 35سنـة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42,4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54,2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36,4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55,5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35,1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 xml:space="preserve">   45سنـة فأكثـر</w:t>
            </w:r>
          </w:p>
        </w:tc>
      </w:tr>
      <w:tr w:rsidR="00540F41" w:rsidRPr="005E341E" w:rsidTr="00796F36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.  حسب الشهادة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44,3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54,2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35,6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45,4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56,4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35,5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بـدون شهـادة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46,8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44,3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47,5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46,8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46,3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8F6AFD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8F6AFD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46,9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حاصـل علـى شهـادة</w:t>
            </w:r>
          </w:p>
        </w:tc>
      </w:tr>
      <w:tr w:rsidR="00540F41" w:rsidRPr="005E341E" w:rsidTr="00796F36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14"/>
                <w:szCs w:val="14"/>
                <w:rtl/>
                <w:lang w:val="en-US"/>
              </w:rPr>
              <w:t>التشغيل ( 15سنـة فأكثـر)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61B74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10 755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61B74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4 532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61B74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6 223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61B74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10 957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96819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796819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4 791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96819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796819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6 167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السكـان النشيطـون المشتغلـون (بالآلاف)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61B74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39,9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61B74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48,4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61B74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35,3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61B74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41,2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96819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796819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51,2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96819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796819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35,7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معدل الشغل</w:t>
            </w:r>
          </w:p>
        </w:tc>
      </w:tr>
      <w:tr w:rsidR="00540F41" w:rsidRPr="005E341E" w:rsidTr="00796F36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 . حسب الجنس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62,9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71,9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58,0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63,8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73,4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58,4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ذكـور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17,5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24,4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14,0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19,3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28,7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61B7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61B74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14,4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إنـاث</w:t>
            </w:r>
          </w:p>
        </w:tc>
      </w:tr>
      <w:tr w:rsidR="00540F41" w:rsidRPr="005E341E" w:rsidTr="00796F36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بنية الشغل حسب قطاعات النشاط الاقتصادي(%)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31,2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67,5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32,8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69,1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4,5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الفلاحة والغابة والصيد</w:t>
            </w:r>
          </w:p>
        </w:tc>
      </w:tr>
      <w:tr w:rsidR="00540F41" w:rsidRPr="005E341E" w:rsidTr="00796F36">
        <w:trPr>
          <w:trHeight w:val="37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11,9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4,2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17,5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12,1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18,1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الصناعة بما فيها الصناعة التقليدية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11,1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9,3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12,3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10,5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8,8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11,8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البناء والأشغال العمومية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45,8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19,0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65,2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44,5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17,6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65,4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الخدمات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0,0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0,1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0,1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0,0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0,1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أنشطة مبهمة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85,7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69,9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97,2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84,2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67,8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97,0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نسبة الشغل المؤدى عنه ضمـن الشغـل الكلي، منها :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57,8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42,0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66,2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58,1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41,5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67,2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.</w:t>
            </w:r>
            <w:r w:rsidRPr="005E34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  <w:t>العمل المستأجر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42,2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58,0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33,8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41,9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58,5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32,8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.</w:t>
            </w:r>
            <w:r w:rsidRPr="005E34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  <w:t>الشغل الذاتي</w:t>
            </w:r>
          </w:p>
        </w:tc>
      </w:tr>
      <w:tr w:rsidR="00540F41" w:rsidRPr="005E341E" w:rsidTr="00796F36">
        <w:trPr>
          <w:trHeight w:val="31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  <w:t> 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F497D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1F497D"/>
                <w:sz w:val="14"/>
                <w:szCs w:val="14"/>
                <w:rtl/>
                <w:lang w:val="en-US"/>
              </w:rPr>
              <w:t>الشغل الناقص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988</w:t>
            </w:r>
          </w:p>
        </w:tc>
        <w:tc>
          <w:tcPr>
            <w:tcW w:w="5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435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552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954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423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531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  السكان النشيطون المشتغلون في حالة شغل ناقص (بالآلاف)</w:t>
            </w:r>
          </w:p>
        </w:tc>
      </w:tr>
      <w:tr w:rsidR="00540F41" w:rsidRPr="005E341E" w:rsidTr="00796F36">
        <w:trPr>
          <w:trHeight w:val="375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9,2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9,6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8,9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8,8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8,9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</w:pPr>
            <w:r w:rsidRPr="00F04331">
              <w:rPr>
                <w:rFonts w:ascii="Times New Roman" w:eastAsia="Times New Roman" w:hAnsi="Times New Roman" w:cs="Times New Roman"/>
                <w:b/>
                <w:bCs/>
                <w:color w:val="010205"/>
                <w:sz w:val="16"/>
                <w:szCs w:val="16"/>
              </w:rPr>
              <w:t>8,7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  معدل الشغل الناقص (%) </w:t>
            </w:r>
          </w:p>
        </w:tc>
      </w:tr>
      <w:tr w:rsidR="00540F41" w:rsidRPr="005E341E" w:rsidTr="00796F36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 w:bidi="ar-MA"/>
              </w:rPr>
              <w:t>حسب نوع الشغل الناقص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4,5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4,0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4,1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3,9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4,2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 w:bidi="ar-MA"/>
              </w:rPr>
              <w:t>الشغل الناقص المرتبط بساعات العمل</w:t>
            </w:r>
          </w:p>
        </w:tc>
      </w:tr>
      <w:tr w:rsidR="00540F41" w:rsidRPr="005E341E" w:rsidTr="00796F36">
        <w:trPr>
          <w:trHeight w:val="300"/>
        </w:trPr>
        <w:tc>
          <w:tcPr>
            <w:tcW w:w="5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5,0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5,1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4,9</w:t>
            </w:r>
          </w:p>
        </w:tc>
        <w:tc>
          <w:tcPr>
            <w:tcW w:w="5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4,7</w:t>
            </w:r>
          </w:p>
        </w:tc>
        <w:tc>
          <w:tcPr>
            <w:tcW w:w="5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04331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</w:pPr>
            <w:r w:rsidRPr="00F04331">
              <w:rPr>
                <w:rFonts w:ascii="Times New Roman" w:eastAsia="Times New Roman" w:hAnsi="Times New Roman" w:cs="Times New Roman"/>
                <w:color w:val="010205"/>
                <w:sz w:val="14"/>
                <w:szCs w:val="14"/>
              </w:rPr>
              <w:t>4,5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 w:bidi="ar-MA"/>
              </w:rPr>
              <w:t xml:space="preserve">الشغل الناقص المرتبط بالدخل غير الكافي أو عدم ملاءمة الشغل مع التكوين </w:t>
            </w:r>
          </w:p>
        </w:tc>
      </w:tr>
    </w:tbl>
    <w:p w:rsidR="00540F41" w:rsidRPr="005E341E" w:rsidRDefault="00540F41" w:rsidP="00540F41">
      <w:pPr>
        <w:autoSpaceDE w:val="0"/>
        <w:autoSpaceDN w:val="0"/>
        <w:bidi/>
        <w:adjustRightInd w:val="0"/>
        <w:spacing w:before="240"/>
        <w:contextualSpacing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val="en-US"/>
        </w:rPr>
      </w:pPr>
    </w:p>
    <w:p w:rsidR="00540F41" w:rsidRPr="003D2EFB" w:rsidRDefault="00540F41" w:rsidP="00540F41">
      <w:pPr>
        <w:tabs>
          <w:tab w:val="left" w:pos="5757"/>
        </w:tabs>
        <w:bidi/>
        <w:rPr>
          <w:rFonts w:asciiTheme="majorBidi" w:hAnsiTheme="majorBidi" w:cstheme="majorBidi"/>
          <w:rtl/>
        </w:rPr>
      </w:pPr>
      <w:r w:rsidRPr="003D2EFB">
        <w:rPr>
          <w:rFonts w:asciiTheme="majorBidi" w:hAnsiTheme="majorBidi" w:cstheme="majorBidi"/>
          <w:rtl/>
        </w:rPr>
        <w:tab/>
      </w:r>
    </w:p>
    <w:p w:rsidR="00540F41" w:rsidRDefault="00540F41" w:rsidP="00540F41">
      <w:pPr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lang w:bidi="tzm-Arab-MA"/>
        </w:rPr>
      </w:pPr>
      <w:r w:rsidRPr="003D2EFB">
        <w:rPr>
          <w:rFonts w:asciiTheme="majorBidi" w:hAnsiTheme="majorBidi" w:cstheme="majorBidi"/>
          <w:rtl/>
        </w:rPr>
        <w:br w:type="page"/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 xml:space="preserve">الجدول 1: المؤشـرات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الفصلية 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t>للنشـاط والشغل والبطالـة حسـب وسـط الإقامـة</w:t>
      </w: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  <w:lang w:bidi="tzm-Arab-MA"/>
        </w:rPr>
        <w:t xml:space="preserve"> (تتمة)</w:t>
      </w:r>
    </w:p>
    <w:tbl>
      <w:tblPr>
        <w:tblW w:w="5000" w:type="pct"/>
        <w:tblLook w:val="04A0"/>
      </w:tblPr>
      <w:tblGrid>
        <w:gridCol w:w="1020"/>
        <w:gridCol w:w="1000"/>
        <w:gridCol w:w="1010"/>
        <w:gridCol w:w="1023"/>
        <w:gridCol w:w="1001"/>
        <w:gridCol w:w="1013"/>
        <w:gridCol w:w="2455"/>
      </w:tblGrid>
      <w:tr w:rsidR="00540F41" w:rsidRPr="007C2CC4" w:rsidTr="00796F36">
        <w:trPr>
          <w:trHeight w:val="300"/>
        </w:trPr>
        <w:tc>
          <w:tcPr>
            <w:tcW w:w="183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الفصل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الأول</w:t>
            </w: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  <w:t>من سنة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2021 </w:t>
            </w:r>
          </w:p>
        </w:tc>
        <w:tc>
          <w:tcPr>
            <w:tcW w:w="184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الفصل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الأول</w:t>
            </w: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 من سنة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32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 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المجمـوع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قـروي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حضري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المجمـوع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قـروي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حضري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 </w:t>
            </w:r>
          </w:p>
        </w:tc>
      </w:tr>
      <w:tr w:rsidR="00540F41" w:rsidRPr="007C2CC4" w:rsidTr="00796F36">
        <w:trPr>
          <w:trHeight w:val="31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Book Antiqua" w:eastAsia="Times New Roman" w:hAnsi="Book Antiqua" w:cs="Arial"/>
                <w:b/>
                <w:bCs/>
                <w:color w:val="010205"/>
                <w:sz w:val="14"/>
                <w:szCs w:val="14"/>
                <w:lang w:val="en-US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4"/>
                <w:szCs w:val="14"/>
                <w:lang w:val="en-US"/>
              </w:rPr>
            </w:pP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F41" w:rsidRPr="007C2CC4" w:rsidRDefault="00540F41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F41" w:rsidRPr="007C2CC4" w:rsidRDefault="00540F41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F41" w:rsidRPr="007C2CC4" w:rsidRDefault="00540F41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0F41" w:rsidRPr="007C2CC4" w:rsidRDefault="00540F41" w:rsidP="00796F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color w:val="1F497D"/>
                <w:sz w:val="14"/>
                <w:szCs w:val="14"/>
                <w:lang w:val="en-US"/>
              </w:rPr>
            </w:pPr>
            <w:r w:rsidRPr="007C2CC4">
              <w:rPr>
                <w:rFonts w:ascii="Arial" w:eastAsia="Times New Roman" w:hAnsi="Arial" w:cs="Arial" w:hint="cs"/>
                <w:b/>
                <w:bCs/>
                <w:color w:val="1F497D"/>
                <w:sz w:val="14"/>
                <w:szCs w:val="14"/>
                <w:rtl/>
                <w:lang w:val="en-US"/>
              </w:rPr>
              <w:t>البطالـة</w:t>
            </w:r>
          </w:p>
        </w:tc>
      </w:tr>
      <w:tr w:rsidR="00540F41" w:rsidRPr="007C2CC4" w:rsidTr="00796F36">
        <w:trPr>
          <w:trHeight w:val="375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  <w:t>1 534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  <w:t>253</w:t>
            </w:r>
          </w:p>
        </w:tc>
        <w:tc>
          <w:tcPr>
            <w:tcW w:w="6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  <w:t>1 281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  <w:t>1 292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  <w:t>196</w:t>
            </w:r>
          </w:p>
        </w:tc>
        <w:tc>
          <w:tcPr>
            <w:tcW w:w="6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b/>
                <w:bCs/>
                <w:color w:val="010205"/>
                <w:sz w:val="16"/>
                <w:szCs w:val="16"/>
              </w:rPr>
              <w:t>1 096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السكـان النشيطـون العاطلـون (بالآلاف)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33,2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21,2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35,5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33,8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19,9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36,2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نسبة الإنـاث ضمـن السكان النشيطين العاطلين (%)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12,5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5,3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17,1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10,5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3,9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6"/>
                <w:szCs w:val="16"/>
              </w:rPr>
              <w:t>15,1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معـدل البطالـة (%</w:t>
            </w: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  <w:t xml:space="preserve">) 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. حسب الجنس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10,9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5,5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14,3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9,3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4,3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12,5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ذكـور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17,5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4,5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26,4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14,3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2,9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013F9E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013F9E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23,6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إنـاث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.  حسب السن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32,5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18,0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ind w:leftChars="-195" w:left="-156" w:hangingChars="195" w:hanging="273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45,6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ind w:leftChars="-143" w:left="-70" w:hangingChars="175" w:hanging="245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26,8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ind w:leftChars="-90" w:left="-44" w:hangingChars="110" w:hanging="154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12,2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ind w:firstLineChars="100" w:firstLine="140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41,4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 xml:space="preserve">   24 – 15  سنـة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19,6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6,8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25,9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17,7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5,6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24,1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 xml:space="preserve">   34 – 25  سنـة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7,4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2,7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10,0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5,3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7,4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 xml:space="preserve">   44 – 35  سنـة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3,9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1,4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5,9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2,6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0,8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4,1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45  سنـة فأكثـر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rtl/>
              </w:rPr>
              <w:t> 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. حسب الشهادة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5,0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2,5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8,4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3,6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1,6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6,5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>بـدون شهـادة</w:t>
            </w:r>
          </w:p>
        </w:tc>
      </w:tr>
      <w:tr w:rsidR="00540F41" w:rsidRPr="007C2CC4" w:rsidTr="00796F36">
        <w:trPr>
          <w:trHeight w:val="300"/>
        </w:trPr>
        <w:tc>
          <w:tcPr>
            <w:tcW w:w="6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19,8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12,6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21,7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17,8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10,4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51661B" w:rsidRDefault="00540F41" w:rsidP="00796F36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</w:pPr>
            <w:r w:rsidRPr="0051661B">
              <w:rPr>
                <w:rFonts w:ascii="Book Antiqua" w:eastAsia="Times New Roman" w:hAnsi="Book Antiqua" w:cs="Arial"/>
                <w:color w:val="010205"/>
                <w:sz w:val="14"/>
                <w:szCs w:val="14"/>
              </w:rPr>
              <w:t>19,9</w:t>
            </w:r>
          </w:p>
        </w:tc>
        <w:tc>
          <w:tcPr>
            <w:tcW w:w="13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7C2CC4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  <w:r w:rsidRPr="007C2CC4">
              <w:rPr>
                <w:rFonts w:ascii="Times New Roman" w:eastAsia="Times New Roman" w:hAnsi="Times New Roman" w:cs="Times New Roman" w:hint="cs"/>
                <w:color w:val="000000"/>
                <w:sz w:val="14"/>
                <w:szCs w:val="14"/>
                <w:rtl/>
                <w:lang w:val="en-US"/>
              </w:rPr>
              <w:t xml:space="preserve">حاصـل علـى شهـادة </w:t>
            </w:r>
          </w:p>
        </w:tc>
      </w:tr>
    </w:tbl>
    <w:p w:rsidR="00540F41" w:rsidRPr="00A23522" w:rsidRDefault="00540F41" w:rsidP="00540F41">
      <w:pPr>
        <w:rPr>
          <w:rFonts w:asciiTheme="majorBidi" w:hAnsiTheme="majorBidi" w:cstheme="majorBidi"/>
        </w:rPr>
      </w:pPr>
    </w:p>
    <w:p w:rsidR="00540F41" w:rsidRPr="003D2EFB" w:rsidRDefault="00540F41" w:rsidP="00540F41">
      <w:pPr>
        <w:pStyle w:val="Paragraphedeliste"/>
        <w:numPr>
          <w:ilvl w:val="0"/>
          <w:numId w:val="3"/>
        </w:numPr>
        <w:bidi/>
        <w:spacing w:before="240" w:after="0"/>
        <w:rPr>
          <w:sz w:val="16"/>
          <w:szCs w:val="16"/>
        </w:rPr>
      </w:pPr>
      <w:r w:rsidRPr="003D2EFB">
        <w:rPr>
          <w:sz w:val="18"/>
          <w:szCs w:val="18"/>
          <w:rtl/>
        </w:rPr>
        <w:t>المصـدر: البحث الوطني حول التشغيل، المندوبية السامية للتخطيط</w:t>
      </w:r>
    </w:p>
    <w:p w:rsidR="00540F41" w:rsidRPr="003D2EFB" w:rsidRDefault="00540F41" w:rsidP="00540F41">
      <w:pPr>
        <w:pStyle w:val="Paragraphedeliste"/>
        <w:numPr>
          <w:ilvl w:val="0"/>
          <w:numId w:val="3"/>
        </w:numPr>
        <w:bidi/>
        <w:spacing w:before="240" w:after="0"/>
        <w:rPr>
          <w:b/>
          <w:bCs/>
          <w:sz w:val="18"/>
          <w:szCs w:val="18"/>
          <w:rtl/>
        </w:rPr>
      </w:pPr>
      <w:r w:rsidRPr="003D2EFB">
        <w:rPr>
          <w:sz w:val="18"/>
          <w:szCs w:val="18"/>
          <w:rtl/>
        </w:rPr>
        <w:t>بالنسبة للتعاريف والمصطلحات والمؤشرات المستعملة، انظر المعجم على الموقع الإلكتروني للمندوبية السامية للتخطيط</w:t>
      </w:r>
      <w:r w:rsidRPr="003D2EFB">
        <w:rPr>
          <w:b/>
          <w:bCs/>
          <w:sz w:val="18"/>
          <w:szCs w:val="18"/>
          <w:rtl/>
        </w:rPr>
        <w:t xml:space="preserve">: </w:t>
      </w:r>
      <w:hyperlink r:id="rId14" w:history="1">
        <w:r w:rsidRPr="003D2EFB">
          <w:rPr>
            <w:b/>
            <w:bCs/>
            <w:color w:val="0070C0"/>
            <w:sz w:val="18"/>
            <w:szCs w:val="36"/>
            <w:u w:val="single"/>
          </w:rPr>
          <w:t>http://www.hcp.ma</w:t>
        </w:r>
      </w:hyperlink>
    </w:p>
    <w:p w:rsidR="00540F41" w:rsidRPr="003D2EFB" w:rsidRDefault="00540F41" w:rsidP="00540F41">
      <w:pPr>
        <w:pStyle w:val="Paragraphedeliste"/>
        <w:numPr>
          <w:ilvl w:val="0"/>
          <w:numId w:val="3"/>
        </w:numPr>
        <w:bidi/>
        <w:spacing w:before="240" w:after="0"/>
        <w:rPr>
          <w:sz w:val="16"/>
          <w:szCs w:val="16"/>
        </w:rPr>
      </w:pPr>
      <w:r w:rsidRPr="003D2EFB">
        <w:rPr>
          <w:sz w:val="16"/>
          <w:szCs w:val="16"/>
          <w:rtl/>
        </w:rPr>
        <w:t>الأرقام المدرجة هي أرقام مدورة/تقريبية. قد تكون النتيجة المقربة لمزيج من الأرقام (التي تتضمن قيمها الفعلية) مختلفة قليلاً عن تلك التي تجمع بين قيمها المدورة.</w:t>
      </w:r>
      <w:r w:rsidRPr="003D2EFB">
        <w:rPr>
          <w:b/>
          <w:bCs/>
          <w:sz w:val="18"/>
          <w:szCs w:val="18"/>
        </w:rPr>
        <w:t>.</w:t>
      </w:r>
    </w:p>
    <w:p w:rsidR="00540F41" w:rsidRPr="003D2EFB" w:rsidRDefault="00540F41" w:rsidP="00540F41">
      <w:pPr>
        <w:bidi/>
        <w:spacing w:before="240"/>
        <w:rPr>
          <w:rFonts w:asciiTheme="majorBidi" w:hAnsiTheme="majorBidi" w:cstheme="majorBidi"/>
          <w:b/>
          <w:bCs/>
          <w:sz w:val="18"/>
          <w:szCs w:val="18"/>
          <w:rtl/>
        </w:rPr>
      </w:pPr>
    </w:p>
    <w:p w:rsidR="00540F41" w:rsidRPr="003D2EFB" w:rsidRDefault="00540F41" w:rsidP="00540F41">
      <w:pPr>
        <w:rPr>
          <w:rFonts w:asciiTheme="majorBidi" w:hAnsiTheme="majorBidi" w:cstheme="majorBidi"/>
          <w:rtl/>
        </w:rPr>
      </w:pPr>
      <w:r w:rsidRPr="003D2EFB">
        <w:rPr>
          <w:rFonts w:asciiTheme="majorBidi" w:hAnsiTheme="majorBidi" w:cstheme="majorBidi"/>
          <w:rtl/>
        </w:rPr>
        <w:br w:type="page"/>
      </w:r>
    </w:p>
    <w:p w:rsidR="00540F41" w:rsidRPr="003D2EFB" w:rsidRDefault="00540F41" w:rsidP="00540F41">
      <w:pPr>
        <w:tabs>
          <w:tab w:val="left" w:pos="5757"/>
        </w:tabs>
        <w:bidi/>
        <w:jc w:val="center"/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</w:pPr>
      <w:r w:rsidRPr="003D2EFB">
        <w:rPr>
          <w:rFonts w:asciiTheme="majorBidi" w:hAnsiTheme="majorBidi" w:cstheme="majorBidi"/>
          <w:b/>
          <w:bCs/>
          <w:color w:val="548DD4"/>
          <w:sz w:val="28"/>
          <w:szCs w:val="28"/>
          <w:rtl/>
        </w:rPr>
        <w:lastRenderedPageBreak/>
        <w:t>الجدول 2: معـدل النشـاط، الشغل، والبطالـة حسـب الجهات (%)</w:t>
      </w:r>
    </w:p>
    <w:tbl>
      <w:tblPr>
        <w:tblW w:w="5000" w:type="pct"/>
        <w:tblLook w:val="04A0"/>
      </w:tblPr>
      <w:tblGrid>
        <w:gridCol w:w="2841"/>
        <w:gridCol w:w="2841"/>
        <w:gridCol w:w="2840"/>
      </w:tblGrid>
      <w:tr w:rsidR="00540F41" w:rsidRPr="00FD6D29" w:rsidTr="00796F36">
        <w:trPr>
          <w:trHeight w:val="300"/>
        </w:trPr>
        <w:tc>
          <w:tcPr>
            <w:tcW w:w="166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الفصل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الأول</w:t>
            </w: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  <w:t>من سنة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 xml:space="preserve"> 2021 </w:t>
            </w:r>
          </w:p>
        </w:tc>
        <w:tc>
          <w:tcPr>
            <w:tcW w:w="16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5E341E" w:rsidRDefault="00540F41" w:rsidP="00796F3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الفصل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الأول</w:t>
            </w:r>
            <w:r w:rsidRPr="005E341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 xml:space="preserve"> من سنة 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20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4"/>
                <w:szCs w:val="14"/>
                <w:rtl/>
                <w:lang w:val="en-US"/>
              </w:rPr>
              <w:t>المـؤشـــــرات</w:t>
            </w:r>
          </w:p>
        </w:tc>
      </w:tr>
      <w:tr w:rsidR="00540F41" w:rsidRPr="00FD6D29" w:rsidTr="00796F36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16"/>
                <w:szCs w:val="16"/>
                <w:rtl/>
                <w:lang w:val="en-US"/>
              </w:rPr>
              <w:t>معـدل النشـاط ( 15سنـة فأكثـر)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48,1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طنجة- تطوان- الحسيمة 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16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جهـــــــــة الشـــــــــرق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فـــــــــاس-مكــــــناس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الربــاط- ســلا-القنيطـــرة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بني مــلال-خنيفـــــــــرة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الدار البيضاء -ســــطات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مـــراكش – اسفــي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درعــــة – تافيلالــت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ســــوس – مــــاسة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جهات الجنوب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45,5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46,0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8E47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المجموع</w:t>
            </w:r>
          </w:p>
        </w:tc>
      </w:tr>
      <w:tr w:rsidR="00540F41" w:rsidRPr="00FD6D29" w:rsidTr="00796F36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16"/>
                <w:szCs w:val="16"/>
                <w:rtl/>
                <w:lang w:val="en-US"/>
              </w:rPr>
              <w:t>معدل الشغل ( 15سنـة فأكثـر)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44,3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طنجة- تطوان- الحسيمة 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جهـــــــــة الشـــــــــرق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فـــــــــاس-مكــــــناس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39,6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الربــاط- ســلا-القنيطـــرة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بني مــلال-خنيفـــــــــرة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43,6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الدار البيضاء -ســــطات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45,2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مـــراكش – اسفــي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درعــــة – تافيلالــت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38,1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38,9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ســــوس – مــــاسة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36,4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جهات الجنوب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39,9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41,2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rtl/>
                <w:lang w:val="en-US"/>
              </w:rPr>
            </w:pPr>
            <w:r w:rsidRPr="008E47CE"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16"/>
                <w:szCs w:val="16"/>
                <w:rtl/>
                <w:lang w:val="en-US"/>
              </w:rPr>
              <w:t>المجموع</w:t>
            </w:r>
          </w:p>
        </w:tc>
      </w:tr>
      <w:tr w:rsidR="00540F41" w:rsidRPr="00FD6D29" w:rsidTr="00796F36">
        <w:trPr>
          <w:trHeight w:val="300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b/>
                <w:bCs/>
                <w:color w:val="2E74B5"/>
                <w:sz w:val="16"/>
                <w:szCs w:val="16"/>
                <w:rtl/>
                <w:lang w:val="en-US"/>
              </w:rPr>
              <w:t>معـدل البطالـة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8,9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 xml:space="preserve">طنجة- تطوان- الحسيمة 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18,7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جهـــــــــة الشـــــــــرق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فـــــــــاس-مكــــــناس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11,8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الربــاط- ســلا-القنيطـــرة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6,0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بني مــلال-خنيفـــــــــرة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15,3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الدار البيضاء -ســــطات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7,9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مـــراكش – اسفــي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7,8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درعــــة – تافيلالــت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9,5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ســــوس – مــــاسة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19,6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51661B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516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16,7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جهات الجنوب</w:t>
            </w:r>
          </w:p>
        </w:tc>
      </w:tr>
      <w:tr w:rsidR="00540F41" w:rsidRPr="00FD6D29" w:rsidTr="00796F36">
        <w:trPr>
          <w:trHeight w:val="300"/>
        </w:trPr>
        <w:tc>
          <w:tcPr>
            <w:tcW w:w="16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16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40F41" w:rsidRPr="008E47CE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E47CE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1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40F41" w:rsidRPr="00FD6D29" w:rsidRDefault="00540F41" w:rsidP="00796F36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val="en-US"/>
              </w:rPr>
            </w:pPr>
            <w:r w:rsidRPr="00FD6D29">
              <w:rPr>
                <w:rFonts w:ascii="Times New Roman" w:eastAsia="Times New Roman" w:hAnsi="Times New Roman" w:cs="Times New Roman" w:hint="cs"/>
                <w:color w:val="000000"/>
                <w:sz w:val="16"/>
                <w:szCs w:val="16"/>
                <w:rtl/>
                <w:lang w:val="en-US"/>
              </w:rPr>
              <w:t>المجموع</w:t>
            </w:r>
          </w:p>
        </w:tc>
      </w:tr>
    </w:tbl>
    <w:p w:rsidR="00796F36" w:rsidRPr="00796F36" w:rsidRDefault="00D03272" w:rsidP="00796F36">
      <w:pPr>
        <w:bidi/>
        <w:spacing w:before="240" w:after="0"/>
        <w:rPr>
          <w:sz w:val="16"/>
          <w:szCs w:val="16"/>
        </w:rPr>
      </w:pPr>
      <w:r>
        <w:rPr>
          <w:rFonts w:hint="cs"/>
          <w:sz w:val="18"/>
          <w:szCs w:val="18"/>
          <w:rtl/>
          <w:lang w:bidi="tzm-Arab-MA"/>
        </w:rPr>
        <w:t>ا</w:t>
      </w:r>
      <w:r w:rsidR="00796F36" w:rsidRPr="00796F36">
        <w:rPr>
          <w:sz w:val="18"/>
          <w:szCs w:val="18"/>
          <w:rtl/>
        </w:rPr>
        <w:t>لمصـدر: البحث الوطني حول التشغيل، المندوبية السامية للتخطيط</w:t>
      </w:r>
    </w:p>
    <w:p w:rsidR="00540F41" w:rsidRPr="0091058B" w:rsidRDefault="00540F41" w:rsidP="00540F4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p w:rsidR="00540F41" w:rsidRPr="0091058B" w:rsidRDefault="00540F41" w:rsidP="00540F41">
      <w:pPr>
        <w:bidi/>
        <w:jc w:val="both"/>
        <w:rPr>
          <w:rFonts w:asciiTheme="majorBidi" w:hAnsiTheme="majorBidi" w:cstheme="majorBidi"/>
          <w:sz w:val="32"/>
          <w:szCs w:val="32"/>
          <w:rtl/>
          <w:lang w:bidi="ar-MA"/>
        </w:rPr>
      </w:pPr>
    </w:p>
    <w:sectPr w:rsidR="00540F41" w:rsidRPr="0091058B" w:rsidSect="00686F3B">
      <w:foot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1D0" w:rsidRDefault="00B441D0" w:rsidP="0091058B">
      <w:pPr>
        <w:spacing w:after="0" w:line="240" w:lineRule="auto"/>
      </w:pPr>
      <w:r>
        <w:separator/>
      </w:r>
    </w:p>
  </w:endnote>
  <w:endnote w:type="continuationSeparator" w:id="0">
    <w:p w:rsidR="00B441D0" w:rsidRDefault="00B441D0" w:rsidP="0091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19079"/>
      <w:docPartObj>
        <w:docPartGallery w:val="Page Numbers (Bottom of Page)"/>
        <w:docPartUnique/>
      </w:docPartObj>
    </w:sdtPr>
    <w:sdtContent>
      <w:p w:rsidR="00796F36" w:rsidRDefault="00827BFA">
        <w:pPr>
          <w:pStyle w:val="Pieddepage"/>
          <w:jc w:val="center"/>
        </w:pPr>
        <w:fldSimple w:instr=" PAGE   \* MERGEFORMAT ">
          <w:r w:rsidR="002039BB">
            <w:rPr>
              <w:noProof/>
            </w:rPr>
            <w:t>1</w:t>
          </w:r>
        </w:fldSimple>
      </w:p>
    </w:sdtContent>
  </w:sdt>
  <w:p w:rsidR="00796F36" w:rsidRDefault="00796F3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1D0" w:rsidRDefault="00B441D0" w:rsidP="0091058B">
      <w:pPr>
        <w:spacing w:after="0" w:line="240" w:lineRule="auto"/>
      </w:pPr>
      <w:r>
        <w:separator/>
      </w:r>
    </w:p>
  </w:footnote>
  <w:footnote w:type="continuationSeparator" w:id="0">
    <w:p w:rsidR="00B441D0" w:rsidRDefault="00B441D0" w:rsidP="0091058B">
      <w:pPr>
        <w:spacing w:after="0" w:line="240" w:lineRule="auto"/>
      </w:pPr>
      <w:r>
        <w:continuationSeparator/>
      </w:r>
    </w:p>
  </w:footnote>
  <w:footnote w:id="1">
    <w:p w:rsidR="00D04CAB" w:rsidRDefault="00D04CAB" w:rsidP="001517F2">
      <w:pPr>
        <w:pStyle w:val="Notedebasdepage"/>
        <w:bidi/>
        <w:rPr>
          <w:rtl/>
          <w:lang w:bidi="tzm-Arab-MA"/>
        </w:rPr>
      </w:pPr>
      <w:r>
        <w:rPr>
          <w:rStyle w:val="Appelnotedebasdep"/>
        </w:rPr>
        <w:footnoteRef/>
      </w:r>
      <w:r>
        <w:t xml:space="preserve"> </w:t>
      </w:r>
      <w:r w:rsidR="001517F2">
        <w:rPr>
          <w:rFonts w:hint="cs"/>
          <w:rtl/>
          <w:lang w:bidi="tzm-Arab-MA"/>
        </w:rPr>
        <w:t xml:space="preserve"> تقديرات مبنية على </w:t>
      </w:r>
      <w:r>
        <w:rPr>
          <w:rFonts w:hint="cs"/>
          <w:rtl/>
          <w:lang w:bidi="tzm-Arab-MA"/>
        </w:rPr>
        <w:t>تصريح المستجوبين</w:t>
      </w:r>
      <w:r w:rsidR="001517F2">
        <w:rPr>
          <w:rFonts w:hint="cs"/>
          <w:rtl/>
          <w:lang w:bidi="tzm-Arab-MA"/>
        </w:rPr>
        <w:t>.</w:t>
      </w:r>
    </w:p>
  </w:footnote>
  <w:footnote w:id="2">
    <w:p w:rsidR="00796F36" w:rsidRPr="007F1A6A" w:rsidRDefault="00796F36" w:rsidP="007F1A6A">
      <w:pPr>
        <w:pStyle w:val="Notedebasdepage"/>
        <w:bidi/>
        <w:rPr>
          <w:rtl/>
          <w:lang w:val="fr-CA" w:bidi="ar-MA"/>
        </w:rPr>
      </w:pPr>
      <w:r>
        <w:rPr>
          <w:rStyle w:val="Appelnotedebasdep"/>
        </w:rPr>
        <w:footnoteRef/>
      </w:r>
      <w:r>
        <w:t xml:space="preserve"> </w:t>
      </w:r>
      <w:r w:rsidRPr="007F1A6A">
        <w:rPr>
          <w:rFonts w:cs="Arial"/>
          <w:sz w:val="16"/>
          <w:szCs w:val="16"/>
          <w:rtl/>
        </w:rPr>
        <w:t>الفرق بين مجموع الفقدان الصافي لمناصب الشغل حسب قطاع النشاط الاقتصادي والفقدان الصافي الإجمالي على المستوى الوطني ناتج عن الأنشطة المبهمة</w:t>
      </w:r>
      <w:r w:rsidRPr="007F1A6A">
        <w:rPr>
          <w:rFonts w:cs="Arial" w:hint="cs"/>
          <w:sz w:val="16"/>
          <w:szCs w:val="16"/>
          <w:rtl/>
        </w:rPr>
        <w:t>.</w:t>
      </w:r>
    </w:p>
  </w:footnote>
  <w:footnote w:id="3">
    <w:p w:rsidR="00796F36" w:rsidRDefault="00796F36" w:rsidP="00EE2BEE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</w:rPr>
        <w:t xml:space="preserve"> </w:t>
      </w:r>
      <w:r w:rsidRPr="00EE2BEE">
        <w:rPr>
          <w:rFonts w:cs="Arial"/>
          <w:sz w:val="16"/>
          <w:szCs w:val="16"/>
          <w:rtl/>
        </w:rPr>
        <w:t xml:space="preserve">تماشيا مع توصيات منظمة العمل الدولية، يتكون الشغل الناقص، وفقًا للبحث الوطني حول التشغيل، من مكونين، الأول يرتبط بعدد ساعات العمل والثاني يتعلق بالدخل غير الكافي أو عدم </w:t>
      </w:r>
      <w:r w:rsidRPr="00EE2BEE">
        <w:rPr>
          <w:rFonts w:cs="Arial" w:hint="cs"/>
          <w:sz w:val="16"/>
          <w:szCs w:val="16"/>
          <w:rtl/>
        </w:rPr>
        <w:t>ملائمة</w:t>
      </w:r>
      <w:r w:rsidRPr="00EE2BEE">
        <w:rPr>
          <w:rFonts w:cs="Arial"/>
          <w:sz w:val="16"/>
          <w:szCs w:val="16"/>
          <w:rtl/>
        </w:rPr>
        <w:t xml:space="preserve"> الشغل مع التكوين.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75F4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D7B4D"/>
    <w:multiLevelType w:val="hybridMultilevel"/>
    <w:tmpl w:val="F44A67F4"/>
    <w:lvl w:ilvl="0" w:tplc="163ECD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CE711F"/>
    <w:multiLevelType w:val="hybridMultilevel"/>
    <w:tmpl w:val="D98C6F96"/>
    <w:lvl w:ilvl="0" w:tplc="4330E30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  <w:sz w:val="1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5C05F9"/>
    <w:multiLevelType w:val="hybridMultilevel"/>
    <w:tmpl w:val="FFA040F6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0DE4"/>
    <w:rsid w:val="000536E3"/>
    <w:rsid w:val="000D0545"/>
    <w:rsid w:val="000E2474"/>
    <w:rsid w:val="00102982"/>
    <w:rsid w:val="00140E2E"/>
    <w:rsid w:val="001517F2"/>
    <w:rsid w:val="00152E42"/>
    <w:rsid w:val="00167E28"/>
    <w:rsid w:val="00173B95"/>
    <w:rsid w:val="00196A9B"/>
    <w:rsid w:val="001B23F9"/>
    <w:rsid w:val="001C78DA"/>
    <w:rsid w:val="001D32C5"/>
    <w:rsid w:val="001F593A"/>
    <w:rsid w:val="002039BB"/>
    <w:rsid w:val="00236031"/>
    <w:rsid w:val="00245B40"/>
    <w:rsid w:val="00282A7E"/>
    <w:rsid w:val="00292A85"/>
    <w:rsid w:val="002A1004"/>
    <w:rsid w:val="002A7537"/>
    <w:rsid w:val="003141B2"/>
    <w:rsid w:val="003149EE"/>
    <w:rsid w:val="00327D3A"/>
    <w:rsid w:val="0035286D"/>
    <w:rsid w:val="003630A1"/>
    <w:rsid w:val="00367C58"/>
    <w:rsid w:val="003714A7"/>
    <w:rsid w:val="00372A0B"/>
    <w:rsid w:val="00373C59"/>
    <w:rsid w:val="003A2453"/>
    <w:rsid w:val="003B0986"/>
    <w:rsid w:val="003F1CDF"/>
    <w:rsid w:val="003F47F5"/>
    <w:rsid w:val="004049A6"/>
    <w:rsid w:val="0042228F"/>
    <w:rsid w:val="00430779"/>
    <w:rsid w:val="00491152"/>
    <w:rsid w:val="00491AF9"/>
    <w:rsid w:val="004A357D"/>
    <w:rsid w:val="004B6C31"/>
    <w:rsid w:val="004C40BA"/>
    <w:rsid w:val="005014AE"/>
    <w:rsid w:val="00522D2B"/>
    <w:rsid w:val="00540F41"/>
    <w:rsid w:val="005675D7"/>
    <w:rsid w:val="005D6B8A"/>
    <w:rsid w:val="005F6737"/>
    <w:rsid w:val="00602AD8"/>
    <w:rsid w:val="00646DA7"/>
    <w:rsid w:val="00686F3B"/>
    <w:rsid w:val="006F6109"/>
    <w:rsid w:val="00773CD0"/>
    <w:rsid w:val="00796F36"/>
    <w:rsid w:val="007A6448"/>
    <w:rsid w:val="007B5CEB"/>
    <w:rsid w:val="007C759C"/>
    <w:rsid w:val="007D6A29"/>
    <w:rsid w:val="007F1A6A"/>
    <w:rsid w:val="0080169E"/>
    <w:rsid w:val="00814F5B"/>
    <w:rsid w:val="00827BFA"/>
    <w:rsid w:val="00864355"/>
    <w:rsid w:val="0086798D"/>
    <w:rsid w:val="008917FF"/>
    <w:rsid w:val="008E4D6C"/>
    <w:rsid w:val="008F2AEB"/>
    <w:rsid w:val="009030EF"/>
    <w:rsid w:val="0091058B"/>
    <w:rsid w:val="009B0DE4"/>
    <w:rsid w:val="009D0B59"/>
    <w:rsid w:val="00A472A1"/>
    <w:rsid w:val="00A943BA"/>
    <w:rsid w:val="00AA2D7E"/>
    <w:rsid w:val="00AD391B"/>
    <w:rsid w:val="00B05D05"/>
    <w:rsid w:val="00B061B5"/>
    <w:rsid w:val="00B34400"/>
    <w:rsid w:val="00B441D0"/>
    <w:rsid w:val="00B717FA"/>
    <w:rsid w:val="00BB7441"/>
    <w:rsid w:val="00BC1D42"/>
    <w:rsid w:val="00BC76EB"/>
    <w:rsid w:val="00BD26C0"/>
    <w:rsid w:val="00BE6BBF"/>
    <w:rsid w:val="00C1423C"/>
    <w:rsid w:val="00C1783F"/>
    <w:rsid w:val="00C43DC3"/>
    <w:rsid w:val="00C45A32"/>
    <w:rsid w:val="00C81886"/>
    <w:rsid w:val="00CE7AE2"/>
    <w:rsid w:val="00D03272"/>
    <w:rsid w:val="00D04CAB"/>
    <w:rsid w:val="00D2088C"/>
    <w:rsid w:val="00D4613D"/>
    <w:rsid w:val="00D72BD7"/>
    <w:rsid w:val="00D80A2E"/>
    <w:rsid w:val="00DD6AA0"/>
    <w:rsid w:val="00DF3EC6"/>
    <w:rsid w:val="00DF5709"/>
    <w:rsid w:val="00E73FC4"/>
    <w:rsid w:val="00E8059D"/>
    <w:rsid w:val="00EA3C64"/>
    <w:rsid w:val="00EB1F6E"/>
    <w:rsid w:val="00EC78A0"/>
    <w:rsid w:val="00EE2BEE"/>
    <w:rsid w:val="00EF3C58"/>
    <w:rsid w:val="00F07E85"/>
    <w:rsid w:val="00F12354"/>
    <w:rsid w:val="00F15C4D"/>
    <w:rsid w:val="00F27A58"/>
    <w:rsid w:val="00F81087"/>
    <w:rsid w:val="00F8347A"/>
    <w:rsid w:val="00F861CF"/>
    <w:rsid w:val="00F907AB"/>
    <w:rsid w:val="00FA1439"/>
    <w:rsid w:val="00FB35C6"/>
    <w:rsid w:val="00FB4D37"/>
    <w:rsid w:val="00FD1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67E28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91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1058B"/>
  </w:style>
  <w:style w:type="paragraph" w:styleId="Pieddepage">
    <w:name w:val="footer"/>
    <w:basedOn w:val="Normal"/>
    <w:link w:val="PieddepageCar"/>
    <w:uiPriority w:val="99"/>
    <w:unhideWhenUsed/>
    <w:rsid w:val="00910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1058B"/>
  </w:style>
  <w:style w:type="paragraph" w:styleId="Textedebulles">
    <w:name w:val="Balloon Text"/>
    <w:basedOn w:val="Normal"/>
    <w:link w:val="TextedebullesCar"/>
    <w:uiPriority w:val="99"/>
    <w:semiHidden/>
    <w:unhideWhenUsed/>
    <w:rsid w:val="007D6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A29"/>
    <w:rPr>
      <w:rFonts w:ascii="Tahoma" w:hAnsi="Tahoma" w:cs="Tahoma"/>
      <w:sz w:val="16"/>
      <w:szCs w:val="16"/>
    </w:rPr>
  </w:style>
  <w:style w:type="character" w:styleId="Appelnotedebasdep">
    <w:name w:val="footnote reference"/>
    <w:basedOn w:val="Policepardfaut"/>
    <w:uiPriority w:val="99"/>
    <w:semiHidden/>
    <w:unhideWhenUsed/>
    <w:rsid w:val="00B05D05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05D0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05D05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yperlink" Target="http://www.hcp.ma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Graphiques%20note%20en%20arab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Graphiques%20note%20en%20arab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Graphiques%20note%20en%20arab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Graphiques%20note%20en%20arab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Graphiques%20note%20en%20arab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aib\Desktop\T1%202021\Graphiques%20note%20en%20arab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'perte et création emploi'!$B$7</c:f>
              <c:strCache>
                <c:ptCount val="1"/>
                <c:pt idx="0">
                  <c:v>شغل مؤدى عنه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elete val="1"/>
          </c:dLbls>
          <c:cat>
            <c:strRef>
              <c:f>'perte et création emploi'!$C$6:$E$6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'perte et création emploi'!$C$7:$E$7</c:f>
              <c:numCache>
                <c:formatCode>_-* #,##0\ _€_-;\-* #,##0\ _€_-;_-* "-"??\ _€_-;_-@_-</c:formatCode>
                <c:ptCount val="3"/>
                <c:pt idx="0">
                  <c:v>64000</c:v>
                </c:pt>
                <c:pt idx="1">
                  <c:v>-80000</c:v>
                </c:pt>
                <c:pt idx="2">
                  <c:v>-16000</c:v>
                </c:pt>
              </c:numCache>
            </c:numRef>
          </c:val>
        </c:ser>
        <c:ser>
          <c:idx val="1"/>
          <c:order val="1"/>
          <c:tx>
            <c:strRef>
              <c:f>'perte et création emploi'!$B$8</c:f>
              <c:strCache>
                <c:ptCount val="1"/>
                <c:pt idx="0">
                  <c:v>شغل غير مؤدى عنه</c:v>
                </c:pt>
              </c:strCache>
            </c:strRef>
          </c:tx>
          <c:spPr>
            <a:solidFill>
              <a:schemeClr val="bg1">
                <a:lumMod val="85000"/>
              </a:schemeClr>
            </a:solidFill>
          </c:spPr>
          <c:dLbls>
            <c:showVal val="1"/>
          </c:dLbls>
          <c:cat>
            <c:strRef>
              <c:f>'perte et création emploi'!$C$6:$E$6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'perte et création emploi'!$C$8:$E$8</c:f>
              <c:numCache>
                <c:formatCode>_-* #,##0\ _€_-;\-* #,##0\ _€_-;_-* "-"??\ _€_-;_-@_-</c:formatCode>
                <c:ptCount val="3"/>
                <c:pt idx="0">
                  <c:v>-7000</c:v>
                </c:pt>
                <c:pt idx="1">
                  <c:v>-178000</c:v>
                </c:pt>
                <c:pt idx="2">
                  <c:v>-185000</c:v>
                </c:pt>
              </c:numCache>
            </c:numRef>
          </c:val>
        </c:ser>
        <c:ser>
          <c:idx val="2"/>
          <c:order val="2"/>
          <c:tx>
            <c:strRef>
              <c:f>'perte et création emploi'!$B$9</c:f>
              <c:strCache>
                <c:ptCount val="1"/>
                <c:pt idx="0">
                  <c:v>المجموع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'perte et création emploi'!$C$6:$E$6</c:f>
              <c:strCache>
                <c:ptCount val="3"/>
                <c:pt idx="0">
                  <c:v>حضري</c:v>
                </c:pt>
                <c:pt idx="1">
                  <c:v>قروي</c:v>
                </c:pt>
                <c:pt idx="2">
                  <c:v>وطني</c:v>
                </c:pt>
              </c:strCache>
            </c:strRef>
          </c:cat>
          <c:val>
            <c:numRef>
              <c:f>'perte et création emploi'!$C$9:$E$9</c:f>
              <c:numCache>
                <c:formatCode>_-* #,##0\ _€_-;\-* #,##0\ _€_-;_-* "-"??\ _€_-;_-@_-</c:formatCode>
                <c:ptCount val="3"/>
                <c:pt idx="0">
                  <c:v>56000</c:v>
                </c:pt>
                <c:pt idx="1">
                  <c:v>-258000</c:v>
                </c:pt>
                <c:pt idx="2">
                  <c:v>-202000</c:v>
                </c:pt>
              </c:numCache>
            </c:numRef>
          </c:val>
        </c:ser>
        <c:gapWidth val="75"/>
        <c:overlap val="-25"/>
        <c:axId val="106549248"/>
        <c:axId val="106550784"/>
      </c:barChart>
      <c:catAx>
        <c:axId val="106549248"/>
        <c:scaling>
          <c:orientation val="minMax"/>
        </c:scaling>
        <c:axPos val="b"/>
        <c:majorTickMark val="none"/>
        <c:tickLblPos val="low"/>
        <c:crossAx val="106550784"/>
        <c:crosses val="autoZero"/>
        <c:auto val="1"/>
        <c:lblAlgn val="ctr"/>
        <c:lblOffset val="100"/>
      </c:catAx>
      <c:valAx>
        <c:axId val="106550784"/>
        <c:scaling>
          <c:orientation val="minMax"/>
        </c:scaling>
        <c:delete val="1"/>
        <c:axPos val="l"/>
        <c:numFmt formatCode="_-* #,##0\ _€_-;\-* #,##0\ _€_-;_-* &quot;-&quot;??\ _€_-;_-@_-" sourceLinked="1"/>
        <c:majorTickMark val="none"/>
        <c:tickLblPos val="none"/>
        <c:crossAx val="106549248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0"/>
          <c:y val="6.7086924388666438E-2"/>
          <c:w val="0.97241364602343794"/>
          <c:h val="0.52210482944217962"/>
        </c:manualLayout>
      </c:layout>
      <c:barChart>
        <c:barDir val="col"/>
        <c:grouping val="clustered"/>
        <c:ser>
          <c:idx val="0"/>
          <c:order val="0"/>
          <c:tx>
            <c:strRef>
              <c:f>'perte et création emploi'!$D$27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rgbClr val="002060"/>
            </a:solidFill>
          </c:spPr>
          <c:dLbls>
            <c:dLbl>
              <c:idx val="3"/>
              <c:layout>
                <c:manualLayout>
                  <c:x val="-7.5235510845169419E-3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'perte et création emploi'!$C$28:$C$32</c:f>
              <c:strCache>
                <c:ptCount val="5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وطني</c:v>
                </c:pt>
              </c:strCache>
            </c:strRef>
          </c:cat>
          <c:val>
            <c:numRef>
              <c:f>'perte et création emploi'!$D$28:$D$32</c:f>
              <c:numCache>
                <c:formatCode>_-* #,##0\ _€_-;\-* #,##0\ _€_-;_-* "-"??\ _€_-;_-@_-</c:formatCode>
                <c:ptCount val="5"/>
                <c:pt idx="0">
                  <c:v>23000</c:v>
                </c:pt>
                <c:pt idx="1">
                  <c:v>-25000</c:v>
                </c:pt>
                <c:pt idx="2">
                  <c:v>38000</c:v>
                </c:pt>
                <c:pt idx="3">
                  <c:v>24000</c:v>
                </c:pt>
                <c:pt idx="4">
                  <c:v>56000</c:v>
                </c:pt>
              </c:numCache>
            </c:numRef>
          </c:val>
        </c:ser>
        <c:ser>
          <c:idx val="1"/>
          <c:order val="1"/>
          <c:tx>
            <c:strRef>
              <c:f>'perte et création emploi'!$E$27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</c:spPr>
          <c:dLbls>
            <c:dLbl>
              <c:idx val="1"/>
              <c:layout>
                <c:manualLayout>
                  <c:x val="1.253925180752821E-2"/>
                  <c:y val="9.604427256508828E-7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'perte et création emploi'!$C$28:$C$32</c:f>
              <c:strCache>
                <c:ptCount val="5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وطني</c:v>
                </c:pt>
              </c:strCache>
            </c:strRef>
          </c:cat>
          <c:val>
            <c:numRef>
              <c:f>'perte et création emploi'!$E$28:$E$32</c:f>
              <c:numCache>
                <c:formatCode>_-* #,##0\ _€_-;\-* #,##0\ _€_-;_-* "-"??\ _€_-;_-@_-</c:formatCode>
                <c:ptCount val="5"/>
                <c:pt idx="0">
                  <c:v>-254000</c:v>
                </c:pt>
                <c:pt idx="1">
                  <c:v>-23000</c:v>
                </c:pt>
                <c:pt idx="2">
                  <c:v>1000</c:v>
                </c:pt>
                <c:pt idx="3">
                  <c:v>18000</c:v>
                </c:pt>
                <c:pt idx="4">
                  <c:v>-258000</c:v>
                </c:pt>
              </c:numCache>
            </c:numRef>
          </c:val>
        </c:ser>
        <c:ser>
          <c:idx val="2"/>
          <c:order val="2"/>
          <c:tx>
            <c:strRef>
              <c:f>'perte et création emploi'!$F$27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rgbClr val="FFC000"/>
            </a:solidFill>
          </c:spPr>
          <c:dLbls>
            <c:dLbl>
              <c:idx val="0"/>
              <c:layout>
                <c:manualLayout>
                  <c:x val="3.7617755422584762E-2"/>
                  <c:y val="0"/>
                </c:manualLayout>
              </c:layout>
              <c:showVal val="1"/>
            </c:dLbl>
            <c:dLbl>
              <c:idx val="1"/>
              <c:layout>
                <c:manualLayout>
                  <c:x val="3.0094204338067709E-2"/>
                  <c:y val="1.2197622616121128E-2"/>
                </c:manualLayout>
              </c:layout>
              <c:showVal val="1"/>
            </c:dLbl>
            <c:dLbl>
              <c:idx val="4"/>
              <c:layout>
                <c:manualLayout>
                  <c:x val="1.7554952530539496E-2"/>
                  <c:y val="6.0988113080605684E-3"/>
                </c:manualLayout>
              </c:layout>
              <c:showVal val="1"/>
            </c:dLbl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showVal val="1"/>
          </c:dLbls>
          <c:cat>
            <c:strRef>
              <c:f>'perte et création emploi'!$C$28:$C$32</c:f>
              <c:strCache>
                <c:ptCount val="5"/>
                <c:pt idx="0">
                  <c:v>الفلاحة والغابة والصيد</c:v>
                </c:pt>
                <c:pt idx="1">
                  <c:v>الصناعة بما فيها الصناعة التقليدية</c:v>
                </c:pt>
                <c:pt idx="2">
                  <c:v>البناء والأشغال العمومية</c:v>
                </c:pt>
                <c:pt idx="3">
                  <c:v>الخدمات</c:v>
                </c:pt>
                <c:pt idx="4">
                  <c:v>وطني</c:v>
                </c:pt>
              </c:strCache>
            </c:strRef>
          </c:cat>
          <c:val>
            <c:numRef>
              <c:f>'perte et création emploi'!$F$28:$F$32</c:f>
              <c:numCache>
                <c:formatCode>_-* #,##0\ _€_-;\-* #,##0\ _€_-;_-* "-"??\ _€_-;_-@_-</c:formatCode>
                <c:ptCount val="5"/>
                <c:pt idx="0">
                  <c:v>-231000</c:v>
                </c:pt>
                <c:pt idx="1">
                  <c:v>-48000</c:v>
                </c:pt>
                <c:pt idx="2">
                  <c:v>39000</c:v>
                </c:pt>
                <c:pt idx="3">
                  <c:v>42000</c:v>
                </c:pt>
                <c:pt idx="4">
                  <c:v>-202000</c:v>
                </c:pt>
              </c:numCache>
            </c:numRef>
          </c:val>
        </c:ser>
        <c:gapWidth val="75"/>
        <c:overlap val="-25"/>
        <c:axId val="106480384"/>
        <c:axId val="106481920"/>
      </c:barChart>
      <c:catAx>
        <c:axId val="106480384"/>
        <c:scaling>
          <c:orientation val="minMax"/>
        </c:scaling>
        <c:axPos val="b"/>
        <c:majorTickMark val="none"/>
        <c:tickLblPos val="low"/>
        <c:crossAx val="106481920"/>
        <c:crosses val="autoZero"/>
        <c:auto val="1"/>
        <c:lblAlgn val="ctr"/>
        <c:lblOffset val="100"/>
      </c:catAx>
      <c:valAx>
        <c:axId val="106481920"/>
        <c:scaling>
          <c:orientation val="minMax"/>
        </c:scaling>
        <c:delete val="1"/>
        <c:axPos val="l"/>
        <c:numFmt formatCode="_-* #,##0\ _€_-;\-* #,##0\ _€_-;_-* &quot;-&quot;??\ _€_-;_-@_-" sourceLinked="1"/>
        <c:majorTickMark val="none"/>
        <c:tickLblPos val="none"/>
        <c:crossAx val="106480384"/>
        <c:crosses val="autoZero"/>
        <c:crossBetween val="between"/>
      </c:valAx>
    </c:plotArea>
    <c:legend>
      <c:legendPos val="b"/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>
        <c:manualLayout>
          <c:layoutTarget val="inner"/>
          <c:xMode val="edge"/>
          <c:yMode val="edge"/>
          <c:x val="0.05"/>
          <c:y val="0.1111111111111111"/>
          <c:w val="0.93888888888889099"/>
          <c:h val="0.63722805482648281"/>
        </c:manualLayout>
      </c:layout>
      <c:barChart>
        <c:barDir val="col"/>
        <c:grouping val="clustered"/>
        <c:ser>
          <c:idx val="0"/>
          <c:order val="0"/>
          <c:tx>
            <c:strRef>
              <c:f>'taux de sous emploi et chômage'!$D$6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</c:spPr>
          <c:dLbls>
            <c:showVal val="1"/>
          </c:dLbls>
          <c:cat>
            <c:strRef>
              <c:f>'taux de sous emploi et chômage'!$C$7:$C$14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ذكور</c:v>
                </c:pt>
                <c:pt idx="3">
                  <c:v>اناث</c:v>
                </c:pt>
                <c:pt idx="4">
                  <c:v>15-24 سنة</c:v>
                </c:pt>
                <c:pt idx="5">
                  <c:v>بدون شهادة</c:v>
                </c:pt>
                <c:pt idx="6">
                  <c:v>حاصل على شهادة</c:v>
                </c:pt>
                <c:pt idx="7">
                  <c:v>وطني</c:v>
                </c:pt>
              </c:strCache>
            </c:strRef>
          </c:cat>
          <c:val>
            <c:numRef>
              <c:f>'taux de sous emploi et chômage'!$D$7:$D$14</c:f>
              <c:numCache>
                <c:formatCode>0.0</c:formatCode>
                <c:ptCount val="8"/>
                <c:pt idx="0">
                  <c:v>15.1</c:v>
                </c:pt>
                <c:pt idx="1">
                  <c:v>3.9</c:v>
                </c:pt>
                <c:pt idx="2">
                  <c:v>9.3000000000000007</c:v>
                </c:pt>
                <c:pt idx="3">
                  <c:v>14.3</c:v>
                </c:pt>
                <c:pt idx="4">
                  <c:v>26.8</c:v>
                </c:pt>
                <c:pt idx="5">
                  <c:v>3.6</c:v>
                </c:pt>
                <c:pt idx="6">
                  <c:v>17.8</c:v>
                </c:pt>
                <c:pt idx="7">
                  <c:v>10.5</c:v>
                </c:pt>
              </c:numCache>
            </c:numRef>
          </c:val>
        </c:ser>
        <c:ser>
          <c:idx val="1"/>
          <c:order val="1"/>
          <c:tx>
            <c:strRef>
              <c:f>'taux de sous emploi et chômage'!$E$6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'taux de sous emploi et chômage'!$C$7:$C$14</c:f>
              <c:strCache>
                <c:ptCount val="8"/>
                <c:pt idx="0">
                  <c:v>حضري</c:v>
                </c:pt>
                <c:pt idx="1">
                  <c:v>قروي</c:v>
                </c:pt>
                <c:pt idx="2">
                  <c:v>ذكور</c:v>
                </c:pt>
                <c:pt idx="3">
                  <c:v>اناث</c:v>
                </c:pt>
                <c:pt idx="4">
                  <c:v>15-24 سنة</c:v>
                </c:pt>
                <c:pt idx="5">
                  <c:v>بدون شهادة</c:v>
                </c:pt>
                <c:pt idx="6">
                  <c:v>حاصل على شهادة</c:v>
                </c:pt>
                <c:pt idx="7">
                  <c:v>وطني</c:v>
                </c:pt>
              </c:strCache>
            </c:strRef>
          </c:cat>
          <c:val>
            <c:numRef>
              <c:f>'taux de sous emploi et chômage'!$E$7:$E$14</c:f>
              <c:numCache>
                <c:formatCode>0.0</c:formatCode>
                <c:ptCount val="8"/>
                <c:pt idx="0">
                  <c:v>17.100000000000001</c:v>
                </c:pt>
                <c:pt idx="1">
                  <c:v>5.3</c:v>
                </c:pt>
                <c:pt idx="2">
                  <c:v>10.9</c:v>
                </c:pt>
                <c:pt idx="3">
                  <c:v>17.5</c:v>
                </c:pt>
                <c:pt idx="4">
                  <c:v>32.5</c:v>
                </c:pt>
                <c:pt idx="5">
                  <c:v>5</c:v>
                </c:pt>
                <c:pt idx="6">
                  <c:v>19.8</c:v>
                </c:pt>
                <c:pt idx="7">
                  <c:v>12.5</c:v>
                </c:pt>
              </c:numCache>
            </c:numRef>
          </c:val>
        </c:ser>
        <c:gapWidth val="75"/>
        <c:overlap val="-25"/>
        <c:axId val="106305408"/>
        <c:axId val="106306944"/>
      </c:barChart>
      <c:catAx>
        <c:axId val="106305408"/>
        <c:scaling>
          <c:orientation val="minMax"/>
        </c:scaling>
        <c:axPos val="b"/>
        <c:majorTickMark val="none"/>
        <c:tickLblPos val="nextTo"/>
        <c:crossAx val="106306944"/>
        <c:crosses val="autoZero"/>
        <c:auto val="1"/>
        <c:lblAlgn val="ctr"/>
        <c:lblOffset val="100"/>
      </c:catAx>
      <c:valAx>
        <c:axId val="106306944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0630540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2.0784995625546802E-2"/>
          <c:y val="7.8319845435987162E-2"/>
          <c:w val="0.20842979002624731"/>
          <c:h val="8.3717191601050026E-2"/>
        </c:manualLayout>
      </c:layout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'taux de sous emploi et chômage'!$D$21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rgbClr val="002060"/>
            </a:solidFill>
          </c:spPr>
          <c:dLbls>
            <c:showVal val="1"/>
          </c:dLbls>
          <c:cat>
            <c:strRef>
              <c:f>'taux de sous emploi et chômage'!$C$22:$C$28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ذكور</c:v>
                </c:pt>
                <c:pt idx="3">
                  <c:v>اناث</c:v>
                </c:pt>
                <c:pt idx="4">
                  <c:v>15-24 سنة</c:v>
                </c:pt>
                <c:pt idx="5">
                  <c:v>حاصل على شهادة</c:v>
                </c:pt>
                <c:pt idx="6">
                  <c:v>وطني</c:v>
                </c:pt>
              </c:strCache>
            </c:strRef>
          </c:cat>
          <c:val>
            <c:numRef>
              <c:f>'taux de sous emploi et chômage'!$D$22:$D$28</c:f>
              <c:numCache>
                <c:formatCode>0.0</c:formatCode>
                <c:ptCount val="7"/>
                <c:pt idx="0">
                  <c:v>8.7000000000000011</c:v>
                </c:pt>
                <c:pt idx="1">
                  <c:v>8.9</c:v>
                </c:pt>
                <c:pt idx="2">
                  <c:v>9.9</c:v>
                </c:pt>
                <c:pt idx="3">
                  <c:v>5.0999999999999996</c:v>
                </c:pt>
                <c:pt idx="4">
                  <c:v>13.2</c:v>
                </c:pt>
                <c:pt idx="5">
                  <c:v>9.3000000000000007</c:v>
                </c:pt>
                <c:pt idx="6">
                  <c:v>8.8000000000000007</c:v>
                </c:pt>
              </c:numCache>
            </c:numRef>
          </c:val>
        </c:ser>
        <c:ser>
          <c:idx val="1"/>
          <c:order val="1"/>
          <c:tx>
            <c:strRef>
              <c:f>'taux de sous emploi et chômage'!$E$21</c:f>
              <c:strCache>
                <c:ptCount val="1"/>
                <c:pt idx="0">
                  <c:v>2021</c:v>
                </c:pt>
              </c:strCache>
            </c:strRef>
          </c:tx>
          <c:spPr>
            <a:solidFill>
              <a:srgbClr val="FFC000"/>
            </a:solidFill>
          </c:spPr>
          <c:dLbls>
            <c:showVal val="1"/>
          </c:dLbls>
          <c:cat>
            <c:strRef>
              <c:f>'taux de sous emploi et chômage'!$C$22:$C$28</c:f>
              <c:strCache>
                <c:ptCount val="7"/>
                <c:pt idx="0">
                  <c:v>حضري</c:v>
                </c:pt>
                <c:pt idx="1">
                  <c:v>قروي</c:v>
                </c:pt>
                <c:pt idx="2">
                  <c:v>ذكور</c:v>
                </c:pt>
                <c:pt idx="3">
                  <c:v>اناث</c:v>
                </c:pt>
                <c:pt idx="4">
                  <c:v>15-24 سنة</c:v>
                </c:pt>
                <c:pt idx="5">
                  <c:v>حاصل على شهادة</c:v>
                </c:pt>
                <c:pt idx="6">
                  <c:v>وطني</c:v>
                </c:pt>
              </c:strCache>
            </c:strRef>
          </c:cat>
          <c:val>
            <c:numRef>
              <c:f>'taux de sous emploi et chômage'!$E$22:$E$28</c:f>
              <c:numCache>
                <c:formatCode>0.0</c:formatCode>
                <c:ptCount val="7"/>
                <c:pt idx="0">
                  <c:v>8.9</c:v>
                </c:pt>
                <c:pt idx="1">
                  <c:v>9.6</c:v>
                </c:pt>
                <c:pt idx="2">
                  <c:v>10.200000000000001</c:v>
                </c:pt>
                <c:pt idx="3">
                  <c:v>5.6</c:v>
                </c:pt>
                <c:pt idx="4">
                  <c:v>13.6</c:v>
                </c:pt>
                <c:pt idx="5">
                  <c:v>9.7000000000000011</c:v>
                </c:pt>
                <c:pt idx="6">
                  <c:v>9.2000000000000011</c:v>
                </c:pt>
              </c:numCache>
            </c:numRef>
          </c:val>
        </c:ser>
        <c:gapWidth val="75"/>
        <c:overlap val="-25"/>
        <c:axId val="106356736"/>
        <c:axId val="106358272"/>
      </c:barChart>
      <c:catAx>
        <c:axId val="106356736"/>
        <c:scaling>
          <c:orientation val="minMax"/>
        </c:scaling>
        <c:axPos val="b"/>
        <c:majorTickMark val="none"/>
        <c:tickLblPos val="nextTo"/>
        <c:crossAx val="106358272"/>
        <c:crosses val="autoZero"/>
        <c:auto val="1"/>
        <c:lblAlgn val="ctr"/>
        <c:lblOffset val="100"/>
      </c:catAx>
      <c:valAx>
        <c:axId val="10635827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106356736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3.7451662292213597E-2"/>
          <c:y val="4.1282808398949898E-2"/>
          <c:w val="0.20842979002624726"/>
          <c:h val="8.3717191601050026E-2"/>
        </c:manualLayout>
      </c:layout>
    </c:legend>
    <c:plotVisOnly val="1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dPt>
            <c:idx val="4"/>
            <c:spPr>
              <a:solidFill>
                <a:schemeClr val="accent2"/>
              </a:solidFill>
            </c:spPr>
          </c:dPt>
          <c:dLbls>
            <c:showVal val="1"/>
          </c:dLbls>
          <c:cat>
            <c:strRef>
              <c:f>'Graphiques régions'!$C$41:$C$51</c:f>
              <c:strCache>
                <c:ptCount val="11"/>
                <c:pt idx="0">
                  <c:v>الدار البيضاء -ســــطات</c:v>
                </c:pt>
                <c:pt idx="1">
                  <c:v>طنجة- تطوان- الحسيمة </c:v>
                </c:pt>
                <c:pt idx="2">
                  <c:v>مـــراكش – اسفــي</c:v>
                </c:pt>
                <c:pt idx="3">
                  <c:v>درعــــة – تافيلالــت</c:v>
                </c:pt>
                <c:pt idx="4">
                  <c:v>المستوى الوطني</c:v>
                </c:pt>
                <c:pt idx="5">
                  <c:v>جهات الجنوب</c:v>
                </c:pt>
                <c:pt idx="6">
                  <c:v>بني مــلال-خنيفـــــــــرة</c:v>
                </c:pt>
                <c:pt idx="7">
                  <c:v>الربــاط- ســلا-القنيطـــرة</c:v>
                </c:pt>
                <c:pt idx="8">
                  <c:v>فـــــــــاس-مكــــــناس</c:v>
                </c:pt>
                <c:pt idx="9">
                  <c:v>ســــوس – مــــاسة</c:v>
                </c:pt>
                <c:pt idx="10">
                  <c:v>جهـــــــــة الشـــــــــرق</c:v>
                </c:pt>
              </c:strCache>
            </c:strRef>
          </c:cat>
          <c:val>
            <c:numRef>
              <c:f>'Graphiques régions'!$D$41:$D$51</c:f>
              <c:numCache>
                <c:formatCode>General</c:formatCode>
                <c:ptCount val="11"/>
                <c:pt idx="0">
                  <c:v>48.6</c:v>
                </c:pt>
                <c:pt idx="1">
                  <c:v>48.1</c:v>
                </c:pt>
                <c:pt idx="2">
                  <c:v>46.8</c:v>
                </c:pt>
                <c:pt idx="3">
                  <c:v>46.4</c:v>
                </c:pt>
                <c:pt idx="4">
                  <c:v>45.5</c:v>
                </c:pt>
                <c:pt idx="5">
                  <c:v>45.3</c:v>
                </c:pt>
                <c:pt idx="6">
                  <c:v>44.9</c:v>
                </c:pt>
                <c:pt idx="7">
                  <c:v>44.4</c:v>
                </c:pt>
                <c:pt idx="8">
                  <c:v>42.5</c:v>
                </c:pt>
                <c:pt idx="9">
                  <c:v>42.3</c:v>
                </c:pt>
                <c:pt idx="10">
                  <c:v>41.6</c:v>
                </c:pt>
              </c:numCache>
            </c:numRef>
          </c:val>
        </c:ser>
        <c:axId val="106632704"/>
        <c:axId val="106634240"/>
      </c:barChart>
      <c:catAx>
        <c:axId val="106632704"/>
        <c:scaling>
          <c:orientation val="maxMin"/>
        </c:scaling>
        <c:axPos val="l"/>
        <c:tickLblPos val="nextTo"/>
        <c:crossAx val="106634240"/>
        <c:crosses val="autoZero"/>
        <c:auto val="1"/>
        <c:lblAlgn val="ctr"/>
        <c:lblOffset val="100"/>
      </c:catAx>
      <c:valAx>
        <c:axId val="106634240"/>
        <c:scaling>
          <c:orientation val="minMax"/>
        </c:scaling>
        <c:delete val="1"/>
        <c:axPos val="t"/>
        <c:numFmt formatCode="General" sourceLinked="1"/>
        <c:tickLblPos val="none"/>
        <c:crossAx val="106632704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plotArea>
      <c:layout/>
      <c:barChart>
        <c:barDir val="bar"/>
        <c:grouping val="clustered"/>
        <c:ser>
          <c:idx val="0"/>
          <c:order val="0"/>
          <c:dPt>
            <c:idx val="4"/>
            <c:spPr>
              <a:solidFill>
                <a:schemeClr val="accent2"/>
              </a:solidFill>
            </c:spPr>
          </c:dPt>
          <c:dLbls>
            <c:dLbl>
              <c:idx val="0"/>
              <c:showVal val="1"/>
            </c:dLbl>
            <c:dLbl>
              <c:idx val="1"/>
              <c:showVal val="1"/>
            </c:dLbl>
            <c:dLbl>
              <c:idx val="2"/>
              <c:showVal val="1"/>
            </c:dLbl>
            <c:dLbl>
              <c:idx val="3"/>
              <c:showVal val="1"/>
            </c:dLbl>
            <c:dLbl>
              <c:idx val="4"/>
              <c:showVal val="1"/>
            </c:dLbl>
            <c:dLbl>
              <c:idx val="5"/>
              <c:showVal val="1"/>
            </c:dLbl>
            <c:dLbl>
              <c:idx val="6"/>
              <c:showVal val="1"/>
            </c:dLbl>
            <c:dLbl>
              <c:idx val="7"/>
              <c:showVal val="1"/>
            </c:dLbl>
            <c:dLbl>
              <c:idx val="8"/>
              <c:showVal val="1"/>
            </c:dLbl>
            <c:dLbl>
              <c:idx val="9"/>
              <c:showVal val="1"/>
            </c:dLbl>
            <c:dLbl>
              <c:idx val="10"/>
              <c:showVal val="1"/>
            </c:dLbl>
            <c:delete val="1"/>
          </c:dLbls>
          <c:cat>
            <c:strRef>
              <c:f>'Graphiques régions'!$C$59:$C$69</c:f>
              <c:strCache>
                <c:ptCount val="11"/>
                <c:pt idx="0">
                  <c:v>جهات الجنوب</c:v>
                </c:pt>
                <c:pt idx="1">
                  <c:v>جهـــــــــة الشـــــــــرق</c:v>
                </c:pt>
                <c:pt idx="2">
                  <c:v>الدار البيضاء -ســــطات</c:v>
                </c:pt>
                <c:pt idx="3">
                  <c:v>فـــــــــاس-مكــــــناس</c:v>
                </c:pt>
                <c:pt idx="4">
                  <c:v>المستوى الوطني</c:v>
                </c:pt>
                <c:pt idx="5">
                  <c:v>الربــاط- ســلا-القنيطـــرة</c:v>
                </c:pt>
                <c:pt idx="6">
                  <c:v>طنجة- تطوان- الحسيمة </c:v>
                </c:pt>
                <c:pt idx="7">
                  <c:v>ســــوس – مــــاسة</c:v>
                </c:pt>
                <c:pt idx="8">
                  <c:v>بني مــلال-خنيفـــــــــرة</c:v>
                </c:pt>
                <c:pt idx="9">
                  <c:v>مـــراكش – اسفــي</c:v>
                </c:pt>
                <c:pt idx="10">
                  <c:v>درعــــة – تافيلالــت</c:v>
                </c:pt>
              </c:strCache>
            </c:strRef>
          </c:cat>
          <c:val>
            <c:numRef>
              <c:f>'Graphiques régions'!$D$59:$D$69</c:f>
              <c:numCache>
                <c:formatCode>General</c:formatCode>
                <c:ptCount val="11"/>
                <c:pt idx="0">
                  <c:v>19.600000000000001</c:v>
                </c:pt>
                <c:pt idx="1">
                  <c:v>18.7</c:v>
                </c:pt>
                <c:pt idx="2">
                  <c:v>15.3</c:v>
                </c:pt>
                <c:pt idx="3">
                  <c:v>13.6</c:v>
                </c:pt>
                <c:pt idx="4">
                  <c:v>12.5</c:v>
                </c:pt>
                <c:pt idx="5">
                  <c:v>12.3</c:v>
                </c:pt>
                <c:pt idx="6">
                  <c:v>11.9</c:v>
                </c:pt>
                <c:pt idx="7">
                  <c:v>10</c:v>
                </c:pt>
                <c:pt idx="8">
                  <c:v>8.8000000000000007</c:v>
                </c:pt>
                <c:pt idx="9">
                  <c:v>7.9</c:v>
                </c:pt>
                <c:pt idx="10">
                  <c:v>7.8</c:v>
                </c:pt>
              </c:numCache>
            </c:numRef>
          </c:val>
        </c:ser>
        <c:axId val="106674816"/>
        <c:axId val="106688896"/>
      </c:barChart>
      <c:catAx>
        <c:axId val="106674816"/>
        <c:scaling>
          <c:orientation val="maxMin"/>
        </c:scaling>
        <c:axPos val="l"/>
        <c:tickLblPos val="nextTo"/>
        <c:crossAx val="106688896"/>
        <c:crosses val="autoZero"/>
        <c:auto val="1"/>
        <c:lblAlgn val="ctr"/>
        <c:lblOffset val="100"/>
      </c:catAx>
      <c:valAx>
        <c:axId val="106688896"/>
        <c:scaling>
          <c:orientation val="minMax"/>
        </c:scaling>
        <c:delete val="1"/>
        <c:axPos val="t"/>
        <c:numFmt formatCode="General" sourceLinked="1"/>
        <c:tickLblPos val="none"/>
        <c:crossAx val="106674816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5C81B3-F3FF-4619-BC6E-42E725F2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1680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selbied</dc:creator>
  <cp:lastModifiedBy>HCP</cp:lastModifiedBy>
  <cp:revision>4</cp:revision>
  <cp:lastPrinted>2021-04-30T09:04:00Z</cp:lastPrinted>
  <dcterms:created xsi:type="dcterms:W3CDTF">2021-04-30T14:19:00Z</dcterms:created>
  <dcterms:modified xsi:type="dcterms:W3CDTF">2021-05-03T10:19:00Z</dcterms:modified>
</cp:coreProperties>
</file>