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3E6" w:rsidRDefault="006513E6" w:rsidP="00C31D4A">
      <w:pPr>
        <w:spacing w:after="120" w:line="276" w:lineRule="auto"/>
        <w:jc w:val="center"/>
        <w:rPr>
          <w:rFonts w:asciiTheme="majorBidi" w:hAnsiTheme="majorBidi" w:cstheme="majorBidi"/>
          <w:b/>
          <w:i/>
          <w:color w:val="548DD4"/>
          <w:sz w:val="32"/>
          <w:szCs w:val="32"/>
        </w:rPr>
      </w:pPr>
      <w:r>
        <w:rPr>
          <w:noProof/>
        </w:rPr>
        <w:drawing>
          <wp:inline distT="0" distB="0" distL="0" distR="0">
            <wp:extent cx="1623695" cy="141605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23695" cy="1416050"/>
                    </a:xfrm>
                    <a:prstGeom prst="rect">
                      <a:avLst/>
                    </a:prstGeom>
                    <a:noFill/>
                    <a:ln>
                      <a:noFill/>
                    </a:ln>
                  </pic:spPr>
                </pic:pic>
              </a:graphicData>
            </a:graphic>
          </wp:inline>
        </w:drawing>
      </w:r>
    </w:p>
    <w:p w:rsidR="00C31D4A" w:rsidRDefault="006E6C4D" w:rsidP="00C31D4A">
      <w:pPr>
        <w:spacing w:after="120" w:line="276" w:lineRule="auto"/>
        <w:jc w:val="center"/>
        <w:rPr>
          <w:rFonts w:asciiTheme="majorBidi" w:hAnsiTheme="majorBidi" w:cstheme="majorBidi"/>
          <w:b/>
          <w:i/>
          <w:color w:val="548DD4"/>
          <w:sz w:val="32"/>
          <w:szCs w:val="32"/>
        </w:rPr>
      </w:pPr>
      <w:r>
        <w:rPr>
          <w:rFonts w:asciiTheme="majorBidi" w:hAnsiTheme="majorBidi" w:cstheme="majorBidi"/>
          <w:b/>
          <w:i/>
          <w:color w:val="548DD4"/>
          <w:sz w:val="32"/>
          <w:szCs w:val="32"/>
        </w:rPr>
        <w:t xml:space="preserve">Différenciation de la violence entre </w:t>
      </w:r>
      <w:r w:rsidR="00C31D4A">
        <w:rPr>
          <w:rFonts w:asciiTheme="majorBidi" w:hAnsiTheme="majorBidi" w:cstheme="majorBidi"/>
          <w:b/>
          <w:i/>
          <w:color w:val="548DD4"/>
          <w:sz w:val="32"/>
          <w:szCs w:val="32"/>
        </w:rPr>
        <w:t xml:space="preserve">les femmes et les hommes </w:t>
      </w:r>
    </w:p>
    <w:p w:rsidR="007C5ABD" w:rsidRPr="00C60C0A" w:rsidRDefault="006E6C4D" w:rsidP="00C31D4A">
      <w:pPr>
        <w:spacing w:after="120" w:line="276" w:lineRule="auto"/>
        <w:jc w:val="center"/>
        <w:rPr>
          <w:rFonts w:asciiTheme="majorBidi" w:hAnsiTheme="majorBidi" w:cstheme="majorBidi"/>
          <w:b/>
          <w:i/>
          <w:color w:val="548DD4"/>
          <w:sz w:val="32"/>
          <w:szCs w:val="32"/>
        </w:rPr>
      </w:pPr>
      <w:r>
        <w:rPr>
          <w:rFonts w:asciiTheme="majorBidi" w:hAnsiTheme="majorBidi" w:cstheme="majorBidi"/>
          <w:b/>
          <w:i/>
          <w:color w:val="548DD4"/>
          <w:sz w:val="32"/>
          <w:szCs w:val="32"/>
        </w:rPr>
        <w:t xml:space="preserve">et sa perception </w:t>
      </w:r>
      <w:r w:rsidR="00C60C0A" w:rsidRPr="00C60C0A">
        <w:rPr>
          <w:rFonts w:asciiTheme="majorBidi" w:hAnsiTheme="majorBidi" w:cstheme="majorBidi"/>
          <w:b/>
          <w:i/>
          <w:color w:val="548DD4"/>
          <w:sz w:val="32"/>
          <w:szCs w:val="32"/>
        </w:rPr>
        <w:t xml:space="preserve">masculine </w:t>
      </w:r>
    </w:p>
    <w:p w:rsidR="00CC7952" w:rsidRPr="004E3228" w:rsidRDefault="00CC7952" w:rsidP="004E3228">
      <w:pPr>
        <w:spacing w:line="276" w:lineRule="auto"/>
        <w:jc w:val="both"/>
        <w:rPr>
          <w:rFonts w:asciiTheme="majorBidi" w:hAnsiTheme="majorBidi" w:cstheme="majorBidi"/>
          <w:sz w:val="26"/>
          <w:szCs w:val="26"/>
        </w:rPr>
      </w:pPr>
    </w:p>
    <w:p w:rsidR="006E6C4D" w:rsidRDefault="001B0784" w:rsidP="000C6BE5">
      <w:pPr>
        <w:spacing w:after="120" w:line="276" w:lineRule="auto"/>
        <w:jc w:val="both"/>
        <w:rPr>
          <w:rFonts w:asciiTheme="majorBidi" w:hAnsiTheme="majorBidi" w:cstheme="majorBidi"/>
          <w:sz w:val="26"/>
          <w:szCs w:val="26"/>
        </w:rPr>
      </w:pPr>
      <w:r>
        <w:rPr>
          <w:rFonts w:asciiTheme="majorBidi" w:hAnsiTheme="majorBidi" w:cstheme="majorBidi"/>
          <w:sz w:val="26"/>
          <w:szCs w:val="26"/>
        </w:rPr>
        <w:t>L</w:t>
      </w:r>
      <w:r w:rsidRPr="004E3228">
        <w:rPr>
          <w:rFonts w:asciiTheme="majorBidi" w:hAnsiTheme="majorBidi" w:cstheme="majorBidi"/>
          <w:sz w:val="26"/>
          <w:szCs w:val="26"/>
        </w:rPr>
        <w:t>a présente note met</w:t>
      </w:r>
      <w:r w:rsidR="004E01CA" w:rsidRPr="004E3228">
        <w:rPr>
          <w:rFonts w:asciiTheme="majorBidi" w:hAnsiTheme="majorBidi" w:cstheme="majorBidi"/>
          <w:sz w:val="26"/>
          <w:szCs w:val="26"/>
        </w:rPr>
        <w:t xml:space="preserve"> en exergue les principales différences </w:t>
      </w:r>
      <w:r w:rsidR="00612717" w:rsidRPr="004E3228">
        <w:rPr>
          <w:rFonts w:asciiTheme="majorBidi" w:hAnsiTheme="majorBidi" w:cstheme="majorBidi"/>
          <w:sz w:val="26"/>
          <w:szCs w:val="26"/>
        </w:rPr>
        <w:t xml:space="preserve">quant aux manifestations de la violence </w:t>
      </w:r>
      <w:r w:rsidR="00612717" w:rsidRPr="000C6BE5">
        <w:rPr>
          <w:rFonts w:asciiTheme="majorBidi" w:hAnsiTheme="majorBidi" w:cstheme="majorBidi"/>
          <w:sz w:val="26"/>
          <w:szCs w:val="26"/>
        </w:rPr>
        <w:t xml:space="preserve">pour les </w:t>
      </w:r>
      <w:r w:rsidR="000B09C9" w:rsidRPr="000C6BE5">
        <w:rPr>
          <w:rFonts w:asciiTheme="majorBidi" w:hAnsiTheme="majorBidi" w:cstheme="majorBidi"/>
          <w:sz w:val="26"/>
          <w:szCs w:val="26"/>
        </w:rPr>
        <w:t xml:space="preserve">femmes et les hommes </w:t>
      </w:r>
      <w:r w:rsidRPr="000C6BE5">
        <w:rPr>
          <w:rFonts w:asciiTheme="majorBidi" w:hAnsiTheme="majorBidi" w:cstheme="majorBidi"/>
          <w:sz w:val="26"/>
          <w:szCs w:val="26"/>
        </w:rPr>
        <w:t>et</w:t>
      </w:r>
      <w:r w:rsidR="006E6C4D" w:rsidRPr="000C6BE5">
        <w:rPr>
          <w:rFonts w:asciiTheme="majorBidi" w:hAnsiTheme="majorBidi" w:cstheme="majorBidi"/>
          <w:sz w:val="26"/>
          <w:szCs w:val="26"/>
        </w:rPr>
        <w:t xml:space="preserve"> les perceptions de</w:t>
      </w:r>
      <w:r w:rsidR="000B09C9" w:rsidRPr="000C6BE5">
        <w:rPr>
          <w:rFonts w:asciiTheme="majorBidi" w:hAnsiTheme="majorBidi" w:cstheme="majorBidi"/>
          <w:sz w:val="26"/>
          <w:szCs w:val="26"/>
        </w:rPr>
        <w:t xml:space="preserve"> ces derniers v</w:t>
      </w:r>
      <w:r w:rsidR="006E6C4D" w:rsidRPr="000C6BE5">
        <w:rPr>
          <w:rFonts w:asciiTheme="majorBidi" w:hAnsiTheme="majorBidi" w:cstheme="majorBidi"/>
          <w:sz w:val="26"/>
          <w:szCs w:val="26"/>
        </w:rPr>
        <w:t>is-à-vis</w:t>
      </w:r>
      <w:r w:rsidR="006E6C4D" w:rsidRPr="004E3228">
        <w:rPr>
          <w:rFonts w:asciiTheme="majorBidi" w:hAnsiTheme="majorBidi" w:cstheme="majorBidi"/>
          <w:sz w:val="26"/>
          <w:szCs w:val="26"/>
        </w:rPr>
        <w:t xml:space="preserve"> de </w:t>
      </w:r>
      <w:r>
        <w:rPr>
          <w:rFonts w:asciiTheme="majorBidi" w:hAnsiTheme="majorBidi" w:cstheme="majorBidi"/>
          <w:sz w:val="26"/>
          <w:szCs w:val="26"/>
        </w:rPr>
        <w:t>cette</w:t>
      </w:r>
      <w:r w:rsidR="006E6C4D" w:rsidRPr="004E3228">
        <w:rPr>
          <w:rFonts w:asciiTheme="majorBidi" w:hAnsiTheme="majorBidi" w:cstheme="majorBidi"/>
          <w:sz w:val="26"/>
          <w:szCs w:val="26"/>
        </w:rPr>
        <w:t xml:space="preserve"> violence</w:t>
      </w:r>
      <w:r>
        <w:rPr>
          <w:rFonts w:asciiTheme="majorBidi" w:hAnsiTheme="majorBidi" w:cstheme="majorBidi"/>
          <w:sz w:val="26"/>
          <w:szCs w:val="26"/>
        </w:rPr>
        <w:t xml:space="preserve"> pour </w:t>
      </w:r>
      <w:r w:rsidR="006E6C4D" w:rsidRPr="004E3228">
        <w:rPr>
          <w:rFonts w:asciiTheme="majorBidi" w:hAnsiTheme="majorBidi" w:cstheme="majorBidi"/>
          <w:sz w:val="26"/>
          <w:szCs w:val="26"/>
        </w:rPr>
        <w:t xml:space="preserve">une meilleure appréhension du phénomène dans ses différents </w:t>
      </w:r>
      <w:r>
        <w:rPr>
          <w:rFonts w:asciiTheme="majorBidi" w:hAnsiTheme="majorBidi" w:cstheme="majorBidi"/>
          <w:sz w:val="26"/>
          <w:szCs w:val="26"/>
        </w:rPr>
        <w:t>contextes et formes</w:t>
      </w:r>
      <w:r w:rsidR="006E6C4D" w:rsidRPr="004E3228">
        <w:rPr>
          <w:rFonts w:asciiTheme="majorBidi" w:hAnsiTheme="majorBidi" w:cstheme="majorBidi"/>
          <w:sz w:val="26"/>
          <w:szCs w:val="26"/>
        </w:rPr>
        <w:t>.</w:t>
      </w:r>
    </w:p>
    <w:p w:rsidR="00612717" w:rsidRPr="00C60C0A" w:rsidRDefault="006E6C4D" w:rsidP="00365934">
      <w:pPr>
        <w:spacing w:after="120" w:line="276" w:lineRule="auto"/>
        <w:jc w:val="both"/>
        <w:rPr>
          <w:rFonts w:asciiTheme="majorBidi" w:hAnsiTheme="majorBidi" w:cstheme="majorBidi"/>
          <w:sz w:val="26"/>
          <w:szCs w:val="26"/>
        </w:rPr>
      </w:pPr>
      <w:r>
        <w:rPr>
          <w:rFonts w:asciiTheme="majorBidi" w:hAnsiTheme="majorBidi" w:cstheme="majorBidi"/>
          <w:sz w:val="26"/>
          <w:szCs w:val="26"/>
        </w:rPr>
        <w:t>L</w:t>
      </w:r>
      <w:r w:rsidR="00612717" w:rsidRPr="00C60C0A">
        <w:rPr>
          <w:rFonts w:asciiTheme="majorBidi" w:hAnsiTheme="majorBidi" w:cstheme="majorBidi"/>
          <w:sz w:val="26"/>
          <w:szCs w:val="26"/>
        </w:rPr>
        <w:t xml:space="preserve">es résultats de l’enquête nationale sur la violence à l’encontre des femmes et des hommes de 2019 révèle que </w:t>
      </w:r>
      <w:r w:rsidR="001B0784">
        <w:rPr>
          <w:rFonts w:asciiTheme="majorBidi" w:hAnsiTheme="majorBidi" w:cstheme="majorBidi"/>
          <w:sz w:val="26"/>
          <w:szCs w:val="26"/>
        </w:rPr>
        <w:t xml:space="preserve">près de </w:t>
      </w:r>
      <w:r w:rsidR="00612717" w:rsidRPr="00C60C0A">
        <w:rPr>
          <w:rFonts w:asciiTheme="majorBidi" w:hAnsiTheme="majorBidi" w:cstheme="majorBidi"/>
          <w:sz w:val="26"/>
          <w:szCs w:val="26"/>
        </w:rPr>
        <w:t xml:space="preserve">50% de la population âgée de 15 à 74 ans ont subi au moins un acte de violence au cours des 12 mois précédant l’enquête, 57% des femmes et 42% des hommes. </w:t>
      </w:r>
    </w:p>
    <w:p w:rsidR="009D17EB" w:rsidRDefault="009D17EB" w:rsidP="009D17EB">
      <w:pPr>
        <w:spacing w:after="120" w:line="276" w:lineRule="auto"/>
        <w:jc w:val="both"/>
        <w:rPr>
          <w:rFonts w:asciiTheme="majorBidi" w:hAnsiTheme="majorBidi" w:cstheme="majorBidi"/>
          <w:sz w:val="26"/>
          <w:szCs w:val="26"/>
        </w:rPr>
      </w:pPr>
      <w:r w:rsidRPr="009D17EB">
        <w:rPr>
          <w:rFonts w:asciiTheme="majorBidi" w:hAnsiTheme="majorBidi" w:cstheme="majorBidi"/>
          <w:sz w:val="26"/>
          <w:szCs w:val="26"/>
        </w:rPr>
        <w:t xml:space="preserve">Outre les tendances de la violence dans la société </w:t>
      </w:r>
      <w:r>
        <w:rPr>
          <w:rFonts w:asciiTheme="majorBidi" w:hAnsiTheme="majorBidi" w:cstheme="majorBidi"/>
          <w:sz w:val="26"/>
          <w:szCs w:val="26"/>
        </w:rPr>
        <w:t>à laquelle</w:t>
      </w:r>
      <w:r w:rsidRPr="009D17EB">
        <w:rPr>
          <w:rFonts w:asciiTheme="majorBidi" w:hAnsiTheme="majorBidi" w:cstheme="majorBidi"/>
          <w:sz w:val="26"/>
          <w:szCs w:val="26"/>
        </w:rPr>
        <w:t xml:space="preserve"> les femmes sont exposées, la violence se manifeste également </w:t>
      </w:r>
      <w:r>
        <w:rPr>
          <w:rFonts w:asciiTheme="majorBidi" w:hAnsiTheme="majorBidi" w:cstheme="majorBidi"/>
          <w:sz w:val="26"/>
          <w:szCs w:val="26"/>
        </w:rPr>
        <w:t>parmi</w:t>
      </w:r>
      <w:r w:rsidRPr="009D17EB">
        <w:rPr>
          <w:rFonts w:asciiTheme="majorBidi" w:hAnsiTheme="majorBidi" w:cstheme="majorBidi"/>
          <w:sz w:val="26"/>
          <w:szCs w:val="26"/>
        </w:rPr>
        <w:t xml:space="preserve"> les hommes, mais avec une incidence moindre</w:t>
      </w:r>
      <w:r>
        <w:rPr>
          <w:rFonts w:asciiTheme="majorBidi" w:hAnsiTheme="majorBidi" w:cstheme="majorBidi"/>
          <w:sz w:val="26"/>
          <w:szCs w:val="26"/>
        </w:rPr>
        <w:t>.</w:t>
      </w:r>
    </w:p>
    <w:p w:rsidR="001114B7" w:rsidRPr="006E5127" w:rsidRDefault="001114B7" w:rsidP="006E5127">
      <w:pPr>
        <w:spacing w:after="120" w:line="276" w:lineRule="auto"/>
        <w:jc w:val="both"/>
        <w:rPr>
          <w:rFonts w:asciiTheme="majorBidi" w:hAnsiTheme="majorBidi" w:cstheme="majorBidi"/>
          <w:b/>
          <w:i/>
          <w:color w:val="548DD4"/>
          <w:sz w:val="12"/>
          <w:szCs w:val="12"/>
        </w:rPr>
      </w:pPr>
    </w:p>
    <w:p w:rsidR="0078116D" w:rsidRPr="004E3228" w:rsidRDefault="002F0BF0" w:rsidP="002F0BF0">
      <w:pPr>
        <w:spacing w:after="120" w:line="276" w:lineRule="auto"/>
        <w:jc w:val="both"/>
        <w:rPr>
          <w:rFonts w:asciiTheme="majorBidi" w:hAnsiTheme="majorBidi" w:cstheme="majorBidi"/>
          <w:b/>
          <w:i/>
          <w:color w:val="548DD4"/>
          <w:sz w:val="28"/>
          <w:szCs w:val="28"/>
        </w:rPr>
      </w:pPr>
      <w:r>
        <w:rPr>
          <w:rFonts w:asciiTheme="majorBidi" w:hAnsiTheme="majorBidi" w:cstheme="majorBidi"/>
          <w:b/>
          <w:i/>
          <w:color w:val="548DD4"/>
          <w:sz w:val="28"/>
          <w:szCs w:val="28"/>
        </w:rPr>
        <w:t>D</w:t>
      </w:r>
      <w:r w:rsidRPr="002F0BF0">
        <w:rPr>
          <w:rFonts w:asciiTheme="majorBidi" w:hAnsiTheme="majorBidi" w:cstheme="majorBidi"/>
          <w:b/>
          <w:i/>
          <w:color w:val="548DD4"/>
          <w:sz w:val="28"/>
          <w:szCs w:val="28"/>
        </w:rPr>
        <w:t xml:space="preserve">ans tous les espaces de vie et </w:t>
      </w:r>
      <w:r>
        <w:rPr>
          <w:rFonts w:asciiTheme="majorBidi" w:hAnsiTheme="majorBidi" w:cstheme="majorBidi"/>
          <w:b/>
          <w:i/>
          <w:color w:val="548DD4"/>
          <w:sz w:val="28"/>
          <w:szCs w:val="28"/>
        </w:rPr>
        <w:t xml:space="preserve">pour </w:t>
      </w:r>
      <w:r w:rsidRPr="002F0BF0">
        <w:rPr>
          <w:rFonts w:asciiTheme="majorBidi" w:hAnsiTheme="majorBidi" w:cstheme="majorBidi"/>
          <w:b/>
          <w:i/>
          <w:color w:val="548DD4"/>
          <w:sz w:val="28"/>
          <w:szCs w:val="28"/>
        </w:rPr>
        <w:t xml:space="preserve">toutes </w:t>
      </w:r>
      <w:r>
        <w:rPr>
          <w:rFonts w:asciiTheme="majorBidi" w:hAnsiTheme="majorBidi" w:cstheme="majorBidi"/>
          <w:b/>
          <w:i/>
          <w:color w:val="548DD4"/>
          <w:sz w:val="28"/>
          <w:szCs w:val="28"/>
        </w:rPr>
        <w:t>l</w:t>
      </w:r>
      <w:r w:rsidRPr="002F0BF0">
        <w:rPr>
          <w:rFonts w:asciiTheme="majorBidi" w:hAnsiTheme="majorBidi" w:cstheme="majorBidi"/>
          <w:b/>
          <w:i/>
          <w:color w:val="548DD4"/>
          <w:sz w:val="28"/>
          <w:szCs w:val="28"/>
        </w:rPr>
        <w:t>es formes</w:t>
      </w:r>
      <w:r>
        <w:rPr>
          <w:rFonts w:asciiTheme="majorBidi" w:hAnsiTheme="majorBidi" w:cstheme="majorBidi"/>
          <w:b/>
          <w:i/>
          <w:color w:val="548DD4"/>
          <w:sz w:val="28"/>
          <w:szCs w:val="28"/>
        </w:rPr>
        <w:t xml:space="preserve"> de violence, l</w:t>
      </w:r>
      <w:r w:rsidR="0078116D" w:rsidRPr="004E3228">
        <w:rPr>
          <w:rFonts w:asciiTheme="majorBidi" w:hAnsiTheme="majorBidi" w:cstheme="majorBidi"/>
          <w:b/>
          <w:i/>
          <w:color w:val="548DD4"/>
          <w:sz w:val="28"/>
          <w:szCs w:val="28"/>
        </w:rPr>
        <w:t>es femmes sont plus victimes</w:t>
      </w:r>
      <w:r>
        <w:rPr>
          <w:rFonts w:asciiTheme="majorBidi" w:hAnsiTheme="majorBidi" w:cstheme="majorBidi"/>
          <w:b/>
          <w:i/>
          <w:color w:val="548DD4"/>
          <w:sz w:val="28"/>
          <w:szCs w:val="28"/>
        </w:rPr>
        <w:t xml:space="preserve"> que les hommes</w:t>
      </w:r>
    </w:p>
    <w:p w:rsidR="00612717" w:rsidRPr="004E3228" w:rsidRDefault="00612717" w:rsidP="004E3228">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Aussi bien pour les femmes que pour les hommes, le contexte conjugal s’avère l’espace de vie le plus marqué par la violence puisque 53% de l’ensemble des violences subies par les femmes et 39% par les hommes sont perpétrées par le (la) partenaire intime. </w:t>
      </w:r>
    </w:p>
    <w:p w:rsidR="00612717" w:rsidRPr="004E3228" w:rsidRDefault="00612717" w:rsidP="000C6BE5">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De même, parmi toutes les formes de violence, </w:t>
      </w:r>
      <w:r w:rsidR="00187700">
        <w:rPr>
          <w:rFonts w:asciiTheme="majorBidi" w:hAnsiTheme="majorBidi" w:cstheme="majorBidi"/>
          <w:sz w:val="26"/>
          <w:szCs w:val="26"/>
        </w:rPr>
        <w:t xml:space="preserve">celle </w:t>
      </w:r>
      <w:r w:rsidRPr="004E3228">
        <w:rPr>
          <w:rFonts w:asciiTheme="majorBidi" w:hAnsiTheme="majorBidi" w:cstheme="majorBidi"/>
          <w:sz w:val="26"/>
          <w:szCs w:val="26"/>
        </w:rPr>
        <w:t>psychologique reste la forme la plus dominante</w:t>
      </w:r>
      <w:r w:rsidR="001B0784">
        <w:rPr>
          <w:rFonts w:asciiTheme="majorBidi" w:hAnsiTheme="majorBidi" w:cstheme="majorBidi"/>
          <w:sz w:val="26"/>
          <w:szCs w:val="26"/>
        </w:rPr>
        <w:t xml:space="preserve">. Elle </w:t>
      </w:r>
      <w:r w:rsidRPr="004E3228">
        <w:rPr>
          <w:rFonts w:asciiTheme="majorBidi" w:hAnsiTheme="majorBidi" w:cstheme="majorBidi"/>
          <w:sz w:val="26"/>
          <w:szCs w:val="26"/>
        </w:rPr>
        <w:t>représente 54% de l’ensemble des violences subies par les femmes et 73% de celles subies par les hommes.</w:t>
      </w:r>
    </w:p>
    <w:p w:rsidR="001B0784" w:rsidRDefault="001B0784" w:rsidP="004E3228">
      <w:pPr>
        <w:shd w:val="clear" w:color="auto" w:fill="FFFFFF" w:themeFill="background1"/>
        <w:spacing w:after="120" w:line="276" w:lineRule="auto"/>
        <w:jc w:val="both"/>
        <w:rPr>
          <w:rFonts w:asciiTheme="majorBidi" w:hAnsiTheme="majorBidi" w:cstheme="majorBidi"/>
          <w:sz w:val="26"/>
          <w:szCs w:val="26"/>
        </w:rPr>
      </w:pPr>
      <w:r>
        <w:rPr>
          <w:rFonts w:asciiTheme="majorBidi" w:hAnsiTheme="majorBidi" w:cstheme="majorBidi"/>
          <w:sz w:val="26"/>
          <w:szCs w:val="26"/>
        </w:rPr>
        <w:t>G</w:t>
      </w:r>
      <w:r w:rsidR="00612717" w:rsidRPr="004E3228">
        <w:rPr>
          <w:rFonts w:asciiTheme="majorBidi" w:hAnsiTheme="majorBidi" w:cstheme="majorBidi"/>
          <w:sz w:val="26"/>
          <w:szCs w:val="26"/>
        </w:rPr>
        <w:t xml:space="preserve">lobalement, les femmes sont plus nombreuses à subir la violence dans tous les espaces de vie et sous toutes ses formes. Ainsi, par forme de violence, l’écart entre les taux de prévalence de la violence subie par les femmes et par les hommes est </w:t>
      </w:r>
      <w:r w:rsidR="00612717" w:rsidRPr="004E3228">
        <w:rPr>
          <w:rFonts w:asciiTheme="majorBidi" w:hAnsiTheme="majorBidi" w:cstheme="majorBidi"/>
          <w:sz w:val="26"/>
          <w:szCs w:val="26"/>
        </w:rPr>
        <w:lastRenderedPageBreak/>
        <w:t xml:space="preserve">de 13 points de pourcentage pour la violence économique, 12 points pour la violence sexuelle, 10 points pour la violence psychologique </w:t>
      </w:r>
      <w:r w:rsidR="00D415EB" w:rsidRPr="004E3228">
        <w:rPr>
          <w:rFonts w:asciiTheme="majorBidi" w:hAnsiTheme="majorBidi" w:cstheme="majorBidi"/>
          <w:sz w:val="26"/>
          <w:szCs w:val="26"/>
        </w:rPr>
        <w:t>et de 2</w:t>
      </w:r>
      <w:r w:rsidR="00612717" w:rsidRPr="004E3228">
        <w:rPr>
          <w:rFonts w:asciiTheme="majorBidi" w:hAnsiTheme="majorBidi" w:cstheme="majorBidi"/>
          <w:sz w:val="26"/>
          <w:szCs w:val="26"/>
        </w:rPr>
        <w:t xml:space="preserve"> points pour la violence physique. </w:t>
      </w:r>
    </w:p>
    <w:p w:rsidR="001B0784" w:rsidRPr="005C2ACF" w:rsidRDefault="00612717" w:rsidP="001B0784">
      <w:pPr>
        <w:shd w:val="clear" w:color="auto" w:fill="FFFFFF" w:themeFill="background1"/>
        <w:spacing w:after="120" w:line="276" w:lineRule="auto"/>
        <w:jc w:val="both"/>
        <w:rPr>
          <w:rFonts w:asciiTheme="majorBidi" w:hAnsiTheme="majorBidi" w:cstheme="majorBidi"/>
          <w:strike/>
          <w:sz w:val="26"/>
          <w:szCs w:val="26"/>
        </w:rPr>
      </w:pPr>
      <w:r w:rsidRPr="004E3228">
        <w:rPr>
          <w:rFonts w:asciiTheme="majorBidi" w:hAnsiTheme="majorBidi" w:cstheme="majorBidi"/>
          <w:sz w:val="26"/>
          <w:szCs w:val="26"/>
        </w:rPr>
        <w:t xml:space="preserve">Par espace de vie, cet écart est de 16 points dans le cadre conjugal, 11 points dans les établissements d’enseignement et de formation, 7 points dans le contexte familial et de 3 points dans les lieux publics. </w:t>
      </w:r>
      <w:r w:rsidR="001B0784" w:rsidRPr="004E3228">
        <w:rPr>
          <w:rFonts w:asciiTheme="majorBidi" w:hAnsiTheme="majorBidi" w:cstheme="majorBidi"/>
          <w:sz w:val="26"/>
          <w:szCs w:val="26"/>
        </w:rPr>
        <w:t xml:space="preserve">Dans le cadre professionnel, </w:t>
      </w:r>
      <w:r w:rsidR="001B0784" w:rsidRPr="001B0784">
        <w:rPr>
          <w:rFonts w:asciiTheme="majorBidi" w:hAnsiTheme="majorBidi" w:cstheme="majorBidi"/>
          <w:sz w:val="26"/>
          <w:szCs w:val="26"/>
        </w:rPr>
        <w:t xml:space="preserve">la différence </w:t>
      </w:r>
      <w:r w:rsidR="00187700" w:rsidRPr="000C6BE5">
        <w:rPr>
          <w:rFonts w:asciiTheme="majorBidi" w:hAnsiTheme="majorBidi" w:cstheme="majorBidi"/>
          <w:sz w:val="26"/>
          <w:szCs w:val="26"/>
        </w:rPr>
        <w:t>entre les hommes et les femmes</w:t>
      </w:r>
      <w:r w:rsidR="000C6BE5">
        <w:rPr>
          <w:rFonts w:asciiTheme="majorBidi" w:hAnsiTheme="majorBidi" w:cstheme="majorBidi"/>
          <w:sz w:val="26"/>
          <w:szCs w:val="26"/>
        </w:rPr>
        <w:t xml:space="preserve"> </w:t>
      </w:r>
      <w:r w:rsidR="001B0784" w:rsidRPr="001B0784">
        <w:rPr>
          <w:rFonts w:asciiTheme="majorBidi" w:hAnsiTheme="majorBidi" w:cstheme="majorBidi"/>
          <w:sz w:val="26"/>
          <w:szCs w:val="26"/>
        </w:rPr>
        <w:t>dans la prévalence n’est pas significative (un point de plus pour les hommes).</w:t>
      </w:r>
    </w:p>
    <w:p w:rsidR="00612717" w:rsidRPr="004E3228" w:rsidRDefault="00612717" w:rsidP="00D415EB">
      <w:pPr>
        <w:spacing w:after="120" w:line="276" w:lineRule="auto"/>
        <w:jc w:val="both"/>
        <w:rPr>
          <w:rFonts w:asciiTheme="majorBidi" w:hAnsiTheme="majorBidi" w:cstheme="majorBidi"/>
          <w:b/>
          <w:bCs/>
          <w:sz w:val="26"/>
          <w:szCs w:val="26"/>
        </w:rPr>
      </w:pPr>
      <w:r w:rsidRPr="004E3228">
        <w:rPr>
          <w:rFonts w:asciiTheme="majorBidi" w:hAnsiTheme="majorBidi" w:cstheme="majorBidi"/>
          <w:b/>
          <w:bCs/>
          <w:sz w:val="26"/>
          <w:szCs w:val="26"/>
        </w:rPr>
        <w:t xml:space="preserve">Graphique 1 : </w:t>
      </w:r>
      <w:r w:rsidR="00FF2F8F">
        <w:rPr>
          <w:rFonts w:asciiTheme="majorBidi" w:hAnsiTheme="majorBidi" w:cstheme="majorBidi"/>
          <w:b/>
          <w:bCs/>
          <w:sz w:val="26"/>
          <w:szCs w:val="26"/>
        </w:rPr>
        <w:t>T</w:t>
      </w:r>
      <w:r w:rsidRPr="004E3228">
        <w:rPr>
          <w:rFonts w:asciiTheme="majorBidi" w:hAnsiTheme="majorBidi" w:cstheme="majorBidi"/>
          <w:b/>
          <w:bCs/>
          <w:sz w:val="26"/>
          <w:szCs w:val="26"/>
        </w:rPr>
        <w:t xml:space="preserve">aux de prévalence de la violence </w:t>
      </w:r>
      <w:r w:rsidR="00D415EB" w:rsidRPr="004E3228">
        <w:rPr>
          <w:rFonts w:asciiTheme="majorBidi" w:hAnsiTheme="majorBidi" w:cstheme="majorBidi"/>
          <w:b/>
          <w:bCs/>
          <w:sz w:val="26"/>
          <w:szCs w:val="26"/>
        </w:rPr>
        <w:t>par forme</w:t>
      </w:r>
      <w:r w:rsidR="00D415EB">
        <w:rPr>
          <w:rFonts w:asciiTheme="majorBidi" w:hAnsiTheme="majorBidi" w:cstheme="majorBidi"/>
          <w:b/>
          <w:bCs/>
          <w:sz w:val="26"/>
          <w:szCs w:val="26"/>
        </w:rPr>
        <w:t>s</w:t>
      </w:r>
      <w:r w:rsidR="00D415EB" w:rsidRPr="004E3228">
        <w:rPr>
          <w:rFonts w:asciiTheme="majorBidi" w:hAnsiTheme="majorBidi" w:cstheme="majorBidi"/>
          <w:b/>
          <w:bCs/>
          <w:sz w:val="26"/>
          <w:szCs w:val="26"/>
        </w:rPr>
        <w:t xml:space="preserve"> et par espace</w:t>
      </w:r>
      <w:r w:rsidR="00D415EB">
        <w:rPr>
          <w:rFonts w:asciiTheme="majorBidi" w:hAnsiTheme="majorBidi" w:cstheme="majorBidi"/>
          <w:b/>
          <w:bCs/>
          <w:sz w:val="26"/>
          <w:szCs w:val="26"/>
        </w:rPr>
        <w:t>s</w:t>
      </w:r>
      <w:r w:rsidR="00D415EB" w:rsidRPr="004E3228">
        <w:rPr>
          <w:rFonts w:asciiTheme="majorBidi" w:hAnsiTheme="majorBidi" w:cstheme="majorBidi"/>
          <w:b/>
          <w:bCs/>
          <w:sz w:val="26"/>
          <w:szCs w:val="26"/>
        </w:rPr>
        <w:t xml:space="preserve"> de vie </w:t>
      </w:r>
      <w:r w:rsidR="00D415EB">
        <w:rPr>
          <w:rFonts w:asciiTheme="majorBidi" w:hAnsiTheme="majorBidi" w:cstheme="majorBidi"/>
          <w:b/>
          <w:bCs/>
          <w:sz w:val="26"/>
          <w:szCs w:val="26"/>
        </w:rPr>
        <w:t>selon le sexe</w:t>
      </w:r>
    </w:p>
    <w:p w:rsidR="00612717" w:rsidRPr="004E3228" w:rsidRDefault="00612717" w:rsidP="004E3228">
      <w:pPr>
        <w:spacing w:after="120" w:line="276" w:lineRule="auto"/>
        <w:jc w:val="both"/>
        <w:rPr>
          <w:rFonts w:asciiTheme="majorBidi" w:hAnsiTheme="majorBidi" w:cstheme="majorBidi"/>
          <w:b/>
          <w:sz w:val="26"/>
          <w:szCs w:val="26"/>
        </w:rPr>
      </w:pPr>
      <w:r w:rsidRPr="004E3228">
        <w:rPr>
          <w:rFonts w:asciiTheme="majorBidi" w:hAnsiTheme="majorBidi" w:cstheme="majorBidi"/>
          <w:b/>
          <w:bCs/>
          <w:noProof/>
          <w:sz w:val="26"/>
          <w:szCs w:val="26"/>
        </w:rPr>
        <w:drawing>
          <wp:inline distT="0" distB="0" distL="0" distR="0">
            <wp:extent cx="5772400" cy="2911495"/>
            <wp:effectExtent l="19050" t="0" r="18800" b="3155"/>
            <wp:docPr id="72" name="Graphique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B4A14" w:rsidRDefault="00CB4A14" w:rsidP="00CB4A14">
      <w:pPr>
        <w:tabs>
          <w:tab w:val="left" w:pos="426"/>
        </w:tabs>
        <w:spacing w:before="240" w:after="120" w:line="276" w:lineRule="auto"/>
        <w:jc w:val="both"/>
        <w:rPr>
          <w:rFonts w:asciiTheme="majorBidi" w:hAnsiTheme="majorBidi" w:cstheme="majorBidi"/>
          <w:b/>
          <w:sz w:val="20"/>
          <w:szCs w:val="20"/>
        </w:rPr>
      </w:pPr>
      <w:r w:rsidRPr="00CB4A14">
        <w:rPr>
          <w:rFonts w:asciiTheme="majorBidi" w:hAnsiTheme="majorBidi" w:cstheme="majorBidi"/>
          <w:b/>
          <w:sz w:val="20"/>
          <w:szCs w:val="20"/>
        </w:rPr>
        <w:t xml:space="preserve">Source : HCP, Enquête Nationale sur la Violence à l’encontre des femmes et des hommes 2019 </w:t>
      </w:r>
    </w:p>
    <w:p w:rsidR="001114B7" w:rsidRPr="006E5127" w:rsidRDefault="001114B7" w:rsidP="006E5127">
      <w:pPr>
        <w:spacing w:after="120" w:line="276" w:lineRule="auto"/>
        <w:jc w:val="both"/>
        <w:rPr>
          <w:rFonts w:asciiTheme="majorBidi" w:hAnsiTheme="majorBidi" w:cstheme="majorBidi"/>
          <w:b/>
          <w:i/>
          <w:color w:val="548DD4"/>
          <w:sz w:val="12"/>
          <w:szCs w:val="12"/>
        </w:rPr>
      </w:pPr>
    </w:p>
    <w:p w:rsidR="00C90EDE" w:rsidRPr="00C90EDE" w:rsidRDefault="00C90EDE" w:rsidP="00B95A18">
      <w:pPr>
        <w:spacing w:line="276" w:lineRule="auto"/>
        <w:jc w:val="both"/>
        <w:rPr>
          <w:rFonts w:asciiTheme="majorBidi" w:hAnsiTheme="majorBidi" w:cstheme="majorBidi"/>
          <w:b/>
          <w:i/>
          <w:color w:val="548DD4"/>
          <w:sz w:val="2"/>
          <w:szCs w:val="2"/>
        </w:rPr>
      </w:pPr>
    </w:p>
    <w:p w:rsidR="00C90EDE" w:rsidRPr="007E5DAF" w:rsidRDefault="00C90EDE" w:rsidP="00B95A18">
      <w:pPr>
        <w:spacing w:line="276" w:lineRule="auto"/>
        <w:jc w:val="both"/>
        <w:rPr>
          <w:rFonts w:asciiTheme="majorBidi" w:hAnsiTheme="majorBidi" w:cstheme="majorBidi"/>
          <w:b/>
          <w:i/>
          <w:color w:val="548DD4"/>
          <w:sz w:val="4"/>
          <w:szCs w:val="4"/>
        </w:rPr>
      </w:pPr>
    </w:p>
    <w:p w:rsidR="0078116D" w:rsidRPr="00B95A18" w:rsidRDefault="0078116D" w:rsidP="002A20D8">
      <w:pPr>
        <w:spacing w:after="120" w:line="276" w:lineRule="auto"/>
        <w:jc w:val="both"/>
        <w:rPr>
          <w:rFonts w:asciiTheme="majorBidi" w:hAnsiTheme="majorBidi" w:cstheme="majorBidi"/>
          <w:b/>
          <w:i/>
          <w:color w:val="548DD4"/>
          <w:sz w:val="28"/>
          <w:szCs w:val="28"/>
        </w:rPr>
      </w:pPr>
      <w:r w:rsidRPr="00B95A18">
        <w:rPr>
          <w:rFonts w:asciiTheme="majorBidi" w:hAnsiTheme="majorBidi" w:cstheme="majorBidi"/>
          <w:b/>
          <w:i/>
          <w:color w:val="548DD4"/>
          <w:sz w:val="28"/>
          <w:szCs w:val="28"/>
        </w:rPr>
        <w:t xml:space="preserve">La quasi-totalité des violences conjugales subies par les </w:t>
      </w:r>
      <w:r w:rsidR="00D415EB" w:rsidRPr="00B95A18">
        <w:rPr>
          <w:rFonts w:asciiTheme="majorBidi" w:hAnsiTheme="majorBidi" w:cstheme="majorBidi"/>
          <w:b/>
          <w:i/>
          <w:color w:val="548DD4"/>
          <w:sz w:val="28"/>
          <w:szCs w:val="28"/>
        </w:rPr>
        <w:t>hommes sont</w:t>
      </w:r>
      <w:r w:rsidRPr="00B95A18">
        <w:rPr>
          <w:rFonts w:asciiTheme="majorBidi" w:hAnsiTheme="majorBidi" w:cstheme="majorBidi"/>
          <w:b/>
          <w:i/>
          <w:color w:val="548DD4"/>
          <w:sz w:val="28"/>
          <w:szCs w:val="28"/>
        </w:rPr>
        <w:t xml:space="preserve"> de forme psychologique</w:t>
      </w:r>
      <w:r w:rsidR="000C6BE5">
        <w:rPr>
          <w:rFonts w:asciiTheme="majorBidi" w:hAnsiTheme="majorBidi" w:cstheme="majorBidi"/>
          <w:b/>
          <w:i/>
          <w:color w:val="548DD4"/>
          <w:sz w:val="28"/>
          <w:szCs w:val="28"/>
        </w:rPr>
        <w:t xml:space="preserve"> </w:t>
      </w:r>
      <w:r w:rsidR="00D332A7" w:rsidRPr="00B95A18">
        <w:rPr>
          <w:rFonts w:asciiTheme="majorBidi" w:hAnsiTheme="majorBidi" w:cstheme="majorBidi"/>
          <w:b/>
          <w:i/>
          <w:color w:val="548DD4"/>
          <w:sz w:val="28"/>
          <w:szCs w:val="28"/>
        </w:rPr>
        <w:t>(94%)</w:t>
      </w:r>
    </w:p>
    <w:p w:rsidR="00612717" w:rsidRDefault="00612717" w:rsidP="00187700">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Des di</w:t>
      </w:r>
      <w:r w:rsidR="003B3587">
        <w:rPr>
          <w:rFonts w:asciiTheme="majorBidi" w:hAnsiTheme="majorBidi" w:cstheme="majorBidi"/>
          <w:sz w:val="26"/>
          <w:szCs w:val="26"/>
        </w:rPr>
        <w:t>fférences</w:t>
      </w:r>
      <w:r w:rsidRPr="004E3228">
        <w:rPr>
          <w:rFonts w:asciiTheme="majorBidi" w:hAnsiTheme="majorBidi" w:cstheme="majorBidi"/>
          <w:sz w:val="26"/>
          <w:szCs w:val="26"/>
        </w:rPr>
        <w:t xml:space="preserve"> importantes sont constatées, entre les formes de violence subies par les femmes et les hommes au sein de chaque espace de vie. Dans le cadre conjugal, si la violence subie par les hommes se manifeste surtout sous sa forme psychologique représentant 94%, celle à l’encontre des femmes se répartit sous différentes formes ; 69% psychologique, 12% économique, 11% physique et 8% sexuelle. </w:t>
      </w:r>
    </w:p>
    <w:p w:rsidR="00612717" w:rsidRPr="004E3228" w:rsidRDefault="00612717" w:rsidP="008B47A6">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lastRenderedPageBreak/>
        <w:t>La violence psychologique qui occupe la première position dans tous les espaces de vie, représente</w:t>
      </w:r>
      <w:r w:rsidR="00B73050" w:rsidRPr="004E3228">
        <w:rPr>
          <w:rFonts w:asciiTheme="majorBidi" w:hAnsiTheme="majorBidi" w:cstheme="majorBidi"/>
          <w:sz w:val="26"/>
          <w:szCs w:val="26"/>
        </w:rPr>
        <w:t>, dans</w:t>
      </w:r>
      <w:r w:rsidRPr="004E3228">
        <w:rPr>
          <w:rFonts w:asciiTheme="majorBidi" w:hAnsiTheme="majorBidi" w:cstheme="majorBidi"/>
          <w:sz w:val="26"/>
          <w:szCs w:val="26"/>
        </w:rPr>
        <w:t xml:space="preserve"> le contexte familial, </w:t>
      </w:r>
      <w:r w:rsidR="00187700" w:rsidRPr="004E3228">
        <w:rPr>
          <w:rFonts w:asciiTheme="majorBidi" w:hAnsiTheme="majorBidi" w:cstheme="majorBidi"/>
          <w:sz w:val="26"/>
          <w:szCs w:val="26"/>
        </w:rPr>
        <w:t>près des trois quarts</w:t>
      </w:r>
      <w:r w:rsidRPr="004E3228">
        <w:rPr>
          <w:rFonts w:asciiTheme="majorBidi" w:hAnsiTheme="majorBidi" w:cstheme="majorBidi"/>
          <w:sz w:val="26"/>
          <w:szCs w:val="26"/>
        </w:rPr>
        <w:t xml:space="preserve"> des violences subies, aussi bien par les femmes que par les hommes. La répartition des autres formes de violence est contrastée selon le sexe. En effet, pour les femmes, la deuxième position dans </w:t>
      </w:r>
      <w:r w:rsidR="008B47A6">
        <w:rPr>
          <w:rFonts w:asciiTheme="majorBidi" w:hAnsiTheme="majorBidi" w:cstheme="majorBidi"/>
          <w:sz w:val="26"/>
          <w:szCs w:val="26"/>
        </w:rPr>
        <w:t>ce</w:t>
      </w:r>
      <w:r w:rsidRPr="004E3228">
        <w:rPr>
          <w:rFonts w:asciiTheme="majorBidi" w:hAnsiTheme="majorBidi" w:cstheme="majorBidi"/>
          <w:sz w:val="26"/>
          <w:szCs w:val="26"/>
        </w:rPr>
        <w:t xml:space="preserve"> contexte</w:t>
      </w:r>
      <w:r w:rsidR="00BC619F">
        <w:rPr>
          <w:rFonts w:asciiTheme="majorBidi" w:hAnsiTheme="majorBidi" w:cstheme="majorBidi"/>
          <w:sz w:val="26"/>
          <w:szCs w:val="26"/>
        </w:rPr>
        <w:t xml:space="preserve"> </w:t>
      </w:r>
      <w:r w:rsidRPr="004E3228">
        <w:rPr>
          <w:rFonts w:asciiTheme="majorBidi" w:hAnsiTheme="majorBidi" w:cstheme="majorBidi"/>
          <w:sz w:val="26"/>
          <w:szCs w:val="26"/>
        </w:rPr>
        <w:t xml:space="preserve">concerne la violence économique avec 17% (contre 6% pour les hommes). Pour les hommes, </w:t>
      </w:r>
      <w:r w:rsidR="008B47A6">
        <w:rPr>
          <w:rFonts w:asciiTheme="majorBidi" w:hAnsiTheme="majorBidi" w:cstheme="majorBidi"/>
          <w:sz w:val="26"/>
          <w:szCs w:val="26"/>
        </w:rPr>
        <w:t xml:space="preserve">cette position est attribuée à </w:t>
      </w:r>
      <w:r w:rsidRPr="004E3228">
        <w:rPr>
          <w:rFonts w:asciiTheme="majorBidi" w:hAnsiTheme="majorBidi" w:cstheme="majorBidi"/>
          <w:sz w:val="26"/>
          <w:szCs w:val="26"/>
        </w:rPr>
        <w:t>la violence physique avec 19% (contre 7% pour les femmes)</w:t>
      </w:r>
      <w:r w:rsidR="00CB4A14">
        <w:rPr>
          <w:rFonts w:asciiTheme="majorBidi" w:hAnsiTheme="majorBidi" w:cstheme="majorBidi"/>
          <w:sz w:val="26"/>
          <w:szCs w:val="26"/>
        </w:rPr>
        <w:t>.</w:t>
      </w:r>
    </w:p>
    <w:p w:rsidR="00612717" w:rsidRPr="004E3228" w:rsidRDefault="00612717" w:rsidP="004E3228">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Pour les autres contextes de vie, la part de la violence sexuelle représente 21% des violences perpétrées à l’encontre des femmes dans les lieux du travail (contre 2% pour les hommes), 37% dans les établissements d’enseignement et de </w:t>
      </w:r>
      <w:r w:rsidR="00D415EB" w:rsidRPr="004E3228">
        <w:rPr>
          <w:rFonts w:asciiTheme="majorBidi" w:hAnsiTheme="majorBidi" w:cstheme="majorBidi"/>
          <w:sz w:val="26"/>
          <w:szCs w:val="26"/>
        </w:rPr>
        <w:t>formation (</w:t>
      </w:r>
      <w:r w:rsidRPr="004E3228">
        <w:rPr>
          <w:rFonts w:asciiTheme="majorBidi" w:hAnsiTheme="majorBidi" w:cstheme="majorBidi"/>
          <w:sz w:val="26"/>
          <w:szCs w:val="26"/>
        </w:rPr>
        <w:t>contre 14% pour les hommes) et 42% dans les lieux publics (contre 8% pour les hommes).</w:t>
      </w:r>
    </w:p>
    <w:p w:rsidR="00612717" w:rsidRPr="00CB4A14" w:rsidRDefault="00612717" w:rsidP="00D415EB">
      <w:pPr>
        <w:spacing w:after="120" w:line="276" w:lineRule="auto"/>
        <w:jc w:val="both"/>
        <w:rPr>
          <w:rFonts w:asciiTheme="majorBidi" w:hAnsiTheme="majorBidi" w:cstheme="majorBidi"/>
          <w:b/>
          <w:bCs/>
        </w:rPr>
      </w:pPr>
      <w:r w:rsidRPr="00CB4A14">
        <w:rPr>
          <w:rFonts w:asciiTheme="majorBidi" w:hAnsiTheme="majorBidi" w:cstheme="majorBidi"/>
          <w:b/>
          <w:bCs/>
        </w:rPr>
        <w:t>Tableau</w:t>
      </w:r>
      <w:r w:rsidR="00C90EDE">
        <w:rPr>
          <w:rFonts w:asciiTheme="majorBidi" w:hAnsiTheme="majorBidi" w:cstheme="majorBidi"/>
          <w:b/>
          <w:bCs/>
        </w:rPr>
        <w:t xml:space="preserve"> 1</w:t>
      </w:r>
      <w:r w:rsidR="00FF2F8F">
        <w:rPr>
          <w:rFonts w:asciiTheme="majorBidi" w:hAnsiTheme="majorBidi" w:cstheme="majorBidi"/>
          <w:b/>
          <w:bCs/>
        </w:rPr>
        <w:t xml:space="preserve"> : </w:t>
      </w:r>
      <w:r w:rsidR="00D415EB">
        <w:rPr>
          <w:rFonts w:asciiTheme="majorBidi" w:hAnsiTheme="majorBidi" w:cstheme="majorBidi"/>
          <w:b/>
          <w:bCs/>
        </w:rPr>
        <w:t>P</w:t>
      </w:r>
      <w:r w:rsidR="00D415EB" w:rsidRPr="00CB4A14">
        <w:rPr>
          <w:rFonts w:asciiTheme="majorBidi" w:hAnsiTheme="majorBidi" w:cstheme="majorBidi"/>
          <w:b/>
          <w:bCs/>
        </w:rPr>
        <w:t>arts des formes de violence dans l’ensemble des violences par espace de vie selon le sexe (en %)</w:t>
      </w:r>
    </w:p>
    <w:tbl>
      <w:tblPr>
        <w:tblW w:w="8596" w:type="dxa"/>
        <w:tblInd w:w="57" w:type="dxa"/>
        <w:tblCellMar>
          <w:left w:w="70" w:type="dxa"/>
          <w:right w:w="70" w:type="dxa"/>
        </w:tblCellMar>
        <w:tblLook w:val="04A0"/>
      </w:tblPr>
      <w:tblGrid>
        <w:gridCol w:w="5035"/>
        <w:gridCol w:w="1619"/>
        <w:gridCol w:w="943"/>
        <w:gridCol w:w="999"/>
      </w:tblGrid>
      <w:tr w:rsidR="00612717" w:rsidRPr="004E3228" w:rsidTr="00CB4A14">
        <w:trPr>
          <w:trHeight w:val="296"/>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 Contextes et formes de violence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center"/>
              <w:rPr>
                <w:rFonts w:asciiTheme="majorBidi" w:hAnsiTheme="majorBidi" w:cstheme="majorBidi"/>
                <w:b/>
                <w:bCs/>
                <w:sz w:val="22"/>
                <w:szCs w:val="22"/>
              </w:rPr>
            </w:pPr>
            <w:r w:rsidRPr="00345FBA">
              <w:rPr>
                <w:rFonts w:asciiTheme="majorBidi" w:hAnsiTheme="majorBidi" w:cstheme="majorBidi"/>
                <w:b/>
                <w:bCs/>
                <w:sz w:val="22"/>
                <w:szCs w:val="22"/>
              </w:rPr>
              <w:t>Femme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center"/>
              <w:rPr>
                <w:rFonts w:asciiTheme="majorBidi" w:hAnsiTheme="majorBidi" w:cstheme="majorBidi"/>
                <w:b/>
                <w:bCs/>
                <w:sz w:val="22"/>
                <w:szCs w:val="22"/>
              </w:rPr>
            </w:pPr>
            <w:r w:rsidRPr="00345FBA">
              <w:rPr>
                <w:rFonts w:asciiTheme="majorBidi" w:hAnsiTheme="majorBidi" w:cstheme="majorBidi"/>
                <w:b/>
                <w:bCs/>
                <w:sz w:val="22"/>
                <w:szCs w:val="22"/>
              </w:rPr>
              <w:t>Homme</w:t>
            </w:r>
          </w:p>
        </w:tc>
      </w:tr>
      <w:tr w:rsidR="00612717" w:rsidRPr="004E3228" w:rsidTr="007E5DAF">
        <w:trPr>
          <w:trHeight w:val="29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2717" w:rsidRPr="00345FBA" w:rsidRDefault="00612717" w:rsidP="004E3228">
            <w:pPr>
              <w:spacing w:line="276" w:lineRule="auto"/>
              <w:rPr>
                <w:rFonts w:asciiTheme="majorBidi" w:hAnsiTheme="majorBidi" w:cstheme="majorBidi"/>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2717" w:rsidRPr="00345FBA" w:rsidRDefault="00612717" w:rsidP="004E3228">
            <w:pPr>
              <w:spacing w:line="276" w:lineRule="auto"/>
              <w:rPr>
                <w:rFonts w:asciiTheme="majorBidi" w:hAnsiTheme="majorBidi" w:cstheme="majorBid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2717" w:rsidRPr="00345FBA" w:rsidRDefault="00612717" w:rsidP="004E3228">
            <w:pPr>
              <w:spacing w:line="276" w:lineRule="auto"/>
              <w:rPr>
                <w:rFonts w:asciiTheme="majorBidi" w:hAnsiTheme="majorBidi" w:cstheme="majorBidi"/>
                <w:sz w:val="22"/>
                <w:szCs w:val="22"/>
              </w:rPr>
            </w:pPr>
          </w:p>
        </w:tc>
      </w:tr>
      <w:tr w:rsidR="00CB4A14" w:rsidRPr="004E3228" w:rsidTr="00CB4A14">
        <w:trPr>
          <w:trHeight w:val="189"/>
        </w:trPr>
        <w:tc>
          <w:tcPr>
            <w:tcW w:w="0" w:type="auto"/>
            <w:vMerge w:val="restart"/>
            <w:tcBorders>
              <w:top w:val="nil"/>
              <w:left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Conjugal</w:t>
            </w: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Psychologique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69,7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93,9 </w:t>
            </w:r>
          </w:p>
        </w:tc>
      </w:tr>
      <w:tr w:rsidR="00CB4A14" w:rsidRPr="004E3228" w:rsidTr="00CB4A14">
        <w:trPr>
          <w:trHeight w:val="189"/>
        </w:trPr>
        <w:tc>
          <w:tcPr>
            <w:tcW w:w="0" w:type="auto"/>
            <w:vMerge/>
            <w:tcBorders>
              <w:left w:val="single" w:sz="4" w:space="0" w:color="auto"/>
              <w:right w:val="single" w:sz="4" w:space="0" w:color="auto"/>
            </w:tcBorders>
            <w:vAlign w:val="center"/>
            <w:hideMark/>
          </w:tcPr>
          <w:p w:rsidR="00612717" w:rsidRPr="00345FBA" w:rsidRDefault="00612717" w:rsidP="004E3228">
            <w:pPr>
              <w:spacing w:line="276" w:lineRule="auto"/>
              <w:rPr>
                <w:rFonts w:asciiTheme="majorBidi" w:hAnsiTheme="majorBidi" w:cstheme="majorBid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Physique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11,0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2,9 </w:t>
            </w:r>
          </w:p>
        </w:tc>
      </w:tr>
      <w:tr w:rsidR="00CB4A14" w:rsidRPr="004E3228" w:rsidTr="00CB4A14">
        <w:trPr>
          <w:trHeight w:val="189"/>
        </w:trPr>
        <w:tc>
          <w:tcPr>
            <w:tcW w:w="0" w:type="auto"/>
            <w:vMerge/>
            <w:tcBorders>
              <w:left w:val="single" w:sz="4" w:space="0" w:color="auto"/>
              <w:right w:val="single" w:sz="4" w:space="0" w:color="auto"/>
            </w:tcBorders>
            <w:vAlign w:val="center"/>
            <w:hideMark/>
          </w:tcPr>
          <w:p w:rsidR="00612717" w:rsidRPr="00345FBA" w:rsidRDefault="00612717" w:rsidP="004E3228">
            <w:pPr>
              <w:spacing w:line="276" w:lineRule="auto"/>
              <w:rPr>
                <w:rFonts w:asciiTheme="majorBidi" w:hAnsiTheme="majorBidi" w:cstheme="majorBid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Sexuelle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7,5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1,6 </w:t>
            </w:r>
          </w:p>
        </w:tc>
      </w:tr>
      <w:tr w:rsidR="00CB4A14" w:rsidRPr="004E3228" w:rsidTr="00CB4A14">
        <w:trPr>
          <w:trHeight w:val="189"/>
        </w:trPr>
        <w:tc>
          <w:tcPr>
            <w:tcW w:w="0" w:type="auto"/>
            <w:vMerge/>
            <w:tcBorders>
              <w:left w:val="single" w:sz="4" w:space="0" w:color="auto"/>
              <w:right w:val="single" w:sz="4" w:space="0" w:color="auto"/>
            </w:tcBorders>
            <w:vAlign w:val="center"/>
            <w:hideMark/>
          </w:tcPr>
          <w:p w:rsidR="00612717" w:rsidRPr="00345FBA" w:rsidRDefault="00612717" w:rsidP="004E3228">
            <w:pPr>
              <w:spacing w:line="276" w:lineRule="auto"/>
              <w:rPr>
                <w:rFonts w:asciiTheme="majorBidi" w:hAnsiTheme="majorBidi" w:cstheme="majorBid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Economique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11,8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1,5 </w:t>
            </w:r>
          </w:p>
        </w:tc>
      </w:tr>
      <w:tr w:rsidR="00CB4A14" w:rsidRPr="004E3228" w:rsidTr="00CB4A14">
        <w:trPr>
          <w:trHeight w:val="189"/>
        </w:trPr>
        <w:tc>
          <w:tcPr>
            <w:tcW w:w="0" w:type="auto"/>
            <w:vMerge/>
            <w:tcBorders>
              <w:left w:val="single" w:sz="4" w:space="0" w:color="auto"/>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12717" w:rsidRPr="00345FBA" w:rsidRDefault="00612717" w:rsidP="004E3228">
            <w:pPr>
              <w:spacing w:line="276" w:lineRule="auto"/>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 xml:space="preserve">100,0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 xml:space="preserve">100,0 </w:t>
            </w:r>
          </w:p>
        </w:tc>
      </w:tr>
      <w:tr w:rsidR="00CB4A14" w:rsidRPr="004E3228" w:rsidTr="00CB4A14">
        <w:trPr>
          <w:trHeight w:val="189"/>
        </w:trPr>
        <w:tc>
          <w:tcPr>
            <w:tcW w:w="0" w:type="auto"/>
            <w:vMerge w:val="restart"/>
            <w:tcBorders>
              <w:top w:val="nil"/>
              <w:left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 xml:space="preserve"> Familial</w:t>
            </w: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Psychologique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73,5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73,6 </w:t>
            </w:r>
          </w:p>
        </w:tc>
      </w:tr>
      <w:tr w:rsidR="00CB4A14" w:rsidRPr="004E3228" w:rsidTr="00CB4A14">
        <w:trPr>
          <w:trHeight w:val="189"/>
        </w:trPr>
        <w:tc>
          <w:tcPr>
            <w:tcW w:w="0" w:type="auto"/>
            <w:vMerge/>
            <w:tcBorders>
              <w:left w:val="single" w:sz="4" w:space="0" w:color="auto"/>
              <w:right w:val="single" w:sz="4" w:space="0" w:color="auto"/>
            </w:tcBorders>
            <w:vAlign w:val="center"/>
            <w:hideMark/>
          </w:tcPr>
          <w:p w:rsidR="00612717" w:rsidRPr="00345FBA" w:rsidRDefault="00612717" w:rsidP="004E3228">
            <w:pPr>
              <w:spacing w:line="276" w:lineRule="auto"/>
              <w:rPr>
                <w:rFonts w:asciiTheme="majorBidi" w:hAnsiTheme="majorBidi" w:cstheme="majorBid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Physique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7,2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19,1 </w:t>
            </w:r>
          </w:p>
        </w:tc>
      </w:tr>
      <w:tr w:rsidR="00CB4A14" w:rsidRPr="004E3228" w:rsidTr="00CB4A14">
        <w:trPr>
          <w:trHeight w:val="189"/>
        </w:trPr>
        <w:tc>
          <w:tcPr>
            <w:tcW w:w="0" w:type="auto"/>
            <w:vMerge/>
            <w:tcBorders>
              <w:left w:val="single" w:sz="4" w:space="0" w:color="auto"/>
              <w:right w:val="single" w:sz="4" w:space="0" w:color="auto"/>
            </w:tcBorders>
            <w:vAlign w:val="center"/>
            <w:hideMark/>
          </w:tcPr>
          <w:p w:rsidR="00612717" w:rsidRPr="00345FBA" w:rsidRDefault="00612717" w:rsidP="004E3228">
            <w:pPr>
              <w:spacing w:line="276" w:lineRule="auto"/>
              <w:rPr>
                <w:rFonts w:asciiTheme="majorBidi" w:hAnsiTheme="majorBidi" w:cstheme="majorBid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Sexuelle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1,9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1,2 </w:t>
            </w:r>
          </w:p>
        </w:tc>
      </w:tr>
      <w:tr w:rsidR="00CB4A14" w:rsidRPr="004E3228" w:rsidTr="00CB4A14">
        <w:trPr>
          <w:trHeight w:val="189"/>
        </w:trPr>
        <w:tc>
          <w:tcPr>
            <w:tcW w:w="0" w:type="auto"/>
            <w:vMerge/>
            <w:tcBorders>
              <w:left w:val="single" w:sz="4" w:space="0" w:color="auto"/>
              <w:right w:val="single" w:sz="4" w:space="0" w:color="auto"/>
            </w:tcBorders>
            <w:vAlign w:val="center"/>
            <w:hideMark/>
          </w:tcPr>
          <w:p w:rsidR="00612717" w:rsidRPr="00345FBA" w:rsidRDefault="00612717" w:rsidP="004E3228">
            <w:pPr>
              <w:spacing w:line="276" w:lineRule="auto"/>
              <w:rPr>
                <w:rFonts w:asciiTheme="majorBidi" w:hAnsiTheme="majorBidi" w:cstheme="majorBid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Economique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17,4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6,1 </w:t>
            </w:r>
          </w:p>
        </w:tc>
      </w:tr>
      <w:tr w:rsidR="00CB4A14" w:rsidRPr="004E3228" w:rsidTr="00CB4A14">
        <w:trPr>
          <w:trHeight w:val="189"/>
        </w:trPr>
        <w:tc>
          <w:tcPr>
            <w:tcW w:w="0" w:type="auto"/>
            <w:vMerge/>
            <w:tcBorders>
              <w:left w:val="single" w:sz="4" w:space="0" w:color="auto"/>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12717" w:rsidRPr="00345FBA" w:rsidRDefault="00612717" w:rsidP="004E3228">
            <w:pPr>
              <w:spacing w:line="276" w:lineRule="auto"/>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 xml:space="preserve">100,0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 xml:space="preserve">100,0 </w:t>
            </w:r>
          </w:p>
        </w:tc>
      </w:tr>
      <w:tr w:rsidR="00CB4A14" w:rsidRPr="004E3228" w:rsidTr="00CB4A14">
        <w:trPr>
          <w:trHeight w:val="189"/>
        </w:trPr>
        <w:tc>
          <w:tcPr>
            <w:tcW w:w="0" w:type="auto"/>
            <w:vMerge w:val="restart"/>
            <w:tcBorders>
              <w:top w:val="nil"/>
              <w:left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Lieu de travail</w:t>
            </w: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Psychologique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73,5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83,0 </w:t>
            </w:r>
          </w:p>
        </w:tc>
      </w:tr>
      <w:tr w:rsidR="00CB4A14" w:rsidRPr="004E3228" w:rsidTr="00CB4A14">
        <w:trPr>
          <w:trHeight w:val="189"/>
        </w:trPr>
        <w:tc>
          <w:tcPr>
            <w:tcW w:w="0" w:type="auto"/>
            <w:vMerge/>
            <w:tcBorders>
              <w:left w:val="single" w:sz="4" w:space="0" w:color="auto"/>
              <w:right w:val="single" w:sz="4" w:space="0" w:color="auto"/>
            </w:tcBorders>
            <w:vAlign w:val="center"/>
            <w:hideMark/>
          </w:tcPr>
          <w:p w:rsidR="00612717" w:rsidRPr="00345FBA" w:rsidRDefault="00612717" w:rsidP="004E3228">
            <w:pPr>
              <w:spacing w:line="276" w:lineRule="auto"/>
              <w:rPr>
                <w:rFonts w:asciiTheme="majorBidi" w:hAnsiTheme="majorBidi" w:cstheme="majorBid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Physique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5,7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14,8 </w:t>
            </w:r>
          </w:p>
        </w:tc>
      </w:tr>
      <w:tr w:rsidR="00CB4A14" w:rsidRPr="004E3228" w:rsidTr="00CB4A14">
        <w:trPr>
          <w:trHeight w:val="189"/>
        </w:trPr>
        <w:tc>
          <w:tcPr>
            <w:tcW w:w="0" w:type="auto"/>
            <w:vMerge/>
            <w:tcBorders>
              <w:left w:val="single" w:sz="4" w:space="0" w:color="auto"/>
              <w:right w:val="single" w:sz="4" w:space="0" w:color="auto"/>
            </w:tcBorders>
            <w:vAlign w:val="center"/>
            <w:hideMark/>
          </w:tcPr>
          <w:p w:rsidR="00612717" w:rsidRPr="00345FBA" w:rsidRDefault="00612717" w:rsidP="004E3228">
            <w:pPr>
              <w:spacing w:line="276" w:lineRule="auto"/>
              <w:rPr>
                <w:rFonts w:asciiTheme="majorBidi" w:hAnsiTheme="majorBidi" w:cstheme="majorBid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Sexuelle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20,8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2,2 </w:t>
            </w:r>
          </w:p>
        </w:tc>
      </w:tr>
      <w:tr w:rsidR="00CB4A14" w:rsidRPr="004E3228" w:rsidTr="00CB4A14">
        <w:trPr>
          <w:trHeight w:val="189"/>
        </w:trPr>
        <w:tc>
          <w:tcPr>
            <w:tcW w:w="0" w:type="auto"/>
            <w:vMerge/>
            <w:tcBorders>
              <w:left w:val="single" w:sz="4" w:space="0" w:color="auto"/>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12717" w:rsidRPr="00345FBA" w:rsidRDefault="00612717" w:rsidP="004E3228">
            <w:pPr>
              <w:spacing w:line="276" w:lineRule="auto"/>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 xml:space="preserve">100,0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 xml:space="preserve">100,0 </w:t>
            </w:r>
          </w:p>
        </w:tc>
      </w:tr>
      <w:tr w:rsidR="00CB4A14" w:rsidRPr="004E3228" w:rsidTr="00CB4A14">
        <w:trPr>
          <w:trHeight w:val="189"/>
        </w:trPr>
        <w:tc>
          <w:tcPr>
            <w:tcW w:w="0" w:type="auto"/>
            <w:vMerge w:val="restart"/>
            <w:tcBorders>
              <w:top w:val="nil"/>
              <w:left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Etablissement d'enseignement et de formation</w:t>
            </w: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Psychologique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51,7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48,5 </w:t>
            </w:r>
          </w:p>
        </w:tc>
      </w:tr>
      <w:tr w:rsidR="00CB4A14" w:rsidRPr="004E3228" w:rsidTr="00CB4A14">
        <w:trPr>
          <w:trHeight w:val="189"/>
        </w:trPr>
        <w:tc>
          <w:tcPr>
            <w:tcW w:w="0" w:type="auto"/>
            <w:vMerge/>
            <w:tcBorders>
              <w:left w:val="single" w:sz="4" w:space="0" w:color="auto"/>
              <w:right w:val="single" w:sz="4" w:space="0" w:color="auto"/>
            </w:tcBorders>
            <w:vAlign w:val="center"/>
            <w:hideMark/>
          </w:tcPr>
          <w:p w:rsidR="00612717" w:rsidRPr="00345FBA" w:rsidRDefault="00612717" w:rsidP="004E3228">
            <w:pPr>
              <w:spacing w:line="276" w:lineRule="auto"/>
              <w:rPr>
                <w:rFonts w:asciiTheme="majorBidi" w:hAnsiTheme="majorBidi" w:cstheme="majorBid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Physique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11,4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37,3 </w:t>
            </w:r>
          </w:p>
        </w:tc>
      </w:tr>
      <w:tr w:rsidR="00CB4A14" w:rsidRPr="004E3228" w:rsidTr="00CB4A14">
        <w:trPr>
          <w:trHeight w:val="189"/>
        </w:trPr>
        <w:tc>
          <w:tcPr>
            <w:tcW w:w="0" w:type="auto"/>
            <w:vMerge/>
            <w:tcBorders>
              <w:left w:val="single" w:sz="4" w:space="0" w:color="auto"/>
              <w:right w:val="single" w:sz="4" w:space="0" w:color="auto"/>
            </w:tcBorders>
            <w:vAlign w:val="center"/>
            <w:hideMark/>
          </w:tcPr>
          <w:p w:rsidR="00612717" w:rsidRPr="00345FBA" w:rsidRDefault="00612717" w:rsidP="004E3228">
            <w:pPr>
              <w:spacing w:line="276" w:lineRule="auto"/>
              <w:rPr>
                <w:rFonts w:asciiTheme="majorBidi" w:hAnsiTheme="majorBidi" w:cstheme="majorBid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Sexuelle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37,0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14,3 </w:t>
            </w:r>
          </w:p>
        </w:tc>
      </w:tr>
      <w:tr w:rsidR="00CB4A14" w:rsidRPr="004E3228" w:rsidTr="00CB4A14">
        <w:trPr>
          <w:trHeight w:val="189"/>
        </w:trPr>
        <w:tc>
          <w:tcPr>
            <w:tcW w:w="0" w:type="auto"/>
            <w:vMerge/>
            <w:tcBorders>
              <w:left w:val="single" w:sz="4" w:space="0" w:color="auto"/>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12717" w:rsidRPr="00345FBA" w:rsidRDefault="00612717" w:rsidP="004E3228">
            <w:pPr>
              <w:spacing w:line="276" w:lineRule="auto"/>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 xml:space="preserve">100,0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 xml:space="preserve">100,0 </w:t>
            </w:r>
          </w:p>
        </w:tc>
      </w:tr>
      <w:tr w:rsidR="00CB4A14" w:rsidRPr="004E3228" w:rsidTr="00CB4A14">
        <w:trPr>
          <w:trHeight w:val="189"/>
        </w:trPr>
        <w:tc>
          <w:tcPr>
            <w:tcW w:w="0" w:type="auto"/>
            <w:vMerge w:val="restart"/>
            <w:tcBorders>
              <w:top w:val="nil"/>
              <w:left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Lieux publics</w:t>
            </w: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Psychologique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31,6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52,3 </w:t>
            </w:r>
          </w:p>
        </w:tc>
      </w:tr>
      <w:tr w:rsidR="00CB4A14" w:rsidRPr="004E3228" w:rsidTr="00CB4A14">
        <w:trPr>
          <w:trHeight w:val="189"/>
        </w:trPr>
        <w:tc>
          <w:tcPr>
            <w:tcW w:w="0" w:type="auto"/>
            <w:vMerge/>
            <w:tcBorders>
              <w:left w:val="single" w:sz="4" w:space="0" w:color="auto"/>
              <w:right w:val="single" w:sz="4" w:space="0" w:color="auto"/>
            </w:tcBorders>
            <w:vAlign w:val="center"/>
            <w:hideMark/>
          </w:tcPr>
          <w:p w:rsidR="00612717" w:rsidRPr="00345FBA" w:rsidRDefault="00612717" w:rsidP="004E3228">
            <w:pPr>
              <w:spacing w:line="276" w:lineRule="auto"/>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Physique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19,1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39,6 </w:t>
            </w:r>
          </w:p>
        </w:tc>
      </w:tr>
      <w:tr w:rsidR="00CB4A14" w:rsidRPr="004E3228" w:rsidTr="00CB4A14">
        <w:trPr>
          <w:trHeight w:val="189"/>
        </w:trPr>
        <w:tc>
          <w:tcPr>
            <w:tcW w:w="0" w:type="auto"/>
            <w:vMerge/>
            <w:tcBorders>
              <w:left w:val="single" w:sz="4" w:space="0" w:color="auto"/>
              <w:right w:val="single" w:sz="4" w:space="0" w:color="auto"/>
            </w:tcBorders>
            <w:vAlign w:val="center"/>
            <w:hideMark/>
          </w:tcPr>
          <w:p w:rsidR="00612717" w:rsidRPr="00345FBA" w:rsidRDefault="00612717" w:rsidP="004E3228">
            <w:pPr>
              <w:spacing w:line="276" w:lineRule="auto"/>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r w:rsidRPr="00345FBA">
              <w:rPr>
                <w:rFonts w:asciiTheme="majorBidi" w:hAnsiTheme="majorBidi" w:cstheme="majorBidi"/>
                <w:color w:val="000000"/>
                <w:sz w:val="22"/>
                <w:szCs w:val="22"/>
              </w:rPr>
              <w:t>Sexuelle</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49,2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color w:val="000000"/>
                <w:sz w:val="22"/>
                <w:szCs w:val="22"/>
              </w:rPr>
            </w:pPr>
            <w:r w:rsidRPr="00345FBA">
              <w:rPr>
                <w:rFonts w:asciiTheme="majorBidi" w:hAnsiTheme="majorBidi" w:cstheme="majorBidi"/>
                <w:color w:val="000000"/>
                <w:sz w:val="22"/>
                <w:szCs w:val="22"/>
              </w:rPr>
              <w:t xml:space="preserve">8,2 </w:t>
            </w:r>
          </w:p>
        </w:tc>
      </w:tr>
      <w:tr w:rsidR="00CB4A14" w:rsidRPr="004E3228" w:rsidTr="00CB4A14">
        <w:trPr>
          <w:trHeight w:val="189"/>
        </w:trPr>
        <w:tc>
          <w:tcPr>
            <w:tcW w:w="0" w:type="auto"/>
            <w:vMerge/>
            <w:tcBorders>
              <w:left w:val="single" w:sz="4" w:space="0" w:color="auto"/>
              <w:bottom w:val="single" w:sz="4" w:space="0" w:color="auto"/>
              <w:right w:val="single" w:sz="4" w:space="0" w:color="auto"/>
            </w:tcBorders>
            <w:shd w:val="clear" w:color="auto" w:fill="auto"/>
            <w:vAlign w:val="center"/>
            <w:hideMark/>
          </w:tcPr>
          <w:p w:rsidR="00612717" w:rsidRPr="00345FBA" w:rsidRDefault="00612717" w:rsidP="004E3228">
            <w:pPr>
              <w:spacing w:line="276" w:lineRule="auto"/>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12717" w:rsidRPr="00345FBA" w:rsidRDefault="00612717" w:rsidP="004E3228">
            <w:pPr>
              <w:spacing w:line="276" w:lineRule="auto"/>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 xml:space="preserve">100,0 </w:t>
            </w:r>
          </w:p>
        </w:tc>
        <w:tc>
          <w:tcPr>
            <w:tcW w:w="0" w:type="auto"/>
            <w:tcBorders>
              <w:top w:val="nil"/>
              <w:left w:val="nil"/>
              <w:bottom w:val="single" w:sz="4" w:space="0" w:color="auto"/>
              <w:right w:val="single" w:sz="4" w:space="0" w:color="auto"/>
            </w:tcBorders>
            <w:shd w:val="clear" w:color="auto" w:fill="auto"/>
            <w:noWrap/>
            <w:vAlign w:val="center"/>
            <w:hideMark/>
          </w:tcPr>
          <w:p w:rsidR="00612717" w:rsidRPr="00345FBA" w:rsidRDefault="00612717" w:rsidP="004E3228">
            <w:pPr>
              <w:spacing w:line="276" w:lineRule="auto"/>
              <w:jc w:val="right"/>
              <w:rPr>
                <w:rFonts w:asciiTheme="majorBidi" w:hAnsiTheme="majorBidi" w:cstheme="majorBidi"/>
                <w:b/>
                <w:bCs/>
                <w:color w:val="000000"/>
                <w:sz w:val="22"/>
                <w:szCs w:val="22"/>
              </w:rPr>
            </w:pPr>
            <w:r w:rsidRPr="00345FBA">
              <w:rPr>
                <w:rFonts w:asciiTheme="majorBidi" w:hAnsiTheme="majorBidi" w:cstheme="majorBidi"/>
                <w:b/>
                <w:bCs/>
                <w:color w:val="000000"/>
                <w:sz w:val="22"/>
                <w:szCs w:val="22"/>
              </w:rPr>
              <w:t xml:space="preserve">100,0 </w:t>
            </w:r>
          </w:p>
        </w:tc>
      </w:tr>
    </w:tbl>
    <w:p w:rsidR="00CB4A14" w:rsidRPr="00CB4A14" w:rsidRDefault="00CB4A14" w:rsidP="00CB4A14">
      <w:pPr>
        <w:tabs>
          <w:tab w:val="left" w:pos="426"/>
        </w:tabs>
        <w:spacing w:before="240" w:after="120" w:line="276" w:lineRule="auto"/>
        <w:jc w:val="both"/>
        <w:rPr>
          <w:rFonts w:asciiTheme="majorBidi" w:hAnsiTheme="majorBidi" w:cstheme="majorBidi"/>
          <w:b/>
          <w:sz w:val="20"/>
          <w:szCs w:val="20"/>
        </w:rPr>
      </w:pPr>
      <w:r w:rsidRPr="00CB4A14">
        <w:rPr>
          <w:rFonts w:asciiTheme="majorBidi" w:hAnsiTheme="majorBidi" w:cstheme="majorBidi"/>
          <w:b/>
          <w:sz w:val="20"/>
          <w:szCs w:val="20"/>
        </w:rPr>
        <w:t xml:space="preserve">Source : HCP, Enquête Nationale sur la Violence à l’encontre des femmes et des hommes 2019 </w:t>
      </w:r>
    </w:p>
    <w:p w:rsidR="008B47A6" w:rsidRPr="00D019F6" w:rsidRDefault="008B47A6" w:rsidP="002A20D8">
      <w:pPr>
        <w:spacing w:after="120" w:line="276" w:lineRule="auto"/>
        <w:jc w:val="both"/>
        <w:rPr>
          <w:rFonts w:asciiTheme="majorBidi" w:hAnsiTheme="majorBidi" w:cstheme="majorBidi"/>
          <w:b/>
          <w:i/>
          <w:color w:val="548DD4"/>
          <w:sz w:val="28"/>
          <w:szCs w:val="28"/>
        </w:rPr>
      </w:pPr>
      <w:r w:rsidRPr="00D019F6">
        <w:rPr>
          <w:rFonts w:asciiTheme="majorBidi" w:hAnsiTheme="majorBidi" w:cstheme="majorBidi"/>
          <w:b/>
          <w:i/>
          <w:color w:val="548DD4"/>
          <w:sz w:val="28"/>
          <w:szCs w:val="28"/>
        </w:rPr>
        <w:lastRenderedPageBreak/>
        <w:t>Perception masculine de la violence</w:t>
      </w:r>
    </w:p>
    <w:p w:rsidR="004E3228" w:rsidRDefault="00614D89" w:rsidP="00BC619F">
      <w:pPr>
        <w:spacing w:line="276" w:lineRule="auto"/>
        <w:jc w:val="both"/>
        <w:rPr>
          <w:rFonts w:asciiTheme="majorBidi" w:hAnsiTheme="majorBidi" w:cstheme="majorBidi"/>
          <w:sz w:val="26"/>
          <w:szCs w:val="26"/>
        </w:rPr>
      </w:pPr>
      <w:r w:rsidRPr="00BC619F">
        <w:rPr>
          <w:rFonts w:asciiTheme="majorBidi" w:hAnsiTheme="majorBidi" w:cstheme="majorBidi"/>
          <w:sz w:val="26"/>
          <w:szCs w:val="26"/>
        </w:rPr>
        <w:t xml:space="preserve">Les </w:t>
      </w:r>
      <w:r w:rsidR="004E3228" w:rsidRPr="00BC619F">
        <w:rPr>
          <w:rFonts w:asciiTheme="majorBidi" w:hAnsiTheme="majorBidi" w:cstheme="majorBidi"/>
          <w:sz w:val="26"/>
          <w:szCs w:val="26"/>
        </w:rPr>
        <w:t>perceptions</w:t>
      </w:r>
      <w:r w:rsidR="004E3228" w:rsidRPr="004E3228">
        <w:rPr>
          <w:rFonts w:asciiTheme="majorBidi" w:hAnsiTheme="majorBidi" w:cstheme="majorBidi"/>
          <w:sz w:val="26"/>
          <w:szCs w:val="26"/>
        </w:rPr>
        <w:t xml:space="preserve"> des hommes vis-à-vis de la violence</w:t>
      </w:r>
      <w:r w:rsidR="00BC619F">
        <w:rPr>
          <w:rFonts w:asciiTheme="majorBidi" w:hAnsiTheme="majorBidi" w:cstheme="majorBidi"/>
          <w:sz w:val="26"/>
          <w:szCs w:val="26"/>
        </w:rPr>
        <w:t xml:space="preserve"> </w:t>
      </w:r>
      <w:r w:rsidRPr="00BC619F">
        <w:rPr>
          <w:rFonts w:asciiTheme="majorBidi" w:hAnsiTheme="majorBidi" w:cstheme="majorBidi"/>
          <w:sz w:val="26"/>
          <w:szCs w:val="26"/>
        </w:rPr>
        <w:t>portent</w:t>
      </w:r>
      <w:r w:rsidR="00BC619F" w:rsidRPr="00BC619F">
        <w:rPr>
          <w:rFonts w:asciiTheme="majorBidi" w:hAnsiTheme="majorBidi" w:cstheme="majorBidi"/>
          <w:sz w:val="26"/>
          <w:szCs w:val="26"/>
        </w:rPr>
        <w:t xml:space="preserve"> </w:t>
      </w:r>
      <w:r w:rsidR="004E3228" w:rsidRPr="004E3228">
        <w:rPr>
          <w:rFonts w:asciiTheme="majorBidi" w:hAnsiTheme="majorBidi" w:cstheme="majorBidi"/>
          <w:sz w:val="26"/>
          <w:szCs w:val="26"/>
        </w:rPr>
        <w:t xml:space="preserve">principalement </w:t>
      </w:r>
      <w:r>
        <w:rPr>
          <w:rFonts w:asciiTheme="majorBidi" w:hAnsiTheme="majorBidi" w:cstheme="majorBidi"/>
          <w:sz w:val="26"/>
          <w:szCs w:val="26"/>
        </w:rPr>
        <w:t xml:space="preserve">sur </w:t>
      </w:r>
      <w:r w:rsidR="004E3228" w:rsidRPr="004E3228">
        <w:rPr>
          <w:rFonts w:asciiTheme="majorBidi" w:hAnsiTheme="majorBidi" w:cstheme="majorBidi"/>
          <w:sz w:val="26"/>
          <w:szCs w:val="26"/>
        </w:rPr>
        <w:t>la définition de la violence, les catégories les plus vulnérables, les espaces de vie les plus touchés, l’évolution de la violence dans la société marocaine</w:t>
      </w:r>
      <w:r w:rsidR="00BC619F">
        <w:rPr>
          <w:rFonts w:asciiTheme="majorBidi" w:hAnsiTheme="majorBidi" w:cstheme="majorBidi"/>
          <w:sz w:val="26"/>
          <w:szCs w:val="26"/>
        </w:rPr>
        <w:t xml:space="preserve"> </w:t>
      </w:r>
      <w:r w:rsidRPr="00BC619F">
        <w:rPr>
          <w:rFonts w:asciiTheme="majorBidi" w:hAnsiTheme="majorBidi" w:cstheme="majorBidi"/>
          <w:sz w:val="26"/>
          <w:szCs w:val="26"/>
        </w:rPr>
        <w:t>et</w:t>
      </w:r>
      <w:r w:rsidR="004E3228" w:rsidRPr="004E3228">
        <w:rPr>
          <w:rFonts w:asciiTheme="majorBidi" w:hAnsiTheme="majorBidi" w:cstheme="majorBidi"/>
          <w:sz w:val="26"/>
          <w:szCs w:val="26"/>
        </w:rPr>
        <w:t xml:space="preserve"> les rapports </w:t>
      </w:r>
      <w:r w:rsidR="00B73050" w:rsidRPr="004E3228">
        <w:rPr>
          <w:rFonts w:asciiTheme="majorBidi" w:hAnsiTheme="majorBidi" w:cstheme="majorBidi"/>
          <w:sz w:val="26"/>
          <w:szCs w:val="26"/>
        </w:rPr>
        <w:t>sociaux homme</w:t>
      </w:r>
      <w:r w:rsidR="004E3228" w:rsidRPr="004E3228">
        <w:rPr>
          <w:rFonts w:asciiTheme="majorBidi" w:hAnsiTheme="majorBidi" w:cstheme="majorBidi"/>
          <w:sz w:val="26"/>
          <w:szCs w:val="26"/>
        </w:rPr>
        <w:t xml:space="preserve">-femme, notamment </w:t>
      </w:r>
      <w:r w:rsidR="004E3228" w:rsidRPr="00BC619F">
        <w:rPr>
          <w:rFonts w:asciiTheme="majorBidi" w:hAnsiTheme="majorBidi" w:cstheme="majorBidi"/>
          <w:sz w:val="26"/>
          <w:szCs w:val="26"/>
        </w:rPr>
        <w:t>les rapports</w:t>
      </w:r>
      <w:r w:rsidR="004E3228" w:rsidRPr="004E3228">
        <w:rPr>
          <w:rFonts w:asciiTheme="majorBidi" w:hAnsiTheme="majorBidi" w:cstheme="majorBidi"/>
          <w:sz w:val="26"/>
          <w:szCs w:val="26"/>
        </w:rPr>
        <w:t xml:space="preserve"> de genre </w:t>
      </w:r>
      <w:r w:rsidR="00BC619F">
        <w:rPr>
          <w:rFonts w:asciiTheme="majorBidi" w:hAnsiTheme="majorBidi" w:cstheme="majorBidi"/>
          <w:sz w:val="26"/>
          <w:szCs w:val="26"/>
        </w:rPr>
        <w:t xml:space="preserve">en lien avec le </w:t>
      </w:r>
      <w:r w:rsidR="004E3228" w:rsidRPr="004E3228">
        <w:rPr>
          <w:rFonts w:asciiTheme="majorBidi" w:hAnsiTheme="majorBidi" w:cstheme="majorBidi"/>
          <w:sz w:val="26"/>
          <w:szCs w:val="26"/>
        </w:rPr>
        <w:t>partage de l’autorité au sein du ménage</w:t>
      </w:r>
      <w:r w:rsidR="00BC619F">
        <w:rPr>
          <w:rFonts w:asciiTheme="majorBidi" w:hAnsiTheme="majorBidi" w:cstheme="majorBidi"/>
          <w:sz w:val="26"/>
          <w:szCs w:val="26"/>
        </w:rPr>
        <w:t xml:space="preserve"> </w:t>
      </w:r>
      <w:r w:rsidRPr="00BC619F">
        <w:rPr>
          <w:rFonts w:asciiTheme="majorBidi" w:hAnsiTheme="majorBidi" w:cstheme="majorBidi"/>
          <w:sz w:val="26"/>
          <w:szCs w:val="26"/>
        </w:rPr>
        <w:t>et</w:t>
      </w:r>
      <w:r w:rsidR="00BC619F" w:rsidRPr="00BC619F">
        <w:rPr>
          <w:rFonts w:asciiTheme="majorBidi" w:hAnsiTheme="majorBidi" w:cstheme="majorBidi"/>
          <w:sz w:val="26"/>
          <w:szCs w:val="26"/>
        </w:rPr>
        <w:t xml:space="preserve"> </w:t>
      </w:r>
      <w:r w:rsidR="004E3228" w:rsidRPr="004E3228">
        <w:rPr>
          <w:rFonts w:asciiTheme="majorBidi" w:hAnsiTheme="majorBidi" w:cstheme="majorBidi"/>
          <w:sz w:val="26"/>
          <w:szCs w:val="26"/>
        </w:rPr>
        <w:t>l’acceptation de la violence dans le contexte conjugal.</w:t>
      </w:r>
    </w:p>
    <w:p w:rsidR="00CB4A14" w:rsidRPr="006E5127" w:rsidRDefault="00CB4A14" w:rsidP="006E5127">
      <w:pPr>
        <w:spacing w:after="120" w:line="276" w:lineRule="auto"/>
        <w:jc w:val="both"/>
        <w:rPr>
          <w:rFonts w:asciiTheme="majorBidi" w:hAnsiTheme="majorBidi" w:cstheme="majorBidi"/>
          <w:b/>
          <w:i/>
          <w:color w:val="548DD4"/>
          <w:sz w:val="12"/>
          <w:szCs w:val="12"/>
        </w:rPr>
      </w:pPr>
    </w:p>
    <w:p w:rsidR="004E3228" w:rsidRPr="00CB4A14" w:rsidRDefault="004E3228" w:rsidP="00655420">
      <w:pPr>
        <w:spacing w:before="240" w:after="120" w:line="276" w:lineRule="auto"/>
        <w:jc w:val="both"/>
        <w:rPr>
          <w:rFonts w:asciiTheme="majorBidi" w:hAnsiTheme="majorBidi" w:cstheme="majorBidi"/>
          <w:b/>
          <w:i/>
          <w:color w:val="548DD4"/>
          <w:sz w:val="28"/>
          <w:szCs w:val="28"/>
        </w:rPr>
      </w:pPr>
      <w:r w:rsidRPr="00CB4A14">
        <w:rPr>
          <w:rFonts w:asciiTheme="majorBidi" w:hAnsiTheme="majorBidi" w:cstheme="majorBidi"/>
          <w:b/>
          <w:i/>
          <w:color w:val="548DD4"/>
          <w:sz w:val="28"/>
          <w:szCs w:val="28"/>
        </w:rPr>
        <w:t>Décalage entre le vécu et le perçu</w:t>
      </w:r>
      <w:r w:rsidR="00655420">
        <w:rPr>
          <w:rFonts w:asciiTheme="majorBidi" w:hAnsiTheme="majorBidi" w:cstheme="majorBidi"/>
          <w:b/>
          <w:i/>
          <w:color w:val="548DD4"/>
          <w:sz w:val="28"/>
          <w:szCs w:val="28"/>
        </w:rPr>
        <w:t xml:space="preserve"> des hommes vis-à-vis du contexte et de la forme de violence</w:t>
      </w:r>
    </w:p>
    <w:p w:rsidR="004E3228" w:rsidRPr="004E3228" w:rsidRDefault="004E3228" w:rsidP="004E3228">
      <w:pPr>
        <w:spacing w:before="240"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Près de 66% des hommes perçoivent la violence, </w:t>
      </w:r>
      <w:r w:rsidR="00CA7CB4">
        <w:rPr>
          <w:rFonts w:asciiTheme="majorBidi" w:hAnsiTheme="majorBidi" w:cstheme="majorBidi"/>
          <w:sz w:val="26"/>
          <w:szCs w:val="26"/>
        </w:rPr>
        <w:t>comme</w:t>
      </w:r>
      <w:r w:rsidRPr="004E3228">
        <w:rPr>
          <w:rFonts w:asciiTheme="majorBidi" w:hAnsiTheme="majorBidi" w:cstheme="majorBidi"/>
          <w:sz w:val="26"/>
          <w:szCs w:val="26"/>
        </w:rPr>
        <w:t xml:space="preserve"> physique (64% en milieu urbain contre 68% en milieu rural). Pour 19%, </w:t>
      </w:r>
      <w:r w:rsidR="006513E6">
        <w:rPr>
          <w:rFonts w:asciiTheme="majorBidi" w:hAnsiTheme="majorBidi" w:cstheme="majorBidi"/>
          <w:sz w:val="26"/>
          <w:szCs w:val="26"/>
        </w:rPr>
        <w:t>la</w:t>
      </w:r>
      <w:r w:rsidRPr="004E3228">
        <w:rPr>
          <w:rFonts w:asciiTheme="majorBidi" w:hAnsiTheme="majorBidi" w:cstheme="majorBidi"/>
          <w:sz w:val="26"/>
          <w:szCs w:val="26"/>
        </w:rPr>
        <w:t xml:space="preserve"> violence </w:t>
      </w:r>
      <w:r w:rsidR="008B47A6">
        <w:rPr>
          <w:rFonts w:asciiTheme="majorBidi" w:hAnsiTheme="majorBidi" w:cstheme="majorBidi"/>
          <w:sz w:val="26"/>
          <w:szCs w:val="26"/>
        </w:rPr>
        <w:t>est</w:t>
      </w:r>
      <w:r w:rsidRPr="004E3228">
        <w:rPr>
          <w:rFonts w:asciiTheme="majorBidi" w:hAnsiTheme="majorBidi" w:cstheme="majorBidi"/>
          <w:sz w:val="26"/>
          <w:szCs w:val="26"/>
        </w:rPr>
        <w:t xml:space="preserve"> psychologique (21% en milieu urbain contre 17% en milieu rural) bien que </w:t>
      </w:r>
      <w:r w:rsidR="00CA7CB4">
        <w:rPr>
          <w:rFonts w:asciiTheme="majorBidi" w:hAnsiTheme="majorBidi" w:cstheme="majorBidi"/>
          <w:sz w:val="26"/>
          <w:szCs w:val="26"/>
        </w:rPr>
        <w:t xml:space="preserve">sa prévalence soit élevée </w:t>
      </w:r>
      <w:r w:rsidRPr="004E3228">
        <w:rPr>
          <w:rFonts w:asciiTheme="majorBidi" w:hAnsiTheme="majorBidi" w:cstheme="majorBidi"/>
          <w:sz w:val="26"/>
          <w:szCs w:val="26"/>
        </w:rPr>
        <w:t>par</w:t>
      </w:r>
      <w:r w:rsidR="00CA7CB4">
        <w:rPr>
          <w:rFonts w:asciiTheme="majorBidi" w:hAnsiTheme="majorBidi" w:cstheme="majorBidi"/>
          <w:sz w:val="26"/>
          <w:szCs w:val="26"/>
        </w:rPr>
        <w:t>mi</w:t>
      </w:r>
      <w:r w:rsidRPr="004E3228">
        <w:rPr>
          <w:rFonts w:asciiTheme="majorBidi" w:hAnsiTheme="majorBidi" w:cstheme="majorBidi"/>
          <w:sz w:val="26"/>
          <w:szCs w:val="26"/>
        </w:rPr>
        <w:t xml:space="preserve"> les hommes. Par ailleurs, la violence est perçue </w:t>
      </w:r>
      <w:r w:rsidR="008B47A6">
        <w:rPr>
          <w:rFonts w:asciiTheme="majorBidi" w:hAnsiTheme="majorBidi" w:cstheme="majorBidi"/>
          <w:sz w:val="26"/>
          <w:szCs w:val="26"/>
        </w:rPr>
        <w:t>comme</w:t>
      </w:r>
      <w:r w:rsidRPr="004E3228">
        <w:rPr>
          <w:rFonts w:asciiTheme="majorBidi" w:hAnsiTheme="majorBidi" w:cstheme="majorBidi"/>
          <w:sz w:val="26"/>
          <w:szCs w:val="26"/>
        </w:rPr>
        <w:t xml:space="preserve"> économique pour 8% et sexuelle pour 5% des hommes. </w:t>
      </w:r>
    </w:p>
    <w:p w:rsidR="004E3228" w:rsidRPr="004E3228" w:rsidRDefault="004E3228" w:rsidP="004E3228">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Les hommes ayant des niveaux scolaires plus avancés sont plus sensibles à la violence psychologique comparés aux autres ; 24% parmi ceux de niveau supérieur contre 17% pour les autres niveaux. </w:t>
      </w:r>
    </w:p>
    <w:p w:rsidR="004E3228" w:rsidRPr="004E3228" w:rsidRDefault="004E3228" w:rsidP="004E3228">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Concernant les perceptions des contextes les plus marqués par la violence, bien qu’en termes de prévalence, le contexte conjugal soit l’espace de vie le plus violent, il n’est cependant perçu comme tel que par 21% des hommes. Ce sont plutôt les lieux publics qui sont perçus comme les espaces de vie les plus à risque</w:t>
      </w:r>
      <w:r w:rsidR="00655420">
        <w:rPr>
          <w:rFonts w:asciiTheme="majorBidi" w:hAnsiTheme="majorBidi" w:cstheme="majorBidi"/>
          <w:sz w:val="26"/>
          <w:szCs w:val="26"/>
        </w:rPr>
        <w:t xml:space="preserve"> de violence</w:t>
      </w:r>
      <w:r w:rsidRPr="004E3228">
        <w:rPr>
          <w:rFonts w:asciiTheme="majorBidi" w:hAnsiTheme="majorBidi" w:cstheme="majorBidi"/>
          <w:sz w:val="26"/>
          <w:szCs w:val="26"/>
        </w:rPr>
        <w:t xml:space="preserve"> (58%). </w:t>
      </w:r>
    </w:p>
    <w:p w:rsidR="004E3228" w:rsidRPr="004E3228" w:rsidRDefault="004E3228" w:rsidP="00BC619F">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De même, </w:t>
      </w:r>
      <w:r w:rsidRPr="008134C9">
        <w:rPr>
          <w:rFonts w:asciiTheme="majorBidi" w:hAnsiTheme="majorBidi" w:cstheme="majorBidi"/>
          <w:sz w:val="26"/>
          <w:szCs w:val="26"/>
        </w:rPr>
        <w:t>c’est</w:t>
      </w:r>
      <w:r w:rsidRPr="00BC619F">
        <w:rPr>
          <w:rFonts w:asciiTheme="majorBidi" w:hAnsiTheme="majorBidi" w:cstheme="majorBidi"/>
          <w:sz w:val="26"/>
          <w:szCs w:val="26"/>
        </w:rPr>
        <w:t xml:space="preserve"> </w:t>
      </w:r>
      <w:r w:rsidRPr="004E3228">
        <w:rPr>
          <w:rFonts w:asciiTheme="majorBidi" w:hAnsiTheme="majorBidi" w:cstheme="majorBidi"/>
          <w:sz w:val="26"/>
          <w:szCs w:val="26"/>
        </w:rPr>
        <w:t xml:space="preserve">l’espace public qui, selon les perceptions des hommes, a connu une augmentation de la violence durant les cinq dernières années. Plus de 78% des hommes estiment que la violence y a augmenté (79% en milieu urbain et 75% en milieu rural).  Le contexte conjugal vient en deuxième position avec 58% des hommes qui estiment que la violence y a augmenté (59% en milieu urbain et 55% en milieu rural). L’augmentation de la violence conjugale est particulièrement perçue par les hommes divorcés (64%) et ceux âgés de 45 à 59 ans (61%). </w:t>
      </w:r>
    </w:p>
    <w:p w:rsidR="004E3228" w:rsidRPr="004E3228" w:rsidRDefault="004E3228" w:rsidP="004E3228">
      <w:pPr>
        <w:spacing w:after="120" w:line="276" w:lineRule="auto"/>
        <w:jc w:val="both"/>
        <w:rPr>
          <w:rFonts w:asciiTheme="majorBidi" w:hAnsiTheme="majorBidi" w:cstheme="majorBidi"/>
          <w:sz w:val="26"/>
          <w:szCs w:val="26"/>
          <w:rtl/>
        </w:rPr>
      </w:pPr>
      <w:r w:rsidRPr="004E3228">
        <w:rPr>
          <w:rFonts w:asciiTheme="majorBidi" w:hAnsiTheme="majorBidi" w:cstheme="majorBidi"/>
          <w:sz w:val="26"/>
          <w:szCs w:val="26"/>
        </w:rPr>
        <w:t xml:space="preserve">Ce décalage entre le vécu et le perçu est dû justement à l’aspect public de la violence </w:t>
      </w:r>
      <w:r w:rsidRPr="00BC619F">
        <w:rPr>
          <w:rFonts w:asciiTheme="majorBidi" w:hAnsiTheme="majorBidi" w:cstheme="majorBidi"/>
          <w:sz w:val="26"/>
          <w:szCs w:val="26"/>
        </w:rPr>
        <w:t>dans les lieux publics</w:t>
      </w:r>
      <w:r w:rsidRPr="004E3228">
        <w:rPr>
          <w:rFonts w:asciiTheme="majorBidi" w:hAnsiTheme="majorBidi" w:cstheme="majorBidi"/>
          <w:sz w:val="26"/>
          <w:szCs w:val="26"/>
        </w:rPr>
        <w:t xml:space="preserve"> et s</w:t>
      </w:r>
      <w:r w:rsidR="00655420">
        <w:rPr>
          <w:rFonts w:asciiTheme="majorBidi" w:hAnsiTheme="majorBidi" w:cstheme="majorBidi"/>
          <w:sz w:val="26"/>
          <w:szCs w:val="26"/>
        </w:rPr>
        <w:t>a</w:t>
      </w:r>
      <w:r w:rsidRPr="004E3228">
        <w:rPr>
          <w:rFonts w:asciiTheme="majorBidi" w:hAnsiTheme="majorBidi" w:cstheme="majorBidi"/>
          <w:sz w:val="26"/>
          <w:szCs w:val="26"/>
        </w:rPr>
        <w:t xml:space="preserve"> médiatisation, de plus en plus grandissante par les réseaux sociaux, ce qui la rend plus </w:t>
      </w:r>
      <w:r w:rsidR="00254AA2">
        <w:rPr>
          <w:rFonts w:asciiTheme="majorBidi" w:hAnsiTheme="majorBidi" w:cstheme="majorBidi"/>
          <w:sz w:val="26"/>
          <w:szCs w:val="26"/>
        </w:rPr>
        <w:t>ressentie</w:t>
      </w:r>
      <w:r w:rsidRPr="004E3228">
        <w:rPr>
          <w:rFonts w:asciiTheme="majorBidi" w:hAnsiTheme="majorBidi" w:cstheme="majorBidi"/>
          <w:sz w:val="26"/>
          <w:szCs w:val="26"/>
        </w:rPr>
        <w:t xml:space="preserve">, contrairement aux violences </w:t>
      </w:r>
      <w:r w:rsidRPr="004E3228">
        <w:rPr>
          <w:rFonts w:asciiTheme="majorBidi" w:hAnsiTheme="majorBidi" w:cstheme="majorBidi"/>
          <w:sz w:val="26"/>
          <w:szCs w:val="26"/>
        </w:rPr>
        <w:lastRenderedPageBreak/>
        <w:t>domestiques et institutionnelles qui sont souvent vécues dans le privé ou le silence.</w:t>
      </w:r>
    </w:p>
    <w:p w:rsidR="00CB4A14" w:rsidRPr="00CB4A14" w:rsidRDefault="00CB4A14" w:rsidP="004E3228">
      <w:pPr>
        <w:spacing w:after="120" w:line="276" w:lineRule="auto"/>
        <w:jc w:val="both"/>
        <w:rPr>
          <w:rFonts w:asciiTheme="majorBidi" w:hAnsiTheme="majorBidi" w:cstheme="majorBidi"/>
          <w:b/>
          <w:i/>
          <w:color w:val="548DD4"/>
          <w:sz w:val="12"/>
          <w:szCs w:val="12"/>
        </w:rPr>
      </w:pPr>
    </w:p>
    <w:p w:rsidR="004E3228" w:rsidRPr="00CB4A14" w:rsidRDefault="004E3228" w:rsidP="004E3228">
      <w:pPr>
        <w:spacing w:after="120" w:line="276" w:lineRule="auto"/>
        <w:jc w:val="both"/>
        <w:rPr>
          <w:rFonts w:asciiTheme="majorBidi" w:hAnsiTheme="majorBidi" w:cstheme="majorBidi"/>
          <w:b/>
          <w:i/>
          <w:color w:val="548DD4"/>
          <w:sz w:val="28"/>
          <w:szCs w:val="28"/>
        </w:rPr>
      </w:pPr>
      <w:r w:rsidRPr="00CB4A14">
        <w:rPr>
          <w:rFonts w:asciiTheme="majorBidi" w:hAnsiTheme="majorBidi" w:cstheme="majorBidi"/>
          <w:b/>
          <w:i/>
          <w:color w:val="548DD4"/>
          <w:sz w:val="28"/>
          <w:szCs w:val="28"/>
        </w:rPr>
        <w:t xml:space="preserve">Conscience masculine de la vulnérabilité des femmes à la violence </w:t>
      </w:r>
    </w:p>
    <w:p w:rsidR="004E3228" w:rsidRDefault="008134C9" w:rsidP="007D5AAD">
      <w:pPr>
        <w:spacing w:after="120" w:line="276" w:lineRule="auto"/>
        <w:jc w:val="both"/>
        <w:rPr>
          <w:rFonts w:asciiTheme="majorBidi" w:hAnsiTheme="majorBidi" w:cstheme="majorBidi"/>
          <w:sz w:val="26"/>
          <w:szCs w:val="26"/>
        </w:rPr>
      </w:pPr>
      <w:r>
        <w:rPr>
          <w:rFonts w:asciiTheme="majorBidi" w:hAnsiTheme="majorBidi" w:cstheme="majorBidi"/>
          <w:sz w:val="26"/>
          <w:szCs w:val="26"/>
        </w:rPr>
        <w:t xml:space="preserve">Les </w:t>
      </w:r>
      <w:r w:rsidR="004E3228" w:rsidRPr="004E3228">
        <w:rPr>
          <w:rFonts w:asciiTheme="majorBidi" w:hAnsiTheme="majorBidi" w:cstheme="majorBidi"/>
          <w:sz w:val="26"/>
          <w:szCs w:val="26"/>
        </w:rPr>
        <w:t>femmes sont perçues comme étant la catégorie sociale la plus vulnérable à la violence par 42% des hommes alors que la catégorie des hommes n’est considérée comme telle que par 6%.</w:t>
      </w:r>
    </w:p>
    <w:p w:rsidR="004E3228" w:rsidRPr="004E3228" w:rsidRDefault="004E3228" w:rsidP="007D5AAD">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Concernant l’évolution de la violence durant les cinq dernières années, </w:t>
      </w:r>
      <w:r w:rsidR="008134C9" w:rsidRPr="004E3228">
        <w:rPr>
          <w:rFonts w:asciiTheme="majorBidi" w:hAnsiTheme="majorBidi" w:cstheme="majorBidi"/>
          <w:sz w:val="26"/>
          <w:szCs w:val="26"/>
        </w:rPr>
        <w:t>55%</w:t>
      </w:r>
      <w:r w:rsidR="007D5AAD">
        <w:rPr>
          <w:rFonts w:asciiTheme="majorBidi" w:hAnsiTheme="majorBidi" w:cstheme="majorBidi"/>
          <w:sz w:val="26"/>
          <w:szCs w:val="26"/>
        </w:rPr>
        <w:t xml:space="preserve"> </w:t>
      </w:r>
      <w:r w:rsidRPr="004E3228">
        <w:rPr>
          <w:rFonts w:asciiTheme="majorBidi" w:hAnsiTheme="majorBidi" w:cstheme="majorBidi"/>
          <w:sz w:val="26"/>
          <w:szCs w:val="26"/>
        </w:rPr>
        <w:t xml:space="preserve">des hommes ont ressenti son augmentation quand il s’agit de la violence l’encontre des femmes, 49% quand il s’agit de la violence l’égard des hommes </w:t>
      </w:r>
      <w:r w:rsidR="00B73050" w:rsidRPr="004E3228">
        <w:rPr>
          <w:rFonts w:asciiTheme="majorBidi" w:hAnsiTheme="majorBidi" w:cstheme="majorBidi"/>
          <w:sz w:val="26"/>
          <w:szCs w:val="26"/>
        </w:rPr>
        <w:t>et 48</w:t>
      </w:r>
      <w:r w:rsidRPr="004E3228">
        <w:rPr>
          <w:rFonts w:asciiTheme="majorBidi" w:hAnsiTheme="majorBidi" w:cstheme="majorBidi"/>
          <w:sz w:val="26"/>
          <w:szCs w:val="26"/>
        </w:rPr>
        <w:t>% quand il s’agit de la violence à l’égard des enfants.</w:t>
      </w:r>
    </w:p>
    <w:p w:rsidR="004E3228" w:rsidRPr="004E3228" w:rsidRDefault="004E3228" w:rsidP="007D5AAD">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En outre, </w:t>
      </w:r>
      <w:r w:rsidR="008134C9" w:rsidRPr="007D5AAD">
        <w:rPr>
          <w:rFonts w:asciiTheme="majorBidi" w:hAnsiTheme="majorBidi" w:cstheme="majorBidi"/>
          <w:sz w:val="26"/>
          <w:szCs w:val="26"/>
        </w:rPr>
        <w:t>durant les cinq dernières années</w:t>
      </w:r>
      <w:r w:rsidR="008134C9">
        <w:rPr>
          <w:rFonts w:asciiTheme="majorBidi" w:hAnsiTheme="majorBidi" w:cstheme="majorBidi"/>
          <w:sz w:val="26"/>
          <w:szCs w:val="26"/>
        </w:rPr>
        <w:t>,</w:t>
      </w:r>
      <w:r w:rsidR="007D5AAD">
        <w:rPr>
          <w:rFonts w:asciiTheme="majorBidi" w:hAnsiTheme="majorBidi" w:cstheme="majorBidi"/>
          <w:sz w:val="26"/>
          <w:szCs w:val="26"/>
        </w:rPr>
        <w:t xml:space="preserve"> </w:t>
      </w:r>
      <w:r w:rsidRPr="004E3228">
        <w:rPr>
          <w:rFonts w:asciiTheme="majorBidi" w:hAnsiTheme="majorBidi" w:cstheme="majorBidi"/>
          <w:sz w:val="26"/>
          <w:szCs w:val="26"/>
        </w:rPr>
        <w:t xml:space="preserve">64% des hommes </w:t>
      </w:r>
      <w:r w:rsidR="008134C9" w:rsidRPr="007D5AAD">
        <w:rPr>
          <w:rFonts w:asciiTheme="majorBidi" w:hAnsiTheme="majorBidi" w:cstheme="majorBidi"/>
          <w:sz w:val="26"/>
          <w:szCs w:val="26"/>
        </w:rPr>
        <w:t>jugent</w:t>
      </w:r>
      <w:r w:rsidR="007D5AAD">
        <w:rPr>
          <w:rFonts w:asciiTheme="majorBidi" w:hAnsiTheme="majorBidi" w:cstheme="majorBidi"/>
          <w:sz w:val="26"/>
          <w:szCs w:val="26"/>
        </w:rPr>
        <w:t xml:space="preserve"> </w:t>
      </w:r>
      <w:r w:rsidRPr="004E3228">
        <w:rPr>
          <w:rFonts w:asciiTheme="majorBidi" w:hAnsiTheme="majorBidi" w:cstheme="majorBidi"/>
          <w:sz w:val="26"/>
          <w:szCs w:val="26"/>
        </w:rPr>
        <w:t xml:space="preserve">que la violence sexuelle a augmenté à l’encontre des femmes </w:t>
      </w:r>
      <w:r w:rsidR="008134C9" w:rsidRPr="007D5AAD">
        <w:rPr>
          <w:rFonts w:asciiTheme="majorBidi" w:hAnsiTheme="majorBidi" w:cstheme="majorBidi"/>
          <w:sz w:val="26"/>
          <w:szCs w:val="26"/>
        </w:rPr>
        <w:t xml:space="preserve">contre </w:t>
      </w:r>
      <w:r w:rsidRPr="007D5AAD">
        <w:rPr>
          <w:rFonts w:asciiTheme="majorBidi" w:hAnsiTheme="majorBidi" w:cstheme="majorBidi"/>
          <w:sz w:val="26"/>
          <w:szCs w:val="26"/>
        </w:rPr>
        <w:t>52%</w:t>
      </w:r>
      <w:r w:rsidR="007D5AAD" w:rsidRPr="007D5AAD">
        <w:rPr>
          <w:rFonts w:asciiTheme="majorBidi" w:hAnsiTheme="majorBidi" w:cstheme="majorBidi"/>
          <w:sz w:val="26"/>
          <w:szCs w:val="26"/>
        </w:rPr>
        <w:t xml:space="preserve"> </w:t>
      </w:r>
      <w:r w:rsidRPr="004E3228">
        <w:rPr>
          <w:rFonts w:asciiTheme="majorBidi" w:hAnsiTheme="majorBidi" w:cstheme="majorBidi"/>
          <w:sz w:val="26"/>
          <w:szCs w:val="26"/>
        </w:rPr>
        <w:t>à l’encontre des enfants.</w:t>
      </w:r>
    </w:p>
    <w:p w:rsidR="00CB4A14" w:rsidRPr="006E5127" w:rsidRDefault="00CB4A14" w:rsidP="004E3228">
      <w:pPr>
        <w:spacing w:after="120" w:line="276" w:lineRule="auto"/>
        <w:jc w:val="both"/>
        <w:rPr>
          <w:rFonts w:asciiTheme="majorBidi" w:hAnsiTheme="majorBidi" w:cstheme="majorBidi"/>
          <w:b/>
          <w:i/>
          <w:color w:val="548DD4"/>
          <w:sz w:val="12"/>
          <w:szCs w:val="12"/>
        </w:rPr>
      </w:pPr>
    </w:p>
    <w:p w:rsidR="004E3228" w:rsidRPr="00CB4A14" w:rsidRDefault="004E3228" w:rsidP="004E3228">
      <w:pPr>
        <w:spacing w:after="120" w:line="276" w:lineRule="auto"/>
        <w:jc w:val="both"/>
        <w:rPr>
          <w:rFonts w:asciiTheme="majorBidi" w:hAnsiTheme="majorBidi" w:cstheme="majorBidi"/>
          <w:b/>
          <w:i/>
          <w:color w:val="548DD4"/>
          <w:sz w:val="28"/>
          <w:szCs w:val="28"/>
        </w:rPr>
      </w:pPr>
      <w:r w:rsidRPr="00CB4A14">
        <w:rPr>
          <w:rFonts w:asciiTheme="majorBidi" w:hAnsiTheme="majorBidi" w:cstheme="majorBidi"/>
          <w:b/>
          <w:i/>
          <w:color w:val="548DD4"/>
          <w:sz w:val="28"/>
          <w:szCs w:val="28"/>
        </w:rPr>
        <w:t>La pauvreté, les conflits d’intérêt matériel et le manque de communication : principales sources de la violence dans le contexte conjugal</w:t>
      </w:r>
    </w:p>
    <w:p w:rsidR="004E3228" w:rsidRPr="004E3228" w:rsidRDefault="004E3228" w:rsidP="004E3228">
      <w:pPr>
        <w:pBdr>
          <w:top w:val="nil"/>
          <w:left w:val="nil"/>
          <w:bottom w:val="nil"/>
          <w:right w:val="nil"/>
          <w:between w:val="nil"/>
        </w:pBd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Indépendamment de leurs caractéristiques sociodémographiques, les hommes incriminent la survenue de la violence surtout aux facteurs matériels et socio-économiques (la pauvreté et le chômage des jeunes en l’occurrence) ainsi qu’aux facteurs d’ordre relationnel, dont les problèmes de communication. Il existe certes des variations selon certaines caractéristiques et selon les contextes étudiés.</w:t>
      </w:r>
    </w:p>
    <w:p w:rsidR="004E3228" w:rsidRDefault="004E3228" w:rsidP="007D5AAD">
      <w:pPr>
        <w:pBdr>
          <w:top w:val="nil"/>
          <w:left w:val="nil"/>
          <w:bottom w:val="nil"/>
          <w:right w:val="nil"/>
          <w:between w:val="nil"/>
        </w:pBd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Concernant la violence conjugale, les conflits d’intérêt matériel sont cités comme principales causes de la violence par 39% des hommes </w:t>
      </w:r>
      <w:r w:rsidR="00EE0319" w:rsidRPr="007D5AAD">
        <w:rPr>
          <w:rFonts w:asciiTheme="majorBidi" w:hAnsiTheme="majorBidi" w:cstheme="majorBidi"/>
          <w:sz w:val="26"/>
          <w:szCs w:val="26"/>
        </w:rPr>
        <w:t>en milieu urbain</w:t>
      </w:r>
      <w:r w:rsidRPr="007D5AAD">
        <w:rPr>
          <w:rFonts w:asciiTheme="majorBidi" w:hAnsiTheme="majorBidi" w:cstheme="majorBidi"/>
          <w:sz w:val="26"/>
          <w:szCs w:val="26"/>
        </w:rPr>
        <w:t xml:space="preserve">. En milieu rural, </w:t>
      </w:r>
      <w:r w:rsidR="007D5AAD">
        <w:rPr>
          <w:rFonts w:asciiTheme="majorBidi" w:hAnsiTheme="majorBidi" w:cstheme="majorBidi"/>
          <w:sz w:val="26"/>
          <w:szCs w:val="26"/>
        </w:rPr>
        <w:t xml:space="preserve">c’est </w:t>
      </w:r>
      <w:r w:rsidRPr="007D5AAD">
        <w:rPr>
          <w:rFonts w:asciiTheme="majorBidi" w:hAnsiTheme="majorBidi" w:cstheme="majorBidi"/>
          <w:sz w:val="26"/>
          <w:szCs w:val="26"/>
        </w:rPr>
        <w:t xml:space="preserve">la pauvreté </w:t>
      </w:r>
      <w:r w:rsidR="007D5AAD">
        <w:rPr>
          <w:rFonts w:asciiTheme="majorBidi" w:hAnsiTheme="majorBidi" w:cstheme="majorBidi"/>
          <w:sz w:val="26"/>
          <w:szCs w:val="26"/>
        </w:rPr>
        <w:t xml:space="preserve">qui </w:t>
      </w:r>
      <w:r w:rsidRPr="007D5AAD">
        <w:rPr>
          <w:rFonts w:asciiTheme="majorBidi" w:hAnsiTheme="majorBidi" w:cstheme="majorBidi"/>
          <w:sz w:val="26"/>
          <w:szCs w:val="26"/>
        </w:rPr>
        <w:t>est citée en premier lieu par 44% des hommes.</w:t>
      </w:r>
      <w:r w:rsidRPr="004E3228">
        <w:rPr>
          <w:rFonts w:asciiTheme="majorBidi" w:hAnsiTheme="majorBidi" w:cstheme="majorBidi"/>
          <w:sz w:val="26"/>
          <w:szCs w:val="26"/>
        </w:rPr>
        <w:t xml:space="preserve"> Les deux facteurs combinés, les conflits d’intérêt matériel et la pauvreté, représentent les principaux facteurs de risque de la violence conjugale pour 74% d’hommes (73% en milieu urbain et 77% en milieu rural). Les problèmes de communication sont incriminés par plus de 6% des hommes ; 9% parmi les jeunes âgés entre 15 et 24 ans et aussi parmi les hommes ayant un niveau scolaire supérieur.</w:t>
      </w:r>
    </w:p>
    <w:p w:rsidR="001114B7" w:rsidRPr="006E5127" w:rsidRDefault="001114B7" w:rsidP="006E5127">
      <w:pPr>
        <w:spacing w:after="120" w:line="276" w:lineRule="auto"/>
        <w:jc w:val="both"/>
        <w:rPr>
          <w:rFonts w:asciiTheme="majorBidi" w:hAnsiTheme="majorBidi" w:cstheme="majorBidi"/>
          <w:b/>
          <w:i/>
          <w:color w:val="548DD4"/>
          <w:sz w:val="12"/>
          <w:szCs w:val="12"/>
        </w:rPr>
      </w:pPr>
    </w:p>
    <w:p w:rsidR="004E3228" w:rsidRPr="00CB4A14" w:rsidRDefault="004E3228" w:rsidP="004E3228">
      <w:pPr>
        <w:pBdr>
          <w:top w:val="nil"/>
          <w:left w:val="nil"/>
          <w:bottom w:val="nil"/>
          <w:right w:val="nil"/>
          <w:between w:val="nil"/>
        </w:pBdr>
        <w:spacing w:after="120" w:line="276" w:lineRule="auto"/>
        <w:jc w:val="both"/>
        <w:rPr>
          <w:rFonts w:asciiTheme="majorBidi" w:hAnsiTheme="majorBidi" w:cstheme="majorBidi"/>
          <w:b/>
          <w:i/>
          <w:color w:val="548DD4"/>
          <w:sz w:val="28"/>
          <w:szCs w:val="28"/>
        </w:rPr>
      </w:pPr>
      <w:r w:rsidRPr="00CB4A14">
        <w:rPr>
          <w:rFonts w:asciiTheme="majorBidi" w:hAnsiTheme="majorBidi" w:cstheme="majorBidi"/>
          <w:b/>
          <w:i/>
          <w:color w:val="548DD4"/>
          <w:sz w:val="28"/>
          <w:szCs w:val="28"/>
        </w:rPr>
        <w:t>La pauvreté, la consommation des drogues et d’alcool : principales causes de la violence dans les lieux publics</w:t>
      </w:r>
    </w:p>
    <w:p w:rsidR="004E3228" w:rsidRPr="004E3228" w:rsidRDefault="004E3228" w:rsidP="001231C6">
      <w:pPr>
        <w:pBdr>
          <w:top w:val="nil"/>
          <w:left w:val="nil"/>
          <w:bottom w:val="nil"/>
          <w:right w:val="nil"/>
          <w:between w:val="nil"/>
        </w:pBd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lastRenderedPageBreak/>
        <w:t>Quelles que soient leurs caractéristiques sociodémographiques, les hommes citent trois facteurs principaux de la survenue de la violence dans les lieux publics.</w:t>
      </w:r>
      <w:r w:rsidR="007D5AAD">
        <w:rPr>
          <w:rFonts w:asciiTheme="majorBidi" w:hAnsiTheme="majorBidi" w:cstheme="majorBidi"/>
          <w:sz w:val="26"/>
          <w:szCs w:val="26"/>
        </w:rPr>
        <w:t xml:space="preserve"> </w:t>
      </w:r>
      <w:r w:rsidRPr="004E3228">
        <w:rPr>
          <w:rFonts w:asciiTheme="majorBidi" w:hAnsiTheme="majorBidi" w:cstheme="majorBidi"/>
          <w:sz w:val="26"/>
          <w:szCs w:val="26"/>
        </w:rPr>
        <w:t>Il s’agit de la pauvreté (40%), de la consommation des drogues et d’alcool (21%), du faible niveau éducatif et culturel des auteurs de violence (8%).</w:t>
      </w:r>
    </w:p>
    <w:p w:rsidR="00D019F6" w:rsidRPr="006E5127" w:rsidRDefault="00D019F6" w:rsidP="004E3228">
      <w:pPr>
        <w:spacing w:after="120" w:line="276" w:lineRule="auto"/>
        <w:jc w:val="both"/>
        <w:rPr>
          <w:rFonts w:asciiTheme="majorBidi" w:hAnsiTheme="majorBidi" w:cstheme="majorBidi"/>
          <w:b/>
          <w:i/>
          <w:color w:val="548DD4"/>
          <w:sz w:val="12"/>
          <w:szCs w:val="12"/>
        </w:rPr>
      </w:pPr>
    </w:p>
    <w:p w:rsidR="004E3228" w:rsidRPr="00CB4A14" w:rsidRDefault="004E3228" w:rsidP="004E3228">
      <w:pPr>
        <w:spacing w:after="120" w:line="276" w:lineRule="auto"/>
        <w:jc w:val="both"/>
        <w:rPr>
          <w:rFonts w:asciiTheme="majorBidi" w:hAnsiTheme="majorBidi" w:cstheme="majorBidi"/>
          <w:b/>
          <w:i/>
          <w:color w:val="548DD4"/>
          <w:sz w:val="28"/>
          <w:szCs w:val="28"/>
        </w:rPr>
      </w:pPr>
      <w:r w:rsidRPr="00CB4A14">
        <w:rPr>
          <w:rFonts w:asciiTheme="majorBidi" w:hAnsiTheme="majorBidi" w:cstheme="majorBidi"/>
          <w:b/>
          <w:i/>
          <w:color w:val="548DD4"/>
          <w:sz w:val="28"/>
          <w:szCs w:val="28"/>
        </w:rPr>
        <w:t>Persistance de la vision traditionnelle du partage des rôles entre hommes et femmes au sein du ménage parmi les ruraux, les moins instruits et les anciennes générations</w:t>
      </w:r>
    </w:p>
    <w:p w:rsidR="004E3228" w:rsidRPr="004E3228" w:rsidRDefault="004E3228" w:rsidP="004E3228">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Les perceptions concernant les rapports de pouvoir et d’autorité liés au genre ont été relevées afin d’élucider les normes sociales liées aux vécus de la violence sous ses différentes formes et dans ses différents espaces de vie, en l’occurrence le contexte conjugal.</w:t>
      </w:r>
    </w:p>
    <w:p w:rsidR="004E3228" w:rsidRPr="004E3228" w:rsidRDefault="004E3228" w:rsidP="004E3228">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Les opinions des répondants ont été ainsi sollicitées sur plusieurs sujets : sur la conception même de la masculinité ; sur la question du partage de l’autorité et de concertation entre la femme et l’homme au sein du ménage ; sur le recours à la violence à l’encontre de la </w:t>
      </w:r>
      <w:r w:rsidR="00B73050" w:rsidRPr="004E3228">
        <w:rPr>
          <w:rFonts w:asciiTheme="majorBidi" w:hAnsiTheme="majorBidi" w:cstheme="majorBidi"/>
          <w:sz w:val="26"/>
          <w:szCs w:val="26"/>
        </w:rPr>
        <w:t>femme ;</w:t>
      </w:r>
      <w:r w:rsidRPr="004E3228">
        <w:rPr>
          <w:rFonts w:asciiTheme="majorBidi" w:hAnsiTheme="majorBidi" w:cstheme="majorBidi"/>
          <w:sz w:val="26"/>
          <w:szCs w:val="26"/>
        </w:rPr>
        <w:t xml:space="preserve"> sur l’acception de la violence conjugale et ses raisons sociales.</w:t>
      </w:r>
    </w:p>
    <w:p w:rsidR="00014DE5" w:rsidRDefault="004E3228" w:rsidP="00D019F6">
      <w:pPr>
        <w:spacing w:after="120" w:line="276" w:lineRule="auto"/>
        <w:jc w:val="both"/>
        <w:rPr>
          <w:rFonts w:asciiTheme="majorBidi" w:hAnsiTheme="majorBidi" w:cstheme="majorBidi"/>
          <w:bCs/>
          <w:sz w:val="26"/>
          <w:szCs w:val="26"/>
        </w:rPr>
      </w:pPr>
      <w:r w:rsidRPr="004E3228">
        <w:rPr>
          <w:rFonts w:asciiTheme="majorBidi" w:hAnsiTheme="majorBidi" w:cstheme="majorBidi"/>
          <w:sz w:val="26"/>
          <w:szCs w:val="26"/>
        </w:rPr>
        <w:t>Concernant le partage des tâches domestiques entre l’homme et la femme, près de 9% des hommes affirment de manière catégorique que "</w:t>
      </w:r>
      <w:r w:rsidRPr="004E3228">
        <w:rPr>
          <w:rFonts w:asciiTheme="majorBidi" w:hAnsiTheme="majorBidi" w:cstheme="majorBidi"/>
          <w:b/>
          <w:sz w:val="26"/>
          <w:szCs w:val="26"/>
        </w:rPr>
        <w:t>la participation de l’homme aux tâches domestiques le rabaisserait et le dévaloriserait</w:t>
      </w:r>
      <w:r w:rsidRPr="004E3228">
        <w:rPr>
          <w:rFonts w:asciiTheme="majorBidi" w:hAnsiTheme="majorBidi" w:cstheme="majorBidi"/>
          <w:sz w:val="26"/>
          <w:szCs w:val="26"/>
        </w:rPr>
        <w:t xml:space="preserve">". Cette proportion est plus élevée parmi les hommes ruraux (12% contre 6% des citadins), les sans niveau scolaire (15% contre 5% pour ceux ayant un niveau supérieur) et les hommes âgés de 60 ans et plus (12% contre 8% pour ceux âgés de 15 à 24 ans). </w:t>
      </w:r>
    </w:p>
    <w:p w:rsidR="004E3228" w:rsidRPr="00014DE5" w:rsidRDefault="004E3228" w:rsidP="00C23EEC">
      <w:pPr>
        <w:spacing w:after="120" w:line="276" w:lineRule="auto"/>
        <w:jc w:val="both"/>
        <w:rPr>
          <w:rFonts w:asciiTheme="majorBidi" w:hAnsiTheme="majorBidi" w:cstheme="majorBidi"/>
          <w:bCs/>
          <w:sz w:val="26"/>
          <w:szCs w:val="26"/>
        </w:rPr>
      </w:pPr>
      <w:r w:rsidRPr="00014DE5">
        <w:rPr>
          <w:rFonts w:asciiTheme="majorBidi" w:hAnsiTheme="majorBidi" w:cstheme="majorBidi"/>
          <w:bCs/>
          <w:sz w:val="26"/>
          <w:szCs w:val="26"/>
        </w:rPr>
        <w:t>Graphique </w:t>
      </w:r>
      <w:r w:rsidR="00B73050" w:rsidRPr="00014DE5">
        <w:rPr>
          <w:rFonts w:asciiTheme="majorBidi" w:hAnsiTheme="majorBidi" w:cstheme="majorBidi"/>
          <w:bCs/>
          <w:sz w:val="26"/>
          <w:szCs w:val="26"/>
        </w:rPr>
        <w:t>2 :</w:t>
      </w:r>
      <w:r w:rsidRPr="00014DE5">
        <w:rPr>
          <w:rFonts w:asciiTheme="majorBidi" w:hAnsiTheme="majorBidi" w:cstheme="majorBidi"/>
          <w:bCs/>
          <w:sz w:val="26"/>
          <w:szCs w:val="26"/>
        </w:rPr>
        <w:t xml:space="preserve"> Perception des hommes sur le fait que « la participation de l’homme aux tâches ménagères le dévalorise » selon le milieu de résidence et les groupes d’âges</w:t>
      </w:r>
    </w:p>
    <w:p w:rsidR="004E3228" w:rsidRPr="004E3228" w:rsidRDefault="004E3228" w:rsidP="004E3228">
      <w:pPr>
        <w:spacing w:after="120" w:line="276" w:lineRule="auto"/>
        <w:jc w:val="both"/>
        <w:rPr>
          <w:rFonts w:asciiTheme="majorBidi" w:hAnsiTheme="majorBidi" w:cstheme="majorBidi"/>
          <w:b/>
          <w:sz w:val="26"/>
          <w:szCs w:val="26"/>
        </w:rPr>
      </w:pPr>
      <w:r w:rsidRPr="004E3228">
        <w:rPr>
          <w:rFonts w:asciiTheme="majorBidi" w:hAnsiTheme="majorBidi" w:cstheme="majorBidi"/>
          <w:noProof/>
          <w:sz w:val="26"/>
          <w:szCs w:val="26"/>
        </w:rPr>
        <w:lastRenderedPageBreak/>
        <w:drawing>
          <wp:inline distT="0" distB="0" distL="0" distR="0">
            <wp:extent cx="5459415" cy="2659053"/>
            <wp:effectExtent l="19050" t="0" r="26985" b="7947"/>
            <wp:docPr id="7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E3228" w:rsidRDefault="004E3228" w:rsidP="004E3228">
      <w:pPr>
        <w:tabs>
          <w:tab w:val="left" w:pos="426"/>
        </w:tabs>
        <w:spacing w:before="240" w:after="120" w:line="276" w:lineRule="auto"/>
        <w:jc w:val="both"/>
        <w:rPr>
          <w:rFonts w:asciiTheme="majorBidi" w:hAnsiTheme="majorBidi" w:cstheme="majorBidi"/>
          <w:b/>
          <w:sz w:val="20"/>
          <w:szCs w:val="20"/>
        </w:rPr>
      </w:pPr>
      <w:r w:rsidRPr="00CB4A14">
        <w:rPr>
          <w:rFonts w:asciiTheme="majorBidi" w:hAnsiTheme="majorBidi" w:cstheme="majorBidi"/>
          <w:b/>
          <w:sz w:val="20"/>
          <w:szCs w:val="20"/>
        </w:rPr>
        <w:t xml:space="preserve">Source : HCP, Enquête Nationale sur la Violence à l’encontre des femmes et des hommes 2019 </w:t>
      </w:r>
    </w:p>
    <w:p w:rsidR="00D76C52" w:rsidRDefault="00D76C52" w:rsidP="00D76C52">
      <w:pPr>
        <w:tabs>
          <w:tab w:val="left" w:pos="426"/>
        </w:tabs>
        <w:spacing w:before="240"/>
        <w:jc w:val="both"/>
        <w:rPr>
          <w:rFonts w:asciiTheme="majorBidi" w:hAnsiTheme="majorBidi" w:cstheme="majorBidi"/>
          <w:b/>
          <w:sz w:val="20"/>
          <w:szCs w:val="20"/>
        </w:rPr>
      </w:pPr>
    </w:p>
    <w:p w:rsidR="004E3228" w:rsidRPr="004E3228" w:rsidRDefault="004E3228" w:rsidP="004E3228">
      <w:pPr>
        <w:pBdr>
          <w:top w:val="nil"/>
          <w:left w:val="nil"/>
          <w:bottom w:val="nil"/>
          <w:right w:val="nil"/>
          <w:between w:val="nil"/>
        </w:pBd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Toutefois, plus de la moitié des hommes sont d’accord sur le fait que "</w:t>
      </w:r>
      <w:r w:rsidRPr="004E3228">
        <w:rPr>
          <w:rFonts w:asciiTheme="majorBidi" w:hAnsiTheme="majorBidi" w:cstheme="majorBidi"/>
          <w:b/>
          <w:sz w:val="26"/>
          <w:szCs w:val="26"/>
        </w:rPr>
        <w:t>le rôle le plus important de la femme est de s’occuper des affaires du ménage</w:t>
      </w:r>
      <w:r w:rsidR="00B73050" w:rsidRPr="004E3228">
        <w:rPr>
          <w:rFonts w:asciiTheme="majorBidi" w:hAnsiTheme="majorBidi" w:cstheme="majorBidi"/>
          <w:sz w:val="26"/>
          <w:szCs w:val="26"/>
        </w:rPr>
        <w:t>» :</w:t>
      </w:r>
      <w:r w:rsidRPr="004E3228">
        <w:rPr>
          <w:rFonts w:asciiTheme="majorBidi" w:hAnsiTheme="majorBidi" w:cstheme="majorBidi"/>
          <w:sz w:val="26"/>
          <w:szCs w:val="26"/>
        </w:rPr>
        <w:t xml:space="preserve"> 31% sont tout à fait d’accord et 23</w:t>
      </w:r>
      <w:r w:rsidR="00B73050" w:rsidRPr="004E3228">
        <w:rPr>
          <w:rFonts w:asciiTheme="majorBidi" w:hAnsiTheme="majorBidi" w:cstheme="majorBidi"/>
          <w:sz w:val="26"/>
          <w:szCs w:val="26"/>
        </w:rPr>
        <w:t>% sont</w:t>
      </w:r>
      <w:r w:rsidRPr="004E3228">
        <w:rPr>
          <w:rFonts w:asciiTheme="majorBidi" w:hAnsiTheme="majorBidi" w:cstheme="majorBidi"/>
          <w:sz w:val="26"/>
          <w:szCs w:val="26"/>
        </w:rPr>
        <w:t xml:space="preserve"> à priori d’accord.  </w:t>
      </w:r>
    </w:p>
    <w:p w:rsidR="004E3228" w:rsidRPr="004E3228" w:rsidRDefault="004E3228" w:rsidP="004E3228">
      <w:pPr>
        <w:pBdr>
          <w:top w:val="nil"/>
          <w:left w:val="nil"/>
          <w:bottom w:val="nil"/>
          <w:right w:val="nil"/>
          <w:between w:val="nil"/>
        </w:pBd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Les représentations de la masculinité peuvent sans doute avoir un impact sur la conception de l’autorité et du pouvoir dans les relations hommes-femmes.</w:t>
      </w:r>
    </w:p>
    <w:p w:rsidR="004E3228" w:rsidRPr="004E3228" w:rsidRDefault="004E3228" w:rsidP="004E3228">
      <w:pPr>
        <w:pBdr>
          <w:top w:val="nil"/>
          <w:left w:val="nil"/>
          <w:bottom w:val="nil"/>
          <w:right w:val="nil"/>
          <w:between w:val="nil"/>
        </w:pBd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Concernant </w:t>
      </w:r>
      <w:r w:rsidRPr="004E3228">
        <w:rPr>
          <w:rFonts w:asciiTheme="majorBidi" w:hAnsiTheme="majorBidi" w:cstheme="majorBidi"/>
          <w:b/>
          <w:sz w:val="26"/>
          <w:szCs w:val="26"/>
        </w:rPr>
        <w:t>le partage de l’autorité entre la femme et l’homme au sein du ménage</w:t>
      </w:r>
      <w:r w:rsidRPr="004E3228">
        <w:rPr>
          <w:rFonts w:asciiTheme="majorBidi" w:hAnsiTheme="majorBidi" w:cstheme="majorBidi"/>
          <w:sz w:val="26"/>
          <w:szCs w:val="26"/>
        </w:rPr>
        <w:t>, 15% des hommes désapprouvent de manière catégorique et 10% dans certaine mesure, le partage de l’autorité au sein du couple.</w:t>
      </w:r>
    </w:p>
    <w:p w:rsidR="004E3228" w:rsidRDefault="004E3228" w:rsidP="004E3228">
      <w:pPr>
        <w:pBdr>
          <w:top w:val="nil"/>
          <w:left w:val="nil"/>
          <w:bottom w:val="nil"/>
          <w:right w:val="nil"/>
          <w:between w:val="nil"/>
        </w:pBd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Les perceptions catégoriquement défavorables au partage de l’autorité au sein du couple sont plus exprimées par les hommes ruraux (18% contre 14% parmi les citadins) et les sans niveau scolaire (22% contre 11% parmi ceux ayant un niveau scolaire supérieur).</w:t>
      </w:r>
    </w:p>
    <w:p w:rsidR="00D019F6" w:rsidRDefault="004E3228" w:rsidP="00D019F6">
      <w:pPr>
        <w:spacing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Dans le même contexte, </w:t>
      </w:r>
      <w:r w:rsidR="00214A3C">
        <w:rPr>
          <w:rFonts w:asciiTheme="majorBidi" w:hAnsiTheme="majorBidi" w:cstheme="majorBidi"/>
          <w:sz w:val="26"/>
          <w:szCs w:val="26"/>
        </w:rPr>
        <w:t xml:space="preserve">63% </w:t>
      </w:r>
      <w:r w:rsidRPr="004E3228">
        <w:rPr>
          <w:rFonts w:asciiTheme="majorBidi" w:hAnsiTheme="majorBidi" w:cstheme="majorBidi"/>
          <w:sz w:val="26"/>
          <w:szCs w:val="26"/>
        </w:rPr>
        <w:t xml:space="preserve">d’hommes et principalement les ruraux (70% contre 59% des citadins) trouvent normal que </w:t>
      </w:r>
      <w:r w:rsidRPr="004E3228">
        <w:rPr>
          <w:rFonts w:asciiTheme="majorBidi" w:hAnsiTheme="majorBidi" w:cstheme="majorBidi"/>
          <w:b/>
          <w:sz w:val="26"/>
          <w:szCs w:val="26"/>
        </w:rPr>
        <w:t>le dernier mot revienne au conjoint masculin sur toutes les questions concernant les affaires de la famille</w:t>
      </w:r>
      <w:r w:rsidRPr="004E3228">
        <w:rPr>
          <w:rFonts w:asciiTheme="majorBidi" w:hAnsiTheme="majorBidi" w:cstheme="majorBidi"/>
          <w:sz w:val="26"/>
          <w:szCs w:val="26"/>
        </w:rPr>
        <w:t xml:space="preserve">. Cette proportion est de 74% parmi les hommes n’ayant aucun niveau scolaire contre 45% parmi ceux ayant un niveau scolaire supérieur. </w:t>
      </w:r>
    </w:p>
    <w:p w:rsidR="00D019F6" w:rsidRDefault="00D019F6" w:rsidP="00D019F6">
      <w:pPr>
        <w:spacing w:line="276" w:lineRule="auto"/>
        <w:jc w:val="both"/>
        <w:rPr>
          <w:rFonts w:asciiTheme="majorBidi" w:hAnsiTheme="majorBidi" w:cstheme="majorBidi"/>
          <w:sz w:val="26"/>
          <w:szCs w:val="26"/>
        </w:rPr>
      </w:pPr>
    </w:p>
    <w:p w:rsidR="004E3228" w:rsidRPr="004E3228" w:rsidRDefault="005466C1" w:rsidP="00D019F6">
      <w:pPr>
        <w:spacing w:line="276" w:lineRule="auto"/>
        <w:jc w:val="both"/>
        <w:rPr>
          <w:rFonts w:asciiTheme="majorBidi" w:hAnsiTheme="majorBidi" w:cstheme="majorBidi"/>
          <w:sz w:val="26"/>
          <w:szCs w:val="26"/>
        </w:rPr>
      </w:pPr>
      <w:r w:rsidRPr="007D5AAD">
        <w:rPr>
          <w:rFonts w:asciiTheme="majorBidi" w:hAnsiTheme="majorBidi" w:cstheme="majorBidi"/>
          <w:sz w:val="26"/>
          <w:szCs w:val="26"/>
        </w:rPr>
        <w:t>C</w:t>
      </w:r>
      <w:r w:rsidR="004E3228" w:rsidRPr="007D5AAD">
        <w:rPr>
          <w:rFonts w:asciiTheme="majorBidi" w:hAnsiTheme="majorBidi" w:cstheme="majorBidi"/>
          <w:sz w:val="26"/>
          <w:szCs w:val="26"/>
        </w:rPr>
        <w:t>oncern</w:t>
      </w:r>
      <w:r w:rsidR="00214A3C" w:rsidRPr="007D5AAD">
        <w:rPr>
          <w:rFonts w:asciiTheme="majorBidi" w:hAnsiTheme="majorBidi" w:cstheme="majorBidi"/>
          <w:sz w:val="26"/>
          <w:szCs w:val="26"/>
        </w:rPr>
        <w:t>ant</w:t>
      </w:r>
      <w:r w:rsidR="004E3228" w:rsidRPr="004E3228">
        <w:rPr>
          <w:rFonts w:asciiTheme="majorBidi" w:hAnsiTheme="majorBidi" w:cstheme="majorBidi"/>
          <w:sz w:val="26"/>
          <w:szCs w:val="26"/>
        </w:rPr>
        <w:t xml:space="preserve"> l’expression des opinions entre partenaires</w:t>
      </w:r>
      <w:r w:rsidR="00214A3C">
        <w:rPr>
          <w:rFonts w:asciiTheme="majorBidi" w:hAnsiTheme="majorBidi" w:cstheme="majorBidi"/>
          <w:sz w:val="26"/>
          <w:szCs w:val="26"/>
        </w:rPr>
        <w:t xml:space="preserve">, </w:t>
      </w:r>
      <w:r w:rsidR="004E3228" w:rsidRPr="004E3228">
        <w:rPr>
          <w:rFonts w:asciiTheme="majorBidi" w:hAnsiTheme="majorBidi" w:cstheme="majorBidi"/>
          <w:sz w:val="26"/>
          <w:szCs w:val="26"/>
        </w:rPr>
        <w:t>33% des hommes n’acceptent pas que</w:t>
      </w:r>
      <w:r w:rsidR="004E3228" w:rsidRPr="004E3228">
        <w:rPr>
          <w:rFonts w:asciiTheme="majorBidi" w:hAnsiTheme="majorBidi" w:cstheme="majorBidi"/>
          <w:b/>
          <w:sz w:val="26"/>
          <w:szCs w:val="26"/>
        </w:rPr>
        <w:t xml:space="preserve"> la femme contredise l’opinion de son partenaire même si elle n’en est pas convaincue</w:t>
      </w:r>
      <w:r w:rsidR="004E3228" w:rsidRPr="004E3228">
        <w:rPr>
          <w:rFonts w:asciiTheme="majorBidi" w:hAnsiTheme="majorBidi" w:cstheme="majorBidi"/>
          <w:sz w:val="26"/>
          <w:szCs w:val="26"/>
        </w:rPr>
        <w:t xml:space="preserve">. Cette proportion est particulièrement élevée parmi </w:t>
      </w:r>
      <w:r w:rsidR="004E3228" w:rsidRPr="004E3228">
        <w:rPr>
          <w:rFonts w:asciiTheme="majorBidi" w:hAnsiTheme="majorBidi" w:cstheme="majorBidi"/>
          <w:sz w:val="26"/>
          <w:szCs w:val="26"/>
        </w:rPr>
        <w:lastRenderedPageBreak/>
        <w:t>les hommes ruraux (41% contre 28% des citadins), les hommes âgés de 60 ans et plus (38% contre 32% parmi les hommes âgés de 15 à 34 ans) et les hommes sans aucun niveau scolaire (44% contre 16% parmi les hommes ayant un niveau scolaire supérieur).</w:t>
      </w:r>
    </w:p>
    <w:p w:rsidR="004E3228" w:rsidRPr="004E3228" w:rsidRDefault="004E3228" w:rsidP="004E3228">
      <w:pPr>
        <w:spacing w:before="240" w:after="120" w:line="276" w:lineRule="auto"/>
        <w:jc w:val="both"/>
        <w:rPr>
          <w:rFonts w:asciiTheme="majorBidi" w:hAnsiTheme="majorBidi" w:cstheme="majorBidi"/>
          <w:sz w:val="26"/>
          <w:szCs w:val="26"/>
          <w:rtl/>
        </w:rPr>
      </w:pPr>
      <w:r w:rsidRPr="004E3228">
        <w:rPr>
          <w:rFonts w:asciiTheme="majorBidi" w:hAnsiTheme="majorBidi" w:cstheme="majorBidi"/>
          <w:sz w:val="26"/>
          <w:szCs w:val="26"/>
        </w:rPr>
        <w:t xml:space="preserve">Il semble ainsi que sur cette question d’autorité au sein du couple, les opinions des hommes sont assez ambivalentes. Une telle ambivalence peut-être due aux gaps qui existent entre ce que les gens perçoivent et leurs attitudes effectives. </w:t>
      </w:r>
    </w:p>
    <w:p w:rsidR="004E3228" w:rsidRPr="004E3228" w:rsidRDefault="004E3228" w:rsidP="004E3228">
      <w:pPr>
        <w:pBdr>
          <w:top w:val="nil"/>
          <w:left w:val="nil"/>
          <w:bottom w:val="nil"/>
          <w:right w:val="nil"/>
          <w:between w:val="nil"/>
        </w:pBd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Les rapports biaisés d’autorité et de pouvoir entre les deux sexes sont souvent des causes principales de la violence perpétrée surtout dans des espaces de vie où ce genre de rapports est fréquent, en particulier le contexte conjugal.</w:t>
      </w:r>
    </w:p>
    <w:p w:rsidR="004E3228" w:rsidRDefault="004E3228" w:rsidP="004E3228">
      <w:pPr>
        <w:pBdr>
          <w:top w:val="nil"/>
          <w:left w:val="nil"/>
          <w:bottom w:val="nil"/>
          <w:right w:val="nil"/>
          <w:between w:val="nil"/>
        </w:pBd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Les perceptions contrastées de l’autorité et de la masculinité dans la société interpellent également l’examen des formes d’acceptation sociales et psychologiques de la violence à l’encontre des femmes. </w:t>
      </w:r>
    </w:p>
    <w:p w:rsidR="001114B7" w:rsidRPr="006E5127" w:rsidRDefault="001114B7" w:rsidP="006E5127">
      <w:pPr>
        <w:spacing w:after="120" w:line="276" w:lineRule="auto"/>
        <w:jc w:val="both"/>
        <w:rPr>
          <w:rFonts w:asciiTheme="majorBidi" w:hAnsiTheme="majorBidi" w:cstheme="majorBidi"/>
          <w:b/>
          <w:i/>
          <w:color w:val="548DD4"/>
          <w:sz w:val="12"/>
          <w:szCs w:val="12"/>
        </w:rPr>
      </w:pPr>
    </w:p>
    <w:p w:rsidR="004E3228" w:rsidRPr="00CB4A14" w:rsidRDefault="004E3228" w:rsidP="004E3228">
      <w:pPr>
        <w:spacing w:after="120" w:line="276" w:lineRule="auto"/>
        <w:jc w:val="both"/>
        <w:rPr>
          <w:rFonts w:asciiTheme="majorBidi" w:hAnsiTheme="majorBidi" w:cstheme="majorBidi"/>
          <w:b/>
          <w:i/>
          <w:color w:val="548DD4"/>
          <w:sz w:val="28"/>
          <w:szCs w:val="28"/>
        </w:rPr>
      </w:pPr>
      <w:r w:rsidRPr="00CB4A14">
        <w:rPr>
          <w:rFonts w:asciiTheme="majorBidi" w:hAnsiTheme="majorBidi" w:cstheme="majorBidi"/>
          <w:b/>
          <w:i/>
          <w:color w:val="548DD4"/>
          <w:sz w:val="28"/>
          <w:szCs w:val="28"/>
        </w:rPr>
        <w:t xml:space="preserve">Près du tiers des hommes reconnaissent au conjoint le droit de battre sa partenaire pour une quelconque faute </w:t>
      </w:r>
    </w:p>
    <w:p w:rsidR="004E3228" w:rsidRPr="004E3228" w:rsidRDefault="004E3228" w:rsidP="004E3228">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Ainsi, sur certains aspects, spécifiques et complémentaires, liés au droit du partenaire de violenter sa conjointe, les résultats montrent que près des 2/3 des hommes (64%) refusent le recours du conjoint à la violence à l’encontre de sa partenaire quelle qu’en soit la raison. Néanmoins, plus de 25% des hommes reconnaissent au conjoint le droit de battre / violenter son épouse </w:t>
      </w:r>
      <w:r w:rsidRPr="004E3228">
        <w:rPr>
          <w:rFonts w:asciiTheme="majorBidi" w:hAnsiTheme="majorBidi" w:cstheme="majorBidi"/>
          <w:b/>
          <w:sz w:val="26"/>
          <w:szCs w:val="26"/>
        </w:rPr>
        <w:t>si elle sort sans son autorisation</w:t>
      </w:r>
      <w:r w:rsidRPr="004E3228">
        <w:rPr>
          <w:rFonts w:asciiTheme="majorBidi" w:hAnsiTheme="majorBidi" w:cstheme="majorBidi"/>
          <w:sz w:val="26"/>
          <w:szCs w:val="26"/>
        </w:rPr>
        <w:t xml:space="preserve"> et 15% si</w:t>
      </w:r>
      <w:r w:rsidRPr="004E3228">
        <w:rPr>
          <w:rFonts w:asciiTheme="majorBidi" w:hAnsiTheme="majorBidi" w:cstheme="majorBidi"/>
          <w:b/>
          <w:sz w:val="26"/>
          <w:szCs w:val="26"/>
        </w:rPr>
        <w:t xml:space="preserve"> elle néglige de s’occuper des enfants</w:t>
      </w:r>
      <w:r w:rsidRPr="004E3228">
        <w:rPr>
          <w:rFonts w:asciiTheme="majorBidi" w:hAnsiTheme="majorBidi" w:cstheme="majorBidi"/>
          <w:sz w:val="26"/>
          <w:szCs w:val="26"/>
        </w:rPr>
        <w:t xml:space="preserve">. </w:t>
      </w:r>
    </w:p>
    <w:p w:rsidR="004E3228" w:rsidRDefault="004E3228" w:rsidP="004E3228">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Ils sont plus de 7% à approuver le fait que le conjoint a le droit de battre / violenter son épouse </w:t>
      </w:r>
      <w:r w:rsidRPr="004E3228">
        <w:rPr>
          <w:rFonts w:asciiTheme="majorBidi" w:hAnsiTheme="majorBidi" w:cstheme="majorBidi"/>
          <w:b/>
          <w:sz w:val="26"/>
          <w:szCs w:val="26"/>
        </w:rPr>
        <w:t>si elle refuse d’avoir une relation sexuelle avec lui</w:t>
      </w:r>
      <w:r w:rsidRPr="004E3228">
        <w:rPr>
          <w:rFonts w:asciiTheme="majorBidi" w:hAnsiTheme="majorBidi" w:cstheme="majorBidi"/>
          <w:sz w:val="26"/>
          <w:szCs w:val="26"/>
        </w:rPr>
        <w:t xml:space="preserve">, 6% </w:t>
      </w:r>
      <w:r w:rsidRPr="004E3228">
        <w:rPr>
          <w:rFonts w:asciiTheme="majorBidi" w:hAnsiTheme="majorBidi" w:cstheme="majorBidi"/>
          <w:b/>
          <w:sz w:val="26"/>
          <w:szCs w:val="26"/>
        </w:rPr>
        <w:t>si elle néglige les travaux ménagers</w:t>
      </w:r>
      <w:r w:rsidRPr="004E3228">
        <w:rPr>
          <w:rFonts w:asciiTheme="majorBidi" w:hAnsiTheme="majorBidi" w:cstheme="majorBidi"/>
          <w:sz w:val="26"/>
          <w:szCs w:val="26"/>
        </w:rPr>
        <w:t xml:space="preserve"> et 6% </w:t>
      </w:r>
      <w:r w:rsidRPr="004E3228">
        <w:rPr>
          <w:rFonts w:asciiTheme="majorBidi" w:hAnsiTheme="majorBidi" w:cstheme="majorBidi"/>
          <w:b/>
          <w:sz w:val="26"/>
          <w:szCs w:val="26"/>
        </w:rPr>
        <w:t>si elle contredit ses opinions</w:t>
      </w:r>
      <w:r w:rsidRPr="004E3228">
        <w:rPr>
          <w:rFonts w:asciiTheme="majorBidi" w:hAnsiTheme="majorBidi" w:cstheme="majorBidi"/>
          <w:sz w:val="26"/>
          <w:szCs w:val="26"/>
        </w:rPr>
        <w:t xml:space="preserve">. </w:t>
      </w:r>
    </w:p>
    <w:p w:rsidR="001114B7" w:rsidRPr="004E3228" w:rsidRDefault="001114B7" w:rsidP="004E3228">
      <w:pPr>
        <w:spacing w:after="120" w:line="276" w:lineRule="auto"/>
        <w:jc w:val="both"/>
        <w:rPr>
          <w:rFonts w:asciiTheme="majorBidi" w:hAnsiTheme="majorBidi" w:cstheme="majorBidi"/>
          <w:sz w:val="26"/>
          <w:szCs w:val="26"/>
        </w:rPr>
      </w:pPr>
    </w:p>
    <w:p w:rsidR="004E3228" w:rsidRPr="004E3228" w:rsidRDefault="004E3228" w:rsidP="00C23EEC">
      <w:pPr>
        <w:spacing w:after="120" w:line="276" w:lineRule="auto"/>
        <w:jc w:val="both"/>
        <w:rPr>
          <w:rFonts w:asciiTheme="majorBidi" w:hAnsiTheme="majorBidi" w:cstheme="majorBidi"/>
          <w:b/>
          <w:sz w:val="26"/>
          <w:szCs w:val="26"/>
        </w:rPr>
      </w:pPr>
      <w:r w:rsidRPr="004E3228">
        <w:rPr>
          <w:rFonts w:asciiTheme="majorBidi" w:hAnsiTheme="majorBidi" w:cstheme="majorBidi"/>
          <w:b/>
          <w:sz w:val="26"/>
          <w:szCs w:val="26"/>
        </w:rPr>
        <w:t xml:space="preserve">Graphique </w:t>
      </w:r>
      <w:r w:rsidR="00C23EEC">
        <w:rPr>
          <w:rFonts w:asciiTheme="majorBidi" w:hAnsiTheme="majorBidi" w:cstheme="majorBidi"/>
          <w:b/>
          <w:sz w:val="26"/>
          <w:szCs w:val="26"/>
        </w:rPr>
        <w:t>3</w:t>
      </w:r>
      <w:r w:rsidRPr="004E3228">
        <w:rPr>
          <w:rFonts w:asciiTheme="majorBidi" w:hAnsiTheme="majorBidi" w:cstheme="majorBidi"/>
          <w:b/>
          <w:sz w:val="26"/>
          <w:szCs w:val="26"/>
        </w:rPr>
        <w:t>: Proportion des hommes qui reconnaissent au mari le droit de battre / violenter son épouse selon les contextes</w:t>
      </w:r>
    </w:p>
    <w:p w:rsidR="004E3228" w:rsidRPr="004E3228" w:rsidRDefault="004E3228" w:rsidP="004E3228">
      <w:pPr>
        <w:spacing w:after="120" w:line="276" w:lineRule="auto"/>
        <w:jc w:val="both"/>
        <w:rPr>
          <w:rFonts w:asciiTheme="majorBidi" w:hAnsiTheme="majorBidi" w:cstheme="majorBidi"/>
          <w:b/>
          <w:sz w:val="26"/>
          <w:szCs w:val="26"/>
        </w:rPr>
      </w:pPr>
      <w:r w:rsidRPr="004E3228">
        <w:rPr>
          <w:rFonts w:asciiTheme="majorBidi" w:hAnsiTheme="majorBidi" w:cstheme="majorBidi"/>
          <w:b/>
          <w:noProof/>
          <w:sz w:val="26"/>
          <w:szCs w:val="26"/>
        </w:rPr>
        <w:lastRenderedPageBreak/>
        <w:drawing>
          <wp:inline distT="114300" distB="114300" distL="114300" distR="114300">
            <wp:extent cx="5658081" cy="2788078"/>
            <wp:effectExtent l="19050" t="0" r="0" b="0"/>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srcRect/>
                    <a:stretch>
                      <a:fillRect/>
                    </a:stretch>
                  </pic:blipFill>
                  <pic:spPr>
                    <a:xfrm>
                      <a:off x="0" y="0"/>
                      <a:ext cx="5671620" cy="2794750"/>
                    </a:xfrm>
                    <a:prstGeom prst="rect">
                      <a:avLst/>
                    </a:prstGeom>
                    <a:ln/>
                  </pic:spPr>
                </pic:pic>
              </a:graphicData>
            </a:graphic>
          </wp:inline>
        </w:drawing>
      </w:r>
    </w:p>
    <w:p w:rsidR="004E3228" w:rsidRDefault="004E3228" w:rsidP="004E3228">
      <w:pPr>
        <w:tabs>
          <w:tab w:val="left" w:pos="426"/>
        </w:tabs>
        <w:spacing w:before="240" w:after="120" w:line="276" w:lineRule="auto"/>
        <w:jc w:val="both"/>
        <w:rPr>
          <w:rFonts w:asciiTheme="majorBidi" w:hAnsiTheme="majorBidi" w:cstheme="majorBidi"/>
          <w:b/>
          <w:sz w:val="20"/>
          <w:szCs w:val="20"/>
        </w:rPr>
      </w:pPr>
      <w:r w:rsidRPr="00CB4A14">
        <w:rPr>
          <w:rFonts w:asciiTheme="majorBidi" w:hAnsiTheme="majorBidi" w:cstheme="majorBidi"/>
          <w:b/>
          <w:sz w:val="20"/>
          <w:szCs w:val="20"/>
        </w:rPr>
        <w:t xml:space="preserve">Source : HCP, Enquête Nationale sur la Violence à l’encontre des femmes et des hommes 2019 </w:t>
      </w:r>
    </w:p>
    <w:p w:rsidR="006E5127" w:rsidRPr="006E5127" w:rsidRDefault="006E5127" w:rsidP="006E5127">
      <w:pPr>
        <w:spacing w:after="120" w:line="276" w:lineRule="auto"/>
        <w:jc w:val="both"/>
        <w:rPr>
          <w:rFonts w:asciiTheme="majorBidi" w:hAnsiTheme="majorBidi" w:cstheme="majorBidi"/>
          <w:b/>
          <w:i/>
          <w:color w:val="548DD4"/>
          <w:sz w:val="12"/>
          <w:szCs w:val="12"/>
        </w:rPr>
      </w:pPr>
    </w:p>
    <w:p w:rsidR="004E3228" w:rsidRPr="004E3228" w:rsidRDefault="004E3228" w:rsidP="004E3228">
      <w:pPr>
        <w:spacing w:before="240" w:after="120" w:line="276" w:lineRule="auto"/>
        <w:jc w:val="both"/>
        <w:rPr>
          <w:rFonts w:asciiTheme="majorBidi" w:hAnsiTheme="majorBidi" w:cstheme="majorBidi"/>
          <w:b/>
          <w:i/>
          <w:color w:val="548DD4"/>
          <w:sz w:val="26"/>
          <w:szCs w:val="26"/>
        </w:rPr>
      </w:pPr>
      <w:r w:rsidRPr="004E3228">
        <w:rPr>
          <w:rFonts w:asciiTheme="majorBidi" w:hAnsiTheme="majorBidi" w:cstheme="majorBidi"/>
          <w:b/>
          <w:i/>
          <w:color w:val="548DD4"/>
          <w:sz w:val="26"/>
          <w:szCs w:val="26"/>
        </w:rPr>
        <w:t>Sept hommes sur dix affirment le caractère privé de la violence conjugale et plus de trois sur dix préfèrent ne pas intervenir en cas de violence entre conjoints</w:t>
      </w:r>
    </w:p>
    <w:p w:rsidR="004E3228" w:rsidRPr="004E3228" w:rsidRDefault="004E3228" w:rsidP="00D019F6">
      <w:pPr>
        <w:spacing w:before="240" w:after="120" w:line="276" w:lineRule="auto"/>
        <w:jc w:val="both"/>
        <w:rPr>
          <w:rFonts w:asciiTheme="majorBidi" w:hAnsiTheme="majorBidi" w:cstheme="majorBidi"/>
          <w:sz w:val="26"/>
          <w:szCs w:val="26"/>
        </w:rPr>
      </w:pPr>
      <w:r w:rsidRPr="004E3228">
        <w:rPr>
          <w:rFonts w:asciiTheme="majorBidi" w:hAnsiTheme="majorBidi" w:cstheme="majorBidi"/>
          <w:sz w:val="26"/>
          <w:szCs w:val="26"/>
        </w:rPr>
        <w:t>Ces dernières perceptions reflètent des visions androcentriques qui sont encore bien ancrées et qui peuvent être aussi élucidées par les perceptions des hommes sur l’acceptation de la violence conjugale et ses justifications sociales; notamment, certains propos tels que " la femme devrait supporter la violence perpétrée par le partenaire pour maintenir la stabilité de sa famille "et" qu’elle devrait considérer cette violence en tant qu’une affaire privée qu’il ne faut pas divulguer à autrui".</w:t>
      </w:r>
    </w:p>
    <w:p w:rsidR="004E3228" w:rsidRPr="004E3228" w:rsidRDefault="004E3228" w:rsidP="004E3228">
      <w:pPr>
        <w:pBdr>
          <w:top w:val="nil"/>
          <w:left w:val="nil"/>
          <w:bottom w:val="nil"/>
          <w:right w:val="nil"/>
          <w:between w:val="nil"/>
        </w:pBd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Ainsi, 40% des hommes sont d’accord à ce que la </w:t>
      </w:r>
      <w:r w:rsidRPr="004E3228">
        <w:rPr>
          <w:rFonts w:asciiTheme="majorBidi" w:hAnsiTheme="majorBidi" w:cstheme="majorBidi"/>
          <w:b/>
          <w:bCs/>
          <w:sz w:val="26"/>
          <w:szCs w:val="26"/>
        </w:rPr>
        <w:t xml:space="preserve">partenaire endure la violence infligée par son conjoint pour conserver la stabilité de la famille, </w:t>
      </w:r>
      <w:r w:rsidRPr="004E3228">
        <w:rPr>
          <w:rFonts w:asciiTheme="majorBidi" w:hAnsiTheme="majorBidi" w:cstheme="majorBidi"/>
          <w:sz w:val="26"/>
          <w:szCs w:val="26"/>
        </w:rPr>
        <w:t xml:space="preserve">15% d’entre eux sont catégoriquement d’accord et 25% en sont à priori d’accord. Cette perception est plus élevée parmi les hommes sans niveau scolaire (50% contre 22% de ceux ayant le niveau supérieur), les ruraux (48% contre 36% parmi les citadins) et les plus âgés de 60 à 74 ans (46% contre 37% parmi ceux âgés de 15 à 34 ans). </w:t>
      </w:r>
    </w:p>
    <w:p w:rsidR="004E3228" w:rsidRPr="004E3228" w:rsidRDefault="004E3228" w:rsidP="004E3228">
      <w:pPr>
        <w:pBdr>
          <w:top w:val="nil"/>
          <w:left w:val="nil"/>
          <w:bottom w:val="nil"/>
          <w:right w:val="nil"/>
          <w:between w:val="nil"/>
        </w:pBd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A cet égard, les hommes avancent, en général, des raisons sociales pour justifier la continuité d’une relation conjugale avec un partenaire violent. 72% des hommes l’imputent principalement à la présence des enfants dans le couple, 6% à l’existence des relations familiales et 4% au manque de ressources de la femme. </w:t>
      </w:r>
    </w:p>
    <w:p w:rsidR="004E3228" w:rsidRPr="004E3228" w:rsidRDefault="004E3228" w:rsidP="004E3228">
      <w:pPr>
        <w:pBdr>
          <w:top w:val="nil"/>
          <w:left w:val="nil"/>
          <w:bottom w:val="nil"/>
          <w:right w:val="nil"/>
          <w:between w:val="nil"/>
        </w:pBd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lastRenderedPageBreak/>
        <w:t>En outre, 42% des hommes (51% dans le rural) affirment de manière catégorique que la violence au sein du couple est une affaire privée que la partenaire ne doit en aucun cas divulguer, 28% en sont à priori d’accord, ce qui représente un total de 70% d’hommes (76% en milieu rural et 66% en milieu urbain).</w:t>
      </w:r>
    </w:p>
    <w:p w:rsidR="004E3228" w:rsidRPr="004E3228" w:rsidRDefault="004E3228" w:rsidP="004E3228">
      <w:pPr>
        <w:pBdr>
          <w:top w:val="nil"/>
          <w:left w:val="nil"/>
          <w:bottom w:val="nil"/>
          <w:right w:val="nil"/>
          <w:between w:val="nil"/>
        </w:pBd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En lien avec la dimension privée de la violence conjugale, les hommes ont été également interrogés sur </w:t>
      </w:r>
      <w:r w:rsidRPr="004E3228">
        <w:rPr>
          <w:rFonts w:asciiTheme="majorBidi" w:hAnsiTheme="majorBidi" w:cstheme="majorBidi"/>
          <w:b/>
          <w:bCs/>
          <w:sz w:val="26"/>
          <w:szCs w:val="26"/>
        </w:rPr>
        <w:t>leurs réactions en présence d’un homme qui bat sa femme</w:t>
      </w:r>
      <w:r w:rsidRPr="004E3228">
        <w:rPr>
          <w:rFonts w:asciiTheme="majorBidi" w:hAnsiTheme="majorBidi" w:cstheme="majorBidi"/>
          <w:sz w:val="26"/>
          <w:szCs w:val="26"/>
        </w:rPr>
        <w:t>. Plus que 36% des hommes déclarent "ne rien faire" considérant cette situation une affaire privée des concernés. Cette proportion est encore plus élevée dans l’urbain (40%) et parmi les célibataires (41%).</w:t>
      </w:r>
    </w:p>
    <w:p w:rsidR="004E3228" w:rsidRPr="006E5127" w:rsidRDefault="004E3228" w:rsidP="006E5127">
      <w:pPr>
        <w:spacing w:after="120" w:line="276" w:lineRule="auto"/>
        <w:jc w:val="both"/>
        <w:rPr>
          <w:rFonts w:asciiTheme="majorBidi" w:hAnsiTheme="majorBidi" w:cstheme="majorBidi"/>
          <w:b/>
          <w:i/>
          <w:color w:val="548DD4"/>
          <w:sz w:val="12"/>
          <w:szCs w:val="12"/>
        </w:rPr>
      </w:pPr>
    </w:p>
    <w:p w:rsidR="004E3228" w:rsidRPr="00CB4A14" w:rsidRDefault="004E3228" w:rsidP="004E3228">
      <w:pPr>
        <w:pBdr>
          <w:top w:val="nil"/>
          <w:left w:val="nil"/>
          <w:bottom w:val="nil"/>
          <w:right w:val="nil"/>
          <w:between w:val="nil"/>
        </w:pBdr>
        <w:tabs>
          <w:tab w:val="left" w:pos="709"/>
        </w:tabs>
        <w:spacing w:after="120" w:line="276" w:lineRule="auto"/>
        <w:jc w:val="both"/>
        <w:rPr>
          <w:rFonts w:asciiTheme="majorBidi" w:hAnsiTheme="majorBidi" w:cstheme="majorBidi"/>
          <w:b/>
          <w:i/>
          <w:color w:val="548DD4"/>
          <w:sz w:val="28"/>
          <w:szCs w:val="28"/>
        </w:rPr>
      </w:pPr>
      <w:r w:rsidRPr="00CB4A14">
        <w:rPr>
          <w:rFonts w:asciiTheme="majorBidi" w:hAnsiTheme="majorBidi" w:cstheme="majorBidi"/>
          <w:b/>
          <w:i/>
          <w:color w:val="548DD4"/>
          <w:sz w:val="28"/>
          <w:szCs w:val="28"/>
        </w:rPr>
        <w:t xml:space="preserve">Plus de la moitié des hommes méconnaissent la loi 103-13 relative à la lutte contre la violence à l’encontre des femmes </w:t>
      </w:r>
    </w:p>
    <w:p w:rsidR="004E3228" w:rsidRPr="004E3228" w:rsidRDefault="004E3228" w:rsidP="004E3228">
      <w:pPr>
        <w:pBdr>
          <w:top w:val="nil"/>
          <w:left w:val="nil"/>
          <w:bottom w:val="nil"/>
          <w:right w:val="nil"/>
          <w:between w:val="nil"/>
        </w:pBdr>
        <w:spacing w:after="120" w:line="276" w:lineRule="auto"/>
        <w:jc w:val="both"/>
        <w:rPr>
          <w:rFonts w:asciiTheme="majorBidi" w:hAnsiTheme="majorBidi" w:cstheme="majorBidi"/>
          <w:sz w:val="26"/>
          <w:szCs w:val="26"/>
          <w:rtl/>
        </w:rPr>
      </w:pPr>
      <w:r w:rsidRPr="004E3228">
        <w:rPr>
          <w:rFonts w:asciiTheme="majorBidi" w:hAnsiTheme="majorBidi" w:cstheme="majorBidi"/>
          <w:sz w:val="26"/>
          <w:szCs w:val="26"/>
        </w:rPr>
        <w:t xml:space="preserve">D'un autre côté, plus de la moitié des hommes (57%) ne sont pas au courant de l’existence de la loi 103-13 relative à la lutte contre la violence à l’encontre des femmes. Cette proportion est plus élevée en milieu rural (69% contre 51% en milieu urbain) et parmi les hommes sans niveau scolaire (74% contre 30% parmi ceux ayant un niveau supérieur). </w:t>
      </w:r>
    </w:p>
    <w:p w:rsidR="004E3228" w:rsidRDefault="004E3228" w:rsidP="004E3228">
      <w:pPr>
        <w:pBdr>
          <w:top w:val="nil"/>
          <w:left w:val="nil"/>
          <w:bottom w:val="nil"/>
          <w:right w:val="nil"/>
          <w:between w:val="nil"/>
        </w:pBdr>
        <w:spacing w:after="120" w:line="276" w:lineRule="auto"/>
        <w:jc w:val="both"/>
        <w:rPr>
          <w:rFonts w:asciiTheme="majorBidi" w:hAnsiTheme="majorBidi" w:cstheme="majorBidi"/>
          <w:sz w:val="26"/>
          <w:szCs w:val="26"/>
        </w:rPr>
      </w:pPr>
      <w:bookmarkStart w:id="0" w:name="_heading=h.30j0zll" w:colFirst="0" w:colLast="0"/>
      <w:bookmarkEnd w:id="0"/>
      <w:r w:rsidRPr="004E3228">
        <w:rPr>
          <w:rFonts w:asciiTheme="majorBidi" w:hAnsiTheme="majorBidi" w:cstheme="majorBidi"/>
          <w:sz w:val="26"/>
          <w:szCs w:val="26"/>
        </w:rPr>
        <w:t>Quant à la satisfaction des hommes vis-à-vis de cette loi, 17% d’entre eux la considèrent comme suffisante pour garantir totalement la protection des femmes contre la violence contre 31% d’hommes qui la jugent plutôt insuffisante et particulièrement les citadins (35%) et ceux ayant un niveau scolaire supérieur (41%).</w:t>
      </w:r>
    </w:p>
    <w:p w:rsidR="006E5127" w:rsidRPr="006E5127" w:rsidRDefault="006E5127" w:rsidP="006E5127">
      <w:pPr>
        <w:spacing w:after="120" w:line="276" w:lineRule="auto"/>
        <w:jc w:val="both"/>
        <w:rPr>
          <w:rFonts w:asciiTheme="majorBidi" w:hAnsiTheme="majorBidi" w:cstheme="majorBidi"/>
          <w:b/>
          <w:i/>
          <w:color w:val="548DD4"/>
          <w:sz w:val="12"/>
          <w:szCs w:val="12"/>
        </w:rPr>
      </w:pPr>
    </w:p>
    <w:p w:rsidR="004E3228" w:rsidRPr="00E26F2F" w:rsidRDefault="004E3228" w:rsidP="004E3228">
      <w:pPr>
        <w:pBdr>
          <w:top w:val="nil"/>
          <w:left w:val="nil"/>
          <w:bottom w:val="nil"/>
          <w:right w:val="nil"/>
          <w:between w:val="nil"/>
        </w:pBdr>
        <w:spacing w:after="120" w:line="276" w:lineRule="auto"/>
        <w:jc w:val="both"/>
        <w:rPr>
          <w:rFonts w:asciiTheme="majorBidi" w:hAnsiTheme="majorBidi" w:cstheme="majorBidi"/>
          <w:b/>
          <w:i/>
          <w:color w:val="548DD4"/>
          <w:sz w:val="28"/>
          <w:szCs w:val="28"/>
        </w:rPr>
      </w:pPr>
      <w:r w:rsidRPr="00E26F2F">
        <w:rPr>
          <w:rFonts w:asciiTheme="majorBidi" w:hAnsiTheme="majorBidi" w:cstheme="majorBidi"/>
          <w:b/>
          <w:i/>
          <w:color w:val="548DD4"/>
          <w:sz w:val="28"/>
          <w:szCs w:val="28"/>
        </w:rPr>
        <w:t>Conclusion</w:t>
      </w:r>
      <w:r w:rsidR="000F3DEB">
        <w:rPr>
          <w:rFonts w:asciiTheme="majorBidi" w:hAnsiTheme="majorBidi" w:cstheme="majorBidi"/>
          <w:b/>
          <w:i/>
          <w:color w:val="548DD4"/>
          <w:sz w:val="28"/>
          <w:szCs w:val="28"/>
        </w:rPr>
        <w:t xml:space="preserve">  </w:t>
      </w:r>
      <w:r w:rsidR="002A20D8">
        <w:rPr>
          <w:rFonts w:asciiTheme="majorBidi" w:hAnsiTheme="majorBidi" w:cstheme="majorBidi"/>
          <w:b/>
          <w:i/>
          <w:color w:val="548DD4"/>
          <w:sz w:val="28"/>
          <w:szCs w:val="28"/>
        </w:rPr>
        <w:t xml:space="preserve">   </w:t>
      </w:r>
    </w:p>
    <w:p w:rsidR="004E3228" w:rsidRPr="004E3228" w:rsidRDefault="004E3228" w:rsidP="004E3228">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L’analyse des perceptions des hommes vis-à-vis de la violence en général</w:t>
      </w:r>
      <w:r w:rsidR="00B73050" w:rsidRPr="004E3228">
        <w:rPr>
          <w:rFonts w:asciiTheme="majorBidi" w:hAnsiTheme="majorBidi" w:cstheme="majorBidi"/>
          <w:sz w:val="26"/>
          <w:szCs w:val="26"/>
        </w:rPr>
        <w:t>, révèle</w:t>
      </w:r>
      <w:r w:rsidRPr="004E3228">
        <w:rPr>
          <w:rFonts w:asciiTheme="majorBidi" w:hAnsiTheme="majorBidi" w:cstheme="majorBidi"/>
          <w:sz w:val="26"/>
          <w:szCs w:val="26"/>
        </w:rPr>
        <w:t xml:space="preserve"> un décalage entre le vécu et le perçu des hommes quant au contexte de vie le plus violent et la forme de violence la plus répandue. En effet, si le contexte conjugal et la forme psychologique affichent les taux de prévalence les plus élevés, ce sont plutôt les lieux publics et la forme physique qui sont perçus comme les plus concernés par la violence.</w:t>
      </w:r>
    </w:p>
    <w:p w:rsidR="004E3228" w:rsidRPr="004E3228" w:rsidRDefault="004E3228" w:rsidP="004E3228">
      <w:pPr>
        <w:spacing w:after="120" w:line="276" w:lineRule="auto"/>
        <w:jc w:val="both"/>
        <w:rPr>
          <w:rFonts w:asciiTheme="majorBidi" w:hAnsiTheme="majorBidi" w:cstheme="majorBidi"/>
          <w:sz w:val="26"/>
          <w:szCs w:val="26"/>
        </w:rPr>
      </w:pPr>
      <w:r w:rsidRPr="004E3228">
        <w:rPr>
          <w:rFonts w:asciiTheme="majorBidi" w:hAnsiTheme="majorBidi" w:cstheme="majorBidi"/>
          <w:sz w:val="26"/>
          <w:szCs w:val="26"/>
        </w:rPr>
        <w:t xml:space="preserve">En outre, malgré la conscience masculine de la vulnérabilité des femmes à la violence, l’analyse des perceptions des hommes vis-à-vis des rôles sociaux et des rapports d’autorité au sein du couple reflète une persistance de la vision traditionnelle des rôles entre hommes et femmes au sein du couple. Cette persistance se reflète aussi par la reconnaissance au conjoint le droit de violenter </w:t>
      </w:r>
      <w:r w:rsidRPr="004E3228">
        <w:rPr>
          <w:rFonts w:asciiTheme="majorBidi" w:hAnsiTheme="majorBidi" w:cstheme="majorBidi"/>
          <w:sz w:val="26"/>
          <w:szCs w:val="26"/>
        </w:rPr>
        <w:lastRenderedPageBreak/>
        <w:t>et/ou de  battre sa conjointe pour une quelconque faute et la considération de la violence conjugale comme étant une affaire propre du couple qu’il faut vivre en privée, surtout parmi les ruraux, les moins instruits et les anciennes générations. De telles perceptions masculines représentent un facteur de risque de victimisation majeur qui favoriserait la perpétration et la persistance de la violence à l’égard des femmes.</w:t>
      </w:r>
    </w:p>
    <w:p w:rsidR="004E3228" w:rsidRPr="004E3228" w:rsidRDefault="004E3228" w:rsidP="004E3228">
      <w:pPr>
        <w:pBdr>
          <w:top w:val="nil"/>
          <w:left w:val="nil"/>
          <w:bottom w:val="nil"/>
          <w:right w:val="nil"/>
          <w:between w:val="nil"/>
        </w:pBdr>
        <w:spacing w:after="120" w:line="276" w:lineRule="auto"/>
        <w:jc w:val="both"/>
        <w:rPr>
          <w:rFonts w:asciiTheme="majorBidi" w:hAnsiTheme="majorBidi" w:cstheme="majorBidi"/>
          <w:color w:val="FF9900"/>
          <w:sz w:val="26"/>
          <w:szCs w:val="26"/>
        </w:rPr>
      </w:pPr>
    </w:p>
    <w:p w:rsidR="004E3228" w:rsidRPr="004E3228" w:rsidRDefault="004E3228" w:rsidP="004E3228">
      <w:pPr>
        <w:spacing w:before="240" w:after="120" w:line="276" w:lineRule="auto"/>
        <w:jc w:val="both"/>
        <w:rPr>
          <w:rFonts w:asciiTheme="majorBidi" w:hAnsiTheme="majorBidi" w:cstheme="majorBidi"/>
          <w:b/>
          <w:i/>
          <w:color w:val="548DD4"/>
          <w:sz w:val="26"/>
          <w:szCs w:val="26"/>
        </w:rPr>
      </w:pPr>
    </w:p>
    <w:sectPr w:rsidR="004E3228" w:rsidRPr="004E3228" w:rsidSect="004A1316">
      <w:footerReference w:type="default" r:id="rId13"/>
      <w:pgSz w:w="12240" w:h="15840"/>
      <w:pgMar w:top="1440" w:right="1800" w:bottom="1440" w:left="1800" w:header="708" w:footer="7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EB2" w:rsidRDefault="00B82EB2" w:rsidP="004A1316">
      <w:r>
        <w:separator/>
      </w:r>
    </w:p>
  </w:endnote>
  <w:endnote w:type="continuationSeparator" w:id="0">
    <w:p w:rsidR="00B82EB2" w:rsidRDefault="00B82EB2" w:rsidP="004A1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F98" w:rsidRDefault="008A138E">
    <w:pPr>
      <w:jc w:val="right"/>
    </w:pPr>
    <w:r>
      <w:fldChar w:fldCharType="begin"/>
    </w:r>
    <w:r w:rsidR="009B4F98">
      <w:instrText>PAGE</w:instrText>
    </w:r>
    <w:r>
      <w:fldChar w:fldCharType="separate"/>
    </w:r>
    <w:r w:rsidR="002A20D8">
      <w:rPr>
        <w:noProof/>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EB2" w:rsidRDefault="00B82EB2" w:rsidP="004A1316">
      <w:r>
        <w:separator/>
      </w:r>
    </w:p>
  </w:footnote>
  <w:footnote w:type="continuationSeparator" w:id="0">
    <w:p w:rsidR="00B82EB2" w:rsidRDefault="00B82EB2" w:rsidP="004A13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1092F"/>
    <w:multiLevelType w:val="hybridMultilevel"/>
    <w:tmpl w:val="9D068CB8"/>
    <w:lvl w:ilvl="0" w:tplc="F84C2C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34D2272"/>
    <w:multiLevelType w:val="hybridMultilevel"/>
    <w:tmpl w:val="59880E9C"/>
    <w:lvl w:ilvl="0" w:tplc="C74E9220">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45B79B6"/>
    <w:multiLevelType w:val="hybridMultilevel"/>
    <w:tmpl w:val="6C9C3EA8"/>
    <w:lvl w:ilvl="0" w:tplc="102E30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A7351D2"/>
    <w:multiLevelType w:val="multilevel"/>
    <w:tmpl w:val="3656FF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characterSpacingControl w:val="doNotCompress"/>
  <w:footnotePr>
    <w:footnote w:id="-1"/>
    <w:footnote w:id="0"/>
  </w:footnotePr>
  <w:endnotePr>
    <w:endnote w:id="-1"/>
    <w:endnote w:id="0"/>
  </w:endnotePr>
  <w:compat/>
  <w:rsids>
    <w:rsidRoot w:val="004A1316"/>
    <w:rsid w:val="00000866"/>
    <w:rsid w:val="00002335"/>
    <w:rsid w:val="00010810"/>
    <w:rsid w:val="00014DE5"/>
    <w:rsid w:val="00027F62"/>
    <w:rsid w:val="000340A8"/>
    <w:rsid w:val="00034EE6"/>
    <w:rsid w:val="0003713A"/>
    <w:rsid w:val="000404D4"/>
    <w:rsid w:val="00043D53"/>
    <w:rsid w:val="00050C9B"/>
    <w:rsid w:val="0006088C"/>
    <w:rsid w:val="00063DEE"/>
    <w:rsid w:val="0007765A"/>
    <w:rsid w:val="00084E9B"/>
    <w:rsid w:val="000A0CB3"/>
    <w:rsid w:val="000B09C9"/>
    <w:rsid w:val="000B1448"/>
    <w:rsid w:val="000B63AD"/>
    <w:rsid w:val="000B6EF5"/>
    <w:rsid w:val="000B71B3"/>
    <w:rsid w:val="000C20B0"/>
    <w:rsid w:val="000C30E9"/>
    <w:rsid w:val="000C6BE5"/>
    <w:rsid w:val="000E23B7"/>
    <w:rsid w:val="000F3DEB"/>
    <w:rsid w:val="001114B7"/>
    <w:rsid w:val="00115778"/>
    <w:rsid w:val="00115C03"/>
    <w:rsid w:val="001231C6"/>
    <w:rsid w:val="001517CA"/>
    <w:rsid w:val="001802CF"/>
    <w:rsid w:val="00187700"/>
    <w:rsid w:val="00190381"/>
    <w:rsid w:val="001A4EA9"/>
    <w:rsid w:val="001B0784"/>
    <w:rsid w:val="001B4E75"/>
    <w:rsid w:val="001F1835"/>
    <w:rsid w:val="002114B3"/>
    <w:rsid w:val="00212416"/>
    <w:rsid w:val="00214A3C"/>
    <w:rsid w:val="002365D0"/>
    <w:rsid w:val="002548BF"/>
    <w:rsid w:val="00254AA2"/>
    <w:rsid w:val="002635C6"/>
    <w:rsid w:val="00266959"/>
    <w:rsid w:val="00277A7C"/>
    <w:rsid w:val="00281284"/>
    <w:rsid w:val="0029529C"/>
    <w:rsid w:val="002A20D8"/>
    <w:rsid w:val="002A2829"/>
    <w:rsid w:val="002A6033"/>
    <w:rsid w:val="002D200E"/>
    <w:rsid w:val="002D3A01"/>
    <w:rsid w:val="002F0BF0"/>
    <w:rsid w:val="00311F0E"/>
    <w:rsid w:val="00313973"/>
    <w:rsid w:val="00343552"/>
    <w:rsid w:val="00344539"/>
    <w:rsid w:val="00345FBA"/>
    <w:rsid w:val="00350576"/>
    <w:rsid w:val="00365546"/>
    <w:rsid w:val="00365934"/>
    <w:rsid w:val="00390839"/>
    <w:rsid w:val="00392C99"/>
    <w:rsid w:val="0039791A"/>
    <w:rsid w:val="003A43AE"/>
    <w:rsid w:val="003A7E5F"/>
    <w:rsid w:val="003B1F03"/>
    <w:rsid w:val="003B3587"/>
    <w:rsid w:val="003C1631"/>
    <w:rsid w:val="003C75B4"/>
    <w:rsid w:val="003D2F81"/>
    <w:rsid w:val="003D7242"/>
    <w:rsid w:val="003E0E47"/>
    <w:rsid w:val="003E6EC2"/>
    <w:rsid w:val="003F2416"/>
    <w:rsid w:val="00400392"/>
    <w:rsid w:val="00400B1A"/>
    <w:rsid w:val="00416031"/>
    <w:rsid w:val="004213B3"/>
    <w:rsid w:val="0044122B"/>
    <w:rsid w:val="00445CC7"/>
    <w:rsid w:val="00453882"/>
    <w:rsid w:val="00465A40"/>
    <w:rsid w:val="00470CDE"/>
    <w:rsid w:val="004911CF"/>
    <w:rsid w:val="004A1316"/>
    <w:rsid w:val="004B4A32"/>
    <w:rsid w:val="004C765D"/>
    <w:rsid w:val="004C7DAE"/>
    <w:rsid w:val="004E01CA"/>
    <w:rsid w:val="004E3228"/>
    <w:rsid w:val="004F1A5B"/>
    <w:rsid w:val="004F2286"/>
    <w:rsid w:val="004F2EA9"/>
    <w:rsid w:val="00502FB8"/>
    <w:rsid w:val="005466C1"/>
    <w:rsid w:val="00575AA4"/>
    <w:rsid w:val="00581E4A"/>
    <w:rsid w:val="005A5403"/>
    <w:rsid w:val="005D15B5"/>
    <w:rsid w:val="005F3176"/>
    <w:rsid w:val="0060043F"/>
    <w:rsid w:val="00612717"/>
    <w:rsid w:val="00614D89"/>
    <w:rsid w:val="00614FC5"/>
    <w:rsid w:val="00623FF5"/>
    <w:rsid w:val="00633813"/>
    <w:rsid w:val="00640C83"/>
    <w:rsid w:val="006417F8"/>
    <w:rsid w:val="00642055"/>
    <w:rsid w:val="00650E04"/>
    <w:rsid w:val="006513E6"/>
    <w:rsid w:val="00652696"/>
    <w:rsid w:val="00655420"/>
    <w:rsid w:val="00675CDD"/>
    <w:rsid w:val="00683980"/>
    <w:rsid w:val="00685F77"/>
    <w:rsid w:val="00696834"/>
    <w:rsid w:val="006A3525"/>
    <w:rsid w:val="006B4EB2"/>
    <w:rsid w:val="006C1F08"/>
    <w:rsid w:val="006C22E1"/>
    <w:rsid w:val="006C695B"/>
    <w:rsid w:val="006C746E"/>
    <w:rsid w:val="006E4A91"/>
    <w:rsid w:val="006E5127"/>
    <w:rsid w:val="006E693A"/>
    <w:rsid w:val="006E6C4D"/>
    <w:rsid w:val="007154BC"/>
    <w:rsid w:val="007163EC"/>
    <w:rsid w:val="00720A62"/>
    <w:rsid w:val="00732361"/>
    <w:rsid w:val="00744710"/>
    <w:rsid w:val="007623F0"/>
    <w:rsid w:val="00762BE0"/>
    <w:rsid w:val="0078116D"/>
    <w:rsid w:val="00782B23"/>
    <w:rsid w:val="007858E4"/>
    <w:rsid w:val="007954A4"/>
    <w:rsid w:val="007A593F"/>
    <w:rsid w:val="007A5AE4"/>
    <w:rsid w:val="007B142E"/>
    <w:rsid w:val="007B51A4"/>
    <w:rsid w:val="007C5ABD"/>
    <w:rsid w:val="007D5AAD"/>
    <w:rsid w:val="007E0BF3"/>
    <w:rsid w:val="007E2F73"/>
    <w:rsid w:val="007E5DAF"/>
    <w:rsid w:val="007F0C50"/>
    <w:rsid w:val="00806FB4"/>
    <w:rsid w:val="008075EC"/>
    <w:rsid w:val="008134C9"/>
    <w:rsid w:val="00814531"/>
    <w:rsid w:val="00821101"/>
    <w:rsid w:val="00861B80"/>
    <w:rsid w:val="00876A0B"/>
    <w:rsid w:val="008A138E"/>
    <w:rsid w:val="008A4B97"/>
    <w:rsid w:val="008A7D38"/>
    <w:rsid w:val="008A7D77"/>
    <w:rsid w:val="008B3FEE"/>
    <w:rsid w:val="008B47A6"/>
    <w:rsid w:val="008C240E"/>
    <w:rsid w:val="008D38EC"/>
    <w:rsid w:val="008E7915"/>
    <w:rsid w:val="008F0E01"/>
    <w:rsid w:val="008F20E1"/>
    <w:rsid w:val="009134FB"/>
    <w:rsid w:val="00914963"/>
    <w:rsid w:val="00914BA0"/>
    <w:rsid w:val="00940A18"/>
    <w:rsid w:val="009460E5"/>
    <w:rsid w:val="009517C5"/>
    <w:rsid w:val="009553AB"/>
    <w:rsid w:val="0098167C"/>
    <w:rsid w:val="00981BF7"/>
    <w:rsid w:val="00983615"/>
    <w:rsid w:val="00986F92"/>
    <w:rsid w:val="00990A81"/>
    <w:rsid w:val="009B4F98"/>
    <w:rsid w:val="009C04EB"/>
    <w:rsid w:val="009D17EB"/>
    <w:rsid w:val="009F00B9"/>
    <w:rsid w:val="009F42FB"/>
    <w:rsid w:val="00A019C4"/>
    <w:rsid w:val="00A03CB6"/>
    <w:rsid w:val="00A11D1B"/>
    <w:rsid w:val="00A25ED8"/>
    <w:rsid w:val="00A326C1"/>
    <w:rsid w:val="00A35408"/>
    <w:rsid w:val="00A4238F"/>
    <w:rsid w:val="00A4701D"/>
    <w:rsid w:val="00A54905"/>
    <w:rsid w:val="00A703CF"/>
    <w:rsid w:val="00A73560"/>
    <w:rsid w:val="00A92EB2"/>
    <w:rsid w:val="00AB1511"/>
    <w:rsid w:val="00AC1CDF"/>
    <w:rsid w:val="00AC413C"/>
    <w:rsid w:val="00AD60DD"/>
    <w:rsid w:val="00AD74AD"/>
    <w:rsid w:val="00AF203B"/>
    <w:rsid w:val="00B117BF"/>
    <w:rsid w:val="00B138CC"/>
    <w:rsid w:val="00B14EDF"/>
    <w:rsid w:val="00B17149"/>
    <w:rsid w:val="00B24B6F"/>
    <w:rsid w:val="00B47147"/>
    <w:rsid w:val="00B67824"/>
    <w:rsid w:val="00B67D0C"/>
    <w:rsid w:val="00B73050"/>
    <w:rsid w:val="00B741E8"/>
    <w:rsid w:val="00B742EF"/>
    <w:rsid w:val="00B81558"/>
    <w:rsid w:val="00B82EB2"/>
    <w:rsid w:val="00B95A18"/>
    <w:rsid w:val="00BB4797"/>
    <w:rsid w:val="00BC0CB8"/>
    <w:rsid w:val="00BC14B2"/>
    <w:rsid w:val="00BC22FB"/>
    <w:rsid w:val="00BC3CE7"/>
    <w:rsid w:val="00BC619F"/>
    <w:rsid w:val="00BD3A99"/>
    <w:rsid w:val="00BD4955"/>
    <w:rsid w:val="00BD49B3"/>
    <w:rsid w:val="00BE1886"/>
    <w:rsid w:val="00BE5503"/>
    <w:rsid w:val="00BF340A"/>
    <w:rsid w:val="00C0020F"/>
    <w:rsid w:val="00C02018"/>
    <w:rsid w:val="00C23EEC"/>
    <w:rsid w:val="00C2711D"/>
    <w:rsid w:val="00C3170A"/>
    <w:rsid w:val="00C31D4A"/>
    <w:rsid w:val="00C47022"/>
    <w:rsid w:val="00C60C0A"/>
    <w:rsid w:val="00C73C85"/>
    <w:rsid w:val="00C76B3B"/>
    <w:rsid w:val="00C811EF"/>
    <w:rsid w:val="00C90EDE"/>
    <w:rsid w:val="00C94733"/>
    <w:rsid w:val="00CA7CB4"/>
    <w:rsid w:val="00CB1324"/>
    <w:rsid w:val="00CB4A14"/>
    <w:rsid w:val="00CC0513"/>
    <w:rsid w:val="00CC2DB8"/>
    <w:rsid w:val="00CC76EA"/>
    <w:rsid w:val="00CC7952"/>
    <w:rsid w:val="00CE4E6C"/>
    <w:rsid w:val="00CF1E58"/>
    <w:rsid w:val="00CF395D"/>
    <w:rsid w:val="00D019F6"/>
    <w:rsid w:val="00D05577"/>
    <w:rsid w:val="00D332A7"/>
    <w:rsid w:val="00D415EB"/>
    <w:rsid w:val="00D4277B"/>
    <w:rsid w:val="00D42F7D"/>
    <w:rsid w:val="00D53A4F"/>
    <w:rsid w:val="00D75C6D"/>
    <w:rsid w:val="00D76C52"/>
    <w:rsid w:val="00D9230C"/>
    <w:rsid w:val="00DA074C"/>
    <w:rsid w:val="00DA50A5"/>
    <w:rsid w:val="00DB77FC"/>
    <w:rsid w:val="00DF0349"/>
    <w:rsid w:val="00DF6F7E"/>
    <w:rsid w:val="00E05CF3"/>
    <w:rsid w:val="00E1451B"/>
    <w:rsid w:val="00E178B7"/>
    <w:rsid w:val="00E2106F"/>
    <w:rsid w:val="00E26F2F"/>
    <w:rsid w:val="00E35622"/>
    <w:rsid w:val="00E368B8"/>
    <w:rsid w:val="00E5195A"/>
    <w:rsid w:val="00E52386"/>
    <w:rsid w:val="00E54929"/>
    <w:rsid w:val="00E62471"/>
    <w:rsid w:val="00E66E97"/>
    <w:rsid w:val="00E8372D"/>
    <w:rsid w:val="00E93554"/>
    <w:rsid w:val="00EA565E"/>
    <w:rsid w:val="00EB5625"/>
    <w:rsid w:val="00EC5053"/>
    <w:rsid w:val="00EC68AC"/>
    <w:rsid w:val="00EE0319"/>
    <w:rsid w:val="00EE657C"/>
    <w:rsid w:val="00F029D8"/>
    <w:rsid w:val="00F1414C"/>
    <w:rsid w:val="00F16B12"/>
    <w:rsid w:val="00F23330"/>
    <w:rsid w:val="00F23D7D"/>
    <w:rsid w:val="00F317B7"/>
    <w:rsid w:val="00F40D36"/>
    <w:rsid w:val="00F54388"/>
    <w:rsid w:val="00F804FE"/>
    <w:rsid w:val="00F85F67"/>
    <w:rsid w:val="00FA6643"/>
    <w:rsid w:val="00FD67B7"/>
    <w:rsid w:val="00FF1108"/>
    <w:rsid w:val="00FF2F8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3AC"/>
  </w:style>
  <w:style w:type="paragraph" w:styleId="Titre1">
    <w:name w:val="heading 1"/>
    <w:basedOn w:val="Normal"/>
    <w:next w:val="Normal"/>
    <w:rsid w:val="00F55C23"/>
    <w:pPr>
      <w:keepNext/>
      <w:keepLines/>
      <w:spacing w:before="480" w:after="120"/>
      <w:outlineLvl w:val="0"/>
    </w:pPr>
    <w:rPr>
      <w:b/>
      <w:sz w:val="48"/>
      <w:szCs w:val="48"/>
    </w:rPr>
  </w:style>
  <w:style w:type="paragraph" w:styleId="Titre2">
    <w:name w:val="heading 2"/>
    <w:basedOn w:val="Normal"/>
    <w:next w:val="Normal"/>
    <w:rsid w:val="00F55C23"/>
    <w:pPr>
      <w:keepNext/>
      <w:keepLines/>
      <w:spacing w:before="360" w:after="80"/>
      <w:outlineLvl w:val="1"/>
    </w:pPr>
    <w:rPr>
      <w:b/>
      <w:sz w:val="36"/>
      <w:szCs w:val="36"/>
    </w:rPr>
  </w:style>
  <w:style w:type="paragraph" w:styleId="Titre3">
    <w:name w:val="heading 3"/>
    <w:basedOn w:val="Normal"/>
    <w:next w:val="Normal"/>
    <w:rsid w:val="00F55C23"/>
    <w:pPr>
      <w:keepNext/>
      <w:keepLines/>
      <w:spacing w:before="280" w:after="80"/>
      <w:outlineLvl w:val="2"/>
    </w:pPr>
    <w:rPr>
      <w:b/>
      <w:sz w:val="28"/>
      <w:szCs w:val="28"/>
    </w:rPr>
  </w:style>
  <w:style w:type="paragraph" w:styleId="Titre4">
    <w:name w:val="heading 4"/>
    <w:basedOn w:val="Normal"/>
    <w:next w:val="Normal"/>
    <w:rsid w:val="00F55C23"/>
    <w:pPr>
      <w:keepNext/>
      <w:keepLines/>
      <w:spacing w:before="240" w:after="40"/>
      <w:outlineLvl w:val="3"/>
    </w:pPr>
    <w:rPr>
      <w:b/>
    </w:rPr>
  </w:style>
  <w:style w:type="paragraph" w:styleId="Titre5">
    <w:name w:val="heading 5"/>
    <w:basedOn w:val="Normal"/>
    <w:next w:val="Normal"/>
    <w:rsid w:val="00F55C23"/>
    <w:pPr>
      <w:keepNext/>
      <w:keepLines/>
      <w:spacing w:before="220" w:after="40"/>
      <w:outlineLvl w:val="4"/>
    </w:pPr>
    <w:rPr>
      <w:b/>
      <w:sz w:val="22"/>
      <w:szCs w:val="22"/>
    </w:rPr>
  </w:style>
  <w:style w:type="paragraph" w:styleId="Titre6">
    <w:name w:val="heading 6"/>
    <w:basedOn w:val="Normal"/>
    <w:next w:val="Normal"/>
    <w:rsid w:val="00F55C23"/>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4A1316"/>
  </w:style>
  <w:style w:type="table" w:customStyle="1" w:styleId="TableNormal1">
    <w:name w:val="Table Normal1"/>
    <w:rsid w:val="004A1316"/>
    <w:tblPr>
      <w:tblCellMar>
        <w:top w:w="0" w:type="dxa"/>
        <w:left w:w="0" w:type="dxa"/>
        <w:bottom w:w="0" w:type="dxa"/>
        <w:right w:w="0" w:type="dxa"/>
      </w:tblCellMar>
    </w:tblPr>
  </w:style>
  <w:style w:type="paragraph" w:styleId="Titre">
    <w:name w:val="Title"/>
    <w:basedOn w:val="Normal"/>
    <w:next w:val="Normal"/>
    <w:rsid w:val="00F55C23"/>
    <w:pPr>
      <w:keepNext/>
      <w:keepLines/>
      <w:spacing w:before="480" w:after="120"/>
    </w:pPr>
    <w:rPr>
      <w:b/>
      <w:sz w:val="72"/>
      <w:szCs w:val="72"/>
    </w:rPr>
  </w:style>
  <w:style w:type="paragraph" w:customStyle="1" w:styleId="Normal10">
    <w:name w:val="Normal1"/>
    <w:rsid w:val="00495459"/>
  </w:style>
  <w:style w:type="table" w:customStyle="1" w:styleId="TableNormal10">
    <w:name w:val="Table Normal1"/>
    <w:rsid w:val="00495459"/>
    <w:tblPr>
      <w:tblCellMar>
        <w:top w:w="0" w:type="dxa"/>
        <w:left w:w="0" w:type="dxa"/>
        <w:bottom w:w="0" w:type="dxa"/>
        <w:right w:w="0" w:type="dxa"/>
      </w:tblCellMar>
    </w:tblPr>
  </w:style>
  <w:style w:type="paragraph" w:styleId="Paragraphedeliste">
    <w:name w:val="List Paragraph"/>
    <w:basedOn w:val="Normal"/>
    <w:uiPriority w:val="34"/>
    <w:qFormat/>
    <w:rsid w:val="00675EF7"/>
    <w:pPr>
      <w:ind w:left="720"/>
      <w:contextualSpacing/>
    </w:pPr>
  </w:style>
  <w:style w:type="paragraph" w:styleId="Notedebasdepage">
    <w:name w:val="footnote text"/>
    <w:basedOn w:val="Normal"/>
    <w:link w:val="NotedebasdepageCar"/>
    <w:uiPriority w:val="99"/>
    <w:unhideWhenUsed/>
    <w:rsid w:val="005F5A8D"/>
  </w:style>
  <w:style w:type="character" w:customStyle="1" w:styleId="NotedebasdepageCar">
    <w:name w:val="Note de bas de page Car"/>
    <w:basedOn w:val="Policepardfaut"/>
    <w:link w:val="Notedebasdepage"/>
    <w:uiPriority w:val="99"/>
    <w:rsid w:val="005F5A8D"/>
  </w:style>
  <w:style w:type="character" w:styleId="Appelnotedebasdep">
    <w:name w:val="footnote reference"/>
    <w:basedOn w:val="Policepardfaut"/>
    <w:uiPriority w:val="99"/>
    <w:unhideWhenUsed/>
    <w:rsid w:val="005F5A8D"/>
    <w:rPr>
      <w:vertAlign w:val="superscript"/>
    </w:rPr>
  </w:style>
  <w:style w:type="paragraph" w:styleId="Textedebulles">
    <w:name w:val="Balloon Text"/>
    <w:basedOn w:val="Normal"/>
    <w:link w:val="TextedebullesCar"/>
    <w:uiPriority w:val="99"/>
    <w:semiHidden/>
    <w:unhideWhenUsed/>
    <w:rsid w:val="006F5F98"/>
    <w:rPr>
      <w:rFonts w:ascii="Tahoma" w:hAnsi="Tahoma" w:cs="Tahoma"/>
      <w:sz w:val="16"/>
      <w:szCs w:val="16"/>
    </w:rPr>
  </w:style>
  <w:style w:type="character" w:customStyle="1" w:styleId="TextedebullesCar">
    <w:name w:val="Texte de bulles Car"/>
    <w:basedOn w:val="Policepardfaut"/>
    <w:link w:val="Textedebulles"/>
    <w:uiPriority w:val="99"/>
    <w:semiHidden/>
    <w:rsid w:val="006F5F98"/>
    <w:rPr>
      <w:rFonts w:ascii="Tahoma" w:hAnsi="Tahoma" w:cs="Tahoma"/>
      <w:sz w:val="16"/>
      <w:szCs w:val="16"/>
    </w:rPr>
  </w:style>
  <w:style w:type="paragraph" w:styleId="Sous-titre">
    <w:name w:val="Subtitle"/>
    <w:basedOn w:val="Normal"/>
    <w:next w:val="Normal"/>
    <w:rsid w:val="004A1316"/>
    <w:pPr>
      <w:keepNext/>
      <w:keepLines/>
      <w:spacing w:before="360" w:after="80"/>
    </w:pPr>
    <w:rPr>
      <w:rFonts w:ascii="Georgia" w:eastAsia="Georgia" w:hAnsi="Georgia" w:cs="Georgia"/>
      <w:i/>
      <w:color w:val="666666"/>
      <w:sz w:val="48"/>
      <w:szCs w:val="48"/>
    </w:rPr>
  </w:style>
  <w:style w:type="table" w:customStyle="1" w:styleId="a">
    <w:basedOn w:val="TableauNormal"/>
    <w:rsid w:val="00F55C23"/>
    <w:tblPr>
      <w:tblStyleRowBandSize w:val="1"/>
      <w:tblStyleColBandSize w:val="1"/>
      <w:tblInd w:w="0" w:type="dxa"/>
      <w:tblCellMar>
        <w:top w:w="0" w:type="dxa"/>
        <w:left w:w="115" w:type="dxa"/>
        <w:bottom w:w="0" w:type="dxa"/>
        <w:right w:w="115" w:type="dxa"/>
      </w:tblCellMar>
    </w:tblPr>
  </w:style>
  <w:style w:type="table" w:customStyle="1" w:styleId="a0">
    <w:basedOn w:val="TableNormal10"/>
    <w:rsid w:val="00495459"/>
    <w:tblPr>
      <w:tblStyleRowBandSize w:val="1"/>
      <w:tblStyleColBandSize w:val="1"/>
      <w:tblCellMar>
        <w:top w:w="100" w:type="dxa"/>
        <w:left w:w="100" w:type="dxa"/>
        <w:bottom w:w="100" w:type="dxa"/>
        <w:right w:w="100" w:type="dxa"/>
      </w:tblCellMar>
    </w:tblPr>
  </w:style>
  <w:style w:type="character" w:styleId="Marquedecommentaire">
    <w:name w:val="annotation reference"/>
    <w:basedOn w:val="Policepardfaut"/>
    <w:uiPriority w:val="99"/>
    <w:semiHidden/>
    <w:unhideWhenUsed/>
    <w:rsid w:val="00076568"/>
    <w:rPr>
      <w:sz w:val="16"/>
      <w:szCs w:val="16"/>
    </w:rPr>
  </w:style>
  <w:style w:type="paragraph" w:styleId="Commentaire">
    <w:name w:val="annotation text"/>
    <w:basedOn w:val="Normal"/>
    <w:link w:val="CommentaireCar"/>
    <w:uiPriority w:val="99"/>
    <w:semiHidden/>
    <w:unhideWhenUsed/>
    <w:rsid w:val="00076568"/>
    <w:rPr>
      <w:sz w:val="20"/>
      <w:szCs w:val="20"/>
    </w:rPr>
  </w:style>
  <w:style w:type="character" w:customStyle="1" w:styleId="CommentaireCar">
    <w:name w:val="Commentaire Car"/>
    <w:basedOn w:val="Policepardfaut"/>
    <w:link w:val="Commentaire"/>
    <w:uiPriority w:val="99"/>
    <w:semiHidden/>
    <w:rsid w:val="00076568"/>
    <w:rPr>
      <w:sz w:val="20"/>
      <w:szCs w:val="20"/>
    </w:rPr>
  </w:style>
  <w:style w:type="paragraph" w:styleId="Objetducommentaire">
    <w:name w:val="annotation subject"/>
    <w:basedOn w:val="Commentaire"/>
    <w:next w:val="Commentaire"/>
    <w:link w:val="ObjetducommentaireCar"/>
    <w:uiPriority w:val="99"/>
    <w:semiHidden/>
    <w:unhideWhenUsed/>
    <w:rsid w:val="00076568"/>
    <w:rPr>
      <w:b/>
      <w:bCs/>
    </w:rPr>
  </w:style>
  <w:style w:type="character" w:customStyle="1" w:styleId="ObjetducommentaireCar">
    <w:name w:val="Objet du commentaire Car"/>
    <w:basedOn w:val="CommentaireCar"/>
    <w:link w:val="Objetducommentaire"/>
    <w:uiPriority w:val="99"/>
    <w:semiHidden/>
    <w:rsid w:val="00076568"/>
    <w:rPr>
      <w:b/>
      <w:bCs/>
      <w:sz w:val="20"/>
      <w:szCs w:val="20"/>
    </w:rPr>
  </w:style>
  <w:style w:type="table" w:customStyle="1" w:styleId="a1">
    <w:basedOn w:val="TableNormal1"/>
    <w:rsid w:val="004A1316"/>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ivs>
    <w:div w:id="1920212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drissi\Desktop\VAW%202020\VAW%202020\vaw%20janvier%202021\Homme\FINAL\Tabulation_Violence_homme_sana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FINAL-homme\Tabulation_Violence_homme_sana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4108213445900738"/>
          <c:y val="4.5796701981813882E-2"/>
          <c:w val="0.58917865540992631"/>
          <c:h val="0.80770827009104962"/>
        </c:manualLayout>
      </c:layout>
      <c:barChart>
        <c:barDir val="bar"/>
        <c:grouping val="clustered"/>
        <c:ser>
          <c:idx val="0"/>
          <c:order val="0"/>
          <c:tx>
            <c:strRef>
              <c:f>'comparaison prevalence'!$M$1</c:f>
              <c:strCache>
                <c:ptCount val="1"/>
                <c:pt idx="0">
                  <c:v>Femme</c:v>
                </c:pt>
              </c:strCache>
            </c:strRef>
          </c:tx>
          <c:spPr>
            <a:solidFill>
              <a:schemeClr val="accent1"/>
            </a:solidFill>
            <a:ln>
              <a:noFill/>
            </a:ln>
            <a:effectLst/>
          </c:spPr>
          <c:dLbls>
            <c:dLbl>
              <c:idx val="0"/>
              <c:layout>
                <c:manualLayout>
                  <c:x val="7.0175438596491351E-3"/>
                  <c:y val="-3.5070539089447831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175-4EA0-AAEE-9231441A600C}"/>
                </c:ext>
              </c:extLst>
            </c:dLbl>
            <c:dLbl>
              <c:idx val="5"/>
              <c:layout>
                <c:manualLayout>
                  <c:x val="-6.6109289587144883E-3"/>
                  <c:y val="4.163336543801247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175-4EA0-AAEE-9231441A600C}"/>
                </c:ext>
              </c:extLst>
            </c:dLbl>
            <c:spPr>
              <a:noFill/>
              <a:ln>
                <a:noFill/>
              </a:ln>
              <a:effectLst/>
            </c:spPr>
            <c:txPr>
              <a:bodyPr rot="0" vert="horz"/>
              <a:lstStyle/>
              <a:p>
                <a:pPr>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'comparaison prevalence'!$K$2:$L$10</c:f>
              <c:multiLvlStrCache>
                <c:ptCount val="9"/>
                <c:lvl>
                  <c:pt idx="0">
                    <c:v>Conjugal</c:v>
                  </c:pt>
                  <c:pt idx="1">
                    <c:v>Familial</c:v>
                  </c:pt>
                  <c:pt idx="2">
                    <c:v>Lieu de travail</c:v>
                  </c:pt>
                  <c:pt idx="3">
                    <c:v>Etablissement d'enseignement et de formation</c:v>
                  </c:pt>
                  <c:pt idx="4">
                    <c:v>Espace public</c:v>
                  </c:pt>
                  <c:pt idx="5">
                    <c:v>Psychologique</c:v>
                  </c:pt>
                  <c:pt idx="6">
                    <c:v>Physique</c:v>
                  </c:pt>
                  <c:pt idx="7">
                    <c:v>Sexuelle</c:v>
                  </c:pt>
                  <c:pt idx="8">
                    <c:v>Economique</c:v>
                  </c:pt>
                </c:lvl>
                <c:lvl>
                  <c:pt idx="0">
                    <c:v>Contextes de violence</c:v>
                  </c:pt>
                  <c:pt idx="5">
                    <c:v>Formes de violence</c:v>
                  </c:pt>
                </c:lvl>
              </c:multiLvlStrCache>
            </c:multiLvlStrRef>
          </c:cat>
          <c:val>
            <c:numRef>
              <c:f>'comparaison prevalence'!$M$2:$M$10</c:f>
              <c:numCache>
                <c:formatCode>###0.0%</c:formatCode>
                <c:ptCount val="9"/>
                <c:pt idx="0">
                  <c:v>0.46134055986163341</c:v>
                </c:pt>
                <c:pt idx="1">
                  <c:v>0.1856781802782532</c:v>
                </c:pt>
                <c:pt idx="2">
                  <c:v>0.1510822142034022</c:v>
                </c:pt>
                <c:pt idx="3">
                  <c:v>0.22448903716322471</c:v>
                </c:pt>
                <c:pt idx="4">
                  <c:v>0.12640594620234491</c:v>
                </c:pt>
                <c:pt idx="5">
                  <c:v>0.47450238355750951</c:v>
                </c:pt>
                <c:pt idx="6">
                  <c:v>0.12887950367393375</c:v>
                </c:pt>
                <c:pt idx="7">
                  <c:v>0.13590087411377572</c:v>
                </c:pt>
                <c:pt idx="8">
                  <c:v>0.14273167591209071</c:v>
                </c:pt>
              </c:numCache>
            </c:numRef>
          </c:val>
          <c:extLst xmlns:c16r2="http://schemas.microsoft.com/office/drawing/2015/06/chart">
            <c:ext xmlns:c16="http://schemas.microsoft.com/office/drawing/2014/chart" uri="{C3380CC4-5D6E-409C-BE32-E72D297353CC}">
              <c16:uniqueId val="{00000002-A175-4EA0-AAEE-9231441A600C}"/>
            </c:ext>
          </c:extLst>
        </c:ser>
        <c:ser>
          <c:idx val="1"/>
          <c:order val="1"/>
          <c:tx>
            <c:strRef>
              <c:f>'comparaison prevalence'!$N$1</c:f>
              <c:strCache>
                <c:ptCount val="1"/>
                <c:pt idx="0">
                  <c:v>Homme</c:v>
                </c:pt>
              </c:strCache>
            </c:strRef>
          </c:tx>
          <c:spPr>
            <a:solidFill>
              <a:schemeClr val="accent2"/>
            </a:solidFill>
            <a:ln>
              <a:noFill/>
            </a:ln>
            <a:effectLst/>
          </c:spPr>
          <c:dLbls>
            <c:dLbl>
              <c:idx val="0"/>
              <c:layout>
                <c:manualLayout>
                  <c:x val="2.5730994152046788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175-4EA0-AAEE-9231441A600C}"/>
                </c:ext>
              </c:extLst>
            </c:dLbl>
            <c:dLbl>
              <c:idx val="2"/>
              <c:layout>
                <c:manualLayout>
                  <c:x val="4.6783625730993927E-3"/>
                  <c:y val="-1.147776356530064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175-4EA0-AAEE-9231441A600C}"/>
                </c:ext>
              </c:extLst>
            </c:dLbl>
            <c:dLbl>
              <c:idx val="5"/>
              <c:layout>
                <c:manualLayout>
                  <c:x val="2.8070175438596499E-2"/>
                  <c:y val="-3.5070539089447831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175-4EA0-AAEE-9231441A600C}"/>
                </c:ext>
              </c:extLst>
            </c:dLbl>
            <c:dLbl>
              <c:idx val="7"/>
              <c:layout>
                <c:manualLayout>
                  <c:x val="1.4035087719298333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175-4EA0-AAEE-9231441A600C}"/>
                </c:ext>
              </c:extLst>
            </c:dLbl>
            <c:dLbl>
              <c:idx val="9"/>
              <c:layout>
                <c:manualLayout>
                  <c:x val="1.4035087719298249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175-4EA0-AAEE-9231441A600C}"/>
                </c:ext>
              </c:extLst>
            </c:dLbl>
            <c:dLbl>
              <c:idx val="10"/>
              <c:layout>
                <c:manualLayout>
                  <c:x val="9.3567251461988341E-3"/>
                  <c:y val="-3.5070539089447831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175-4EA0-AAEE-9231441A600C}"/>
                </c:ext>
              </c:extLst>
            </c:dLbl>
            <c:spPr>
              <a:noFill/>
              <a:ln>
                <a:noFill/>
              </a:ln>
              <a:effectLst/>
            </c:spPr>
            <c:txPr>
              <a:bodyPr rot="0" vert="horz"/>
              <a:lstStyle/>
              <a:p>
                <a:pPr>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'comparaison prevalence'!$K$2:$L$10</c:f>
              <c:multiLvlStrCache>
                <c:ptCount val="9"/>
                <c:lvl>
                  <c:pt idx="0">
                    <c:v>Conjugal</c:v>
                  </c:pt>
                  <c:pt idx="1">
                    <c:v>Familial</c:v>
                  </c:pt>
                  <c:pt idx="2">
                    <c:v>Lieu de travail</c:v>
                  </c:pt>
                  <c:pt idx="3">
                    <c:v>Etablissement d'enseignement et de formation</c:v>
                  </c:pt>
                  <c:pt idx="4">
                    <c:v>Espace public</c:v>
                  </c:pt>
                  <c:pt idx="5">
                    <c:v>Psychologique</c:v>
                  </c:pt>
                  <c:pt idx="6">
                    <c:v>Physique</c:v>
                  </c:pt>
                  <c:pt idx="7">
                    <c:v>Sexuelle</c:v>
                  </c:pt>
                  <c:pt idx="8">
                    <c:v>Economique</c:v>
                  </c:pt>
                </c:lvl>
                <c:lvl>
                  <c:pt idx="0">
                    <c:v>Contextes de violence</c:v>
                  </c:pt>
                  <c:pt idx="5">
                    <c:v>Formes de violence</c:v>
                  </c:pt>
                </c:lvl>
              </c:multiLvlStrCache>
            </c:multiLvlStrRef>
          </c:cat>
          <c:val>
            <c:numRef>
              <c:f>'comparaison prevalence'!$N$2:$N$10</c:f>
              <c:numCache>
                <c:formatCode>###0.0%</c:formatCode>
                <c:ptCount val="9"/>
                <c:pt idx="0">
                  <c:v>0.30530779470508823</c:v>
                </c:pt>
                <c:pt idx="1">
                  <c:v>0.11541313360971503</c:v>
                </c:pt>
                <c:pt idx="2">
                  <c:v>0.15987638854758648</c:v>
                </c:pt>
                <c:pt idx="3">
                  <c:v>0.11980409229275885</c:v>
                </c:pt>
                <c:pt idx="4">
                  <c:v>9.8292411430857277E-2</c:v>
                </c:pt>
                <c:pt idx="5">
                  <c:v>0.37052085315817757</c:v>
                </c:pt>
                <c:pt idx="6">
                  <c:v>0.10469700473654463</c:v>
                </c:pt>
                <c:pt idx="7">
                  <c:v>1.9336312132703228E-2</c:v>
                </c:pt>
                <c:pt idx="8">
                  <c:v>1.383814664840209E-2</c:v>
                </c:pt>
              </c:numCache>
            </c:numRef>
          </c:val>
          <c:extLst xmlns:c16r2="http://schemas.microsoft.com/office/drawing/2015/06/chart">
            <c:ext xmlns:c16="http://schemas.microsoft.com/office/drawing/2014/chart" uri="{C3380CC4-5D6E-409C-BE32-E72D297353CC}">
              <c16:uniqueId val="{00000009-A175-4EA0-AAEE-9231441A600C}"/>
            </c:ext>
          </c:extLst>
        </c:ser>
        <c:gapWidth val="182"/>
        <c:axId val="74043776"/>
        <c:axId val="74045696"/>
      </c:barChart>
      <c:catAx>
        <c:axId val="7404377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fr-FR"/>
          </a:p>
        </c:txPr>
        <c:crossAx val="74045696"/>
        <c:crosses val="autoZero"/>
        <c:auto val="1"/>
        <c:lblAlgn val="ctr"/>
        <c:lblOffset val="100"/>
      </c:catAx>
      <c:valAx>
        <c:axId val="74045696"/>
        <c:scaling>
          <c:orientation val="minMax"/>
        </c:scaling>
        <c:delete val="1"/>
        <c:axPos val="b"/>
        <c:numFmt formatCode="###0.0%" sourceLinked="1"/>
        <c:majorTickMark val="none"/>
        <c:tickLblPos val="none"/>
        <c:crossAx val="74043776"/>
        <c:crosses val="autoZero"/>
        <c:crossBetween val="between"/>
      </c:valAx>
      <c:spPr>
        <a:noFill/>
        <a:ln>
          <a:noFill/>
        </a:ln>
        <a:effectLst/>
      </c:spPr>
    </c:plotArea>
    <c:legend>
      <c:legendPos val="b"/>
      <c:layout>
        <c:manualLayout>
          <c:xMode val="edge"/>
          <c:yMode val="edge"/>
          <c:x val="0.19385992540406138"/>
          <c:y val="0.89409667541557558"/>
          <c:w val="0.65711606766285691"/>
          <c:h val="7.8125546806649168E-2"/>
        </c:manualLayout>
      </c:layout>
      <c:spPr>
        <a:noFill/>
        <a:ln>
          <a:noFill/>
        </a:ln>
        <a:effectLst/>
      </c:spPr>
      <c:txPr>
        <a:bodyPr rot="0" vert="horz"/>
        <a:lstStyle/>
        <a:p>
          <a:pPr>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700" b="1"/>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fr-FR"/>
  <c:chart>
    <c:autoTitleDeleted val="1"/>
    <c:plotArea>
      <c:layout>
        <c:manualLayout>
          <c:layoutTarget val="inner"/>
          <c:xMode val="edge"/>
          <c:yMode val="edge"/>
          <c:x val="2.5462962962962996E-2"/>
          <c:y val="5.9411288144748303E-2"/>
          <c:w val="0.94907407407408129"/>
          <c:h val="0.6423474475898524"/>
        </c:manualLayout>
      </c:layout>
      <c:barChart>
        <c:barDir val="col"/>
        <c:grouping val="percentStacked"/>
        <c:ser>
          <c:idx val="0"/>
          <c:order val="0"/>
          <c:tx>
            <c:strRef>
              <c:f>'graphiques note'!$B$127</c:f>
              <c:strCache>
                <c:ptCount val="1"/>
                <c:pt idx="0">
                  <c:v>Catégoriquement pas d'accord</c:v>
                </c:pt>
              </c:strCache>
            </c:strRef>
          </c:tx>
          <c:spPr>
            <a:solidFill>
              <a:schemeClr val="accent1"/>
            </a:solidFill>
            <a:ln>
              <a:noFill/>
            </a:ln>
            <a:effectLst/>
          </c:spPr>
          <c:dLbls>
            <c:dLbl>
              <c:idx val="0"/>
              <c:tx>
                <c:rich>
                  <a:bodyPr/>
                  <a:lstStyle/>
                  <a:p>
                    <a:r>
                      <a:rPr lang="en-US"/>
                      <a:t>56,8%</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7F68-40A3-B117-73FEEC6F9EAA}"/>
                </c:ext>
              </c:extLst>
            </c:dLbl>
            <c:spPr>
              <a:noFill/>
              <a:ln>
                <a:noFill/>
              </a:ln>
              <a:effectLst/>
            </c:spPr>
            <c:txPr>
              <a:bodyPr rot="0" spcFirstLastPara="1" vertOverflow="ellipsis" vert="horz" wrap="square" anchor="ctr" anchorCtr="1"/>
              <a:lstStyle/>
              <a:p>
                <a:pPr>
                  <a:defRPr lang="en-US"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'graphiques note'!$D$125:$K$126</c:f>
              <c:multiLvlStrCache>
                <c:ptCount val="8"/>
                <c:lvl>
                  <c:pt idx="1">
                    <c:v>Urbain</c:v>
                  </c:pt>
                  <c:pt idx="2">
                    <c:v>Rural</c:v>
                  </c:pt>
                  <c:pt idx="3">
                    <c:v>15-24</c:v>
                  </c:pt>
                  <c:pt idx="4">
                    <c:v>25-34</c:v>
                  </c:pt>
                  <c:pt idx="5">
                    <c:v>35-44</c:v>
                  </c:pt>
                  <c:pt idx="6">
                    <c:v>45-59</c:v>
                  </c:pt>
                  <c:pt idx="7">
                    <c:v>60ans et+</c:v>
                  </c:pt>
                </c:lvl>
                <c:lvl>
                  <c:pt idx="0">
                    <c:v>Ensemble</c:v>
                  </c:pt>
                  <c:pt idx="1">
                    <c:v>Milieu de résidence</c:v>
                  </c:pt>
                  <c:pt idx="3">
                    <c:v>Groupes d'âges</c:v>
                  </c:pt>
                </c:lvl>
              </c:multiLvlStrCache>
            </c:multiLvlStrRef>
          </c:cat>
          <c:val>
            <c:numRef>
              <c:f>'graphiques note'!$D$127:$K$127</c:f>
              <c:numCache>
                <c:formatCode>###0.0%</c:formatCode>
                <c:ptCount val="8"/>
                <c:pt idx="0" formatCode="0.00%">
                  <c:v>0.56799999999999995</c:v>
                </c:pt>
                <c:pt idx="1">
                  <c:v>0.59983984543207614</c:v>
                </c:pt>
                <c:pt idx="2">
                  <c:v>0.51226805928103558</c:v>
                </c:pt>
                <c:pt idx="3">
                  <c:v>0.5615626605666143</c:v>
                </c:pt>
                <c:pt idx="4">
                  <c:v>0.56279887941009377</c:v>
                </c:pt>
                <c:pt idx="5">
                  <c:v>0.56891925584590208</c:v>
                </c:pt>
                <c:pt idx="6">
                  <c:v>0.60005790455557773</c:v>
                </c:pt>
                <c:pt idx="7">
                  <c:v>0.54015247410171152</c:v>
                </c:pt>
              </c:numCache>
            </c:numRef>
          </c:val>
          <c:extLst xmlns:c16r2="http://schemas.microsoft.com/office/drawing/2015/06/chart">
            <c:ext xmlns:c16="http://schemas.microsoft.com/office/drawing/2014/chart" uri="{C3380CC4-5D6E-409C-BE32-E72D297353CC}">
              <c16:uniqueId val="{00000001-7F68-40A3-B117-73FEEC6F9EAA}"/>
            </c:ext>
          </c:extLst>
        </c:ser>
        <c:ser>
          <c:idx val="1"/>
          <c:order val="1"/>
          <c:tx>
            <c:strRef>
              <c:f>'graphiques note'!$B$128</c:f>
              <c:strCache>
                <c:ptCount val="1"/>
                <c:pt idx="0">
                  <c:v>A priori pas d'accord</c:v>
                </c:pt>
              </c:strCache>
            </c:strRef>
          </c:tx>
          <c:spPr>
            <a:solidFill>
              <a:schemeClr val="accent2"/>
            </a:solidFill>
            <a:ln>
              <a:noFill/>
            </a:ln>
            <a:effectLst/>
          </c:spPr>
          <c:dLbls>
            <c:spPr>
              <a:noFill/>
              <a:ln>
                <a:noFill/>
              </a:ln>
              <a:effectLst/>
            </c:spPr>
            <c:txPr>
              <a:bodyPr rot="0" spcFirstLastPara="1" vertOverflow="ellipsis" vert="horz" wrap="square" anchor="ctr" anchorCtr="1"/>
              <a:lstStyle/>
              <a:p>
                <a:pPr>
                  <a:defRPr lang="en-US"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'graphiques note'!$D$125:$K$126</c:f>
              <c:multiLvlStrCache>
                <c:ptCount val="8"/>
                <c:lvl>
                  <c:pt idx="1">
                    <c:v>Urbain</c:v>
                  </c:pt>
                  <c:pt idx="2">
                    <c:v>Rural</c:v>
                  </c:pt>
                  <c:pt idx="3">
                    <c:v>15-24</c:v>
                  </c:pt>
                  <c:pt idx="4">
                    <c:v>25-34</c:v>
                  </c:pt>
                  <c:pt idx="5">
                    <c:v>35-44</c:v>
                  </c:pt>
                  <c:pt idx="6">
                    <c:v>45-59</c:v>
                  </c:pt>
                  <c:pt idx="7">
                    <c:v>60ans et+</c:v>
                  </c:pt>
                </c:lvl>
                <c:lvl>
                  <c:pt idx="0">
                    <c:v>Ensemble</c:v>
                  </c:pt>
                  <c:pt idx="1">
                    <c:v>Milieu de résidence</c:v>
                  </c:pt>
                  <c:pt idx="3">
                    <c:v>Groupes d'âges</c:v>
                  </c:pt>
                </c:lvl>
              </c:multiLvlStrCache>
            </c:multiLvlStrRef>
          </c:cat>
          <c:val>
            <c:numRef>
              <c:f>'graphiques note'!$D$128:$K$128</c:f>
              <c:numCache>
                <c:formatCode>0.0%</c:formatCode>
                <c:ptCount val="8"/>
                <c:pt idx="0">
                  <c:v>0.22100000000000003</c:v>
                </c:pt>
                <c:pt idx="1">
                  <c:v>0.22778930949930229</c:v>
                </c:pt>
                <c:pt idx="2">
                  <c:v>0.20884762093247194</c:v>
                </c:pt>
                <c:pt idx="3">
                  <c:v>0.21992887762778671</c:v>
                </c:pt>
                <c:pt idx="4">
                  <c:v>0.22827076242001537</c:v>
                </c:pt>
                <c:pt idx="5">
                  <c:v>0.23962133420657961</c:v>
                </c:pt>
                <c:pt idx="6">
                  <c:v>0.21121671973486311</c:v>
                </c:pt>
                <c:pt idx="7">
                  <c:v>0.20323355306640647</c:v>
                </c:pt>
              </c:numCache>
            </c:numRef>
          </c:val>
          <c:extLst xmlns:c16r2="http://schemas.microsoft.com/office/drawing/2015/06/chart">
            <c:ext xmlns:c16="http://schemas.microsoft.com/office/drawing/2014/chart" uri="{C3380CC4-5D6E-409C-BE32-E72D297353CC}">
              <c16:uniqueId val="{00000002-7F68-40A3-B117-73FEEC6F9EAA}"/>
            </c:ext>
          </c:extLst>
        </c:ser>
        <c:ser>
          <c:idx val="2"/>
          <c:order val="2"/>
          <c:tx>
            <c:strRef>
              <c:f>'graphiques note'!$B$129</c:f>
              <c:strCache>
                <c:ptCount val="1"/>
                <c:pt idx="0">
                  <c:v>D'accord dans une certaine mesure</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lang="en-US"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'graphiques note'!$D$125:$K$126</c:f>
              <c:multiLvlStrCache>
                <c:ptCount val="8"/>
                <c:lvl>
                  <c:pt idx="1">
                    <c:v>Urbain</c:v>
                  </c:pt>
                  <c:pt idx="2">
                    <c:v>Rural</c:v>
                  </c:pt>
                  <c:pt idx="3">
                    <c:v>15-24</c:v>
                  </c:pt>
                  <c:pt idx="4">
                    <c:v>25-34</c:v>
                  </c:pt>
                  <c:pt idx="5">
                    <c:v>35-44</c:v>
                  </c:pt>
                  <c:pt idx="6">
                    <c:v>45-59</c:v>
                  </c:pt>
                  <c:pt idx="7">
                    <c:v>60ans et+</c:v>
                  </c:pt>
                </c:lvl>
                <c:lvl>
                  <c:pt idx="0">
                    <c:v>Ensemble</c:v>
                  </c:pt>
                  <c:pt idx="1">
                    <c:v>Milieu de résidence</c:v>
                  </c:pt>
                  <c:pt idx="3">
                    <c:v>Groupes d'âges</c:v>
                  </c:pt>
                </c:lvl>
              </c:multiLvlStrCache>
            </c:multiLvlStrRef>
          </c:cat>
          <c:val>
            <c:numRef>
              <c:f>'graphiques note'!$D$129:$K$129</c:f>
              <c:numCache>
                <c:formatCode>0.0%</c:formatCode>
                <c:ptCount val="8"/>
                <c:pt idx="0">
                  <c:v>0.10100000000000002</c:v>
                </c:pt>
                <c:pt idx="1">
                  <c:v>9.4972824629662597E-2</c:v>
                </c:pt>
                <c:pt idx="2">
                  <c:v>0.11284740491497385</c:v>
                </c:pt>
                <c:pt idx="3">
                  <c:v>8.2337234986569335E-2</c:v>
                </c:pt>
                <c:pt idx="4">
                  <c:v>0.11015321292683609</c:v>
                </c:pt>
                <c:pt idx="5">
                  <c:v>0.10238108930964385</c:v>
                </c:pt>
                <c:pt idx="6">
                  <c:v>0.10148352870963977</c:v>
                </c:pt>
                <c:pt idx="7">
                  <c:v>0.11656258053340102</c:v>
                </c:pt>
              </c:numCache>
            </c:numRef>
          </c:val>
          <c:extLst xmlns:c16r2="http://schemas.microsoft.com/office/drawing/2015/06/chart">
            <c:ext xmlns:c16="http://schemas.microsoft.com/office/drawing/2014/chart" uri="{C3380CC4-5D6E-409C-BE32-E72D297353CC}">
              <c16:uniqueId val="{00000003-7F68-40A3-B117-73FEEC6F9EAA}"/>
            </c:ext>
          </c:extLst>
        </c:ser>
        <c:ser>
          <c:idx val="3"/>
          <c:order val="3"/>
          <c:tx>
            <c:strRef>
              <c:f>'graphiques note'!$B$130</c:f>
              <c:strCache>
                <c:ptCount val="1"/>
                <c:pt idx="0">
                  <c:v>Tout à fait d'accord</c:v>
                </c:pt>
              </c:strCache>
            </c:strRef>
          </c:tx>
          <c:spPr>
            <a:solidFill>
              <a:schemeClr val="accent4"/>
            </a:solidFill>
            <a:ln>
              <a:noFill/>
            </a:ln>
            <a:effectLst/>
          </c:spPr>
          <c:dLbls>
            <c:spPr>
              <a:noFill/>
              <a:ln>
                <a:noFill/>
              </a:ln>
              <a:effectLst/>
            </c:spPr>
            <c:txPr>
              <a:bodyPr rot="0" spcFirstLastPara="1" vertOverflow="ellipsis" vert="horz" wrap="square" anchor="ctr" anchorCtr="1"/>
              <a:lstStyle/>
              <a:p>
                <a:pPr>
                  <a:defRPr lang="en-US"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'graphiques note'!$D$125:$K$126</c:f>
              <c:multiLvlStrCache>
                <c:ptCount val="8"/>
                <c:lvl>
                  <c:pt idx="1">
                    <c:v>Urbain</c:v>
                  </c:pt>
                  <c:pt idx="2">
                    <c:v>Rural</c:v>
                  </c:pt>
                  <c:pt idx="3">
                    <c:v>15-24</c:v>
                  </c:pt>
                  <c:pt idx="4">
                    <c:v>25-34</c:v>
                  </c:pt>
                  <c:pt idx="5">
                    <c:v>35-44</c:v>
                  </c:pt>
                  <c:pt idx="6">
                    <c:v>45-59</c:v>
                  </c:pt>
                  <c:pt idx="7">
                    <c:v>60ans et+</c:v>
                  </c:pt>
                </c:lvl>
                <c:lvl>
                  <c:pt idx="0">
                    <c:v>Ensemble</c:v>
                  </c:pt>
                  <c:pt idx="1">
                    <c:v>Milieu de résidence</c:v>
                  </c:pt>
                  <c:pt idx="3">
                    <c:v>Groupes d'âges</c:v>
                  </c:pt>
                </c:lvl>
              </c:multiLvlStrCache>
            </c:multiLvlStrRef>
          </c:cat>
          <c:val>
            <c:numRef>
              <c:f>'graphiques note'!$D$130:$K$130</c:f>
              <c:numCache>
                <c:formatCode>0.0%</c:formatCode>
                <c:ptCount val="8"/>
                <c:pt idx="0">
                  <c:v>8.5000000000000048E-2</c:v>
                </c:pt>
                <c:pt idx="1">
                  <c:v>6.4141763526415721E-2</c:v>
                </c:pt>
                <c:pt idx="2">
                  <c:v>0.12111761126752803</c:v>
                </c:pt>
                <c:pt idx="3">
                  <c:v>7.51684021393621E-2</c:v>
                </c:pt>
                <c:pt idx="4">
                  <c:v>8.3646842131501975E-2</c:v>
                </c:pt>
                <c:pt idx="5">
                  <c:v>8.0448043899659746E-2</c:v>
                </c:pt>
                <c:pt idx="6">
                  <c:v>7.3933139715347471E-2</c:v>
                </c:pt>
                <c:pt idx="7">
                  <c:v>0.12092706791459024</c:v>
                </c:pt>
              </c:numCache>
            </c:numRef>
          </c:val>
          <c:extLst xmlns:c16r2="http://schemas.microsoft.com/office/drawing/2015/06/chart">
            <c:ext xmlns:c16="http://schemas.microsoft.com/office/drawing/2014/chart" uri="{C3380CC4-5D6E-409C-BE32-E72D297353CC}">
              <c16:uniqueId val="{00000004-7F68-40A3-B117-73FEEC6F9EAA}"/>
            </c:ext>
          </c:extLst>
        </c:ser>
        <c:ser>
          <c:idx val="4"/>
          <c:order val="4"/>
          <c:tx>
            <c:strRef>
              <c:f>'graphiques note'!$B$131</c:f>
              <c:strCache>
                <c:ptCount val="1"/>
                <c:pt idx="0">
                  <c:v>Je ne sais pas/Je refuse de répondre</c:v>
                </c:pt>
              </c:strCache>
            </c:strRef>
          </c:tx>
          <c:spPr>
            <a:solidFill>
              <a:schemeClr val="accent5"/>
            </a:solidFill>
            <a:ln>
              <a:noFill/>
            </a:ln>
            <a:effectLst/>
          </c:spPr>
          <c:cat>
            <c:multiLvlStrRef>
              <c:f>'graphiques note'!$D$125:$K$126</c:f>
              <c:multiLvlStrCache>
                <c:ptCount val="8"/>
                <c:lvl>
                  <c:pt idx="1">
                    <c:v>Urbain</c:v>
                  </c:pt>
                  <c:pt idx="2">
                    <c:v>Rural</c:v>
                  </c:pt>
                  <c:pt idx="3">
                    <c:v>15-24</c:v>
                  </c:pt>
                  <c:pt idx="4">
                    <c:v>25-34</c:v>
                  </c:pt>
                  <c:pt idx="5">
                    <c:v>35-44</c:v>
                  </c:pt>
                  <c:pt idx="6">
                    <c:v>45-59</c:v>
                  </c:pt>
                  <c:pt idx="7">
                    <c:v>60ans et+</c:v>
                  </c:pt>
                </c:lvl>
                <c:lvl>
                  <c:pt idx="0">
                    <c:v>Ensemble</c:v>
                  </c:pt>
                  <c:pt idx="1">
                    <c:v>Milieu de résidence</c:v>
                  </c:pt>
                  <c:pt idx="3">
                    <c:v>Groupes d'âges</c:v>
                  </c:pt>
                </c:lvl>
              </c:multiLvlStrCache>
            </c:multiLvlStrRef>
          </c:cat>
          <c:val>
            <c:numRef>
              <c:f>'graphiques note'!$D$131:$K$131</c:f>
              <c:numCache>
                <c:formatCode>0.0%</c:formatCode>
                <c:ptCount val="8"/>
                <c:pt idx="0">
                  <c:v>2.5000000000000012E-2</c:v>
                </c:pt>
                <c:pt idx="1">
                  <c:v>1.3256256912545299E-2</c:v>
                </c:pt>
                <c:pt idx="2">
                  <c:v>4.4919303603988624E-2</c:v>
                </c:pt>
                <c:pt idx="3">
                  <c:v>6.1002824679661151E-2</c:v>
                </c:pt>
                <c:pt idx="4">
                  <c:v>1.5130303111564115E-2</c:v>
                </c:pt>
                <c:pt idx="5">
                  <c:v>8.6302767382133005E-3</c:v>
                </c:pt>
                <c:pt idx="6">
                  <c:v>1.3308707284580494E-2</c:v>
                </c:pt>
                <c:pt idx="7">
                  <c:v>1.9124324383892739E-2</c:v>
                </c:pt>
              </c:numCache>
            </c:numRef>
          </c:val>
          <c:extLst xmlns:c16r2="http://schemas.microsoft.com/office/drawing/2015/06/chart">
            <c:ext xmlns:c16="http://schemas.microsoft.com/office/drawing/2014/chart" uri="{C3380CC4-5D6E-409C-BE32-E72D297353CC}">
              <c16:uniqueId val="{00000005-7F68-40A3-B117-73FEEC6F9EAA}"/>
            </c:ext>
          </c:extLst>
        </c:ser>
        <c:overlap val="100"/>
        <c:axId val="74833280"/>
        <c:axId val="75769344"/>
      </c:barChart>
      <c:catAx>
        <c:axId val="748332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75769344"/>
        <c:crosses val="autoZero"/>
        <c:auto val="1"/>
        <c:lblAlgn val="ctr"/>
        <c:lblOffset val="100"/>
      </c:catAx>
      <c:valAx>
        <c:axId val="75769344"/>
        <c:scaling>
          <c:orientation val="minMax"/>
        </c:scaling>
        <c:delete val="1"/>
        <c:axPos val="l"/>
        <c:numFmt formatCode="0%" sourceLinked="1"/>
        <c:majorTickMark val="none"/>
        <c:tickLblPos val="none"/>
        <c:crossAx val="74833280"/>
        <c:crosses val="autoZero"/>
        <c:crossBetween val="between"/>
      </c:valAx>
      <c:spPr>
        <a:noFill/>
        <a:ln>
          <a:noFill/>
        </a:ln>
        <a:effectLst/>
      </c:spPr>
    </c:plotArea>
    <c:legend>
      <c:legendPos val="b"/>
      <c:layout>
        <c:manualLayout>
          <c:xMode val="edge"/>
          <c:yMode val="edge"/>
          <c:x val="8.7109944590260009E-3"/>
          <c:y val="0.90503592160468993"/>
          <c:w val="0.98319535578885986"/>
          <c:h val="8.1562979810005501E-2"/>
        </c:manualLayout>
      </c:layout>
      <c:spPr>
        <a:noFill/>
        <a:ln>
          <a:noFill/>
        </a:ln>
        <a:effectLst/>
      </c:spPr>
      <c:txPr>
        <a:bodyPr rot="0" spcFirstLastPara="1" vertOverflow="ellipsis" vert="horz" wrap="square" anchor="ctr" anchorCtr="1"/>
        <a:lstStyle/>
        <a:p>
          <a:pPr>
            <a:defRPr lang="en-US" sz="800" b="1"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fr-FR"/>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y2CX1bBihqV49VKFUgYbQdqCXg==">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321611-B1DC-44B7-B12B-D820C82C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2815</Words>
  <Characters>15486</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HCP</cp:lastModifiedBy>
  <cp:revision>9</cp:revision>
  <cp:lastPrinted>2021-04-20T10:29:00Z</cp:lastPrinted>
  <dcterms:created xsi:type="dcterms:W3CDTF">2021-04-20T12:15:00Z</dcterms:created>
  <dcterms:modified xsi:type="dcterms:W3CDTF">2021-04-21T08:41:00Z</dcterms:modified>
</cp:coreProperties>
</file>