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8F" w:rsidRPr="00536E6D" w:rsidRDefault="00300D33" w:rsidP="00536E6D">
      <w:pPr>
        <w:spacing w:line="360" w:lineRule="auto"/>
        <w:jc w:val="both"/>
        <w:rPr>
          <w:rFonts w:asciiTheme="majorBidi" w:hAnsiTheme="majorBidi" w:cstheme="majorBidi"/>
          <w:b/>
          <w:bCs/>
          <w:color w:val="943634" w:themeColor="accent2" w:themeShade="BF"/>
          <w:sz w:val="26"/>
          <w:szCs w:val="26"/>
          <w:rtl/>
          <w:lang w:bidi="ar-MA"/>
        </w:rPr>
      </w:pPr>
      <w:r>
        <w:rPr>
          <w:rFonts w:asciiTheme="majorBidi" w:hAnsiTheme="majorBidi" w:cstheme="majorBidi"/>
          <w:b/>
          <w:bCs/>
          <w:color w:val="943634" w:themeColor="accent2" w:themeShade="BF"/>
          <w:sz w:val="26"/>
          <w:szCs w:val="26"/>
          <w:lang w:bidi="ar-MA"/>
        </w:rPr>
        <w:t xml:space="preserve">              </w:t>
      </w:r>
    </w:p>
    <w:p w:rsidR="0047396E" w:rsidRPr="00536E6D" w:rsidRDefault="0047396E" w:rsidP="00536E6D">
      <w:pPr>
        <w:bidi/>
        <w:spacing w:line="360" w:lineRule="auto"/>
        <w:jc w:val="center"/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 للمندوبية السامية للتخطيط</w:t>
      </w:r>
    </w:p>
    <w:p w:rsidR="00601E92" w:rsidRPr="00536E6D" w:rsidRDefault="0047396E" w:rsidP="00536E6D">
      <w:pPr>
        <w:bidi/>
        <w:spacing w:after="240" w:line="360" w:lineRule="auto"/>
        <w:jc w:val="center"/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 لدى الأسر</w:t>
      </w:r>
    </w:p>
    <w:p w:rsidR="0047396E" w:rsidRPr="00536E6D" w:rsidRDefault="00601E92" w:rsidP="00536E6D">
      <w:pPr>
        <w:bidi/>
        <w:spacing w:after="240" w:line="360" w:lineRule="auto"/>
        <w:jc w:val="center"/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DZ"/>
        </w:rPr>
        <w:t>ا</w:t>
      </w:r>
      <w:r w:rsidR="00E306A8"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DZ"/>
        </w:rPr>
        <w:t xml:space="preserve">لفصل الأول من </w:t>
      </w:r>
      <w:r w:rsidR="0047396E"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  <w:t>سنة 20</w:t>
      </w:r>
      <w:r w:rsidR="006D45F0"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  <w:lang w:bidi="ar-MA"/>
        </w:rPr>
        <w:t>2</w:t>
      </w:r>
      <w:r w:rsidR="0090193B" w:rsidRPr="00536E6D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  <w:t>1</w:t>
      </w:r>
    </w:p>
    <w:p w:rsidR="0047396E" w:rsidRPr="00536E6D" w:rsidRDefault="0047396E" w:rsidP="00536E6D">
      <w:pPr>
        <w:bidi/>
        <w:spacing w:after="240" w:line="360" w:lineRule="auto"/>
        <w:jc w:val="center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C3791A" w:rsidRPr="00536E6D" w:rsidRDefault="0047396E" w:rsidP="0078250A">
      <w:pPr>
        <w:bidi/>
        <w:spacing w:before="240" w:line="360" w:lineRule="auto"/>
        <w:jc w:val="both"/>
        <w:rPr>
          <w:rFonts w:asciiTheme="majorBidi" w:hAnsiTheme="majorBidi" w:cstheme="majorBidi"/>
          <w:bCs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 xml:space="preserve">يتضح من نتائج البحث الدائم حول الظرفية لدى الأسر، المنجز من طرف المندوبية السامية للتخطيط، أن مستوى ثقة </w:t>
      </w:r>
      <w:r w:rsidR="00536E6D" w:rsidRPr="00536E6D">
        <w:rPr>
          <w:rFonts w:asciiTheme="majorBidi" w:hAnsiTheme="majorBidi" w:cstheme="majorBidi" w:hint="cs"/>
          <w:bCs/>
          <w:sz w:val="26"/>
          <w:szCs w:val="26"/>
          <w:rtl/>
          <w:lang w:bidi="ar-MA"/>
        </w:rPr>
        <w:t>الأسر عر</w:t>
      </w:r>
      <w:r w:rsidR="00536E6D" w:rsidRPr="00536E6D">
        <w:rPr>
          <w:rFonts w:asciiTheme="majorBidi" w:hAnsiTheme="majorBidi" w:cstheme="majorBidi" w:hint="eastAsia"/>
          <w:bCs/>
          <w:sz w:val="26"/>
          <w:szCs w:val="26"/>
          <w:rtl/>
          <w:lang w:bidi="ar-MA"/>
        </w:rPr>
        <w:t>ف</w:t>
      </w:r>
      <w:r w:rsidR="00C53082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>،</w:t>
      </w:r>
      <w:r w:rsidR="00536E6D">
        <w:rPr>
          <w:rFonts w:asciiTheme="majorBidi" w:hAnsiTheme="majorBidi" w:cstheme="majorBidi" w:hint="cs"/>
          <w:bCs/>
          <w:sz w:val="26"/>
          <w:szCs w:val="26"/>
          <w:rtl/>
          <w:lang w:bidi="ar-MA"/>
        </w:rPr>
        <w:t xml:space="preserve"> </w:t>
      </w:r>
      <w:r w:rsidR="00C53082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 xml:space="preserve">خلال الفصل </w:t>
      </w:r>
      <w:r w:rsidR="00B4355D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>الأول</w:t>
      </w:r>
      <w:r w:rsidR="00C53082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 xml:space="preserve"> من سنة 2</w:t>
      </w:r>
      <w:r w:rsidR="0090193B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>1</w:t>
      </w:r>
      <w:r w:rsidR="00B4355D" w:rsidRPr="00536E6D">
        <w:rPr>
          <w:rFonts w:asciiTheme="majorBidi" w:hAnsiTheme="majorBidi" w:cstheme="majorBidi"/>
          <w:b/>
          <w:sz w:val="26"/>
          <w:szCs w:val="26"/>
          <w:lang w:bidi="ar-MA"/>
        </w:rPr>
        <w:t>20</w:t>
      </w:r>
      <w:r w:rsidR="00536E6D">
        <w:rPr>
          <w:rFonts w:asciiTheme="majorBidi" w:hAnsiTheme="majorBidi" w:cstheme="majorBidi" w:hint="cs"/>
          <w:b/>
          <w:sz w:val="26"/>
          <w:szCs w:val="26"/>
          <w:rtl/>
          <w:lang w:bidi="ar-MA"/>
        </w:rPr>
        <w:t xml:space="preserve"> </w:t>
      </w:r>
      <w:r w:rsidR="00F527F7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>تحسنا</w:t>
      </w:r>
      <w:r w:rsidR="00536E6D">
        <w:rPr>
          <w:rFonts w:asciiTheme="majorBidi" w:hAnsiTheme="majorBidi" w:cstheme="majorBidi"/>
          <w:bCs/>
          <w:sz w:val="26"/>
          <w:szCs w:val="26"/>
          <w:lang w:bidi="ar-MA"/>
        </w:rPr>
        <w:t xml:space="preserve"> </w:t>
      </w:r>
      <w:r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>مقارنة مع الفصل السابق</w:t>
      </w:r>
      <w:r w:rsidR="00F527F7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 xml:space="preserve"> </w:t>
      </w:r>
      <w:r w:rsidR="0078250A">
        <w:rPr>
          <w:rFonts w:asciiTheme="majorBidi" w:hAnsiTheme="majorBidi" w:cstheme="majorBidi" w:hint="cs"/>
          <w:bCs/>
          <w:sz w:val="26"/>
          <w:szCs w:val="26"/>
          <w:rtl/>
          <w:lang w:bidi="ar-MA"/>
        </w:rPr>
        <w:t xml:space="preserve">وتدهورا </w:t>
      </w:r>
      <w:r w:rsidR="00F527F7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>مقارنة</w:t>
      </w:r>
      <w:r w:rsidR="00536E6D">
        <w:rPr>
          <w:rFonts w:asciiTheme="majorBidi" w:hAnsiTheme="majorBidi" w:cstheme="majorBidi" w:hint="cs"/>
          <w:bCs/>
          <w:sz w:val="26"/>
          <w:szCs w:val="26"/>
          <w:rtl/>
          <w:lang w:bidi="ar-MA"/>
        </w:rPr>
        <w:t xml:space="preserve"> </w:t>
      </w:r>
      <w:r w:rsidR="0018075C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>مع</w:t>
      </w:r>
      <w:r w:rsidR="00536E6D">
        <w:rPr>
          <w:rFonts w:asciiTheme="majorBidi" w:hAnsiTheme="majorBidi" w:cstheme="majorBidi" w:hint="cs"/>
          <w:bCs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>نفس الفصل من السنة الماضية</w:t>
      </w:r>
      <w:r w:rsidR="00067D74" w:rsidRPr="00536E6D">
        <w:rPr>
          <w:rFonts w:asciiTheme="majorBidi" w:hAnsiTheme="majorBidi" w:cstheme="majorBidi"/>
          <w:bCs/>
          <w:sz w:val="26"/>
          <w:szCs w:val="26"/>
          <w:rtl/>
          <w:lang w:bidi="ar-MA"/>
        </w:rPr>
        <w:t>.</w:t>
      </w:r>
    </w:p>
    <w:p w:rsidR="0047396E" w:rsidRPr="00536E6D" w:rsidRDefault="0047396E" w:rsidP="00536E6D">
      <w:pPr>
        <w:bidi/>
        <w:spacing w:before="240" w:line="360" w:lineRule="auto"/>
        <w:jc w:val="both"/>
        <w:rPr>
          <w:rFonts w:asciiTheme="majorBidi" w:hAnsiTheme="majorBidi" w:cstheme="majorBidi"/>
          <w:b/>
          <w:sz w:val="26"/>
          <w:szCs w:val="26"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هكذا </w:t>
      </w:r>
      <w:r w:rsidRPr="0078250A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انتقل مؤشر ثقة الأسر </w:t>
      </w:r>
      <w:r w:rsidR="00845469" w:rsidRPr="0078250A">
        <w:rPr>
          <w:rFonts w:asciiTheme="majorBidi" w:hAnsiTheme="majorBidi" w:cstheme="majorBidi" w:hint="cs"/>
          <w:sz w:val="26"/>
          <w:szCs w:val="26"/>
          <w:rtl/>
          <w:lang w:bidi="ar-MA"/>
        </w:rPr>
        <w:t>إلى</w:t>
      </w:r>
      <w:r w:rsidR="00845469" w:rsidRPr="0078250A">
        <w:rPr>
          <w:rFonts w:asciiTheme="majorBidi" w:hAnsiTheme="majorBidi" w:cstheme="majorBidi"/>
          <w:sz w:val="26"/>
          <w:szCs w:val="26"/>
          <w:lang w:bidi="ar-MA"/>
        </w:rPr>
        <w:t xml:space="preserve"> 68</w:t>
      </w:r>
      <w:r w:rsidR="006259C3" w:rsidRPr="0078250A">
        <w:rPr>
          <w:rFonts w:asciiTheme="majorBidi" w:hAnsiTheme="majorBidi" w:cstheme="majorBidi"/>
          <w:color w:val="000000" w:themeColor="text1"/>
          <w:sz w:val="26"/>
          <w:szCs w:val="26"/>
        </w:rPr>
        <w:t>,3</w:t>
      </w:r>
      <w:r w:rsidRPr="0078250A">
        <w:rPr>
          <w:rFonts w:asciiTheme="majorBidi" w:hAnsiTheme="majorBidi" w:cstheme="majorBidi"/>
          <w:sz w:val="26"/>
          <w:szCs w:val="26"/>
          <w:rtl/>
          <w:lang w:bidi="ar-MA"/>
        </w:rPr>
        <w:t>نقطة عوض</w:t>
      </w:r>
      <w:r w:rsidR="00536E6D" w:rsidRPr="0078250A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4E102A" w:rsidRPr="0078250A">
        <w:rPr>
          <w:rFonts w:asciiTheme="majorBidi" w:hAnsiTheme="majorBidi" w:cstheme="majorBidi"/>
          <w:color w:val="000000" w:themeColor="text1"/>
          <w:sz w:val="26"/>
          <w:szCs w:val="26"/>
        </w:rPr>
        <w:t>61,2</w:t>
      </w:r>
      <w:r w:rsidRPr="0078250A">
        <w:rPr>
          <w:rFonts w:asciiTheme="majorBidi" w:hAnsiTheme="majorBidi" w:cstheme="majorBidi"/>
          <w:sz w:val="26"/>
          <w:szCs w:val="26"/>
          <w:rtl/>
          <w:lang w:bidi="ar-MA"/>
        </w:rPr>
        <w:t>نقطة المسجلة خلال الفصل السابق و</w:t>
      </w:r>
      <w:r w:rsidR="00845469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4E102A" w:rsidRPr="0078250A">
        <w:rPr>
          <w:rFonts w:asciiTheme="majorBidi" w:hAnsiTheme="majorBidi" w:cstheme="majorBidi"/>
          <w:color w:val="000000" w:themeColor="text1"/>
          <w:sz w:val="26"/>
          <w:szCs w:val="26"/>
        </w:rPr>
        <w:t>75,7</w:t>
      </w:r>
      <w:r w:rsidRPr="0078250A">
        <w:rPr>
          <w:rFonts w:asciiTheme="majorBidi" w:hAnsiTheme="majorBidi" w:cstheme="majorBidi"/>
          <w:b/>
          <w:sz w:val="26"/>
          <w:szCs w:val="26"/>
          <w:rtl/>
          <w:lang w:bidi="ar-MA"/>
        </w:rPr>
        <w:t xml:space="preserve">نقطة المسجلة </w:t>
      </w:r>
      <w:r w:rsidR="0014738D" w:rsidRPr="0078250A">
        <w:rPr>
          <w:rFonts w:asciiTheme="majorBidi" w:hAnsiTheme="majorBidi" w:cstheme="majorBidi" w:hint="cs"/>
          <w:b/>
          <w:sz w:val="26"/>
          <w:szCs w:val="26"/>
          <w:rtl/>
          <w:lang w:bidi="ar-MA"/>
        </w:rPr>
        <w:t>في الفصل</w:t>
      </w:r>
      <w:r w:rsidRPr="0078250A">
        <w:rPr>
          <w:rFonts w:asciiTheme="majorBidi" w:hAnsiTheme="majorBidi" w:cstheme="majorBidi"/>
          <w:b/>
          <w:sz w:val="26"/>
          <w:szCs w:val="26"/>
          <w:rtl/>
          <w:lang w:bidi="ar-MA"/>
        </w:rPr>
        <w:t xml:space="preserve"> ال</w:t>
      </w:r>
      <w:r w:rsidR="00EF75DF" w:rsidRPr="0078250A">
        <w:rPr>
          <w:rFonts w:asciiTheme="majorBidi" w:hAnsiTheme="majorBidi" w:cstheme="majorBidi"/>
          <w:b/>
          <w:sz w:val="26"/>
          <w:szCs w:val="26"/>
          <w:rtl/>
          <w:lang w:bidi="ar-MA"/>
        </w:rPr>
        <w:t>أول</w:t>
      </w:r>
      <w:r w:rsidRPr="0078250A">
        <w:rPr>
          <w:rFonts w:asciiTheme="majorBidi" w:hAnsiTheme="majorBidi" w:cstheme="majorBidi"/>
          <w:b/>
          <w:sz w:val="26"/>
          <w:szCs w:val="26"/>
          <w:rtl/>
          <w:lang w:bidi="ar-MA"/>
        </w:rPr>
        <w:t xml:space="preserve"> من السنة الماضية</w:t>
      </w:r>
      <w:r w:rsidRPr="0078250A">
        <w:rPr>
          <w:rFonts w:asciiTheme="majorBidi" w:hAnsiTheme="majorBidi" w:cstheme="majorBidi"/>
          <w:b/>
          <w:sz w:val="26"/>
          <w:szCs w:val="26"/>
          <w:lang w:bidi="ar-MA"/>
        </w:rPr>
        <w:t>.</w:t>
      </w:r>
    </w:p>
    <w:p w:rsidR="0047396E" w:rsidRPr="00536E6D" w:rsidRDefault="00536E6D" w:rsidP="00A52632">
      <w:pPr>
        <w:bidi/>
        <w:spacing w:before="240" w:line="360" w:lineRule="auto"/>
        <w:ind w:hanging="1"/>
        <w:rPr>
          <w:rFonts w:asciiTheme="majorBidi" w:hAnsiTheme="majorBidi" w:cstheme="majorBidi"/>
          <w:sz w:val="26"/>
          <w:szCs w:val="26"/>
          <w:lang w:bidi="ar-MA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مبيان 1: </w:t>
      </w:r>
      <w:r w:rsidR="00A52632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تطور مؤشر </w:t>
      </w:r>
      <w:r w:rsidRPr="00536E6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ثقة </w:t>
      </w:r>
      <w:r w:rsidR="00A52632">
        <w:rPr>
          <w:rFonts w:asciiTheme="majorBidi" w:hAnsiTheme="majorBidi" w:cstheme="majorBidi" w:hint="cs"/>
          <w:b/>
          <w:bCs/>
          <w:sz w:val="26"/>
          <w:szCs w:val="26"/>
          <w:rtl/>
        </w:rPr>
        <w:t>ا</w:t>
      </w:r>
      <w:r w:rsidRPr="00536E6D">
        <w:rPr>
          <w:rFonts w:asciiTheme="majorBidi" w:hAnsiTheme="majorBidi" w:cstheme="majorBidi"/>
          <w:b/>
          <w:bCs/>
          <w:sz w:val="26"/>
          <w:szCs w:val="26"/>
          <w:rtl/>
        </w:rPr>
        <w:t xml:space="preserve">لأسر </w:t>
      </w:r>
    </w:p>
    <w:p w:rsidR="0047396E" w:rsidRPr="00536E6D" w:rsidRDefault="000F370F" w:rsidP="00536E6D">
      <w:pPr>
        <w:widowControl/>
        <w:autoSpaceDE/>
        <w:autoSpaceDN/>
        <w:bidi/>
        <w:adjustRightInd/>
        <w:spacing w:line="360" w:lineRule="auto"/>
        <w:jc w:val="center"/>
        <w:rPr>
          <w:rFonts w:asciiTheme="majorBidi" w:hAnsiTheme="majorBidi" w:cstheme="majorBidi"/>
          <w:b/>
          <w:bCs/>
          <w:sz w:val="26"/>
          <w:szCs w:val="26"/>
          <w:lang w:bidi="ar-MA"/>
        </w:rPr>
      </w:pPr>
      <w:r w:rsidRPr="00536E6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6181725" cy="3133725"/>
            <wp:effectExtent l="19050" t="0" r="9525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36A3E" w:rsidRPr="00AC77D8" w:rsidRDefault="00036A3E" w:rsidP="00036A3E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</w:rPr>
        <w:t xml:space="preserve">: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E335F4" w:rsidRPr="00536E6D" w:rsidRDefault="00E335F4" w:rsidP="00536E6D">
      <w:pPr>
        <w:pStyle w:val="Paragraphedeliste"/>
        <w:widowControl/>
        <w:autoSpaceDE/>
        <w:autoSpaceDN/>
        <w:bidi/>
        <w:adjustRightInd/>
        <w:spacing w:line="360" w:lineRule="auto"/>
        <w:ind w:left="502"/>
        <w:jc w:val="both"/>
        <w:rPr>
          <w:rFonts w:asciiTheme="majorBidi" w:hAnsiTheme="majorBidi" w:cstheme="majorBidi"/>
          <w:b/>
          <w:bCs/>
          <w:sz w:val="26"/>
          <w:szCs w:val="26"/>
          <w:lang w:bidi="ar-MA"/>
        </w:rPr>
      </w:pPr>
    </w:p>
    <w:p w:rsidR="0047396E" w:rsidRPr="0078250A" w:rsidRDefault="002041DE" w:rsidP="00536E6D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78250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تطور مكونات مؤشر ال</w:t>
      </w:r>
      <w:r w:rsidR="0047396E" w:rsidRPr="0078250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ثقة</w:t>
      </w:r>
    </w:p>
    <w:p w:rsidR="00FC14BB" w:rsidRDefault="0047396E" w:rsidP="0078250A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تهم مكونات </w:t>
      </w:r>
      <w:r w:rsidR="0078250A" w:rsidRPr="0078250A">
        <w:rPr>
          <w:rFonts w:asciiTheme="majorBidi" w:hAnsiTheme="majorBidi" w:cstheme="majorBidi"/>
          <w:sz w:val="26"/>
          <w:szCs w:val="26"/>
          <w:rtl/>
          <w:lang w:bidi="ar-MA"/>
        </w:rPr>
        <w:t>مؤشر الثقة</w:t>
      </w:r>
      <w:r w:rsidR="0078250A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آراء الأسر حول تطور مستوى المعيشة </w:t>
      </w:r>
      <w:r w:rsidR="0014738D" w:rsidRPr="00536E6D">
        <w:rPr>
          <w:rFonts w:asciiTheme="majorBidi" w:hAnsiTheme="majorBidi" w:cstheme="majorBidi" w:hint="cs"/>
          <w:sz w:val="26"/>
          <w:szCs w:val="26"/>
          <w:rtl/>
          <w:lang w:bidi="ar-MA"/>
        </w:rPr>
        <w:t>والبطالة وفرص</w:t>
      </w:r>
      <w:r w:rsidR="00DF74BA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اقتناء السلع المستدامة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وكذا </w:t>
      </w:r>
      <w:r w:rsidR="00DF74BA" w:rsidRPr="00536E6D">
        <w:rPr>
          <w:rFonts w:asciiTheme="majorBidi" w:hAnsiTheme="majorBidi" w:cstheme="majorBidi"/>
          <w:sz w:val="26"/>
          <w:szCs w:val="26"/>
          <w:rtl/>
          <w:lang w:bidi="ar-MA"/>
        </w:rPr>
        <w:t>تطور وضعيتهم المالية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. </w:t>
      </w:r>
    </w:p>
    <w:p w:rsidR="0078250A" w:rsidRPr="00536E6D" w:rsidRDefault="0078250A" w:rsidP="0078250A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47396E" w:rsidRPr="0078250A" w:rsidRDefault="00E17071" w:rsidP="00E17071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60" w:lineRule="auto"/>
        <w:ind w:left="566" w:hanging="283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78250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lastRenderedPageBreak/>
        <w:t xml:space="preserve">مستوى </w:t>
      </w:r>
      <w:r w:rsidRPr="0078250A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المعيشة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 :</w:t>
      </w:r>
      <w:r>
        <w:rPr>
          <w:rFonts w:asciiTheme="majorBidi" w:hAnsiTheme="majorBidi" w:cstheme="majorBidi"/>
          <w:b/>
          <w:bCs/>
          <w:sz w:val="28"/>
          <w:szCs w:val="28"/>
          <w:lang w:bidi="ar-MA"/>
        </w:rPr>
        <w:t xml:space="preserve">  </w:t>
      </w:r>
      <w:r w:rsidR="0099059A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إحساس بتدهور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ه</w:t>
      </w:r>
      <w:r w:rsidR="0099059A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و</w:t>
      </w:r>
      <w:r w:rsidR="006B7866" w:rsidRPr="0078250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توقع </w:t>
      </w:r>
      <w:r w:rsidR="0099059A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ب</w:t>
      </w:r>
      <w:r w:rsidR="006B7866" w:rsidRPr="0078250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تحسن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ه</w:t>
      </w:r>
      <w:r w:rsidR="00DD3A6C" w:rsidRPr="00DD3A6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 </w:t>
      </w:r>
      <w:bookmarkStart w:id="0" w:name="_GoBack"/>
      <w:bookmarkEnd w:id="0"/>
    </w:p>
    <w:p w:rsidR="0047396E" w:rsidRPr="00536E6D" w:rsidRDefault="00727EE4" w:rsidP="0043213C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الفصل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الأول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سنة 20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2</w:t>
      </w:r>
      <w:r w:rsidR="006B7866" w:rsidRPr="00536E6D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 بلغ معدل الأسر التي صرحت بتدهور مستوى المعيشة</w:t>
      </w:r>
      <w:r w:rsidR="0078250A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خلال 12 شهرا السابقة</w:t>
      </w:r>
      <w:r w:rsidR="0078250A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3213C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7C61B4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64,8</w:t>
      </w:r>
      <w:r w:rsidR="00EF75DF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فيما اعتبرت</w:t>
      </w:r>
      <w:r w:rsidR="0078250A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9656A6" w:rsidRPr="00536E6D">
        <w:rPr>
          <w:rFonts w:asciiTheme="majorBidi" w:hAnsiTheme="majorBidi" w:cstheme="majorBidi"/>
          <w:sz w:val="26"/>
          <w:szCs w:val="26"/>
          <w:rtl/>
          <w:lang w:bidi="ar-MA"/>
        </w:rPr>
        <w:t>20,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>9</w:t>
      </w:r>
      <w:r w:rsidR="009656A6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منها استقراره و</w:t>
      </w:r>
      <w:r w:rsidR="009656A6" w:rsidRPr="00536E6D">
        <w:rPr>
          <w:rFonts w:asciiTheme="majorBidi" w:hAnsiTheme="majorBidi" w:cstheme="majorBidi"/>
          <w:sz w:val="26"/>
          <w:szCs w:val="26"/>
          <w:rtl/>
          <w:lang w:bidi="ar-MA"/>
        </w:rPr>
        <w:t>14,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>3</w:t>
      </w:r>
      <w:r w:rsidR="00B76026" w:rsidRPr="00536E6D">
        <w:rPr>
          <w:rFonts w:asciiTheme="majorBidi" w:hAnsiTheme="majorBidi" w:cstheme="majorBidi"/>
          <w:sz w:val="26"/>
          <w:szCs w:val="26"/>
          <w:rtl/>
          <w:lang w:bidi="ar-MA"/>
        </w:rPr>
        <w:t>%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تحسنه. وهكذا، استقر رصيد هذا المؤشر في مستوى سلبي بلغ ناقص </w:t>
      </w:r>
      <w:r w:rsidR="009656A6" w:rsidRPr="00536E6D">
        <w:rPr>
          <w:rFonts w:asciiTheme="majorBidi" w:hAnsiTheme="majorBidi" w:cstheme="majorBidi"/>
          <w:sz w:val="26"/>
          <w:szCs w:val="26"/>
          <w:lang w:bidi="ar-MA"/>
        </w:rPr>
        <w:t>50,5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DB58F0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</w:t>
      </w:r>
      <w:r w:rsidR="00B62445" w:rsidRPr="00536E6D">
        <w:rPr>
          <w:rFonts w:asciiTheme="majorBidi" w:hAnsiTheme="majorBidi" w:cstheme="majorBidi"/>
          <w:sz w:val="26"/>
          <w:szCs w:val="26"/>
          <w:rtl/>
          <w:lang w:bidi="ar-MA"/>
        </w:rPr>
        <w:t>عوض ناقص</w:t>
      </w:r>
      <w:r w:rsidR="009656A6" w:rsidRPr="00536E6D">
        <w:rPr>
          <w:rFonts w:asciiTheme="majorBidi" w:hAnsiTheme="majorBidi" w:cstheme="majorBidi"/>
          <w:sz w:val="26"/>
          <w:szCs w:val="26"/>
          <w:lang w:bidi="ar-MA"/>
        </w:rPr>
        <w:t xml:space="preserve">46,6 </w:t>
      </w:r>
      <w:r w:rsidR="00B62445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الفصل السابق وناقص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D82FC2" w:rsidRPr="00536E6D">
        <w:rPr>
          <w:rFonts w:asciiTheme="majorBidi" w:hAnsiTheme="majorBidi" w:cstheme="majorBidi"/>
          <w:sz w:val="26"/>
          <w:szCs w:val="26"/>
          <w:lang w:bidi="ar-MA"/>
        </w:rPr>
        <w:t>19,8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نفس الفصل من السنة الماضية</w:t>
      </w:r>
      <w:r w:rsidR="008052A4" w:rsidRPr="00536E6D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47396E" w:rsidRPr="00536E6D" w:rsidRDefault="0047396E" w:rsidP="0043213C">
      <w:pPr>
        <w:bidi/>
        <w:spacing w:before="240" w:line="360" w:lineRule="auto"/>
        <w:jc w:val="both"/>
        <w:rPr>
          <w:rFonts w:asciiTheme="majorBidi" w:hAnsiTheme="majorBidi" w:cstheme="majorBidi"/>
          <w:sz w:val="26"/>
          <w:szCs w:val="26"/>
          <w:rtl/>
          <w:lang w:val="f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أما بخصوص تطور مستوى المعيشة خلال 12 شهرا المقبلة، فتتوقع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151CC9" w:rsidRPr="00536E6D">
        <w:rPr>
          <w:rFonts w:asciiTheme="majorBidi" w:hAnsiTheme="majorBidi" w:cstheme="majorBidi"/>
          <w:sz w:val="26"/>
          <w:szCs w:val="26"/>
          <w:lang w:bidi="ar-MA"/>
        </w:rPr>
        <w:t>26,0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الأسر تدهوره و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151CC9" w:rsidRPr="00536E6D">
        <w:rPr>
          <w:rFonts w:asciiTheme="majorBidi" w:hAnsiTheme="majorBidi" w:cstheme="majorBidi"/>
          <w:sz w:val="26"/>
          <w:szCs w:val="26"/>
          <w:lang w:bidi="ar-MA"/>
        </w:rPr>
        <w:t>34,8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استقراره في حين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151CC9" w:rsidRPr="00536E6D">
        <w:rPr>
          <w:rFonts w:asciiTheme="majorBidi" w:hAnsiTheme="majorBidi" w:cstheme="majorBidi"/>
          <w:sz w:val="26"/>
          <w:szCs w:val="26"/>
          <w:lang w:bidi="ar-MA"/>
        </w:rPr>
        <w:t>39,2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ترجح تحسنه. وهكذا</w:t>
      </w:r>
      <w:r w:rsidR="00622D42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A9118A" w:rsidRPr="00536E6D">
        <w:rPr>
          <w:rFonts w:asciiTheme="majorBidi" w:hAnsiTheme="majorBidi" w:cstheme="majorBidi"/>
          <w:sz w:val="26"/>
          <w:szCs w:val="26"/>
          <w:rtl/>
          <w:lang w:bidi="ar-MA"/>
        </w:rPr>
        <w:t>استقر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رصيد هذا المؤشر </w:t>
      </w:r>
      <w:r w:rsidR="00A84E54" w:rsidRPr="00536E6D">
        <w:rPr>
          <w:rFonts w:asciiTheme="majorBidi" w:hAnsiTheme="majorBidi" w:cstheme="majorBidi"/>
          <w:sz w:val="26"/>
          <w:szCs w:val="26"/>
          <w:rtl/>
          <w:lang w:bidi="ar-MA"/>
        </w:rPr>
        <w:t>في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A9118A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13,2</w:t>
      </w:r>
      <w:r w:rsidR="0043213C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 xml:space="preserve"> </w:t>
      </w:r>
      <w:r w:rsidR="002041D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3213C">
        <w:rPr>
          <w:rFonts w:asciiTheme="majorBidi" w:hAnsiTheme="majorBidi" w:cstheme="majorBidi"/>
          <w:sz w:val="26"/>
          <w:szCs w:val="26"/>
          <w:rtl/>
          <w:lang w:bidi="ar-MA"/>
        </w:rPr>
        <w:t>مسجلا تحسن</w:t>
      </w:r>
      <w:r w:rsidR="00A9118A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 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سواء </w:t>
      </w:r>
      <w:r w:rsidR="00A9118A" w:rsidRPr="00536E6D">
        <w:rPr>
          <w:rFonts w:asciiTheme="majorBidi" w:hAnsiTheme="majorBidi" w:cstheme="majorBidi"/>
          <w:sz w:val="26"/>
          <w:szCs w:val="26"/>
          <w:rtl/>
          <w:lang w:bidi="ar-MA"/>
        </w:rPr>
        <w:t>بال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>مقارنة مع ا</w:t>
      </w:r>
      <w:r w:rsidR="00B559B9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لفصل السابق 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>أ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و</w:t>
      </w:r>
      <w:r w:rsidR="0043213C" w:rsidRPr="0043213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>مع</w:t>
      </w:r>
      <w:r w:rsidR="0043213C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A9118A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نفس الفصل من السنة الماضية حيث استقر في ناقص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A9118A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17,4</w:t>
      </w:r>
      <w:r w:rsidR="00A9118A" w:rsidRPr="00536E6D">
        <w:rPr>
          <w:rFonts w:asciiTheme="majorBidi" w:hAnsiTheme="majorBidi" w:cstheme="majorBidi"/>
          <w:color w:val="000000" w:themeColor="text1"/>
          <w:sz w:val="26"/>
          <w:szCs w:val="26"/>
          <w:rtl/>
        </w:rPr>
        <w:t xml:space="preserve"> </w:t>
      </w:r>
      <w:r w:rsidR="0043213C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</w:t>
      </w:r>
      <w:r w:rsidR="0043213C" w:rsidRPr="00536E6D">
        <w:rPr>
          <w:rFonts w:asciiTheme="majorBidi" w:hAnsiTheme="majorBidi" w:cstheme="majorBidi"/>
          <w:color w:val="000000" w:themeColor="text1"/>
          <w:sz w:val="26"/>
          <w:szCs w:val="26"/>
          <w:rtl/>
        </w:rPr>
        <w:t xml:space="preserve"> </w:t>
      </w:r>
      <w:r w:rsidR="0014738D" w:rsidRPr="00536E6D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 xml:space="preserve">وناقص </w:t>
      </w:r>
      <w:r w:rsidR="0043213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A9118A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4,6</w:t>
      </w:r>
      <w:r w:rsidR="00A9118A" w:rsidRPr="00536E6D">
        <w:rPr>
          <w:rFonts w:asciiTheme="majorBidi" w:hAnsiTheme="majorBidi" w:cstheme="majorBidi"/>
          <w:color w:val="000000" w:themeColor="text1"/>
          <w:sz w:val="26"/>
          <w:szCs w:val="26"/>
          <w:rtl/>
        </w:rPr>
        <w:t xml:space="preserve"> </w:t>
      </w:r>
      <w:r w:rsidR="0043213C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</w:t>
      </w:r>
      <w:r w:rsidR="0043213C" w:rsidRPr="00536E6D">
        <w:rPr>
          <w:rFonts w:asciiTheme="majorBidi" w:hAnsiTheme="majorBidi" w:cstheme="majorBidi"/>
          <w:color w:val="000000" w:themeColor="text1"/>
          <w:sz w:val="26"/>
          <w:szCs w:val="26"/>
          <w:rtl/>
        </w:rPr>
        <w:t xml:space="preserve"> </w:t>
      </w:r>
      <w:r w:rsidR="00A9118A" w:rsidRPr="00536E6D">
        <w:rPr>
          <w:rFonts w:asciiTheme="majorBidi" w:hAnsiTheme="majorBidi" w:cstheme="majorBidi"/>
          <w:color w:val="000000" w:themeColor="text1"/>
          <w:sz w:val="26"/>
          <w:szCs w:val="26"/>
          <w:rtl/>
        </w:rPr>
        <w:t>على التوالي</w:t>
      </w:r>
      <w:r w:rsidR="00D01384" w:rsidRPr="00536E6D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E83614" w:rsidRPr="00E83614" w:rsidRDefault="00E83614" w:rsidP="00E83614">
      <w:pPr>
        <w:bidi/>
        <w:spacing w:before="240" w:line="360" w:lineRule="auto"/>
        <w:rPr>
          <w:rFonts w:asciiTheme="majorBidi" w:hAnsiTheme="majorBidi" w:cstheme="majorBidi"/>
          <w:b/>
          <w:bCs/>
          <w:sz w:val="26"/>
          <w:szCs w:val="26"/>
          <w:lang w:bidi="ar-DZ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مبيان 2: </w:t>
      </w:r>
      <w:r w:rsidRPr="00E83614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تصور الأسر للتطور السابق </w:t>
      </w:r>
      <w:r w:rsidR="0014738D" w:rsidRPr="00E83614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والمستقبلي للمستوى</w:t>
      </w:r>
      <w:r w:rsidRPr="00E83614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العام للمعيشة</w:t>
      </w:r>
      <w:r w:rsidRPr="00E83614">
        <w:rPr>
          <w:rFonts w:asciiTheme="majorBidi" w:hAnsiTheme="majorBidi" w:cstheme="majorBidi"/>
          <w:b/>
          <w:bCs/>
          <w:sz w:val="26"/>
          <w:szCs w:val="26"/>
          <w:lang w:bidi="ar-DZ"/>
        </w:rPr>
        <w:t xml:space="preserve"> </w:t>
      </w:r>
      <w:r w:rsidRPr="00E83614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(أرصدة الآراء)</w:t>
      </w:r>
      <w:r w:rsidRPr="00E83614">
        <w:rPr>
          <w:rFonts w:asciiTheme="majorBidi" w:hAnsiTheme="majorBidi" w:cstheme="majorBidi"/>
          <w:b/>
          <w:bCs/>
          <w:sz w:val="26"/>
          <w:szCs w:val="26"/>
          <w:lang w:bidi="ar-DZ"/>
        </w:rPr>
        <w:t xml:space="preserve"> </w:t>
      </w:r>
    </w:p>
    <w:p w:rsidR="00804AB7" w:rsidRPr="00536E6D" w:rsidRDefault="00D77518" w:rsidP="00536E6D">
      <w:pPr>
        <w:widowControl/>
        <w:autoSpaceDE/>
        <w:autoSpaceDN/>
        <w:bidi/>
        <w:adjustRightInd/>
        <w:spacing w:after="200" w:line="360" w:lineRule="auto"/>
        <w:jc w:val="center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5941060" cy="3610997"/>
            <wp:effectExtent l="19050" t="0" r="21590" b="8503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C77D8" w:rsidRDefault="00AC77D8" w:rsidP="00AC77D8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</w:pP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</w:rPr>
        <w:t xml:space="preserve">: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AC77D8" w:rsidRPr="00AC77D8" w:rsidRDefault="00AC77D8" w:rsidP="00AC77D8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sz w:val="22"/>
          <w:szCs w:val="22"/>
        </w:rPr>
      </w:pPr>
    </w:p>
    <w:p w:rsidR="0047396E" w:rsidRPr="0055190C" w:rsidRDefault="0047396E" w:rsidP="00845469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line="360" w:lineRule="auto"/>
        <w:ind w:left="566" w:hanging="283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تطور مستوى البطالة</w:t>
      </w:r>
      <w:r w:rsidR="002041DE"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: آ</w:t>
      </w:r>
      <w:r w:rsidR="00B41C33"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راء</w:t>
      </w:r>
      <w:r w:rsidR="00B36679"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 </w:t>
      </w:r>
      <w:r w:rsidR="00845469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أقل </w:t>
      </w:r>
      <w:r w:rsidR="00D721AF" w:rsidRPr="0055190C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تشاؤم</w:t>
      </w:r>
      <w:r w:rsidR="00D721AF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</w:t>
      </w:r>
    </w:p>
    <w:p w:rsidR="0047396E" w:rsidRDefault="00F04DA1" w:rsidP="0055190C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خلال الفصل الأول من سنة 202</w:t>
      </w:r>
      <w:r w:rsidR="00B36679" w:rsidRPr="00536E6D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 توقعت</w:t>
      </w:r>
      <w:r w:rsidR="0055190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76,1</w:t>
      </w:r>
      <w:r w:rsidR="0055190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من الأسر مقابل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13,9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ارتفاعا في مستوى البطالة خلال 12 شهرا المقبلة. وهكذا استقر رصيد هذا المؤشر في مستوى سلبي بلغ ناقص</w:t>
      </w:r>
      <w:r w:rsidR="0014738D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55190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536E6D">
        <w:rPr>
          <w:rFonts w:asciiTheme="majorBidi" w:hAnsiTheme="majorBidi" w:cstheme="majorBidi"/>
          <w:sz w:val="26"/>
          <w:szCs w:val="26"/>
          <w:lang w:bidi="ar-MA"/>
        </w:rPr>
        <w:t xml:space="preserve"> 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62,2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نقطة، مقابل ناقص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 xml:space="preserve">78,3 </w:t>
      </w:r>
      <w:r w:rsidR="0055190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 خلال الفصل السابق و ناقص</w:t>
      </w:r>
      <w:r w:rsidR="0055190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B36679" w:rsidRPr="00536E6D">
        <w:rPr>
          <w:rFonts w:asciiTheme="majorBidi" w:hAnsiTheme="majorBidi" w:cstheme="majorBidi"/>
          <w:sz w:val="26"/>
          <w:szCs w:val="26"/>
          <w:lang w:bidi="ar-MA"/>
        </w:rPr>
        <w:t>70,8</w:t>
      </w:r>
      <w:r w:rsidR="0055190C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 خلال نفس الفصل من السنة الماضية.</w:t>
      </w:r>
    </w:p>
    <w:p w:rsidR="00D721AF" w:rsidRDefault="00D721AF" w:rsidP="0055190C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</w:pPr>
    </w:p>
    <w:p w:rsidR="0047396E" w:rsidRPr="00536E6D" w:rsidRDefault="0055190C" w:rsidP="00D721AF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MA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lastRenderedPageBreak/>
        <w:t xml:space="preserve">مبيان 3: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التطور المستقبلي للبطالة</w:t>
      </w:r>
      <w:r w:rsidRPr="0055190C">
        <w:rPr>
          <w:rFonts w:asciiTheme="majorBidi" w:hAnsiTheme="majorBidi" w:cstheme="majorBidi"/>
          <w:b/>
          <w:bCs/>
          <w:sz w:val="26"/>
          <w:szCs w:val="26"/>
          <w:lang w:bidi="ar-DZ"/>
        </w:rPr>
        <w:t xml:space="preserve">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(أرصدة الآراء)</w:t>
      </w:r>
      <w:r w:rsidRPr="0055190C">
        <w:rPr>
          <w:rFonts w:asciiTheme="majorBidi" w:hAnsiTheme="majorBidi" w:cstheme="majorBidi"/>
          <w:b/>
          <w:bCs/>
          <w:sz w:val="26"/>
          <w:szCs w:val="26"/>
          <w:lang w:bidi="ar-DZ"/>
        </w:rPr>
        <w:t xml:space="preserve"> </w:t>
      </w:r>
    </w:p>
    <w:p w:rsidR="0047396E" w:rsidRPr="00536E6D" w:rsidRDefault="00BA08DE" w:rsidP="00536E6D">
      <w:pPr>
        <w:bidi/>
        <w:spacing w:line="360" w:lineRule="auto"/>
        <w:jc w:val="center"/>
        <w:rPr>
          <w:rFonts w:asciiTheme="majorBidi" w:hAnsiTheme="majorBidi" w:cstheme="majorBidi"/>
          <w:sz w:val="26"/>
          <w:szCs w:val="26"/>
          <w:lang w:bidi="ar-MA"/>
        </w:rPr>
      </w:pPr>
      <w:r w:rsidRPr="00536E6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5945734" cy="3065069"/>
            <wp:effectExtent l="19050" t="0" r="16916" b="1981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C77D8" w:rsidRDefault="00AC77D8" w:rsidP="00AC77D8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</w:pP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</w:rPr>
        <w:t xml:space="preserve">: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795089" w:rsidRPr="00536E6D" w:rsidRDefault="00795089" w:rsidP="00536E6D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</w:rPr>
      </w:pPr>
    </w:p>
    <w:p w:rsidR="0047396E" w:rsidRPr="0055190C" w:rsidRDefault="0047396E" w:rsidP="00536E6D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line="360" w:lineRule="auto"/>
        <w:ind w:left="566" w:hanging="283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الظرفية غير ملائمة لاقتناء السلع</w:t>
      </w:r>
      <w:r w:rsidR="00B446F3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المستديمة </w:t>
      </w:r>
    </w:p>
    <w:p w:rsidR="002B2F02" w:rsidRPr="00536E6D" w:rsidRDefault="0047396E" w:rsidP="00BB2364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اعتبرت </w:t>
      </w:r>
      <w:r w:rsidR="004D12B5" w:rsidRPr="00536E6D">
        <w:rPr>
          <w:rFonts w:asciiTheme="majorBidi" w:hAnsiTheme="majorBidi" w:cstheme="majorBidi"/>
          <w:sz w:val="26"/>
          <w:szCs w:val="26"/>
          <w:lang w:bidi="ar-MA"/>
        </w:rPr>
        <w:t>73,2</w:t>
      </w:r>
      <w:r w:rsidR="0006156A" w:rsidRPr="00536E6D">
        <w:rPr>
          <w:rFonts w:asciiTheme="majorBidi" w:hAnsiTheme="majorBidi" w:cstheme="majorBidi"/>
          <w:sz w:val="26"/>
          <w:szCs w:val="26"/>
          <w:rtl/>
          <w:lang w:bidi="ar-MA"/>
        </w:rPr>
        <w:t>%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الأسر، </w:t>
      </w:r>
      <w:r w:rsidR="00341A12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الأول من سنة </w:t>
      </w:r>
      <w:r w:rsidR="0013669B" w:rsidRPr="00536E6D">
        <w:rPr>
          <w:rFonts w:asciiTheme="majorBidi" w:hAnsiTheme="majorBidi" w:cstheme="majorBidi"/>
          <w:sz w:val="26"/>
          <w:szCs w:val="26"/>
          <w:rtl/>
          <w:lang w:bidi="ar-MA"/>
        </w:rPr>
        <w:t>2021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، أن الظروف غير ملائمة للقيام بشراء سلع مستديمة</w:t>
      </w:r>
      <w:r w:rsidR="002041D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في حين رأت </w:t>
      </w:r>
      <w:r w:rsidR="00BB2364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4D12B5" w:rsidRPr="00536E6D">
        <w:rPr>
          <w:rFonts w:asciiTheme="majorBidi" w:hAnsiTheme="majorBidi" w:cstheme="majorBidi"/>
          <w:sz w:val="26"/>
          <w:szCs w:val="26"/>
          <w:lang w:bidi="ar-MA"/>
        </w:rPr>
        <w:t>11,7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عكس ذلك. وهكذا استقر رصيد هذا المؤشر في مستواه السلبي مسجلا ناقص</w:t>
      </w:r>
      <w:r w:rsidR="002F3F0E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B446F3">
        <w:rPr>
          <w:rFonts w:asciiTheme="majorBidi" w:hAnsiTheme="majorBidi" w:cstheme="majorBidi" w:hint="cs"/>
          <w:color w:val="000000" w:themeColor="text1"/>
          <w:sz w:val="26"/>
          <w:szCs w:val="26"/>
          <w:rtl/>
        </w:rPr>
        <w:t>61,5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مقابل ناقص </w:t>
      </w:r>
      <w:r w:rsidR="0013669B" w:rsidRPr="00536E6D">
        <w:rPr>
          <w:rFonts w:asciiTheme="majorBidi" w:hAnsiTheme="majorBidi" w:cstheme="majorBidi"/>
          <w:color w:val="000000" w:themeColor="text1"/>
          <w:sz w:val="26"/>
          <w:szCs w:val="26"/>
        </w:rPr>
        <w:t>61,2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الفصل السابق وناقص </w:t>
      </w:r>
      <w:r w:rsidR="00B446F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13669B" w:rsidRPr="00536E6D">
        <w:rPr>
          <w:rFonts w:asciiTheme="majorBidi" w:hAnsiTheme="majorBidi" w:cstheme="majorBidi"/>
          <w:sz w:val="26"/>
          <w:szCs w:val="26"/>
          <w:lang w:bidi="ar-MA"/>
        </w:rPr>
        <w:t>32,6</w:t>
      </w:r>
      <w:r w:rsidR="00B446F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خلال </w:t>
      </w:r>
      <w:r w:rsidR="00B446F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نفس الفصل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من</w:t>
      </w:r>
      <w:r w:rsidR="0036248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سنة</w:t>
      </w:r>
      <w:r w:rsidR="00B446F3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13669B" w:rsidRPr="00536E6D">
        <w:rPr>
          <w:rFonts w:asciiTheme="majorBidi" w:hAnsiTheme="majorBidi" w:cstheme="majorBidi"/>
          <w:sz w:val="26"/>
          <w:szCs w:val="26"/>
          <w:rtl/>
          <w:lang w:bidi="ar-MA"/>
        </w:rPr>
        <w:t>2020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BC28E2" w:rsidRPr="00536E6D" w:rsidRDefault="0055190C" w:rsidP="0055190C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مبيان 4: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فرص اقتناء السلع المستديمة</w:t>
      </w:r>
      <w:r w:rsidRPr="0055190C">
        <w:rPr>
          <w:rFonts w:asciiTheme="majorBidi" w:hAnsiTheme="majorBidi" w:cstheme="majorBidi"/>
          <w:b/>
          <w:bCs/>
          <w:sz w:val="26"/>
          <w:szCs w:val="26"/>
          <w:lang w:bidi="ar-DZ"/>
        </w:rPr>
        <w:t xml:space="preserve">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(أرصدة الآراء)</w:t>
      </w:r>
      <w:r w:rsidRPr="0055190C">
        <w:rPr>
          <w:rFonts w:asciiTheme="majorBidi" w:hAnsiTheme="majorBidi" w:cstheme="majorBidi"/>
          <w:b/>
          <w:bCs/>
          <w:sz w:val="26"/>
          <w:szCs w:val="26"/>
          <w:lang w:bidi="ar-DZ"/>
        </w:rPr>
        <w:t xml:space="preserve"> </w:t>
      </w:r>
    </w:p>
    <w:p w:rsidR="00B41C33" w:rsidRPr="00536E6D" w:rsidRDefault="00CF7B14" w:rsidP="00536E6D">
      <w:pPr>
        <w:widowControl/>
        <w:autoSpaceDE/>
        <w:autoSpaceDN/>
        <w:bidi/>
        <w:adjustRightInd/>
        <w:spacing w:line="360" w:lineRule="auto"/>
        <w:jc w:val="center"/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5948274" cy="3006548"/>
            <wp:effectExtent l="19050" t="0" r="14376" b="3352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C77D8" w:rsidRDefault="00AC77D8" w:rsidP="00AC77D8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</w:pP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</w:rPr>
        <w:t xml:space="preserve">: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AC77D8" w:rsidRPr="00AC77D8" w:rsidRDefault="00AC77D8" w:rsidP="00AC77D8">
      <w:pPr>
        <w:widowControl/>
        <w:autoSpaceDE/>
        <w:autoSpaceDN/>
        <w:bidi/>
        <w:adjustRightInd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:rsidR="00D076C6" w:rsidRPr="0055190C" w:rsidRDefault="00B50AFB" w:rsidP="00B50AFB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78250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lastRenderedPageBreak/>
        <w:t xml:space="preserve">توقع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</w:t>
      </w:r>
      <w:r w:rsidRPr="0055190C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لأسر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Pr="0078250A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بتحس</w:t>
      </w:r>
      <w:r w:rsidRPr="0078250A">
        <w:rPr>
          <w:rFonts w:asciiTheme="majorBidi" w:hAnsiTheme="majorBidi" w:cstheme="majorBidi" w:hint="eastAsia"/>
          <w:b/>
          <w:bCs/>
          <w:sz w:val="28"/>
          <w:szCs w:val="28"/>
          <w:rtl/>
          <w:lang w:bidi="ar-MA"/>
        </w:rPr>
        <w:t>ن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8052A4"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وضعي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تهم</w:t>
      </w:r>
      <w:r w:rsidR="008052A4"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 </w:t>
      </w:r>
      <w:r w:rsidR="0047396E"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المالية </w:t>
      </w:r>
    </w:p>
    <w:p w:rsidR="0047396E" w:rsidRPr="00536E6D" w:rsidRDefault="0047396E" w:rsidP="0014738D">
      <w:pPr>
        <w:bidi/>
        <w:spacing w:before="240" w:line="360" w:lineRule="auto"/>
        <w:jc w:val="both"/>
        <w:rPr>
          <w:rFonts w:asciiTheme="majorBidi" w:hAnsiTheme="majorBidi" w:cstheme="majorBidi"/>
          <w:sz w:val="26"/>
          <w:szCs w:val="26"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صرحت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066304" w:rsidRPr="00536E6D">
        <w:rPr>
          <w:rFonts w:asciiTheme="majorBidi" w:hAnsiTheme="majorBidi" w:cstheme="majorBidi"/>
          <w:sz w:val="26"/>
          <w:szCs w:val="26"/>
          <w:lang w:bidi="ar-MA"/>
        </w:rPr>
        <w:t>55,</w:t>
      </w:r>
      <w:r w:rsidR="00A82598">
        <w:rPr>
          <w:rFonts w:asciiTheme="majorBidi" w:hAnsiTheme="majorBidi" w:cstheme="majorBidi"/>
          <w:sz w:val="26"/>
          <w:szCs w:val="26"/>
          <w:lang w:bidi="ar-MA"/>
        </w:rPr>
        <w:t>8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من الأسر، </w:t>
      </w:r>
      <w:r w:rsidR="00BA32A3" w:rsidRPr="00536E6D">
        <w:rPr>
          <w:rFonts w:asciiTheme="majorBidi" w:hAnsiTheme="majorBidi" w:cstheme="majorBidi"/>
          <w:sz w:val="26"/>
          <w:szCs w:val="26"/>
          <w:rtl/>
          <w:lang w:bidi="ar-MA"/>
        </w:rPr>
        <w:t>خلال الفصل الأول من سنة 202</w:t>
      </w:r>
      <w:r w:rsidR="00066304" w:rsidRPr="00536E6D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، أن مداخيلها تغطي مصاريفها، فيما استنزفت 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066304" w:rsidRPr="00536E6D">
        <w:rPr>
          <w:rFonts w:asciiTheme="majorBidi" w:hAnsiTheme="majorBidi" w:cstheme="majorBidi"/>
          <w:sz w:val="26"/>
          <w:szCs w:val="26"/>
          <w:lang w:bidi="ar-MA"/>
        </w:rPr>
        <w:t>39,3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من مدخراتها أو لجأت إلى الاقتراض.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ولا يتجاوز معدل الأسر التي تمكنت من ادخار جزء من مداخيلها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4,9</w:t>
      </w:r>
      <w:r w:rsidR="0014738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14738D">
        <w:rPr>
          <w:rFonts w:asciiTheme="majorBidi" w:hAnsiTheme="majorBidi" w:cstheme="majorBidi" w:hint="cs"/>
          <w:sz w:val="26"/>
          <w:szCs w:val="26"/>
          <w:rtl/>
          <w:lang w:bidi="ar-MA"/>
        </w:rPr>
        <w:t>وهكذا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استقر رصيد آراء الأسر حول وضعيتهم المالية الحالية في مستوى سلبي بلغ ناقص </w:t>
      </w:r>
      <w:r w:rsidR="00CE0DCF" w:rsidRPr="00536E6D">
        <w:rPr>
          <w:rFonts w:asciiTheme="majorBidi" w:hAnsiTheme="majorBidi" w:cstheme="majorBidi"/>
          <w:sz w:val="26"/>
          <w:szCs w:val="26"/>
          <w:lang w:bidi="ar-MA"/>
        </w:rPr>
        <w:t>34,4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مقابل ناقص</w:t>
      </w:r>
      <w:r w:rsidR="00CE0DCF" w:rsidRPr="00536E6D">
        <w:rPr>
          <w:rFonts w:asciiTheme="majorBidi" w:hAnsiTheme="majorBidi" w:cstheme="majorBidi"/>
          <w:sz w:val="26"/>
          <w:szCs w:val="26"/>
          <w:lang w:bidi="ar-MA"/>
        </w:rPr>
        <w:t>29,1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الفصل السابق وناقص</w:t>
      </w:r>
      <w:r w:rsidR="00CD4D50" w:rsidRPr="00536E6D">
        <w:rPr>
          <w:rFonts w:asciiTheme="majorBidi" w:hAnsiTheme="majorBidi" w:cstheme="majorBidi"/>
          <w:sz w:val="26"/>
          <w:szCs w:val="26"/>
          <w:lang w:bidi="ar-MA"/>
        </w:rPr>
        <w:t>27,7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نفس الفصل من السنة الماضية.</w:t>
      </w:r>
    </w:p>
    <w:p w:rsidR="0047396E" w:rsidRPr="00536E6D" w:rsidRDefault="0047396E" w:rsidP="00A262D9">
      <w:pPr>
        <w:bidi/>
        <w:spacing w:before="240"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وبخصوص تطور الوضعية المالية للأسر خلال 12 شهرا الماضية، صرحت 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>54</w:t>
      </w:r>
      <w:r w:rsidR="00E74730" w:rsidRPr="00536E6D">
        <w:rPr>
          <w:rFonts w:asciiTheme="majorBidi" w:hAnsiTheme="majorBidi" w:cstheme="majorBidi"/>
          <w:sz w:val="26"/>
          <w:szCs w:val="26"/>
          <w:rtl/>
          <w:lang w:bidi="ar-MA"/>
        </w:rPr>
        <w:t>,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>4</w:t>
      </w:r>
      <w:r w:rsidRPr="00536E6D">
        <w:rPr>
          <w:rFonts w:asciiTheme="majorBidi" w:hAnsiTheme="majorBidi" w:cstheme="majorBidi"/>
          <w:sz w:val="26"/>
          <w:szCs w:val="26"/>
          <w:lang w:bidi="ar-MA"/>
        </w:rPr>
        <w:t xml:space="preserve"> %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من الأسر</w:t>
      </w:r>
      <w:r w:rsidR="00E74730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مقابل 7,0</w:t>
      </w:r>
      <w:r w:rsidR="00E74730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بتدهورها. وبذلك بقي هذا </w:t>
      </w:r>
      <w:r w:rsidR="00A262D9" w:rsidRPr="00536E6D">
        <w:rPr>
          <w:rFonts w:asciiTheme="majorBidi" w:hAnsiTheme="majorBidi" w:cstheme="majorBidi" w:hint="cs"/>
          <w:sz w:val="26"/>
          <w:szCs w:val="26"/>
          <w:rtl/>
          <w:lang w:bidi="ar-MA"/>
        </w:rPr>
        <w:t>التصور سلبي</w:t>
      </w:r>
      <w:r w:rsidR="00A262D9" w:rsidRPr="00536E6D">
        <w:rPr>
          <w:rFonts w:asciiTheme="majorBidi" w:hAnsiTheme="majorBidi" w:cstheme="majorBidi" w:hint="eastAsia"/>
          <w:sz w:val="26"/>
          <w:szCs w:val="26"/>
          <w:rtl/>
          <w:lang w:bidi="ar-MA"/>
        </w:rPr>
        <w:t>ا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حيث بلغ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BB2364" w:rsidRPr="00536E6D">
        <w:rPr>
          <w:rFonts w:asciiTheme="majorBidi" w:hAnsiTheme="majorBidi" w:cstheme="majorBidi"/>
          <w:sz w:val="26"/>
          <w:szCs w:val="26"/>
          <w:rtl/>
          <w:lang w:bidi="ar-MA"/>
        </w:rPr>
        <w:t>رصيد هذا المؤشر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ناقص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2F5099" w:rsidRPr="00536E6D">
        <w:rPr>
          <w:rFonts w:asciiTheme="majorBidi" w:hAnsiTheme="majorBidi" w:cstheme="majorBidi"/>
          <w:sz w:val="26"/>
          <w:szCs w:val="26"/>
          <w:lang w:bidi="ar-MA"/>
        </w:rPr>
        <w:t>47,4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</w:t>
      </w:r>
      <w:r w:rsidR="005C100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مقابل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ناقص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2F5099" w:rsidRPr="00536E6D">
        <w:rPr>
          <w:rFonts w:asciiTheme="majorBidi" w:hAnsiTheme="majorBidi" w:cstheme="majorBidi"/>
          <w:sz w:val="26"/>
          <w:szCs w:val="26"/>
          <w:lang w:bidi="ar-MA"/>
        </w:rPr>
        <w:t>39,9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</w:t>
      </w:r>
      <w:r w:rsidR="005C100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خلال الفصل السابق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ناقص</w:t>
      </w:r>
      <w:r w:rsidR="002F5099" w:rsidRPr="00536E6D">
        <w:rPr>
          <w:rFonts w:asciiTheme="majorBidi" w:hAnsiTheme="majorBidi" w:cstheme="majorBidi"/>
          <w:sz w:val="26"/>
          <w:szCs w:val="26"/>
          <w:lang w:bidi="ar-MA"/>
        </w:rPr>
        <w:t xml:space="preserve">22,9 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3549B7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</w:t>
      </w:r>
      <w:r w:rsidR="005C100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خلال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5C100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نفس الفصل من السنة الماضية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47396E" w:rsidRDefault="0047396E" w:rsidP="00A262D9">
      <w:pPr>
        <w:bidi/>
        <w:spacing w:before="240"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أما بخصوص تصور الأسر لتطور وضعيتها المالية خلال 12 شهرا المقبلة، فتتوقع </w:t>
      </w:r>
      <w:r w:rsidR="002F5099" w:rsidRPr="00536E6D">
        <w:rPr>
          <w:rFonts w:asciiTheme="majorBidi" w:hAnsiTheme="majorBidi" w:cstheme="majorBidi"/>
          <w:sz w:val="26"/>
          <w:szCs w:val="26"/>
          <w:rtl/>
          <w:lang w:bidi="ar-MA"/>
        </w:rPr>
        <w:t>35,1</w:t>
      </w:r>
      <w:r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منها تحسنها مقابل 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  </w:t>
      </w:r>
      <w:r w:rsidR="002F5099" w:rsidRPr="00536E6D">
        <w:rPr>
          <w:rFonts w:asciiTheme="majorBidi" w:hAnsiTheme="majorBidi" w:cstheme="majorBidi"/>
          <w:sz w:val="26"/>
          <w:szCs w:val="26"/>
          <w:rtl/>
          <w:lang w:bidi="ar-MA"/>
        </w:rPr>
        <w:t>13,8</w:t>
      </w:r>
      <w:r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التي تنتظر تدهورها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8A1B89">
        <w:rPr>
          <w:rFonts w:asciiTheme="majorBidi" w:hAnsiTheme="majorBidi" w:cstheme="majorBidi" w:hint="cs"/>
          <w:sz w:val="26"/>
          <w:szCs w:val="26"/>
          <w:rtl/>
          <w:lang w:bidi="ar-MA"/>
        </w:rPr>
        <w:t>و 51,</w:t>
      </w:r>
      <w:r w:rsidR="00A262D9">
        <w:rPr>
          <w:rFonts w:asciiTheme="majorBidi" w:hAnsiTheme="majorBidi" w:cstheme="majorBidi" w:hint="cs"/>
          <w:sz w:val="26"/>
          <w:szCs w:val="26"/>
          <w:rtl/>
          <w:lang w:bidi="ar-MA"/>
        </w:rPr>
        <w:t>1</w:t>
      </w:r>
      <w:r w:rsidR="008A1B8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8A1B89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8A1B89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التي تتوقع </w:t>
      </w:r>
      <w:r w:rsidR="00BB2364" w:rsidRPr="00536E6D">
        <w:rPr>
          <w:rFonts w:asciiTheme="majorBidi" w:hAnsiTheme="majorBidi" w:cstheme="majorBidi"/>
          <w:sz w:val="26"/>
          <w:szCs w:val="26"/>
          <w:rtl/>
          <w:lang w:bidi="ar-MA"/>
        </w:rPr>
        <w:t>استقراره</w:t>
      </w:r>
      <w:r w:rsidR="008A1B89">
        <w:rPr>
          <w:rFonts w:asciiTheme="majorBidi" w:hAnsiTheme="majorBidi" w:cstheme="majorBidi" w:hint="cs"/>
          <w:sz w:val="26"/>
          <w:szCs w:val="26"/>
          <w:rtl/>
          <w:lang w:bidi="ar-MA"/>
        </w:rPr>
        <w:t>ا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. 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وهكذا، </w:t>
      </w:r>
      <w:r w:rsidR="008D692F">
        <w:rPr>
          <w:rFonts w:asciiTheme="majorBidi" w:hAnsiTheme="majorBidi" w:cstheme="majorBidi" w:hint="cs"/>
          <w:sz w:val="26"/>
          <w:szCs w:val="26"/>
          <w:rtl/>
          <w:lang w:bidi="ar-MA"/>
        </w:rPr>
        <w:t>ا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>س</w:t>
      </w:r>
      <w:r w:rsidR="008D692F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تقر 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رصيد هذا المؤشر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في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>21,</w:t>
      </w:r>
      <w:r w:rsidR="008D692F">
        <w:rPr>
          <w:rFonts w:asciiTheme="majorBidi" w:hAnsiTheme="majorBidi" w:cstheme="majorBidi" w:hint="cs"/>
          <w:sz w:val="26"/>
          <w:szCs w:val="26"/>
          <w:rtl/>
          <w:lang w:bidi="ar-MA"/>
        </w:rPr>
        <w:t>3</w:t>
      </w:r>
      <w:r w:rsidR="00BB2364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مقابل 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0,6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الفصل السابق و</w:t>
      </w:r>
      <w:r w:rsidR="00CD0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8,5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نفس الفصل من السنة الماضية. </w:t>
      </w:r>
    </w:p>
    <w:p w:rsidR="00A52632" w:rsidRDefault="00A52632" w:rsidP="0055190C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rtl/>
          <w:lang w:bidi="ar-DZ"/>
        </w:rPr>
      </w:pPr>
    </w:p>
    <w:p w:rsidR="0055190C" w:rsidRPr="00536E6D" w:rsidRDefault="0055190C" w:rsidP="00A52632">
      <w:pPr>
        <w:bidi/>
        <w:spacing w:line="360" w:lineRule="auto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مبيان 5: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تصور الأسر حول وضعيتهم المالية</w:t>
      </w:r>
      <w:r w:rsidRPr="0055190C">
        <w:rPr>
          <w:rFonts w:asciiTheme="majorBidi" w:hAnsiTheme="majorBidi" w:cstheme="majorBidi"/>
          <w:b/>
          <w:bCs/>
          <w:sz w:val="26"/>
          <w:szCs w:val="26"/>
          <w:lang w:bidi="ar-DZ"/>
        </w:rPr>
        <w:t xml:space="preserve">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(أرصدة الآراء)</w:t>
      </w:r>
      <w:r w:rsidRPr="0055190C">
        <w:rPr>
          <w:rFonts w:asciiTheme="majorBidi" w:hAnsiTheme="majorBidi" w:cstheme="majorBidi"/>
          <w:b/>
          <w:bCs/>
          <w:sz w:val="26"/>
          <w:szCs w:val="26"/>
          <w:lang w:bidi="ar-DZ"/>
        </w:rPr>
        <w:t xml:space="preserve"> </w:t>
      </w:r>
    </w:p>
    <w:p w:rsidR="0047396E" w:rsidRPr="00536E6D" w:rsidRDefault="004E7FFB" w:rsidP="00536E6D">
      <w:pPr>
        <w:bidi/>
        <w:spacing w:before="240" w:line="360" w:lineRule="auto"/>
        <w:ind w:left="-1"/>
        <w:jc w:val="center"/>
        <w:rPr>
          <w:rFonts w:asciiTheme="majorBidi" w:hAnsiTheme="majorBidi" w:cstheme="majorBidi"/>
          <w:sz w:val="26"/>
          <w:szCs w:val="26"/>
          <w:lang w:bidi="ar-MA"/>
        </w:rPr>
      </w:pPr>
      <w:r w:rsidRPr="00536E6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5941060" cy="3514990"/>
            <wp:effectExtent l="19050" t="0" r="21590" b="926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C77D8" w:rsidRDefault="00AC77D8" w:rsidP="00AC77D8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</w:pP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</w:rPr>
        <w:t xml:space="preserve">: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BC28E2" w:rsidRDefault="00BC28E2" w:rsidP="00536E6D">
      <w:pPr>
        <w:bidi/>
        <w:spacing w:before="240" w:line="360" w:lineRule="auto"/>
        <w:ind w:left="-1"/>
        <w:jc w:val="both"/>
        <w:rPr>
          <w:rFonts w:asciiTheme="majorBidi" w:hAnsiTheme="majorBidi" w:cstheme="majorBidi"/>
          <w:sz w:val="26"/>
          <w:szCs w:val="26"/>
          <w:rtl/>
        </w:rPr>
      </w:pPr>
    </w:p>
    <w:p w:rsidR="00A52632" w:rsidRPr="00536E6D" w:rsidRDefault="00A52632" w:rsidP="00A52632">
      <w:pPr>
        <w:bidi/>
        <w:spacing w:before="240" w:line="360" w:lineRule="auto"/>
        <w:ind w:left="-1"/>
        <w:jc w:val="both"/>
        <w:rPr>
          <w:rFonts w:asciiTheme="majorBidi" w:hAnsiTheme="majorBidi" w:cstheme="majorBidi"/>
          <w:sz w:val="26"/>
          <w:szCs w:val="26"/>
          <w:rtl/>
        </w:rPr>
      </w:pPr>
    </w:p>
    <w:p w:rsidR="0047396E" w:rsidRPr="0055190C" w:rsidRDefault="0047396E" w:rsidP="00536E6D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</w:pP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lastRenderedPageBreak/>
        <w:t>تطور مؤشرات فصلية أخرى لآراء الأسر حول الظرفية</w:t>
      </w:r>
    </w:p>
    <w:p w:rsidR="0047396E" w:rsidRPr="00536E6D" w:rsidRDefault="0047396E" w:rsidP="00536E6D">
      <w:pPr>
        <w:widowControl/>
        <w:autoSpaceDE/>
        <w:autoSpaceDN/>
        <w:bidi/>
        <w:adjustRightInd/>
        <w:spacing w:after="200" w:line="360" w:lineRule="auto"/>
        <w:ind w:left="14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إضافة إلى المؤشرات السابقة، يوفر هذا البحث معطيات فصلية عن تصورات الأسر بخصوص جوانب أخرى لظروف معيشتها، منها القدرة على </w:t>
      </w:r>
      <w:r w:rsidR="001F7C00" w:rsidRPr="00536E6D">
        <w:rPr>
          <w:rFonts w:asciiTheme="majorBidi" w:hAnsiTheme="majorBidi" w:cstheme="majorBidi"/>
          <w:sz w:val="26"/>
          <w:szCs w:val="26"/>
          <w:rtl/>
          <w:lang w:bidi="ar-MA"/>
        </w:rPr>
        <w:t>الادخار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</w:t>
      </w:r>
      <w:r w:rsidR="0014738D" w:rsidRPr="00536E6D">
        <w:rPr>
          <w:rFonts w:asciiTheme="majorBidi" w:hAnsiTheme="majorBidi" w:cstheme="majorBidi" w:hint="cs"/>
          <w:sz w:val="26"/>
          <w:szCs w:val="26"/>
          <w:rtl/>
          <w:lang w:bidi="ar-MA"/>
        </w:rPr>
        <w:t>وتطور أثمنة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المواد الغذائية.</w:t>
      </w:r>
    </w:p>
    <w:p w:rsidR="0047396E" w:rsidRPr="0055190C" w:rsidRDefault="0047396E" w:rsidP="00A262D9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توقعات</w:t>
      </w:r>
      <w:r w:rsidR="00435BD5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A262D9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أقل </w:t>
      </w:r>
      <w:r w:rsidR="00A262D9" w:rsidRPr="0055190C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تشاؤم</w:t>
      </w:r>
      <w:r w:rsidR="00A262D9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</w:t>
      </w:r>
      <w:r w:rsidR="00435BD5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 xml:space="preserve">بخصوص قدرة الأسر على الادخار </w:t>
      </w:r>
    </w:p>
    <w:p w:rsidR="001C3663" w:rsidRPr="00536E6D" w:rsidRDefault="00A11C67" w:rsidP="003033A7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خلال الفصل الأول من سنة 202</w:t>
      </w:r>
      <w:r w:rsidR="001F7C00" w:rsidRPr="00536E6D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، صرحت </w:t>
      </w:r>
      <w:r w:rsidR="001A3C7F" w:rsidRPr="00536E6D">
        <w:rPr>
          <w:rFonts w:asciiTheme="majorBidi" w:hAnsiTheme="majorBidi" w:cstheme="majorBidi"/>
          <w:sz w:val="26"/>
          <w:szCs w:val="26"/>
          <w:rtl/>
          <w:lang w:bidi="ar-MA"/>
        </w:rPr>
        <w:t>19,6</w:t>
      </w:r>
      <w:r w:rsidR="0047396E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مقابل </w:t>
      </w:r>
      <w:r w:rsidR="00C02F8D" w:rsidRPr="00536E6D">
        <w:rPr>
          <w:rFonts w:asciiTheme="majorBidi" w:hAnsiTheme="majorBidi" w:cstheme="majorBidi"/>
          <w:sz w:val="26"/>
          <w:szCs w:val="26"/>
          <w:rtl/>
          <w:lang w:bidi="ar-MA"/>
        </w:rPr>
        <w:t>80,4</w:t>
      </w:r>
      <w:r w:rsidR="0047396E" w:rsidRPr="00536E6D">
        <w:rPr>
          <w:rFonts w:asciiTheme="majorBidi" w:hAnsiTheme="majorBidi" w:cstheme="majorBidi"/>
          <w:sz w:val="26"/>
          <w:szCs w:val="26"/>
          <w:lang w:bidi="ar-MA"/>
        </w:rPr>
        <w:t xml:space="preserve">%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الأسر بقدرتها على </w:t>
      </w:r>
      <w:r w:rsidR="004C7F37" w:rsidRPr="00536E6D">
        <w:rPr>
          <w:rFonts w:asciiTheme="majorBidi" w:hAnsiTheme="majorBidi" w:cstheme="majorBidi"/>
          <w:sz w:val="26"/>
          <w:szCs w:val="26"/>
          <w:rtl/>
          <w:lang w:bidi="ar-MA"/>
        </w:rPr>
        <w:t>الادخار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خلال 12 شهرا المقبلة، </w:t>
      </w:r>
      <w:r w:rsidR="00611F15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وهكذا استقر رصيد هذا المؤشر في مستواه السلبي مسجلا ناقص </w:t>
      </w:r>
      <w:r w:rsidR="00E4719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60,8 </w:t>
      </w:r>
      <w:r w:rsidR="00611F15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مقابل ناقص </w:t>
      </w:r>
      <w:r w:rsidR="00E4719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65,8 </w:t>
      </w:r>
      <w:r w:rsidR="00611F15" w:rsidRPr="00536E6D">
        <w:rPr>
          <w:rFonts w:asciiTheme="majorBidi" w:hAnsiTheme="majorBidi" w:cstheme="majorBidi"/>
          <w:sz w:val="26"/>
          <w:szCs w:val="26"/>
          <w:rtl/>
          <w:lang w:bidi="ar-MA"/>
        </w:rPr>
        <w:t>نقطة خلال الفصل السابق</w:t>
      </w:r>
      <w:r w:rsidR="00E4719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و</w:t>
      </w:r>
      <w:r w:rsidR="00435BD5" w:rsidRPr="00536E6D">
        <w:rPr>
          <w:rFonts w:asciiTheme="majorBidi" w:hAnsiTheme="majorBidi" w:cstheme="majorBidi"/>
          <w:sz w:val="26"/>
          <w:szCs w:val="26"/>
          <w:rtl/>
          <w:lang w:bidi="ar-MA"/>
        </w:rPr>
        <w:t>خلال</w:t>
      </w:r>
      <w:r w:rsidR="00E47193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نفس الفصل من السنة الماضية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.</w:t>
      </w:r>
    </w:p>
    <w:p w:rsidR="000B04E0" w:rsidRPr="00536E6D" w:rsidRDefault="000B04E0" w:rsidP="00536E6D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</w:p>
    <w:p w:rsidR="0047396E" w:rsidRPr="0055190C" w:rsidRDefault="000C6ABC" w:rsidP="00A262D9">
      <w:pPr>
        <w:pStyle w:val="Paragraphedeliste"/>
        <w:widowControl/>
        <w:numPr>
          <w:ilvl w:val="1"/>
          <w:numId w:val="2"/>
        </w:numPr>
        <w:autoSpaceDE/>
        <w:autoSpaceDN/>
        <w:bidi/>
        <w:adjustRightInd/>
        <w:spacing w:after="200"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lang w:bidi="ar-MA"/>
        </w:rPr>
      </w:pPr>
      <w:r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أثمنة المواد الغذائية</w:t>
      </w:r>
      <w:r w:rsidR="00A262D9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: </w:t>
      </w:r>
      <w:r w:rsidR="00A262D9" w:rsidRPr="0055190C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توقع</w:t>
      </w:r>
      <w:r w:rsidR="00A262D9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ب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ا</w:t>
      </w:r>
      <w:r w:rsidR="003033A7" w:rsidRPr="003033A7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t>رتفاع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 xml:space="preserve"> </w:t>
      </w:r>
      <w:r w:rsidR="00A262D9">
        <w:rPr>
          <w:rFonts w:asciiTheme="majorBidi" w:hAnsiTheme="majorBidi" w:cstheme="majorBidi" w:hint="cs"/>
          <w:b/>
          <w:bCs/>
          <w:sz w:val="28"/>
          <w:szCs w:val="28"/>
          <w:rtl/>
          <w:lang w:bidi="ar-MA"/>
        </w:rPr>
        <w:t>أقل حدة</w:t>
      </w:r>
    </w:p>
    <w:p w:rsidR="0047396E" w:rsidRPr="00536E6D" w:rsidRDefault="00BE0366" w:rsidP="0014738D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خلال الفصل الأول من سنة 202</w:t>
      </w:r>
      <w:r w:rsidR="005819DD" w:rsidRPr="00536E6D">
        <w:rPr>
          <w:rFonts w:asciiTheme="majorBidi" w:hAnsiTheme="majorBidi" w:cstheme="majorBidi"/>
          <w:sz w:val="26"/>
          <w:szCs w:val="26"/>
          <w:rtl/>
          <w:lang w:bidi="ar-MA"/>
        </w:rPr>
        <w:t>1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، صرحت</w:t>
      </w:r>
      <w:r w:rsidR="003033A7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362483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5819DD" w:rsidRPr="00536E6D">
        <w:rPr>
          <w:rFonts w:asciiTheme="majorBidi" w:hAnsiTheme="majorBidi" w:cstheme="majorBidi"/>
          <w:sz w:val="26"/>
          <w:szCs w:val="26"/>
          <w:lang w:bidi="ar-MA"/>
        </w:rPr>
        <w:t>74,9</w:t>
      </w:r>
      <w:r w:rsidR="003033A7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من </w:t>
      </w:r>
      <w:r w:rsidR="003033A7" w:rsidRPr="00536E6D">
        <w:rPr>
          <w:rFonts w:asciiTheme="majorBidi" w:hAnsiTheme="majorBidi" w:cstheme="majorBidi" w:hint="cs"/>
          <w:sz w:val="26"/>
          <w:szCs w:val="26"/>
          <w:rtl/>
          <w:lang w:bidi="ar-MA"/>
        </w:rPr>
        <w:t>الأسر بأ</w:t>
      </w:r>
      <w:r w:rsidR="003033A7" w:rsidRPr="00536E6D">
        <w:rPr>
          <w:rFonts w:asciiTheme="majorBidi" w:hAnsiTheme="majorBidi" w:cstheme="majorBidi" w:hint="eastAsia"/>
          <w:sz w:val="26"/>
          <w:szCs w:val="26"/>
          <w:rtl/>
          <w:lang w:bidi="ar-MA"/>
        </w:rPr>
        <w:t>ن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أسعار المواد الغذائية قد عرفت ارتفاعا خلال 12 شهرا الأخيرة، في حين رأت </w:t>
      </w:r>
      <w:r w:rsidR="005819DD" w:rsidRPr="00536E6D">
        <w:rPr>
          <w:rFonts w:asciiTheme="majorBidi" w:hAnsiTheme="majorBidi" w:cstheme="majorBidi"/>
          <w:sz w:val="26"/>
          <w:szCs w:val="26"/>
          <w:rtl/>
          <w:lang w:bidi="ar-MA"/>
        </w:rPr>
        <w:t>0,</w:t>
      </w:r>
      <w:r w:rsidR="003033A7">
        <w:rPr>
          <w:rFonts w:asciiTheme="majorBidi" w:hAnsiTheme="majorBidi" w:cstheme="majorBidi" w:hint="cs"/>
          <w:sz w:val="26"/>
          <w:szCs w:val="26"/>
          <w:rtl/>
          <w:lang w:bidi="ar-MA"/>
        </w:rPr>
        <w:t>8</w:t>
      </w:r>
      <w:r w:rsidR="0047396E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3033A7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>فقط عكس ذلك. وهكذا استقر رصيد هذا المؤشر في مستوى سلبي بلغ ناقص</w:t>
      </w:r>
      <w:r w:rsidR="003033A7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74,1 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 عوض ناقص </w:t>
      </w:r>
      <w:r w:rsidR="005819DD" w:rsidRPr="00536E6D">
        <w:rPr>
          <w:rFonts w:asciiTheme="majorBidi" w:hAnsiTheme="majorBidi" w:cstheme="majorBidi"/>
          <w:sz w:val="26"/>
          <w:szCs w:val="26"/>
          <w:rtl/>
          <w:lang w:bidi="ar-MA"/>
        </w:rPr>
        <w:t>74,</w:t>
      </w:r>
      <w:r w:rsidR="0014738D" w:rsidRPr="00536E6D">
        <w:rPr>
          <w:rFonts w:asciiTheme="majorBidi" w:hAnsiTheme="majorBidi" w:cstheme="majorBidi" w:hint="cs"/>
          <w:sz w:val="26"/>
          <w:szCs w:val="26"/>
          <w:rtl/>
          <w:lang w:bidi="ar-MA"/>
        </w:rPr>
        <w:t>7 نقطة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خلال الفصل السابق وناقص </w:t>
      </w:r>
      <w:r w:rsidR="005819DD" w:rsidRPr="00536E6D">
        <w:rPr>
          <w:rFonts w:asciiTheme="majorBidi" w:hAnsiTheme="majorBidi" w:cstheme="majorBidi"/>
          <w:sz w:val="26"/>
          <w:szCs w:val="26"/>
          <w:rtl/>
          <w:lang w:bidi="ar-MA"/>
        </w:rPr>
        <w:t>82,8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خلال نفس </w:t>
      </w:r>
      <w:r w:rsidR="003033A7" w:rsidRPr="00536E6D">
        <w:rPr>
          <w:rFonts w:asciiTheme="majorBidi" w:hAnsiTheme="majorBidi" w:cstheme="majorBidi"/>
          <w:sz w:val="26"/>
          <w:szCs w:val="26"/>
          <w:rtl/>
          <w:lang w:bidi="ar-MA"/>
        </w:rPr>
        <w:t>الفصل</w:t>
      </w:r>
      <w:r w:rsidR="0047396E"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السنة الماضية. </w:t>
      </w:r>
    </w:p>
    <w:p w:rsidR="00A52632" w:rsidRDefault="0047396E" w:rsidP="00A52632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أما بخصوص تطور أسعار المواد الغذائية خلال 12 شهرا المقبلة، فتتوقع </w:t>
      </w:r>
      <w:r w:rsidR="00E02045"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="00D31007" w:rsidRPr="00536E6D">
        <w:rPr>
          <w:rFonts w:asciiTheme="majorBidi" w:hAnsiTheme="majorBidi" w:cstheme="majorBidi"/>
          <w:sz w:val="26"/>
          <w:szCs w:val="26"/>
          <w:lang w:bidi="ar-MA"/>
        </w:rPr>
        <w:t>64,0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من الأسر استمرارها في الارتفاع في حين لا يتجاوز معدل الأسر التي تنتظر انخفاضها </w:t>
      </w:r>
      <w:r w:rsidR="00D31007" w:rsidRPr="00536E6D">
        <w:rPr>
          <w:rFonts w:asciiTheme="majorBidi" w:hAnsiTheme="majorBidi" w:cstheme="majorBidi"/>
          <w:sz w:val="26"/>
          <w:szCs w:val="26"/>
          <w:rtl/>
          <w:lang w:bidi="ar-MA"/>
        </w:rPr>
        <w:t>3,9</w:t>
      </w:r>
      <w:r w:rsidRPr="00536E6D">
        <w:rPr>
          <w:rFonts w:asciiTheme="majorBidi" w:hAnsiTheme="majorBidi" w:cstheme="majorBidi"/>
          <w:sz w:val="26"/>
          <w:szCs w:val="26"/>
          <w:lang w:bidi="ar-MA"/>
        </w:rPr>
        <w:t>%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. وهكذا استقر رصيد هذه الآراء في مستوى سلبي بلغ ناقص</w:t>
      </w:r>
      <w:r w:rsidR="003033A7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="00EA6CAB" w:rsidRPr="00536E6D">
        <w:rPr>
          <w:rFonts w:asciiTheme="majorBidi" w:hAnsiTheme="majorBidi" w:cstheme="majorBidi"/>
          <w:sz w:val="26"/>
          <w:szCs w:val="26"/>
          <w:rtl/>
          <w:lang w:bidi="ar-MA"/>
        </w:rPr>
        <w:t>60,</w:t>
      </w:r>
      <w:r w:rsidR="003033A7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1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نقطة، عوض ناقص </w:t>
      </w:r>
      <w:r w:rsidR="00EA6CAB" w:rsidRPr="00536E6D">
        <w:rPr>
          <w:rFonts w:asciiTheme="majorBidi" w:hAnsiTheme="majorBidi" w:cstheme="majorBidi"/>
          <w:sz w:val="26"/>
          <w:szCs w:val="26"/>
          <w:lang w:bidi="ar-MA"/>
        </w:rPr>
        <w:t>64,6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المسجلة خلال</w:t>
      </w:r>
      <w:r w:rsidR="003033A7">
        <w:rPr>
          <w:rFonts w:asciiTheme="majorBidi" w:hAnsiTheme="majorBidi" w:cstheme="majorBidi" w:hint="cs"/>
          <w:sz w:val="26"/>
          <w:szCs w:val="26"/>
          <w:rtl/>
          <w:lang w:bidi="ar-MA"/>
        </w:rPr>
        <w:t xml:space="preserve">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>الفصل السابق و ناقص</w:t>
      </w:r>
      <w:r w:rsidR="00EA6CAB" w:rsidRPr="00536E6D">
        <w:rPr>
          <w:rFonts w:asciiTheme="majorBidi" w:hAnsiTheme="majorBidi" w:cstheme="majorBidi"/>
          <w:sz w:val="26"/>
          <w:szCs w:val="26"/>
          <w:lang w:bidi="ar-MA"/>
        </w:rPr>
        <w:t xml:space="preserve">82,6 </w:t>
      </w:r>
      <w:r w:rsidRPr="00536E6D">
        <w:rPr>
          <w:rFonts w:asciiTheme="majorBidi" w:hAnsiTheme="majorBidi" w:cstheme="majorBidi"/>
          <w:sz w:val="26"/>
          <w:szCs w:val="26"/>
          <w:rtl/>
          <w:lang w:bidi="ar-MA"/>
        </w:rPr>
        <w:t xml:space="preserve"> نقطة المسجلة خلال نفس الفصل من السنة الماضية.</w:t>
      </w:r>
    </w:p>
    <w:p w:rsidR="00E57838" w:rsidRPr="00536E6D" w:rsidRDefault="0055190C" w:rsidP="00A52632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both"/>
        <w:rPr>
          <w:rFonts w:asciiTheme="majorBidi" w:hAnsiTheme="majorBidi" w:cstheme="majorBidi"/>
          <w:sz w:val="26"/>
          <w:szCs w:val="26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  <w:lang w:bidi="ar-DZ"/>
        </w:rPr>
        <w:t xml:space="preserve">مبيان 6: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تصور الأسر للتطور السابق </w:t>
      </w:r>
      <w:r w:rsidR="0014738D" w:rsidRPr="0055190C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والمستقبلي لأثمنة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المواد الغذائية</w:t>
      </w:r>
      <w:r w:rsidRPr="0055190C">
        <w:rPr>
          <w:rFonts w:asciiTheme="majorBidi" w:hAnsiTheme="majorBidi" w:cstheme="majorBidi"/>
          <w:b/>
          <w:bCs/>
          <w:sz w:val="26"/>
          <w:szCs w:val="26"/>
          <w:lang w:bidi="ar-DZ"/>
        </w:rPr>
        <w:t xml:space="preserve"> </w:t>
      </w:r>
      <w:r w:rsidRPr="0055190C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>(أرصدة الآراء)</w:t>
      </w:r>
      <w:r w:rsidRPr="0055190C">
        <w:rPr>
          <w:rFonts w:asciiTheme="majorBidi" w:hAnsiTheme="majorBidi" w:cstheme="majorBidi"/>
          <w:b/>
          <w:bCs/>
          <w:sz w:val="26"/>
          <w:szCs w:val="26"/>
          <w:lang w:bidi="ar-DZ"/>
        </w:rPr>
        <w:t xml:space="preserve"> </w:t>
      </w:r>
    </w:p>
    <w:p w:rsidR="0047396E" w:rsidRPr="00536E6D" w:rsidRDefault="002B1580" w:rsidP="00536E6D">
      <w:pPr>
        <w:pStyle w:val="Paragraphedeliste"/>
        <w:widowControl/>
        <w:autoSpaceDE/>
        <w:autoSpaceDN/>
        <w:bidi/>
        <w:adjustRightInd/>
        <w:spacing w:after="200" w:line="360" w:lineRule="auto"/>
        <w:ind w:left="502"/>
        <w:jc w:val="center"/>
        <w:rPr>
          <w:rFonts w:asciiTheme="majorBidi" w:hAnsiTheme="majorBidi" w:cstheme="majorBidi"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noProof/>
          <w:sz w:val="26"/>
          <w:szCs w:val="26"/>
        </w:rPr>
        <w:drawing>
          <wp:inline distT="0" distB="0" distL="0" distR="0">
            <wp:extent cx="5638800" cy="3409950"/>
            <wp:effectExtent l="19050" t="0" r="19050" b="0"/>
            <wp:docPr id="11" name="Graphique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C77D8" w:rsidRDefault="00A52632" w:rsidP="00AC77D8">
      <w:pPr>
        <w:shd w:val="clear" w:color="auto" w:fill="FFFFFF" w:themeFill="background1"/>
        <w:bidi/>
        <w:spacing w:line="360" w:lineRule="auto"/>
        <w:jc w:val="both"/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</w:pPr>
      <w:r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          </w:t>
      </w:r>
      <w:r w:rsidR="00AC77D8"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المصدر</w:t>
      </w:r>
      <w:r w:rsidR="00AC77D8" w:rsidRPr="00AC77D8">
        <w:rPr>
          <w:rFonts w:asciiTheme="majorBidi" w:hAnsiTheme="majorBidi" w:cstheme="majorBidi"/>
          <w:b/>
          <w:bCs/>
          <w:color w:val="202124"/>
          <w:sz w:val="22"/>
          <w:szCs w:val="22"/>
        </w:rPr>
        <w:t xml:space="preserve">: </w:t>
      </w:r>
      <w:r w:rsidR="00AC77D8"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المندوبية</w:t>
      </w:r>
      <w:r w:rsidR="00AC77D8"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="00AC77D8"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السامية</w:t>
      </w:r>
      <w:r w:rsidR="00AC77D8"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="00AC77D8"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للتخطيط</w:t>
      </w:r>
      <w:r w:rsidR="00AC77D8"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>، البح</w:t>
      </w:r>
      <w:r w:rsidR="00AC77D8" w:rsidRPr="00AC77D8">
        <w:rPr>
          <w:rFonts w:asciiTheme="majorBidi" w:hAnsiTheme="majorBidi" w:cstheme="majorBidi" w:hint="eastAsia"/>
          <w:b/>
          <w:bCs/>
          <w:color w:val="202124"/>
          <w:sz w:val="22"/>
          <w:szCs w:val="22"/>
          <w:rtl/>
        </w:rPr>
        <w:t>ث</w:t>
      </w:r>
      <w:r w:rsidR="00AC77D8"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</w:t>
      </w:r>
      <w:r w:rsidR="00AC77D8"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الوطني</w:t>
      </w:r>
      <w:r w:rsidR="00AC77D8" w:rsidRPr="00AC77D8">
        <w:rPr>
          <w:rFonts w:asciiTheme="majorBidi" w:hAnsiTheme="majorBidi" w:cstheme="majorBidi" w:hint="cs"/>
          <w:b/>
          <w:bCs/>
          <w:color w:val="202124"/>
          <w:sz w:val="22"/>
          <w:szCs w:val="22"/>
          <w:rtl/>
        </w:rPr>
        <w:t xml:space="preserve"> الدائم حول </w:t>
      </w:r>
      <w:r w:rsidR="00AC77D8" w:rsidRPr="00AC77D8">
        <w:rPr>
          <w:rFonts w:asciiTheme="majorBidi" w:hAnsiTheme="majorBidi" w:cstheme="majorBidi"/>
          <w:b/>
          <w:bCs/>
          <w:color w:val="202124"/>
          <w:sz w:val="22"/>
          <w:szCs w:val="22"/>
          <w:rtl/>
        </w:rPr>
        <w:t>الظرفية لدى الأسر</w:t>
      </w:r>
    </w:p>
    <w:p w:rsidR="0047396E" w:rsidRPr="00536E6D" w:rsidRDefault="0047396E" w:rsidP="00536E6D">
      <w:pPr>
        <w:bidi/>
        <w:spacing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</w:pPr>
      <w:r w:rsidRPr="00536E6D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lastRenderedPageBreak/>
        <w:t xml:space="preserve">فيما يلي تفصيل لنتائج مختلف المؤشرات </w:t>
      </w:r>
      <w:r w:rsidR="0014738D" w:rsidRPr="00536E6D">
        <w:rPr>
          <w:rFonts w:asciiTheme="majorBidi" w:hAnsiTheme="majorBidi" w:cstheme="majorBidi" w:hint="cs"/>
          <w:b/>
          <w:bCs/>
          <w:sz w:val="26"/>
          <w:szCs w:val="26"/>
          <w:rtl/>
          <w:lang w:bidi="ar-MA"/>
        </w:rPr>
        <w:t>وتذكير بأهم</w:t>
      </w:r>
      <w:r w:rsidRPr="00536E6D">
        <w:rPr>
          <w:rFonts w:asciiTheme="majorBidi" w:hAnsiTheme="majorBidi" w:cstheme="majorBidi"/>
          <w:b/>
          <w:bCs/>
          <w:sz w:val="26"/>
          <w:szCs w:val="26"/>
          <w:rtl/>
          <w:lang w:bidi="ar-MA"/>
        </w:rPr>
        <w:t xml:space="preserve"> المفاهيم.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2"/>
      </w:tblGrid>
      <w:tr w:rsidR="0047396E" w:rsidRPr="00536E6D" w:rsidTr="00A1303D">
        <w:trPr>
          <w:trHeight w:val="6017"/>
          <w:jc w:val="center"/>
        </w:trPr>
        <w:tc>
          <w:tcPr>
            <w:tcW w:w="5000" w:type="pct"/>
          </w:tcPr>
          <w:p w:rsidR="0047396E" w:rsidRPr="00536E6D" w:rsidRDefault="0047396E" w:rsidP="00536E6D">
            <w:pPr>
              <w:bidi/>
              <w:spacing w:line="360" w:lineRule="auto"/>
              <w:ind w:left="360"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</w:pPr>
          </w:p>
          <w:p w:rsidR="0047396E" w:rsidRPr="00536E6D" w:rsidRDefault="0047396E" w:rsidP="00536E6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يتم التعبير في الرسوم البيانية عن</w:t>
            </w:r>
            <w:r w:rsidR="0014738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 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تطور مكونات</w:t>
            </w:r>
            <w:r w:rsidR="0014738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 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مؤشر ثقة الأسر والمؤشرات الأخرى للبحث بأرصدة الآراء </w:t>
            </w:r>
          </w:p>
          <w:p w:rsidR="0047396E" w:rsidRPr="00536E6D" w:rsidRDefault="0047396E" w:rsidP="00536E6D">
            <w:pPr>
              <w:bidi/>
              <w:spacing w:line="360" w:lineRule="auto"/>
              <w:ind w:left="360"/>
              <w:jc w:val="both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MA"/>
              </w:rPr>
            </w:pPr>
            <w:r w:rsidRPr="00536E6D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MA"/>
              </w:rPr>
              <w:t>للتذكير فإن:</w:t>
            </w:r>
          </w:p>
          <w:p w:rsidR="0047396E" w:rsidRPr="00536E6D" w:rsidRDefault="0047396E" w:rsidP="00536E6D">
            <w:pPr>
              <w:pStyle w:val="Paragraphedeliste"/>
              <w:numPr>
                <w:ilvl w:val="0"/>
                <w:numId w:val="4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الأسئلة المطروحة تعتبر كيفية</w:t>
            </w:r>
            <w:r w:rsidR="0014738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 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تتم الأجوبة عليها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بثلاثة خيارا</w:t>
            </w:r>
            <w:r w:rsidR="0014738D" w:rsidRPr="00536E6D">
              <w:rPr>
                <w:rFonts w:asciiTheme="majorBidi" w:hAnsiTheme="majorBidi" w:cstheme="majorBidi" w:hint="eastAsia"/>
                <w:sz w:val="26"/>
                <w:szCs w:val="26"/>
                <w:rtl/>
                <w:lang w:bidi="ar-MA"/>
              </w:rPr>
              <w:t>ت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 (تحسن، استقرار أو تدهور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). تتعل</w:t>
            </w:r>
            <w:r w:rsidR="0014738D" w:rsidRPr="00536E6D">
              <w:rPr>
                <w:rFonts w:asciiTheme="majorBidi" w:hAnsiTheme="majorBidi" w:cstheme="majorBidi" w:hint="eastAsia"/>
                <w:sz w:val="26"/>
                <w:szCs w:val="26"/>
                <w:rtl/>
                <w:lang w:bidi="ar-MA"/>
              </w:rPr>
              <w:t>ق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 التغييرات بـ 12 شهرا وتقدم النتائج على شكل أرصدة (الفرق بين نسب الأجوبة "تحسن"</w:t>
            </w:r>
            <w:r w:rsidR="0014738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 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والأجوبة</w:t>
            </w:r>
            <w:r w:rsidR="0014738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 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"تدهور"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). ول</w:t>
            </w:r>
            <w:r w:rsidR="0014738D" w:rsidRPr="00536E6D">
              <w:rPr>
                <w:rFonts w:asciiTheme="majorBidi" w:hAnsiTheme="majorBidi" w:cstheme="majorBidi" w:hint="eastAsia"/>
                <w:sz w:val="26"/>
                <w:szCs w:val="26"/>
                <w:rtl/>
                <w:lang w:bidi="ar-MA"/>
              </w:rPr>
              <w:t>ا</w:t>
            </w:r>
            <w:r w:rsidR="0014738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 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47396E" w:rsidRPr="00536E6D" w:rsidRDefault="0047396E" w:rsidP="00536E6D">
            <w:pPr>
              <w:pStyle w:val="Paragraphedeliste"/>
              <w:numPr>
                <w:ilvl w:val="0"/>
                <w:numId w:val="4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يتم حساب مؤشر ثقة الأسر على أساس 7 مؤشرات تتعلق أربعة منها بالوضعية العامة في حين تخص الباقية الوضعية الخاصة بالأسرة وهي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كالتالي: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التطورات السابقة لمستوى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المعيشة؛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آفاق تطور مستوى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المعيشة؛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آفاق تطور أعداد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العاطلين؛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فرص اقتناء السلع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المستديمة؛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الوضعية المالية الراهنة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للأسر؛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ind w:left="1434" w:hanging="357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التطور السابق للوضعية المالية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للأسر؛</w:t>
            </w:r>
          </w:p>
          <w:p w:rsidR="0047396E" w:rsidRPr="00536E6D" w:rsidRDefault="0047396E" w:rsidP="00536E6D">
            <w:pPr>
              <w:pStyle w:val="Paragraphedeliste"/>
              <w:widowControl/>
              <w:numPr>
                <w:ilvl w:val="0"/>
                <w:numId w:val="5"/>
              </w:numPr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التطور المستقبلي للوضعية المالية للأسر.</w:t>
            </w:r>
          </w:p>
          <w:p w:rsidR="0047396E" w:rsidRPr="00536E6D" w:rsidRDefault="0047396E" w:rsidP="00536E6D">
            <w:pPr>
              <w:pStyle w:val="Paragraphedeliste"/>
              <w:numPr>
                <w:ilvl w:val="0"/>
                <w:numId w:val="6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يتم حساب هذا المؤشر التركيبي باعتماد المعدل الحسابي لأرصدة المؤشرات السبعة المكونة له مع إضافة 100 وبالتالي تتأرجح قيمته بين 0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و200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.</w:t>
            </w:r>
          </w:p>
          <w:p w:rsidR="0047396E" w:rsidRPr="00536E6D" w:rsidRDefault="0047396E" w:rsidP="00A40E58">
            <w:pPr>
              <w:pStyle w:val="Paragraphedeliste"/>
              <w:numPr>
                <w:ilvl w:val="0"/>
                <w:numId w:val="6"/>
              </w:num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لقد مكنت اختبارات </w:t>
            </w:r>
            <w:r w:rsidR="0014738D" w:rsidRPr="00536E6D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إحصائية</w:t>
            </w:r>
            <w:r w:rsidR="0014738D" w:rsidRPr="00536E6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 (</w:t>
            </w:r>
            <w:r w:rsidRPr="00536E6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test de </w:t>
            </w:r>
            <w:r w:rsidR="0014738D" w:rsidRPr="00536E6D">
              <w:rPr>
                <w:rFonts w:asciiTheme="majorBidi" w:hAnsiTheme="majorBidi" w:cstheme="majorBidi"/>
                <w:sz w:val="26"/>
                <w:szCs w:val="26"/>
                <w:lang w:bidi="ar-MA"/>
              </w:rPr>
              <w:t xml:space="preserve">Fisher) </w:t>
            </w:r>
            <w:r w:rsidR="0014738D"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>على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 سلسلة مؤشر ثقة الأسر خلال الفترة الممتدة من 2008 إلى201</w:t>
            </w:r>
            <w:r w:rsidR="00A40E58">
              <w:rPr>
                <w:rFonts w:asciiTheme="majorBidi" w:hAnsiTheme="majorBidi" w:cstheme="majorBidi" w:hint="cs"/>
                <w:sz w:val="26"/>
                <w:szCs w:val="26"/>
                <w:rtl/>
                <w:lang w:bidi="ar-MA"/>
              </w:rPr>
              <w:t>9</w:t>
            </w: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 من تأكيد غياب التغييرات الموسمية سواء الثابتة أو المتحركة.</w:t>
            </w:r>
          </w:p>
          <w:p w:rsidR="0047396E" w:rsidRPr="00536E6D" w:rsidRDefault="0047396E" w:rsidP="00536E6D">
            <w:pPr>
              <w:bidi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</w:p>
          <w:p w:rsidR="0047396E" w:rsidRPr="00536E6D" w:rsidRDefault="0047396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sz w:val="26"/>
                <w:szCs w:val="26"/>
                <w:lang w:bidi="ar-MA"/>
              </w:rPr>
            </w:pPr>
            <w:r w:rsidRPr="00536E6D">
              <w:rPr>
                <w:rFonts w:asciiTheme="majorBidi" w:hAnsiTheme="majorBidi" w:cstheme="majorBidi"/>
                <w:sz w:val="26"/>
                <w:szCs w:val="26"/>
                <w:rtl/>
                <w:lang w:bidi="ar-MA"/>
              </w:rPr>
              <w:t xml:space="preserve">للمزيد من المعلومات حول الجوانب المنهجية لهذا البحث: زوروا الموقع الإلكتروني للمندوبية السامية للتخطيط   </w:t>
            </w:r>
            <w:hyperlink r:id="rId14" w:history="1">
              <w:r w:rsidRPr="00536E6D">
                <w:rPr>
                  <w:rStyle w:val="Lienhypertexte"/>
                  <w:rFonts w:asciiTheme="majorBidi" w:hAnsiTheme="majorBidi" w:cstheme="majorBidi"/>
                  <w:sz w:val="26"/>
                  <w:szCs w:val="26"/>
                  <w:lang w:bidi="ar-MA"/>
                </w:rPr>
                <w:t>www.hcp.ma</w:t>
              </w:r>
            </w:hyperlink>
          </w:p>
        </w:tc>
      </w:tr>
    </w:tbl>
    <w:p w:rsidR="0047396E" w:rsidRPr="00536E6D" w:rsidRDefault="00B77F0C" w:rsidP="00536E6D">
      <w:pPr>
        <w:widowControl/>
        <w:autoSpaceDE/>
        <w:autoSpaceDN/>
        <w:adjustRightInd/>
        <w:spacing w:line="360" w:lineRule="auto"/>
        <w:jc w:val="both"/>
        <w:rPr>
          <w:rFonts w:asciiTheme="majorBidi" w:hAnsiTheme="majorBidi" w:cstheme="majorBidi"/>
          <w:sz w:val="26"/>
          <w:szCs w:val="26"/>
          <w:lang w:bidi="ar-MA"/>
        </w:rPr>
        <w:sectPr w:rsidR="0047396E" w:rsidRPr="00536E6D" w:rsidSect="0047396E">
          <w:footerReference w:type="default" r:id="rId15"/>
          <w:pgSz w:w="11906" w:h="16838"/>
          <w:pgMar w:top="1247" w:right="1274" w:bottom="1191" w:left="1276" w:header="567" w:footer="567" w:gutter="0"/>
          <w:cols w:space="708"/>
          <w:docGrid w:linePitch="360"/>
        </w:sectPr>
      </w:pPr>
      <w:r>
        <w:rPr>
          <w:rFonts w:asciiTheme="majorBidi" w:hAnsiTheme="majorBidi" w:cstheme="majorBidi"/>
          <w:sz w:val="26"/>
          <w:szCs w:val="26"/>
          <w:lang w:bidi="ar-MA"/>
        </w:rPr>
        <w:t xml:space="preserve">               </w:t>
      </w:r>
    </w:p>
    <w:p w:rsidR="0047396E" w:rsidRPr="00DA181A" w:rsidRDefault="0047396E" w:rsidP="00536E6D">
      <w:pPr>
        <w:widowControl/>
        <w:autoSpaceDE/>
        <w:autoSpaceDN/>
        <w:bidi/>
        <w:adjustRightInd/>
        <w:spacing w:after="200" w:line="360" w:lineRule="auto"/>
        <w:ind w:firstLine="360"/>
        <w:jc w:val="center"/>
        <w:rPr>
          <w:rFonts w:asciiTheme="majorBidi" w:hAnsiTheme="majorBidi" w:cstheme="majorBidi"/>
          <w:sz w:val="28"/>
          <w:szCs w:val="28"/>
        </w:rPr>
      </w:pPr>
      <w:r w:rsidRPr="00DA181A">
        <w:rPr>
          <w:rFonts w:asciiTheme="majorBidi" w:hAnsiTheme="majorBidi" w:cstheme="majorBidi"/>
          <w:b/>
          <w:bCs/>
          <w:sz w:val="28"/>
          <w:szCs w:val="28"/>
          <w:rtl/>
          <w:lang w:bidi="ar-MA"/>
        </w:rPr>
        <w:lastRenderedPageBreak/>
        <w:t>تطور مؤشر الثقة لدى الأسر المغربية ومكوناته</w:t>
      </w:r>
    </w:p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0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563"/>
        <w:gridCol w:w="2886"/>
      </w:tblGrid>
      <w:tr w:rsidR="00DA181A" w:rsidRPr="00DA181A" w:rsidTr="00822825">
        <w:trPr>
          <w:trHeight w:val="897"/>
        </w:trPr>
        <w:tc>
          <w:tcPr>
            <w:tcW w:w="500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vAlign w:val="center"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nil"/>
            </w:tcBorders>
            <w:vAlign w:val="center"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</w:p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2020</w:t>
            </w:r>
          </w:p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lang w:bidi="ar-DZ"/>
              </w:rPr>
            </w:pP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2017</w:t>
            </w:r>
          </w:p>
        </w:tc>
        <w:tc>
          <w:tcPr>
            <w:tcW w:w="1960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033" w:type="dxa"/>
            <w:gridSpan w:val="4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2886" w:type="dxa"/>
            <w:vMerge w:val="restart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المؤشرات</w:t>
            </w:r>
          </w:p>
        </w:tc>
      </w:tr>
      <w:tr w:rsidR="00DA181A" w:rsidRPr="00DA181A" w:rsidTr="00822825">
        <w:trPr>
          <w:trHeight w:val="565"/>
        </w:trPr>
        <w:tc>
          <w:tcPr>
            <w:tcW w:w="50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ف4</w:t>
            </w:r>
          </w:p>
        </w:tc>
        <w:tc>
          <w:tcPr>
            <w:tcW w:w="4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ف3</w:t>
            </w:r>
          </w:p>
        </w:tc>
        <w:tc>
          <w:tcPr>
            <w:tcW w:w="49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ف2</w:t>
            </w:r>
          </w:p>
        </w:tc>
        <w:tc>
          <w:tcPr>
            <w:tcW w:w="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2886" w:type="dxa"/>
            <w:vMerge/>
            <w:tcBorders>
              <w:left w:val="nil"/>
              <w:bottom w:val="single" w:sz="8" w:space="0" w:color="auto"/>
              <w:right w:val="single" w:sz="8" w:space="0" w:color="000000"/>
            </w:tcBorders>
            <w:hideMark/>
          </w:tcPr>
          <w:p w:rsidR="00DA181A" w:rsidRPr="00DA181A" w:rsidRDefault="00DA181A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8101D" w:rsidRPr="00DA181A" w:rsidTr="00DA181A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1B4436" w:rsidP="00DA181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68,3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61,2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60,6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65,6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77,8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74,8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74,9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79,1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82,5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87,3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85,9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85,5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78,2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73,5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73,8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75,7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71,6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77,1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76,3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76,1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16"/>
                <w:szCs w:val="16"/>
              </w:rPr>
              <w:t>73,7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مؤشر ثقة الأسر المغربية</w:t>
            </w:r>
          </w:p>
        </w:tc>
      </w:tr>
      <w:tr w:rsidR="00E8101D" w:rsidRPr="00DA181A" w:rsidTr="00DA181A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1B4436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-62,2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-78,3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-82,0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-71,8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-76,9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bCs/>
                <w:color w:val="000000"/>
                <w:sz w:val="16"/>
                <w:szCs w:val="16"/>
              </w:rPr>
              <w:t>-75,6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-67,1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-65,2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المستقبلي للبطالة</w:t>
            </w:r>
          </w:p>
        </w:tc>
      </w:tr>
      <w:tr w:rsidR="00E8101D" w:rsidRPr="00DA181A" w:rsidTr="00DA181A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1B4436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-50,5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-46,6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-35,6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-19,8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-13,8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-12,8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-14,1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لمستوى المعيشة بصفة عامة</w:t>
            </w:r>
          </w:p>
        </w:tc>
      </w:tr>
      <w:tr w:rsidR="00E8101D" w:rsidRPr="00DA181A" w:rsidTr="00DA181A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1B4436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13,2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-17,4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fr-MA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-7,3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-8,9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آفاق تطور مستوى المعيشة بصفة عامة</w:t>
            </w:r>
          </w:p>
        </w:tc>
      </w:tr>
      <w:tr w:rsidR="00E8101D" w:rsidRPr="00DA181A" w:rsidTr="00DA181A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1B4436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</w:t>
            </w:r>
            <w:r w:rsid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-61,2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-63,5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-41,4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-40,2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-36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-37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فرص اقتناء السلع المستديمة</w:t>
            </w:r>
          </w:p>
        </w:tc>
      </w:tr>
      <w:tr w:rsidR="00E8101D" w:rsidRPr="00DA181A" w:rsidTr="00DA181A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1B4436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-34,4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-29,1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-31,5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-30,8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-29,7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-25,1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-28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-32,4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الوضعية المالية الحالية للأسرة</w:t>
            </w:r>
          </w:p>
        </w:tc>
      </w:tr>
      <w:tr w:rsidR="00E8101D" w:rsidRPr="00DA181A" w:rsidTr="00DA181A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1B4436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-47,4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-39,9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-34,0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-24,2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-21,2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-14,5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-16,6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-26,8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-33,3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-22,8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-18,5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-20.2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-27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للوضعية المالية للأسرة</w:t>
            </w:r>
          </w:p>
        </w:tc>
      </w:tr>
      <w:tr w:rsidR="00E8101D" w:rsidRPr="00DA181A" w:rsidTr="00DA181A">
        <w:trPr>
          <w:trHeight w:val="448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1B4436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21,</w:t>
            </w:r>
            <w:r w:rsid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-11,9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-4,6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15,9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20,7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25,9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22,1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13,4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4,2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0,1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للوضعية المالية للأسرة</w:t>
            </w:r>
          </w:p>
        </w:tc>
      </w:tr>
      <w:tr w:rsidR="001B4436" w:rsidRPr="00DA181A" w:rsidTr="00271DDA">
        <w:trPr>
          <w:trHeight w:val="447"/>
        </w:trPr>
        <w:tc>
          <w:tcPr>
            <w:tcW w:w="15219" w:type="dxa"/>
            <w:gridSpan w:val="26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vAlign w:val="center"/>
          </w:tcPr>
          <w:p w:rsidR="001B4436" w:rsidRPr="00DA181A" w:rsidRDefault="001B4436" w:rsidP="00271DDA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</w:pPr>
          </w:p>
          <w:p w:rsidR="001B4436" w:rsidRPr="00DA181A" w:rsidRDefault="001B4436" w:rsidP="00271DDA">
            <w:pPr>
              <w:widowControl/>
              <w:autoSpaceDE/>
              <w:autoSpaceDN/>
              <w:bidi/>
              <w:adjustRightInd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مؤشرات أخرى</w:t>
            </w:r>
          </w:p>
        </w:tc>
      </w:tr>
      <w:tr w:rsidR="00E8101D" w:rsidRPr="00DA181A" w:rsidTr="00DA181A">
        <w:trPr>
          <w:trHeight w:val="622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1B4436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</w:t>
            </w:r>
            <w:r w:rsid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-68,1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-79,3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-75.6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-77.2</w:t>
            </w:r>
          </w:p>
        </w:tc>
        <w:tc>
          <w:tcPr>
            <w:tcW w:w="288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المرتقب لأسعار المواد الغذائية</w:t>
            </w:r>
          </w:p>
        </w:tc>
      </w:tr>
      <w:tr w:rsidR="00E8101D" w:rsidRPr="00DA181A" w:rsidTr="00DA181A">
        <w:trPr>
          <w:trHeight w:val="710"/>
        </w:trPr>
        <w:tc>
          <w:tcPr>
            <w:tcW w:w="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1B4436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</w:t>
            </w:r>
            <w:r w:rsid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-74,7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-75,1</w:t>
            </w:r>
          </w:p>
        </w:tc>
        <w:tc>
          <w:tcPr>
            <w:tcW w:w="49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-83,7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-90,3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-88,5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-82,8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-86,8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-84,3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-85,3</w:t>
            </w:r>
          </w:p>
        </w:tc>
        <w:tc>
          <w:tcPr>
            <w:tcW w:w="5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-87.2</w:t>
            </w:r>
          </w:p>
        </w:tc>
        <w:tc>
          <w:tcPr>
            <w:tcW w:w="28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التطور السابق لأسعار المواد الغذائية</w:t>
            </w:r>
          </w:p>
        </w:tc>
      </w:tr>
      <w:tr w:rsidR="00E8101D" w:rsidRPr="00DA181A" w:rsidTr="00DA181A">
        <w:trPr>
          <w:trHeight w:val="80"/>
        </w:trPr>
        <w:tc>
          <w:tcPr>
            <w:tcW w:w="500" w:type="dxa"/>
            <w:tcBorders>
              <w:top w:val="nil"/>
              <w:left w:val="single" w:sz="12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-65,8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-75,1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-70,4</w:t>
            </w:r>
          </w:p>
        </w:tc>
        <w:tc>
          <w:tcPr>
            <w:tcW w:w="49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-65,8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-64,4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-63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-64,6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-57,9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-54,5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-58,6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-55,7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-59,1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-64,1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-68,7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-67,9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-66,6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-70,6</w:t>
            </w:r>
          </w:p>
        </w:tc>
        <w:tc>
          <w:tcPr>
            <w:tcW w:w="49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-67,4</w:t>
            </w:r>
          </w:p>
        </w:tc>
        <w:tc>
          <w:tcPr>
            <w:tcW w:w="56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-69,8</w:t>
            </w:r>
          </w:p>
        </w:tc>
        <w:tc>
          <w:tcPr>
            <w:tcW w:w="28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bidi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DA181A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  <w:rtl/>
              </w:rPr>
              <w:t>قدرة الأسر على الادخار خلال الأشهر المقبلة</w:t>
            </w:r>
          </w:p>
        </w:tc>
      </w:tr>
      <w:tr w:rsidR="00E8101D" w:rsidRPr="00DA181A" w:rsidTr="00DA181A">
        <w:trPr>
          <w:trHeight w:val="429"/>
        </w:trPr>
        <w:tc>
          <w:tcPr>
            <w:tcW w:w="500" w:type="dxa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6D4E2E" w:rsidRPr="00DA181A" w:rsidRDefault="001B4436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-60,8</w:t>
            </w: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  <w:r w:rsidRPr="00DA181A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-69,2</w:t>
            </w: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8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8101D" w:rsidRPr="00DA181A" w:rsidTr="00DA181A">
        <w:trPr>
          <w:trHeight w:val="47"/>
        </w:trPr>
        <w:tc>
          <w:tcPr>
            <w:tcW w:w="500" w:type="dxa"/>
            <w:tcBorders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56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D4E2E" w:rsidRPr="00DA181A" w:rsidRDefault="006D4E2E" w:rsidP="00DA181A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</w:rPr>
            </w:pPr>
          </w:p>
        </w:tc>
        <w:tc>
          <w:tcPr>
            <w:tcW w:w="28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4E2E" w:rsidRPr="00DA181A" w:rsidRDefault="006D4E2E" w:rsidP="00536E6D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B51E40" w:rsidRPr="00DA181A" w:rsidRDefault="00B51E40" w:rsidP="00536E6D">
      <w:pPr>
        <w:bidi/>
        <w:spacing w:line="360" w:lineRule="auto"/>
        <w:jc w:val="both"/>
        <w:rPr>
          <w:rFonts w:asciiTheme="majorBidi" w:hAnsiTheme="majorBidi" w:cstheme="majorBidi"/>
          <w:sz w:val="18"/>
          <w:szCs w:val="18"/>
          <w:lang w:val="fr-MA" w:bidi="ar-MA"/>
        </w:rPr>
      </w:pPr>
    </w:p>
    <w:sectPr w:rsidR="00B51E40" w:rsidRPr="00DA181A" w:rsidSect="00E335F4">
      <w:pgSz w:w="16838" w:h="11906" w:orient="landscape"/>
      <w:pgMar w:top="284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92F" w:rsidRDefault="00DF492F" w:rsidP="00FB5154">
      <w:r>
        <w:separator/>
      </w:r>
    </w:p>
  </w:endnote>
  <w:endnote w:type="continuationSeparator" w:id="0">
    <w:p w:rsidR="00DF492F" w:rsidRDefault="00DF492F" w:rsidP="00FB5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659E" w:rsidRDefault="00505491">
    <w:pPr>
      <w:pStyle w:val="Pieddepage"/>
      <w:jc w:val="center"/>
    </w:pPr>
    <w:r>
      <w:fldChar w:fldCharType="begin"/>
    </w:r>
    <w:r w:rsidR="00030A33">
      <w:instrText xml:space="preserve"> PAGE   \* MERGEFORMAT </w:instrText>
    </w:r>
    <w:r>
      <w:fldChar w:fldCharType="separate"/>
    </w:r>
    <w:r w:rsidR="00B77F0C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92F" w:rsidRDefault="00DF492F" w:rsidP="00FB5154">
      <w:r>
        <w:separator/>
      </w:r>
    </w:p>
  </w:footnote>
  <w:footnote w:type="continuationSeparator" w:id="0">
    <w:p w:rsidR="00DF492F" w:rsidRDefault="00DF492F" w:rsidP="00FB51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D5B400E4"/>
    <w:lvl w:ilvl="0" w:tplc="3B72FCD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  <w:bCs w:val="0"/>
      </w:rPr>
    </w:lvl>
    <w:lvl w:ilvl="1" w:tplc="040C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E7449C"/>
    <w:multiLevelType w:val="hybridMultilevel"/>
    <w:tmpl w:val="F3EE99E2"/>
    <w:lvl w:ilvl="0" w:tplc="040C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352B3"/>
    <w:multiLevelType w:val="hybridMultilevel"/>
    <w:tmpl w:val="835265B6"/>
    <w:lvl w:ilvl="0" w:tplc="64BC1742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5">
    <w:nsid w:val="64BB2837"/>
    <w:multiLevelType w:val="hybridMultilevel"/>
    <w:tmpl w:val="21A8AF70"/>
    <w:lvl w:ilvl="0" w:tplc="6D2CC2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A56717"/>
    <w:multiLevelType w:val="hybridMultilevel"/>
    <w:tmpl w:val="75165EB6"/>
    <w:lvl w:ilvl="0" w:tplc="FA5E9E30">
      <w:start w:val="1"/>
      <w:numFmt w:val="decimal"/>
      <w:lvlText w:val="%1."/>
      <w:lvlJc w:val="left"/>
      <w:pPr>
        <w:ind w:left="785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AAF6C0A"/>
    <w:multiLevelType w:val="hybridMultilevel"/>
    <w:tmpl w:val="2020F5B6"/>
    <w:lvl w:ilvl="0" w:tplc="6D2CC28E">
      <w:start w:val="1"/>
      <w:numFmt w:val="decimal"/>
      <w:lvlText w:val="%1"/>
      <w:lvlJc w:val="left"/>
      <w:pPr>
        <w:ind w:left="358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303" w:hanging="360"/>
      </w:pPr>
    </w:lvl>
    <w:lvl w:ilvl="2" w:tplc="040C001B" w:tentative="1">
      <w:start w:val="1"/>
      <w:numFmt w:val="lowerRoman"/>
      <w:lvlText w:val="%3."/>
      <w:lvlJc w:val="right"/>
      <w:pPr>
        <w:ind w:left="5023" w:hanging="180"/>
      </w:pPr>
    </w:lvl>
    <w:lvl w:ilvl="3" w:tplc="040C000F" w:tentative="1">
      <w:start w:val="1"/>
      <w:numFmt w:val="decimal"/>
      <w:lvlText w:val="%4."/>
      <w:lvlJc w:val="left"/>
      <w:pPr>
        <w:ind w:left="5743" w:hanging="360"/>
      </w:pPr>
    </w:lvl>
    <w:lvl w:ilvl="4" w:tplc="040C0019" w:tentative="1">
      <w:start w:val="1"/>
      <w:numFmt w:val="lowerLetter"/>
      <w:lvlText w:val="%5."/>
      <w:lvlJc w:val="left"/>
      <w:pPr>
        <w:ind w:left="6463" w:hanging="360"/>
      </w:pPr>
    </w:lvl>
    <w:lvl w:ilvl="5" w:tplc="040C001B" w:tentative="1">
      <w:start w:val="1"/>
      <w:numFmt w:val="lowerRoman"/>
      <w:lvlText w:val="%6."/>
      <w:lvlJc w:val="right"/>
      <w:pPr>
        <w:ind w:left="7183" w:hanging="180"/>
      </w:pPr>
    </w:lvl>
    <w:lvl w:ilvl="6" w:tplc="040C000F" w:tentative="1">
      <w:start w:val="1"/>
      <w:numFmt w:val="decimal"/>
      <w:lvlText w:val="%7."/>
      <w:lvlJc w:val="left"/>
      <w:pPr>
        <w:ind w:left="7903" w:hanging="360"/>
      </w:pPr>
    </w:lvl>
    <w:lvl w:ilvl="7" w:tplc="040C0019" w:tentative="1">
      <w:start w:val="1"/>
      <w:numFmt w:val="lowerLetter"/>
      <w:lvlText w:val="%8."/>
      <w:lvlJc w:val="left"/>
      <w:pPr>
        <w:ind w:left="8623" w:hanging="360"/>
      </w:pPr>
    </w:lvl>
    <w:lvl w:ilvl="8" w:tplc="040C001B" w:tentative="1">
      <w:start w:val="1"/>
      <w:numFmt w:val="lowerRoman"/>
      <w:lvlText w:val="%9."/>
      <w:lvlJc w:val="right"/>
      <w:pPr>
        <w:ind w:left="9343" w:hanging="180"/>
      </w:pPr>
    </w:lvl>
  </w:abstractNum>
  <w:abstractNum w:abstractNumId="10">
    <w:nsid w:val="7DD520AB"/>
    <w:multiLevelType w:val="hybridMultilevel"/>
    <w:tmpl w:val="7728B6E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154"/>
    <w:rsid w:val="00001CFD"/>
    <w:rsid w:val="0000277D"/>
    <w:rsid w:val="00002C4D"/>
    <w:rsid w:val="00003AD0"/>
    <w:rsid w:val="00005383"/>
    <w:rsid w:val="000053B0"/>
    <w:rsid w:val="000055C9"/>
    <w:rsid w:val="00007DB8"/>
    <w:rsid w:val="0001056E"/>
    <w:rsid w:val="00012214"/>
    <w:rsid w:val="000124FB"/>
    <w:rsid w:val="00012F59"/>
    <w:rsid w:val="00013F2C"/>
    <w:rsid w:val="00014615"/>
    <w:rsid w:val="000158E5"/>
    <w:rsid w:val="00015CC3"/>
    <w:rsid w:val="0001642B"/>
    <w:rsid w:val="00016667"/>
    <w:rsid w:val="00017D49"/>
    <w:rsid w:val="00017F39"/>
    <w:rsid w:val="00020B80"/>
    <w:rsid w:val="000210BB"/>
    <w:rsid w:val="00023B39"/>
    <w:rsid w:val="00023D51"/>
    <w:rsid w:val="00023D5B"/>
    <w:rsid w:val="00023DE3"/>
    <w:rsid w:val="00023FCD"/>
    <w:rsid w:val="00024034"/>
    <w:rsid w:val="00027878"/>
    <w:rsid w:val="00027CE8"/>
    <w:rsid w:val="0003089A"/>
    <w:rsid w:val="00030A33"/>
    <w:rsid w:val="000316DF"/>
    <w:rsid w:val="00031A44"/>
    <w:rsid w:val="00032A33"/>
    <w:rsid w:val="00034D7A"/>
    <w:rsid w:val="000356AC"/>
    <w:rsid w:val="00036A3E"/>
    <w:rsid w:val="00037417"/>
    <w:rsid w:val="000377F1"/>
    <w:rsid w:val="00040601"/>
    <w:rsid w:val="00040872"/>
    <w:rsid w:val="00040A0F"/>
    <w:rsid w:val="0004224D"/>
    <w:rsid w:val="00042B74"/>
    <w:rsid w:val="00043971"/>
    <w:rsid w:val="0004405A"/>
    <w:rsid w:val="000468D3"/>
    <w:rsid w:val="00046B93"/>
    <w:rsid w:val="000501D5"/>
    <w:rsid w:val="000501F3"/>
    <w:rsid w:val="00050D46"/>
    <w:rsid w:val="00051406"/>
    <w:rsid w:val="00051FEC"/>
    <w:rsid w:val="00052202"/>
    <w:rsid w:val="000527EB"/>
    <w:rsid w:val="000534A5"/>
    <w:rsid w:val="000548F9"/>
    <w:rsid w:val="00055217"/>
    <w:rsid w:val="0006156A"/>
    <w:rsid w:val="00062597"/>
    <w:rsid w:val="00063E19"/>
    <w:rsid w:val="00063F28"/>
    <w:rsid w:val="000647FE"/>
    <w:rsid w:val="00064F12"/>
    <w:rsid w:val="00065EBF"/>
    <w:rsid w:val="00066304"/>
    <w:rsid w:val="00066D16"/>
    <w:rsid w:val="0006750F"/>
    <w:rsid w:val="00067D74"/>
    <w:rsid w:val="000708EE"/>
    <w:rsid w:val="00073B26"/>
    <w:rsid w:val="00074577"/>
    <w:rsid w:val="0007598E"/>
    <w:rsid w:val="00075E5A"/>
    <w:rsid w:val="00076021"/>
    <w:rsid w:val="000800CE"/>
    <w:rsid w:val="000818E4"/>
    <w:rsid w:val="00081D50"/>
    <w:rsid w:val="00084B8A"/>
    <w:rsid w:val="000874A8"/>
    <w:rsid w:val="000901AE"/>
    <w:rsid w:val="000919FA"/>
    <w:rsid w:val="00092ADE"/>
    <w:rsid w:val="00092D42"/>
    <w:rsid w:val="000933BD"/>
    <w:rsid w:val="00093A05"/>
    <w:rsid w:val="00093CD0"/>
    <w:rsid w:val="00093D6B"/>
    <w:rsid w:val="00093FB7"/>
    <w:rsid w:val="000943DF"/>
    <w:rsid w:val="0009466F"/>
    <w:rsid w:val="00094954"/>
    <w:rsid w:val="00094FF2"/>
    <w:rsid w:val="00095E84"/>
    <w:rsid w:val="00096DF6"/>
    <w:rsid w:val="000A0912"/>
    <w:rsid w:val="000A0F7B"/>
    <w:rsid w:val="000A1AFF"/>
    <w:rsid w:val="000A258B"/>
    <w:rsid w:val="000A2BE2"/>
    <w:rsid w:val="000A43AB"/>
    <w:rsid w:val="000A456E"/>
    <w:rsid w:val="000A46A4"/>
    <w:rsid w:val="000A60CC"/>
    <w:rsid w:val="000A6343"/>
    <w:rsid w:val="000A7773"/>
    <w:rsid w:val="000A77B0"/>
    <w:rsid w:val="000A7DEF"/>
    <w:rsid w:val="000B00E5"/>
    <w:rsid w:val="000B03B2"/>
    <w:rsid w:val="000B04E0"/>
    <w:rsid w:val="000B170F"/>
    <w:rsid w:val="000B1D9C"/>
    <w:rsid w:val="000B3E0B"/>
    <w:rsid w:val="000B548C"/>
    <w:rsid w:val="000B783E"/>
    <w:rsid w:val="000B7A23"/>
    <w:rsid w:val="000C0C36"/>
    <w:rsid w:val="000C17AC"/>
    <w:rsid w:val="000C1FD6"/>
    <w:rsid w:val="000C24F1"/>
    <w:rsid w:val="000C39A4"/>
    <w:rsid w:val="000C4188"/>
    <w:rsid w:val="000C4CDC"/>
    <w:rsid w:val="000C542A"/>
    <w:rsid w:val="000C59A2"/>
    <w:rsid w:val="000C6ABC"/>
    <w:rsid w:val="000C7397"/>
    <w:rsid w:val="000C7854"/>
    <w:rsid w:val="000D25E7"/>
    <w:rsid w:val="000D34AE"/>
    <w:rsid w:val="000D5E19"/>
    <w:rsid w:val="000D5FAB"/>
    <w:rsid w:val="000D626F"/>
    <w:rsid w:val="000D62D2"/>
    <w:rsid w:val="000D79A1"/>
    <w:rsid w:val="000E0292"/>
    <w:rsid w:val="000E1043"/>
    <w:rsid w:val="000E21B3"/>
    <w:rsid w:val="000E3A3B"/>
    <w:rsid w:val="000E4043"/>
    <w:rsid w:val="000E4965"/>
    <w:rsid w:val="000E4DB6"/>
    <w:rsid w:val="000E598D"/>
    <w:rsid w:val="000F02BA"/>
    <w:rsid w:val="000F0CAB"/>
    <w:rsid w:val="000F1AFE"/>
    <w:rsid w:val="000F2F41"/>
    <w:rsid w:val="000F370F"/>
    <w:rsid w:val="000F3B8E"/>
    <w:rsid w:val="000F499D"/>
    <w:rsid w:val="000F5D92"/>
    <w:rsid w:val="000F62DE"/>
    <w:rsid w:val="000F7102"/>
    <w:rsid w:val="000F7A6C"/>
    <w:rsid w:val="001001D9"/>
    <w:rsid w:val="00101EF8"/>
    <w:rsid w:val="001022C1"/>
    <w:rsid w:val="00102A83"/>
    <w:rsid w:val="0010398A"/>
    <w:rsid w:val="001039B0"/>
    <w:rsid w:val="00105111"/>
    <w:rsid w:val="00105F6E"/>
    <w:rsid w:val="0011034A"/>
    <w:rsid w:val="00111B44"/>
    <w:rsid w:val="00111E47"/>
    <w:rsid w:val="0011409B"/>
    <w:rsid w:val="00116CCA"/>
    <w:rsid w:val="001200B6"/>
    <w:rsid w:val="001203F7"/>
    <w:rsid w:val="001214F9"/>
    <w:rsid w:val="00121FE4"/>
    <w:rsid w:val="001222CC"/>
    <w:rsid w:val="00122369"/>
    <w:rsid w:val="00122474"/>
    <w:rsid w:val="00122BBD"/>
    <w:rsid w:val="00123D58"/>
    <w:rsid w:val="00123E30"/>
    <w:rsid w:val="00127E48"/>
    <w:rsid w:val="00131625"/>
    <w:rsid w:val="00132C76"/>
    <w:rsid w:val="00135734"/>
    <w:rsid w:val="00135C3A"/>
    <w:rsid w:val="0013669B"/>
    <w:rsid w:val="00136CFC"/>
    <w:rsid w:val="00136F4E"/>
    <w:rsid w:val="00137B43"/>
    <w:rsid w:val="001417AD"/>
    <w:rsid w:val="00141E9B"/>
    <w:rsid w:val="00143BF2"/>
    <w:rsid w:val="00143D45"/>
    <w:rsid w:val="001451F9"/>
    <w:rsid w:val="001469D2"/>
    <w:rsid w:val="00147008"/>
    <w:rsid w:val="0014738D"/>
    <w:rsid w:val="00147AAF"/>
    <w:rsid w:val="00150840"/>
    <w:rsid w:val="00151435"/>
    <w:rsid w:val="00151CC9"/>
    <w:rsid w:val="001527A3"/>
    <w:rsid w:val="001529FF"/>
    <w:rsid w:val="00153603"/>
    <w:rsid w:val="00155E7E"/>
    <w:rsid w:val="00156FDB"/>
    <w:rsid w:val="001604B1"/>
    <w:rsid w:val="00160CD6"/>
    <w:rsid w:val="001615E7"/>
    <w:rsid w:val="00162F0B"/>
    <w:rsid w:val="00163573"/>
    <w:rsid w:val="00163A7D"/>
    <w:rsid w:val="0016457A"/>
    <w:rsid w:val="001650C7"/>
    <w:rsid w:val="00165B54"/>
    <w:rsid w:val="001669E6"/>
    <w:rsid w:val="00167E60"/>
    <w:rsid w:val="00167E87"/>
    <w:rsid w:val="00170761"/>
    <w:rsid w:val="001708BF"/>
    <w:rsid w:val="0017103A"/>
    <w:rsid w:val="00171AFC"/>
    <w:rsid w:val="001730A1"/>
    <w:rsid w:val="00173E32"/>
    <w:rsid w:val="0017460D"/>
    <w:rsid w:val="001747ED"/>
    <w:rsid w:val="00174AA2"/>
    <w:rsid w:val="00176575"/>
    <w:rsid w:val="00176658"/>
    <w:rsid w:val="001767CD"/>
    <w:rsid w:val="00177108"/>
    <w:rsid w:val="0017770A"/>
    <w:rsid w:val="0018075C"/>
    <w:rsid w:val="0018282E"/>
    <w:rsid w:val="00183556"/>
    <w:rsid w:val="001839B1"/>
    <w:rsid w:val="00183A85"/>
    <w:rsid w:val="00184F9F"/>
    <w:rsid w:val="00185C38"/>
    <w:rsid w:val="0018659E"/>
    <w:rsid w:val="00190362"/>
    <w:rsid w:val="00190B98"/>
    <w:rsid w:val="00192084"/>
    <w:rsid w:val="00192991"/>
    <w:rsid w:val="0019443D"/>
    <w:rsid w:val="00194803"/>
    <w:rsid w:val="00195748"/>
    <w:rsid w:val="00196E61"/>
    <w:rsid w:val="00197537"/>
    <w:rsid w:val="00197E28"/>
    <w:rsid w:val="001A02EE"/>
    <w:rsid w:val="001A06F6"/>
    <w:rsid w:val="001A0B0C"/>
    <w:rsid w:val="001A0B75"/>
    <w:rsid w:val="001A0F67"/>
    <w:rsid w:val="001A12E0"/>
    <w:rsid w:val="001A1FBB"/>
    <w:rsid w:val="001A2E0F"/>
    <w:rsid w:val="001A3C7F"/>
    <w:rsid w:val="001A50AC"/>
    <w:rsid w:val="001A6534"/>
    <w:rsid w:val="001A6DC0"/>
    <w:rsid w:val="001B0A37"/>
    <w:rsid w:val="001B288F"/>
    <w:rsid w:val="001B4436"/>
    <w:rsid w:val="001B57AE"/>
    <w:rsid w:val="001B5E1A"/>
    <w:rsid w:val="001B69E0"/>
    <w:rsid w:val="001B775D"/>
    <w:rsid w:val="001B7FB6"/>
    <w:rsid w:val="001C068B"/>
    <w:rsid w:val="001C1DC7"/>
    <w:rsid w:val="001C1ECC"/>
    <w:rsid w:val="001C2E48"/>
    <w:rsid w:val="001C3663"/>
    <w:rsid w:val="001C36A0"/>
    <w:rsid w:val="001C4A0B"/>
    <w:rsid w:val="001C544F"/>
    <w:rsid w:val="001C58AD"/>
    <w:rsid w:val="001C7614"/>
    <w:rsid w:val="001D0651"/>
    <w:rsid w:val="001D0ADA"/>
    <w:rsid w:val="001D0B9C"/>
    <w:rsid w:val="001D0D6A"/>
    <w:rsid w:val="001D25F8"/>
    <w:rsid w:val="001D278A"/>
    <w:rsid w:val="001D288C"/>
    <w:rsid w:val="001D2C5D"/>
    <w:rsid w:val="001D2FA1"/>
    <w:rsid w:val="001D3B53"/>
    <w:rsid w:val="001D6107"/>
    <w:rsid w:val="001D6480"/>
    <w:rsid w:val="001D7239"/>
    <w:rsid w:val="001D7572"/>
    <w:rsid w:val="001E1ECA"/>
    <w:rsid w:val="001E329A"/>
    <w:rsid w:val="001E55D0"/>
    <w:rsid w:val="001E583F"/>
    <w:rsid w:val="001E664F"/>
    <w:rsid w:val="001F08FC"/>
    <w:rsid w:val="001F0A87"/>
    <w:rsid w:val="001F1014"/>
    <w:rsid w:val="001F1A58"/>
    <w:rsid w:val="001F1B17"/>
    <w:rsid w:val="001F1EA8"/>
    <w:rsid w:val="001F729D"/>
    <w:rsid w:val="001F7C00"/>
    <w:rsid w:val="002004DC"/>
    <w:rsid w:val="00202646"/>
    <w:rsid w:val="002041DE"/>
    <w:rsid w:val="00204E3E"/>
    <w:rsid w:val="00206CBA"/>
    <w:rsid w:val="00207B77"/>
    <w:rsid w:val="00211597"/>
    <w:rsid w:val="002122D0"/>
    <w:rsid w:val="0021249E"/>
    <w:rsid w:val="00213F1E"/>
    <w:rsid w:val="0021515F"/>
    <w:rsid w:val="00215F90"/>
    <w:rsid w:val="0022035B"/>
    <w:rsid w:val="00220BFD"/>
    <w:rsid w:val="00222633"/>
    <w:rsid w:val="00223DD2"/>
    <w:rsid w:val="002244C9"/>
    <w:rsid w:val="00224CF5"/>
    <w:rsid w:val="00225ADC"/>
    <w:rsid w:val="00225CC8"/>
    <w:rsid w:val="00225D94"/>
    <w:rsid w:val="00227A99"/>
    <w:rsid w:val="0023068B"/>
    <w:rsid w:val="00232F37"/>
    <w:rsid w:val="002336B9"/>
    <w:rsid w:val="00233FDB"/>
    <w:rsid w:val="0023549A"/>
    <w:rsid w:val="002367BA"/>
    <w:rsid w:val="00237549"/>
    <w:rsid w:val="002405A5"/>
    <w:rsid w:val="002419EE"/>
    <w:rsid w:val="002441C7"/>
    <w:rsid w:val="002447B7"/>
    <w:rsid w:val="0024594C"/>
    <w:rsid w:val="0024601E"/>
    <w:rsid w:val="00246AB5"/>
    <w:rsid w:val="002501E1"/>
    <w:rsid w:val="002518F7"/>
    <w:rsid w:val="0025256E"/>
    <w:rsid w:val="00253930"/>
    <w:rsid w:val="002539F4"/>
    <w:rsid w:val="00254A47"/>
    <w:rsid w:val="00254D8C"/>
    <w:rsid w:val="00254F5D"/>
    <w:rsid w:val="002550E6"/>
    <w:rsid w:val="00255827"/>
    <w:rsid w:val="00256064"/>
    <w:rsid w:val="00257304"/>
    <w:rsid w:val="002610CC"/>
    <w:rsid w:val="002617FA"/>
    <w:rsid w:val="00262199"/>
    <w:rsid w:val="00262E16"/>
    <w:rsid w:val="0026342E"/>
    <w:rsid w:val="00264143"/>
    <w:rsid w:val="0026423C"/>
    <w:rsid w:val="00264823"/>
    <w:rsid w:val="00264A1F"/>
    <w:rsid w:val="00264AAC"/>
    <w:rsid w:val="002655BD"/>
    <w:rsid w:val="00267246"/>
    <w:rsid w:val="00267C04"/>
    <w:rsid w:val="00271AD5"/>
    <w:rsid w:val="00271D13"/>
    <w:rsid w:val="00271DDA"/>
    <w:rsid w:val="002730D2"/>
    <w:rsid w:val="002731D5"/>
    <w:rsid w:val="0027335D"/>
    <w:rsid w:val="002738F1"/>
    <w:rsid w:val="00274C15"/>
    <w:rsid w:val="00276571"/>
    <w:rsid w:val="002804A3"/>
    <w:rsid w:val="002816DB"/>
    <w:rsid w:val="0028283C"/>
    <w:rsid w:val="00282A76"/>
    <w:rsid w:val="00283F52"/>
    <w:rsid w:val="002844D8"/>
    <w:rsid w:val="0028577F"/>
    <w:rsid w:val="00287AB0"/>
    <w:rsid w:val="002908FC"/>
    <w:rsid w:val="002909C0"/>
    <w:rsid w:val="00290D24"/>
    <w:rsid w:val="00294A82"/>
    <w:rsid w:val="00294D15"/>
    <w:rsid w:val="00295120"/>
    <w:rsid w:val="002A02EA"/>
    <w:rsid w:val="002A07F0"/>
    <w:rsid w:val="002A080C"/>
    <w:rsid w:val="002A0E57"/>
    <w:rsid w:val="002A2468"/>
    <w:rsid w:val="002A2576"/>
    <w:rsid w:val="002A2E4E"/>
    <w:rsid w:val="002A369A"/>
    <w:rsid w:val="002A44F9"/>
    <w:rsid w:val="002A71C9"/>
    <w:rsid w:val="002B0885"/>
    <w:rsid w:val="002B1580"/>
    <w:rsid w:val="002B1780"/>
    <w:rsid w:val="002B2F02"/>
    <w:rsid w:val="002B3B14"/>
    <w:rsid w:val="002B43C5"/>
    <w:rsid w:val="002B4CA1"/>
    <w:rsid w:val="002B56E7"/>
    <w:rsid w:val="002B5D5E"/>
    <w:rsid w:val="002B6282"/>
    <w:rsid w:val="002B668B"/>
    <w:rsid w:val="002B6E48"/>
    <w:rsid w:val="002B72F5"/>
    <w:rsid w:val="002B7CB7"/>
    <w:rsid w:val="002C315C"/>
    <w:rsid w:val="002C3B75"/>
    <w:rsid w:val="002C3DF6"/>
    <w:rsid w:val="002C41F9"/>
    <w:rsid w:val="002C44BF"/>
    <w:rsid w:val="002C5D78"/>
    <w:rsid w:val="002C7745"/>
    <w:rsid w:val="002D1876"/>
    <w:rsid w:val="002D39D6"/>
    <w:rsid w:val="002D3D04"/>
    <w:rsid w:val="002D4F45"/>
    <w:rsid w:val="002D58E3"/>
    <w:rsid w:val="002D59E5"/>
    <w:rsid w:val="002D649E"/>
    <w:rsid w:val="002D7086"/>
    <w:rsid w:val="002E0ADB"/>
    <w:rsid w:val="002E2CB3"/>
    <w:rsid w:val="002E5376"/>
    <w:rsid w:val="002E6635"/>
    <w:rsid w:val="002E7A4A"/>
    <w:rsid w:val="002F0FB7"/>
    <w:rsid w:val="002F3305"/>
    <w:rsid w:val="002F39AB"/>
    <w:rsid w:val="002F3F0E"/>
    <w:rsid w:val="002F5099"/>
    <w:rsid w:val="002F6C71"/>
    <w:rsid w:val="002F7CB7"/>
    <w:rsid w:val="0030041D"/>
    <w:rsid w:val="00300D33"/>
    <w:rsid w:val="00301D35"/>
    <w:rsid w:val="00303111"/>
    <w:rsid w:val="003033A7"/>
    <w:rsid w:val="00304271"/>
    <w:rsid w:val="00304C66"/>
    <w:rsid w:val="00304F41"/>
    <w:rsid w:val="003054DA"/>
    <w:rsid w:val="00305621"/>
    <w:rsid w:val="00305668"/>
    <w:rsid w:val="00306A01"/>
    <w:rsid w:val="00306B5B"/>
    <w:rsid w:val="0030712F"/>
    <w:rsid w:val="0030785C"/>
    <w:rsid w:val="00307A5B"/>
    <w:rsid w:val="00310353"/>
    <w:rsid w:val="003123A4"/>
    <w:rsid w:val="003129C4"/>
    <w:rsid w:val="0031379F"/>
    <w:rsid w:val="00313AB9"/>
    <w:rsid w:val="00313D8D"/>
    <w:rsid w:val="00313DAF"/>
    <w:rsid w:val="0031641F"/>
    <w:rsid w:val="00316A54"/>
    <w:rsid w:val="0032032C"/>
    <w:rsid w:val="003211BC"/>
    <w:rsid w:val="00321810"/>
    <w:rsid w:val="00323553"/>
    <w:rsid w:val="00323EF8"/>
    <w:rsid w:val="0032715A"/>
    <w:rsid w:val="0033012D"/>
    <w:rsid w:val="003304BC"/>
    <w:rsid w:val="00330B2D"/>
    <w:rsid w:val="00331F00"/>
    <w:rsid w:val="003321E4"/>
    <w:rsid w:val="003325D6"/>
    <w:rsid w:val="003327D6"/>
    <w:rsid w:val="0033483C"/>
    <w:rsid w:val="00334865"/>
    <w:rsid w:val="00334D0F"/>
    <w:rsid w:val="0033541B"/>
    <w:rsid w:val="00335964"/>
    <w:rsid w:val="00336AC7"/>
    <w:rsid w:val="00340446"/>
    <w:rsid w:val="00340AA6"/>
    <w:rsid w:val="0034158E"/>
    <w:rsid w:val="00341A12"/>
    <w:rsid w:val="00342122"/>
    <w:rsid w:val="00342635"/>
    <w:rsid w:val="00342898"/>
    <w:rsid w:val="00343D5A"/>
    <w:rsid w:val="003441CD"/>
    <w:rsid w:val="00346369"/>
    <w:rsid w:val="00346F4B"/>
    <w:rsid w:val="003505A4"/>
    <w:rsid w:val="0035206B"/>
    <w:rsid w:val="003526E0"/>
    <w:rsid w:val="0035293A"/>
    <w:rsid w:val="00353952"/>
    <w:rsid w:val="003549B7"/>
    <w:rsid w:val="00355DE2"/>
    <w:rsid w:val="00356465"/>
    <w:rsid w:val="00357020"/>
    <w:rsid w:val="00360807"/>
    <w:rsid w:val="00361074"/>
    <w:rsid w:val="00362483"/>
    <w:rsid w:val="0036388B"/>
    <w:rsid w:val="003639B6"/>
    <w:rsid w:val="00363FED"/>
    <w:rsid w:val="00365421"/>
    <w:rsid w:val="0036634B"/>
    <w:rsid w:val="0036643E"/>
    <w:rsid w:val="0036683F"/>
    <w:rsid w:val="0036731F"/>
    <w:rsid w:val="003708C3"/>
    <w:rsid w:val="003731F3"/>
    <w:rsid w:val="00373CA1"/>
    <w:rsid w:val="003748E7"/>
    <w:rsid w:val="003764DE"/>
    <w:rsid w:val="00377363"/>
    <w:rsid w:val="003774FD"/>
    <w:rsid w:val="0037790B"/>
    <w:rsid w:val="003810D0"/>
    <w:rsid w:val="00381B13"/>
    <w:rsid w:val="003832F7"/>
    <w:rsid w:val="00385EA8"/>
    <w:rsid w:val="003866C9"/>
    <w:rsid w:val="003875BA"/>
    <w:rsid w:val="00387B6D"/>
    <w:rsid w:val="0039103E"/>
    <w:rsid w:val="003915CF"/>
    <w:rsid w:val="00392A21"/>
    <w:rsid w:val="0039544A"/>
    <w:rsid w:val="00397340"/>
    <w:rsid w:val="0039764C"/>
    <w:rsid w:val="00397951"/>
    <w:rsid w:val="003A008A"/>
    <w:rsid w:val="003A1537"/>
    <w:rsid w:val="003A2E50"/>
    <w:rsid w:val="003A5AEE"/>
    <w:rsid w:val="003A6AAA"/>
    <w:rsid w:val="003B0304"/>
    <w:rsid w:val="003B48EE"/>
    <w:rsid w:val="003B50A3"/>
    <w:rsid w:val="003B658A"/>
    <w:rsid w:val="003B6952"/>
    <w:rsid w:val="003B758F"/>
    <w:rsid w:val="003C03A4"/>
    <w:rsid w:val="003C08DE"/>
    <w:rsid w:val="003C18CC"/>
    <w:rsid w:val="003C1BB4"/>
    <w:rsid w:val="003C1E02"/>
    <w:rsid w:val="003C1FDE"/>
    <w:rsid w:val="003C3C0C"/>
    <w:rsid w:val="003C41F4"/>
    <w:rsid w:val="003C525A"/>
    <w:rsid w:val="003C5A97"/>
    <w:rsid w:val="003C6FDB"/>
    <w:rsid w:val="003D2472"/>
    <w:rsid w:val="003D2F3E"/>
    <w:rsid w:val="003D6572"/>
    <w:rsid w:val="003D76CB"/>
    <w:rsid w:val="003D7AF5"/>
    <w:rsid w:val="003E0407"/>
    <w:rsid w:val="003E0E5B"/>
    <w:rsid w:val="003E2375"/>
    <w:rsid w:val="003E2DE1"/>
    <w:rsid w:val="003E37B6"/>
    <w:rsid w:val="003E4E24"/>
    <w:rsid w:val="003E7980"/>
    <w:rsid w:val="003F0041"/>
    <w:rsid w:val="003F10A2"/>
    <w:rsid w:val="003F16A4"/>
    <w:rsid w:val="003F2F10"/>
    <w:rsid w:val="003F35F7"/>
    <w:rsid w:val="003F4456"/>
    <w:rsid w:val="003F4E59"/>
    <w:rsid w:val="004002BC"/>
    <w:rsid w:val="00401AE2"/>
    <w:rsid w:val="00403792"/>
    <w:rsid w:val="00406DA7"/>
    <w:rsid w:val="0040708A"/>
    <w:rsid w:val="0041124B"/>
    <w:rsid w:val="0041230B"/>
    <w:rsid w:val="00412C17"/>
    <w:rsid w:val="004137F0"/>
    <w:rsid w:val="00413913"/>
    <w:rsid w:val="00414F76"/>
    <w:rsid w:val="00416B31"/>
    <w:rsid w:val="00417038"/>
    <w:rsid w:val="00417BC7"/>
    <w:rsid w:val="004221A9"/>
    <w:rsid w:val="00422C2D"/>
    <w:rsid w:val="00424701"/>
    <w:rsid w:val="00424A6C"/>
    <w:rsid w:val="004259DA"/>
    <w:rsid w:val="00426888"/>
    <w:rsid w:val="00430329"/>
    <w:rsid w:val="00430D3F"/>
    <w:rsid w:val="004317A2"/>
    <w:rsid w:val="0043213C"/>
    <w:rsid w:val="00432805"/>
    <w:rsid w:val="004335D4"/>
    <w:rsid w:val="00434B75"/>
    <w:rsid w:val="00435BD5"/>
    <w:rsid w:val="00435F3C"/>
    <w:rsid w:val="00436324"/>
    <w:rsid w:val="004367B3"/>
    <w:rsid w:val="00440B2C"/>
    <w:rsid w:val="004414E7"/>
    <w:rsid w:val="00441C14"/>
    <w:rsid w:val="004426C4"/>
    <w:rsid w:val="004451EA"/>
    <w:rsid w:val="00446004"/>
    <w:rsid w:val="004479A1"/>
    <w:rsid w:val="00447F5A"/>
    <w:rsid w:val="00453689"/>
    <w:rsid w:val="00453863"/>
    <w:rsid w:val="0045623F"/>
    <w:rsid w:val="00456931"/>
    <w:rsid w:val="0045696E"/>
    <w:rsid w:val="00456B08"/>
    <w:rsid w:val="00457685"/>
    <w:rsid w:val="0046035D"/>
    <w:rsid w:val="004627A2"/>
    <w:rsid w:val="00462C5B"/>
    <w:rsid w:val="00464BE4"/>
    <w:rsid w:val="004662C1"/>
    <w:rsid w:val="0046693A"/>
    <w:rsid w:val="00466D3A"/>
    <w:rsid w:val="00467660"/>
    <w:rsid w:val="004708FB"/>
    <w:rsid w:val="0047185F"/>
    <w:rsid w:val="004719B5"/>
    <w:rsid w:val="00472DBD"/>
    <w:rsid w:val="00472F8A"/>
    <w:rsid w:val="004733A6"/>
    <w:rsid w:val="0047396E"/>
    <w:rsid w:val="00473FD4"/>
    <w:rsid w:val="004744D0"/>
    <w:rsid w:val="004749DE"/>
    <w:rsid w:val="004762FA"/>
    <w:rsid w:val="00476366"/>
    <w:rsid w:val="004766CA"/>
    <w:rsid w:val="00476C9E"/>
    <w:rsid w:val="00476E69"/>
    <w:rsid w:val="004776ED"/>
    <w:rsid w:val="0048029E"/>
    <w:rsid w:val="00480CA5"/>
    <w:rsid w:val="0048182B"/>
    <w:rsid w:val="00481EFE"/>
    <w:rsid w:val="00482067"/>
    <w:rsid w:val="00483BE9"/>
    <w:rsid w:val="00485521"/>
    <w:rsid w:val="00485763"/>
    <w:rsid w:val="00486B84"/>
    <w:rsid w:val="00491FC0"/>
    <w:rsid w:val="00496B43"/>
    <w:rsid w:val="0049768C"/>
    <w:rsid w:val="00497946"/>
    <w:rsid w:val="004A0337"/>
    <w:rsid w:val="004A0A68"/>
    <w:rsid w:val="004A0D10"/>
    <w:rsid w:val="004A0F0D"/>
    <w:rsid w:val="004A1A98"/>
    <w:rsid w:val="004A1D3D"/>
    <w:rsid w:val="004A2939"/>
    <w:rsid w:val="004A300A"/>
    <w:rsid w:val="004A321B"/>
    <w:rsid w:val="004A5633"/>
    <w:rsid w:val="004A5752"/>
    <w:rsid w:val="004A5F8A"/>
    <w:rsid w:val="004B10C3"/>
    <w:rsid w:val="004B2B17"/>
    <w:rsid w:val="004B2CF6"/>
    <w:rsid w:val="004B448E"/>
    <w:rsid w:val="004B47BC"/>
    <w:rsid w:val="004B5740"/>
    <w:rsid w:val="004B5F68"/>
    <w:rsid w:val="004B6AF1"/>
    <w:rsid w:val="004B79A9"/>
    <w:rsid w:val="004C1865"/>
    <w:rsid w:val="004C2E15"/>
    <w:rsid w:val="004C2E3C"/>
    <w:rsid w:val="004C3136"/>
    <w:rsid w:val="004C5AD7"/>
    <w:rsid w:val="004C7F37"/>
    <w:rsid w:val="004C7FE4"/>
    <w:rsid w:val="004D0015"/>
    <w:rsid w:val="004D03B3"/>
    <w:rsid w:val="004D0C77"/>
    <w:rsid w:val="004D10A3"/>
    <w:rsid w:val="004D12B5"/>
    <w:rsid w:val="004D2C07"/>
    <w:rsid w:val="004D3675"/>
    <w:rsid w:val="004D3AC3"/>
    <w:rsid w:val="004D4F3C"/>
    <w:rsid w:val="004D5745"/>
    <w:rsid w:val="004D5AEC"/>
    <w:rsid w:val="004E0811"/>
    <w:rsid w:val="004E102A"/>
    <w:rsid w:val="004E3A59"/>
    <w:rsid w:val="004E426A"/>
    <w:rsid w:val="004E4DF1"/>
    <w:rsid w:val="004E5F17"/>
    <w:rsid w:val="004E6D10"/>
    <w:rsid w:val="004E6F49"/>
    <w:rsid w:val="004E7AA1"/>
    <w:rsid w:val="004E7FFB"/>
    <w:rsid w:val="004F094D"/>
    <w:rsid w:val="004F1F8A"/>
    <w:rsid w:val="004F4677"/>
    <w:rsid w:val="004F6E4F"/>
    <w:rsid w:val="00500767"/>
    <w:rsid w:val="00500AA9"/>
    <w:rsid w:val="005011E5"/>
    <w:rsid w:val="00502046"/>
    <w:rsid w:val="005034E0"/>
    <w:rsid w:val="00504DDB"/>
    <w:rsid w:val="00505491"/>
    <w:rsid w:val="005059EA"/>
    <w:rsid w:val="00506AE4"/>
    <w:rsid w:val="00510209"/>
    <w:rsid w:val="00510502"/>
    <w:rsid w:val="005116B4"/>
    <w:rsid w:val="00512D03"/>
    <w:rsid w:val="00513331"/>
    <w:rsid w:val="00513A07"/>
    <w:rsid w:val="00513CDE"/>
    <w:rsid w:val="00514628"/>
    <w:rsid w:val="005148C5"/>
    <w:rsid w:val="00515511"/>
    <w:rsid w:val="00516647"/>
    <w:rsid w:val="0051667C"/>
    <w:rsid w:val="0051752F"/>
    <w:rsid w:val="00517538"/>
    <w:rsid w:val="005226E3"/>
    <w:rsid w:val="00524451"/>
    <w:rsid w:val="005249D8"/>
    <w:rsid w:val="005268BB"/>
    <w:rsid w:val="00526C1E"/>
    <w:rsid w:val="0052708E"/>
    <w:rsid w:val="00527F86"/>
    <w:rsid w:val="00530DA5"/>
    <w:rsid w:val="00530FFD"/>
    <w:rsid w:val="005332F6"/>
    <w:rsid w:val="00533E6F"/>
    <w:rsid w:val="005361FA"/>
    <w:rsid w:val="00536E6D"/>
    <w:rsid w:val="005370AD"/>
    <w:rsid w:val="00537B2F"/>
    <w:rsid w:val="005407A5"/>
    <w:rsid w:val="0054173D"/>
    <w:rsid w:val="005417F0"/>
    <w:rsid w:val="00542E22"/>
    <w:rsid w:val="00542E8A"/>
    <w:rsid w:val="0054372D"/>
    <w:rsid w:val="0054396F"/>
    <w:rsid w:val="00543D43"/>
    <w:rsid w:val="00544648"/>
    <w:rsid w:val="00545871"/>
    <w:rsid w:val="005461C7"/>
    <w:rsid w:val="0054625D"/>
    <w:rsid w:val="00546BFA"/>
    <w:rsid w:val="00546F50"/>
    <w:rsid w:val="0055190C"/>
    <w:rsid w:val="00551BD7"/>
    <w:rsid w:val="0055413F"/>
    <w:rsid w:val="00554D00"/>
    <w:rsid w:val="00556966"/>
    <w:rsid w:val="0055746E"/>
    <w:rsid w:val="00557807"/>
    <w:rsid w:val="005607B0"/>
    <w:rsid w:val="00561537"/>
    <w:rsid w:val="00561C13"/>
    <w:rsid w:val="0056293A"/>
    <w:rsid w:val="00563D30"/>
    <w:rsid w:val="00564C62"/>
    <w:rsid w:val="00566189"/>
    <w:rsid w:val="005668CF"/>
    <w:rsid w:val="00567F91"/>
    <w:rsid w:val="0057089E"/>
    <w:rsid w:val="00570A60"/>
    <w:rsid w:val="00572C45"/>
    <w:rsid w:val="0057415A"/>
    <w:rsid w:val="00576788"/>
    <w:rsid w:val="005768CE"/>
    <w:rsid w:val="005776A9"/>
    <w:rsid w:val="005810E2"/>
    <w:rsid w:val="005819DD"/>
    <w:rsid w:val="00581E57"/>
    <w:rsid w:val="00586DD9"/>
    <w:rsid w:val="00586FD6"/>
    <w:rsid w:val="00587280"/>
    <w:rsid w:val="00587D10"/>
    <w:rsid w:val="00587DC3"/>
    <w:rsid w:val="0059004C"/>
    <w:rsid w:val="005901D8"/>
    <w:rsid w:val="00591390"/>
    <w:rsid w:val="0059222A"/>
    <w:rsid w:val="0059278D"/>
    <w:rsid w:val="00592D04"/>
    <w:rsid w:val="00594830"/>
    <w:rsid w:val="00596AB7"/>
    <w:rsid w:val="0059711C"/>
    <w:rsid w:val="00597787"/>
    <w:rsid w:val="00597C7F"/>
    <w:rsid w:val="005A0430"/>
    <w:rsid w:val="005A142C"/>
    <w:rsid w:val="005A1B82"/>
    <w:rsid w:val="005A1CB8"/>
    <w:rsid w:val="005A21E2"/>
    <w:rsid w:val="005A2385"/>
    <w:rsid w:val="005A2D0A"/>
    <w:rsid w:val="005A45B7"/>
    <w:rsid w:val="005A4C7C"/>
    <w:rsid w:val="005A640C"/>
    <w:rsid w:val="005A7C02"/>
    <w:rsid w:val="005B1C7E"/>
    <w:rsid w:val="005B30C2"/>
    <w:rsid w:val="005B475A"/>
    <w:rsid w:val="005B5D9B"/>
    <w:rsid w:val="005B6985"/>
    <w:rsid w:val="005B69FE"/>
    <w:rsid w:val="005C100E"/>
    <w:rsid w:val="005C1C08"/>
    <w:rsid w:val="005C23D9"/>
    <w:rsid w:val="005C24BD"/>
    <w:rsid w:val="005C311A"/>
    <w:rsid w:val="005C36E7"/>
    <w:rsid w:val="005C3C2D"/>
    <w:rsid w:val="005C3E33"/>
    <w:rsid w:val="005C4E3B"/>
    <w:rsid w:val="005C7210"/>
    <w:rsid w:val="005C7953"/>
    <w:rsid w:val="005C79C5"/>
    <w:rsid w:val="005D21DC"/>
    <w:rsid w:val="005D2CBE"/>
    <w:rsid w:val="005D3E17"/>
    <w:rsid w:val="005D51CA"/>
    <w:rsid w:val="005E2333"/>
    <w:rsid w:val="005E30B1"/>
    <w:rsid w:val="005E4263"/>
    <w:rsid w:val="005E53EE"/>
    <w:rsid w:val="005E75B8"/>
    <w:rsid w:val="005E7DB3"/>
    <w:rsid w:val="005F04D0"/>
    <w:rsid w:val="005F0E53"/>
    <w:rsid w:val="005F0E73"/>
    <w:rsid w:val="005F0ED8"/>
    <w:rsid w:val="005F4016"/>
    <w:rsid w:val="005F42BA"/>
    <w:rsid w:val="005F4C0B"/>
    <w:rsid w:val="005F5895"/>
    <w:rsid w:val="005F6D36"/>
    <w:rsid w:val="005F704D"/>
    <w:rsid w:val="005F7B80"/>
    <w:rsid w:val="005F7F29"/>
    <w:rsid w:val="0060024A"/>
    <w:rsid w:val="00601E92"/>
    <w:rsid w:val="006024F0"/>
    <w:rsid w:val="00602E19"/>
    <w:rsid w:val="00607B45"/>
    <w:rsid w:val="00611033"/>
    <w:rsid w:val="00611AA3"/>
    <w:rsid w:val="00611F15"/>
    <w:rsid w:val="006128D5"/>
    <w:rsid w:val="00612F7A"/>
    <w:rsid w:val="00614661"/>
    <w:rsid w:val="00615993"/>
    <w:rsid w:val="00620802"/>
    <w:rsid w:val="00621804"/>
    <w:rsid w:val="006225D1"/>
    <w:rsid w:val="00622A3A"/>
    <w:rsid w:val="00622D42"/>
    <w:rsid w:val="006259C3"/>
    <w:rsid w:val="0062655E"/>
    <w:rsid w:val="00627259"/>
    <w:rsid w:val="00630E9E"/>
    <w:rsid w:val="00631571"/>
    <w:rsid w:val="00631AF4"/>
    <w:rsid w:val="00632165"/>
    <w:rsid w:val="0063275B"/>
    <w:rsid w:val="00632A0D"/>
    <w:rsid w:val="00632BA8"/>
    <w:rsid w:val="00634D0A"/>
    <w:rsid w:val="00636446"/>
    <w:rsid w:val="0063796C"/>
    <w:rsid w:val="00642F6E"/>
    <w:rsid w:val="0064366A"/>
    <w:rsid w:val="00643DBC"/>
    <w:rsid w:val="006463D8"/>
    <w:rsid w:val="006500BA"/>
    <w:rsid w:val="00652E79"/>
    <w:rsid w:val="00657AAF"/>
    <w:rsid w:val="00660179"/>
    <w:rsid w:val="006620AA"/>
    <w:rsid w:val="00663D65"/>
    <w:rsid w:val="00664B34"/>
    <w:rsid w:val="00665595"/>
    <w:rsid w:val="006656D8"/>
    <w:rsid w:val="00667AB1"/>
    <w:rsid w:val="00667F70"/>
    <w:rsid w:val="00670340"/>
    <w:rsid w:val="006705DD"/>
    <w:rsid w:val="0067071E"/>
    <w:rsid w:val="00680044"/>
    <w:rsid w:val="0068038B"/>
    <w:rsid w:val="006809E3"/>
    <w:rsid w:val="00681042"/>
    <w:rsid w:val="0068132A"/>
    <w:rsid w:val="00682679"/>
    <w:rsid w:val="00682F97"/>
    <w:rsid w:val="00685317"/>
    <w:rsid w:val="00685E30"/>
    <w:rsid w:val="00687E05"/>
    <w:rsid w:val="00693796"/>
    <w:rsid w:val="006937A8"/>
    <w:rsid w:val="006938A6"/>
    <w:rsid w:val="00694905"/>
    <w:rsid w:val="0069557F"/>
    <w:rsid w:val="00695597"/>
    <w:rsid w:val="00696CBF"/>
    <w:rsid w:val="00697BCD"/>
    <w:rsid w:val="006A019B"/>
    <w:rsid w:val="006A0FD3"/>
    <w:rsid w:val="006A1177"/>
    <w:rsid w:val="006A17DF"/>
    <w:rsid w:val="006A600B"/>
    <w:rsid w:val="006A64D4"/>
    <w:rsid w:val="006A6DA5"/>
    <w:rsid w:val="006A752D"/>
    <w:rsid w:val="006B076D"/>
    <w:rsid w:val="006B1374"/>
    <w:rsid w:val="006B15AB"/>
    <w:rsid w:val="006B1887"/>
    <w:rsid w:val="006B1F26"/>
    <w:rsid w:val="006B2192"/>
    <w:rsid w:val="006B5175"/>
    <w:rsid w:val="006B6034"/>
    <w:rsid w:val="006B7121"/>
    <w:rsid w:val="006B7866"/>
    <w:rsid w:val="006B7D9F"/>
    <w:rsid w:val="006C2E02"/>
    <w:rsid w:val="006C6538"/>
    <w:rsid w:val="006C6950"/>
    <w:rsid w:val="006C6C31"/>
    <w:rsid w:val="006D03A6"/>
    <w:rsid w:val="006D060F"/>
    <w:rsid w:val="006D1A39"/>
    <w:rsid w:val="006D2622"/>
    <w:rsid w:val="006D32C4"/>
    <w:rsid w:val="006D449E"/>
    <w:rsid w:val="006D45F0"/>
    <w:rsid w:val="006D4E2E"/>
    <w:rsid w:val="006D54BD"/>
    <w:rsid w:val="006D5E23"/>
    <w:rsid w:val="006D61DB"/>
    <w:rsid w:val="006D7C61"/>
    <w:rsid w:val="006E0B7B"/>
    <w:rsid w:val="006E351F"/>
    <w:rsid w:val="006E4001"/>
    <w:rsid w:val="006E4D83"/>
    <w:rsid w:val="006E4F29"/>
    <w:rsid w:val="006E5675"/>
    <w:rsid w:val="006F11AF"/>
    <w:rsid w:val="006F2166"/>
    <w:rsid w:val="006F2FF4"/>
    <w:rsid w:val="006F6164"/>
    <w:rsid w:val="006F7FF2"/>
    <w:rsid w:val="00700AC9"/>
    <w:rsid w:val="00701282"/>
    <w:rsid w:val="00701722"/>
    <w:rsid w:val="00703299"/>
    <w:rsid w:val="00703C64"/>
    <w:rsid w:val="00704B0E"/>
    <w:rsid w:val="00707C3E"/>
    <w:rsid w:val="0071072C"/>
    <w:rsid w:val="00711669"/>
    <w:rsid w:val="00711A50"/>
    <w:rsid w:val="00712CE2"/>
    <w:rsid w:val="007133AB"/>
    <w:rsid w:val="0071371E"/>
    <w:rsid w:val="00713AEA"/>
    <w:rsid w:val="00714F2C"/>
    <w:rsid w:val="00716460"/>
    <w:rsid w:val="00717898"/>
    <w:rsid w:val="0072041A"/>
    <w:rsid w:val="00720D19"/>
    <w:rsid w:val="00721002"/>
    <w:rsid w:val="00722111"/>
    <w:rsid w:val="00722495"/>
    <w:rsid w:val="00722B36"/>
    <w:rsid w:val="007249BA"/>
    <w:rsid w:val="00725118"/>
    <w:rsid w:val="00726AA8"/>
    <w:rsid w:val="00727EE4"/>
    <w:rsid w:val="0073188D"/>
    <w:rsid w:val="00731C5E"/>
    <w:rsid w:val="00732540"/>
    <w:rsid w:val="00732867"/>
    <w:rsid w:val="00732DCF"/>
    <w:rsid w:val="00733628"/>
    <w:rsid w:val="00735E42"/>
    <w:rsid w:val="007378C8"/>
    <w:rsid w:val="0074287F"/>
    <w:rsid w:val="0074437E"/>
    <w:rsid w:val="00745BD3"/>
    <w:rsid w:val="0074631B"/>
    <w:rsid w:val="007464E3"/>
    <w:rsid w:val="00750142"/>
    <w:rsid w:val="00750690"/>
    <w:rsid w:val="0075104C"/>
    <w:rsid w:val="0075170A"/>
    <w:rsid w:val="00751DD8"/>
    <w:rsid w:val="00751E8B"/>
    <w:rsid w:val="00755B45"/>
    <w:rsid w:val="00757C27"/>
    <w:rsid w:val="0076084A"/>
    <w:rsid w:val="00761563"/>
    <w:rsid w:val="0076230F"/>
    <w:rsid w:val="007639BE"/>
    <w:rsid w:val="00763AE8"/>
    <w:rsid w:val="0076463C"/>
    <w:rsid w:val="00765C12"/>
    <w:rsid w:val="00766D96"/>
    <w:rsid w:val="00767BD9"/>
    <w:rsid w:val="00770467"/>
    <w:rsid w:val="00770A6D"/>
    <w:rsid w:val="0077217F"/>
    <w:rsid w:val="0077288B"/>
    <w:rsid w:val="0077354D"/>
    <w:rsid w:val="00775D3A"/>
    <w:rsid w:val="00777103"/>
    <w:rsid w:val="00780289"/>
    <w:rsid w:val="0078250A"/>
    <w:rsid w:val="00782A39"/>
    <w:rsid w:val="00782FD5"/>
    <w:rsid w:val="0078374D"/>
    <w:rsid w:val="00786765"/>
    <w:rsid w:val="00787065"/>
    <w:rsid w:val="0079294D"/>
    <w:rsid w:val="007931A2"/>
    <w:rsid w:val="00793D4F"/>
    <w:rsid w:val="00795089"/>
    <w:rsid w:val="00795EDD"/>
    <w:rsid w:val="00796424"/>
    <w:rsid w:val="00796A15"/>
    <w:rsid w:val="00796ABF"/>
    <w:rsid w:val="00797092"/>
    <w:rsid w:val="007A1F39"/>
    <w:rsid w:val="007A2963"/>
    <w:rsid w:val="007A5E82"/>
    <w:rsid w:val="007A5ECA"/>
    <w:rsid w:val="007A6005"/>
    <w:rsid w:val="007A6EC8"/>
    <w:rsid w:val="007A7B5F"/>
    <w:rsid w:val="007B06C6"/>
    <w:rsid w:val="007B105D"/>
    <w:rsid w:val="007B1BB0"/>
    <w:rsid w:val="007B2624"/>
    <w:rsid w:val="007B278D"/>
    <w:rsid w:val="007B3646"/>
    <w:rsid w:val="007B47F2"/>
    <w:rsid w:val="007B5275"/>
    <w:rsid w:val="007B6797"/>
    <w:rsid w:val="007B6F00"/>
    <w:rsid w:val="007B70C4"/>
    <w:rsid w:val="007B784C"/>
    <w:rsid w:val="007B7C63"/>
    <w:rsid w:val="007B7F8C"/>
    <w:rsid w:val="007C11A7"/>
    <w:rsid w:val="007C152B"/>
    <w:rsid w:val="007C157E"/>
    <w:rsid w:val="007C2046"/>
    <w:rsid w:val="007C28A3"/>
    <w:rsid w:val="007C3399"/>
    <w:rsid w:val="007C5535"/>
    <w:rsid w:val="007C5D40"/>
    <w:rsid w:val="007C61B4"/>
    <w:rsid w:val="007C676A"/>
    <w:rsid w:val="007C69D8"/>
    <w:rsid w:val="007C7072"/>
    <w:rsid w:val="007D1CF0"/>
    <w:rsid w:val="007D2155"/>
    <w:rsid w:val="007D2924"/>
    <w:rsid w:val="007D35E5"/>
    <w:rsid w:val="007D36F3"/>
    <w:rsid w:val="007D45FF"/>
    <w:rsid w:val="007D6A8A"/>
    <w:rsid w:val="007D7613"/>
    <w:rsid w:val="007D77CF"/>
    <w:rsid w:val="007E05E2"/>
    <w:rsid w:val="007E1D09"/>
    <w:rsid w:val="007E21CC"/>
    <w:rsid w:val="007E2893"/>
    <w:rsid w:val="007E3974"/>
    <w:rsid w:val="007E52A5"/>
    <w:rsid w:val="007E61A5"/>
    <w:rsid w:val="007E754C"/>
    <w:rsid w:val="007E766D"/>
    <w:rsid w:val="007F086C"/>
    <w:rsid w:val="007F2BF7"/>
    <w:rsid w:val="007F2D66"/>
    <w:rsid w:val="007F3BFD"/>
    <w:rsid w:val="007F3DEA"/>
    <w:rsid w:val="007F508E"/>
    <w:rsid w:val="007F50A8"/>
    <w:rsid w:val="007F57C6"/>
    <w:rsid w:val="007F5826"/>
    <w:rsid w:val="007F5D2C"/>
    <w:rsid w:val="007F6595"/>
    <w:rsid w:val="007F7404"/>
    <w:rsid w:val="007F75D2"/>
    <w:rsid w:val="00800A1E"/>
    <w:rsid w:val="00800F93"/>
    <w:rsid w:val="00804146"/>
    <w:rsid w:val="00804AB7"/>
    <w:rsid w:val="008051C3"/>
    <w:rsid w:val="008052A4"/>
    <w:rsid w:val="008052DF"/>
    <w:rsid w:val="008058DA"/>
    <w:rsid w:val="008069D2"/>
    <w:rsid w:val="00812BA1"/>
    <w:rsid w:val="00812BFB"/>
    <w:rsid w:val="008131B4"/>
    <w:rsid w:val="00813D72"/>
    <w:rsid w:val="00817133"/>
    <w:rsid w:val="00821C57"/>
    <w:rsid w:val="00822166"/>
    <w:rsid w:val="00822CE8"/>
    <w:rsid w:val="00823034"/>
    <w:rsid w:val="008230D7"/>
    <w:rsid w:val="00823743"/>
    <w:rsid w:val="00824ED9"/>
    <w:rsid w:val="0082589D"/>
    <w:rsid w:val="00825FBF"/>
    <w:rsid w:val="008320BE"/>
    <w:rsid w:val="008333EA"/>
    <w:rsid w:val="00833CD1"/>
    <w:rsid w:val="00836B1D"/>
    <w:rsid w:val="00840121"/>
    <w:rsid w:val="00840471"/>
    <w:rsid w:val="0084363B"/>
    <w:rsid w:val="00845469"/>
    <w:rsid w:val="00845A53"/>
    <w:rsid w:val="00846137"/>
    <w:rsid w:val="00846E2F"/>
    <w:rsid w:val="00850227"/>
    <w:rsid w:val="00851E7C"/>
    <w:rsid w:val="00853458"/>
    <w:rsid w:val="00853A3B"/>
    <w:rsid w:val="00854F89"/>
    <w:rsid w:val="00855574"/>
    <w:rsid w:val="00856DF0"/>
    <w:rsid w:val="0085717B"/>
    <w:rsid w:val="008604C9"/>
    <w:rsid w:val="00860DE7"/>
    <w:rsid w:val="00864A28"/>
    <w:rsid w:val="008662A8"/>
    <w:rsid w:val="00867624"/>
    <w:rsid w:val="00870CFD"/>
    <w:rsid w:val="00870DB1"/>
    <w:rsid w:val="00872E0D"/>
    <w:rsid w:val="00873EFF"/>
    <w:rsid w:val="00874E58"/>
    <w:rsid w:val="00875735"/>
    <w:rsid w:val="00875A69"/>
    <w:rsid w:val="00875E6F"/>
    <w:rsid w:val="0087625F"/>
    <w:rsid w:val="008765D9"/>
    <w:rsid w:val="00877253"/>
    <w:rsid w:val="00877472"/>
    <w:rsid w:val="00877F28"/>
    <w:rsid w:val="00877F48"/>
    <w:rsid w:val="00880A10"/>
    <w:rsid w:val="00881423"/>
    <w:rsid w:val="0088321D"/>
    <w:rsid w:val="0088397A"/>
    <w:rsid w:val="00884267"/>
    <w:rsid w:val="00884C67"/>
    <w:rsid w:val="00885A82"/>
    <w:rsid w:val="00885D76"/>
    <w:rsid w:val="0088623B"/>
    <w:rsid w:val="0088672F"/>
    <w:rsid w:val="00886E9F"/>
    <w:rsid w:val="0088706B"/>
    <w:rsid w:val="0088789A"/>
    <w:rsid w:val="00887947"/>
    <w:rsid w:val="0089053D"/>
    <w:rsid w:val="00891D95"/>
    <w:rsid w:val="008933AB"/>
    <w:rsid w:val="00897A03"/>
    <w:rsid w:val="008A00BF"/>
    <w:rsid w:val="008A1445"/>
    <w:rsid w:val="008A1B89"/>
    <w:rsid w:val="008A21C5"/>
    <w:rsid w:val="008A2D3E"/>
    <w:rsid w:val="008A3BA3"/>
    <w:rsid w:val="008A415C"/>
    <w:rsid w:val="008A5081"/>
    <w:rsid w:val="008B0E5B"/>
    <w:rsid w:val="008B179E"/>
    <w:rsid w:val="008B1C9B"/>
    <w:rsid w:val="008B3016"/>
    <w:rsid w:val="008B3A54"/>
    <w:rsid w:val="008B3A9C"/>
    <w:rsid w:val="008B3E93"/>
    <w:rsid w:val="008B4C9A"/>
    <w:rsid w:val="008B6E7C"/>
    <w:rsid w:val="008B7357"/>
    <w:rsid w:val="008B799B"/>
    <w:rsid w:val="008C3315"/>
    <w:rsid w:val="008C3943"/>
    <w:rsid w:val="008C396C"/>
    <w:rsid w:val="008C4C0F"/>
    <w:rsid w:val="008C6B06"/>
    <w:rsid w:val="008D13EB"/>
    <w:rsid w:val="008D5C27"/>
    <w:rsid w:val="008D692F"/>
    <w:rsid w:val="008E0585"/>
    <w:rsid w:val="008E0881"/>
    <w:rsid w:val="008E176C"/>
    <w:rsid w:val="008E4AB6"/>
    <w:rsid w:val="008E684B"/>
    <w:rsid w:val="008E6AB7"/>
    <w:rsid w:val="008E70C9"/>
    <w:rsid w:val="008F03B0"/>
    <w:rsid w:val="008F1441"/>
    <w:rsid w:val="008F1754"/>
    <w:rsid w:val="008F1B23"/>
    <w:rsid w:val="008F1FE8"/>
    <w:rsid w:val="008F25FA"/>
    <w:rsid w:val="008F2E66"/>
    <w:rsid w:val="008F30A9"/>
    <w:rsid w:val="008F471D"/>
    <w:rsid w:val="008F6075"/>
    <w:rsid w:val="008F7CE5"/>
    <w:rsid w:val="0090193B"/>
    <w:rsid w:val="00903583"/>
    <w:rsid w:val="0090370D"/>
    <w:rsid w:val="0090540A"/>
    <w:rsid w:val="0090595D"/>
    <w:rsid w:val="00905974"/>
    <w:rsid w:val="00910A78"/>
    <w:rsid w:val="0091175D"/>
    <w:rsid w:val="00912432"/>
    <w:rsid w:val="0091447E"/>
    <w:rsid w:val="00914781"/>
    <w:rsid w:val="009153B0"/>
    <w:rsid w:val="009161CE"/>
    <w:rsid w:val="0091665C"/>
    <w:rsid w:val="00917745"/>
    <w:rsid w:val="0091774E"/>
    <w:rsid w:val="00917EC0"/>
    <w:rsid w:val="009200E9"/>
    <w:rsid w:val="0092037B"/>
    <w:rsid w:val="00920811"/>
    <w:rsid w:val="0092383F"/>
    <w:rsid w:val="00924566"/>
    <w:rsid w:val="00924964"/>
    <w:rsid w:val="00925993"/>
    <w:rsid w:val="00925C29"/>
    <w:rsid w:val="00926EE2"/>
    <w:rsid w:val="0093011F"/>
    <w:rsid w:val="00930662"/>
    <w:rsid w:val="00930D40"/>
    <w:rsid w:val="009324EB"/>
    <w:rsid w:val="00932827"/>
    <w:rsid w:val="00933226"/>
    <w:rsid w:val="00933B37"/>
    <w:rsid w:val="00934055"/>
    <w:rsid w:val="00936ABF"/>
    <w:rsid w:val="00936BAB"/>
    <w:rsid w:val="00940EB5"/>
    <w:rsid w:val="00941744"/>
    <w:rsid w:val="00941ADA"/>
    <w:rsid w:val="00941EA3"/>
    <w:rsid w:val="009425D1"/>
    <w:rsid w:val="009439C3"/>
    <w:rsid w:val="00944BCB"/>
    <w:rsid w:val="00945689"/>
    <w:rsid w:val="00946208"/>
    <w:rsid w:val="00947C44"/>
    <w:rsid w:val="00947DCF"/>
    <w:rsid w:val="00951643"/>
    <w:rsid w:val="00953D97"/>
    <w:rsid w:val="00955BC4"/>
    <w:rsid w:val="009569BA"/>
    <w:rsid w:val="00956A57"/>
    <w:rsid w:val="009571DB"/>
    <w:rsid w:val="00957E9E"/>
    <w:rsid w:val="0096041D"/>
    <w:rsid w:val="00960573"/>
    <w:rsid w:val="00961F83"/>
    <w:rsid w:val="00963708"/>
    <w:rsid w:val="009656A6"/>
    <w:rsid w:val="00966260"/>
    <w:rsid w:val="00967406"/>
    <w:rsid w:val="00971E00"/>
    <w:rsid w:val="0097270B"/>
    <w:rsid w:val="00972777"/>
    <w:rsid w:val="00972BD5"/>
    <w:rsid w:val="009738D3"/>
    <w:rsid w:val="0097498A"/>
    <w:rsid w:val="00974DF7"/>
    <w:rsid w:val="00976102"/>
    <w:rsid w:val="009763FB"/>
    <w:rsid w:val="00977848"/>
    <w:rsid w:val="0098148E"/>
    <w:rsid w:val="00981DEA"/>
    <w:rsid w:val="00985534"/>
    <w:rsid w:val="00985F3C"/>
    <w:rsid w:val="0098605A"/>
    <w:rsid w:val="00986B14"/>
    <w:rsid w:val="00987220"/>
    <w:rsid w:val="0098747B"/>
    <w:rsid w:val="00987FAA"/>
    <w:rsid w:val="0099059A"/>
    <w:rsid w:val="009920C3"/>
    <w:rsid w:val="0099280D"/>
    <w:rsid w:val="009928BB"/>
    <w:rsid w:val="00993736"/>
    <w:rsid w:val="00996A25"/>
    <w:rsid w:val="0099755F"/>
    <w:rsid w:val="009A05B6"/>
    <w:rsid w:val="009A080B"/>
    <w:rsid w:val="009A0CE1"/>
    <w:rsid w:val="009A19BD"/>
    <w:rsid w:val="009A1F07"/>
    <w:rsid w:val="009A27DE"/>
    <w:rsid w:val="009A3032"/>
    <w:rsid w:val="009A32B7"/>
    <w:rsid w:val="009A32C7"/>
    <w:rsid w:val="009A4896"/>
    <w:rsid w:val="009B0E38"/>
    <w:rsid w:val="009B2202"/>
    <w:rsid w:val="009B3F6C"/>
    <w:rsid w:val="009B4A5D"/>
    <w:rsid w:val="009B53C6"/>
    <w:rsid w:val="009B5B17"/>
    <w:rsid w:val="009B5BC3"/>
    <w:rsid w:val="009B66EF"/>
    <w:rsid w:val="009B7782"/>
    <w:rsid w:val="009C0B86"/>
    <w:rsid w:val="009C11F4"/>
    <w:rsid w:val="009C15BC"/>
    <w:rsid w:val="009C1BDC"/>
    <w:rsid w:val="009C3011"/>
    <w:rsid w:val="009C47EB"/>
    <w:rsid w:val="009C6459"/>
    <w:rsid w:val="009C77F2"/>
    <w:rsid w:val="009D00C3"/>
    <w:rsid w:val="009D049E"/>
    <w:rsid w:val="009D0E58"/>
    <w:rsid w:val="009D2F82"/>
    <w:rsid w:val="009D7DC2"/>
    <w:rsid w:val="009E0E01"/>
    <w:rsid w:val="009E0E2A"/>
    <w:rsid w:val="009E158B"/>
    <w:rsid w:val="009E1623"/>
    <w:rsid w:val="009E35F3"/>
    <w:rsid w:val="009E67CB"/>
    <w:rsid w:val="009F00A5"/>
    <w:rsid w:val="009F1CF6"/>
    <w:rsid w:val="009F4A32"/>
    <w:rsid w:val="00A00E87"/>
    <w:rsid w:val="00A010B5"/>
    <w:rsid w:val="00A03786"/>
    <w:rsid w:val="00A03926"/>
    <w:rsid w:val="00A03ED5"/>
    <w:rsid w:val="00A04061"/>
    <w:rsid w:val="00A0641C"/>
    <w:rsid w:val="00A06CE7"/>
    <w:rsid w:val="00A072CC"/>
    <w:rsid w:val="00A07735"/>
    <w:rsid w:val="00A10157"/>
    <w:rsid w:val="00A10B1A"/>
    <w:rsid w:val="00A11AA2"/>
    <w:rsid w:val="00A11C67"/>
    <w:rsid w:val="00A1303D"/>
    <w:rsid w:val="00A13DB3"/>
    <w:rsid w:val="00A14721"/>
    <w:rsid w:val="00A148D9"/>
    <w:rsid w:val="00A1671D"/>
    <w:rsid w:val="00A16DE0"/>
    <w:rsid w:val="00A17650"/>
    <w:rsid w:val="00A17857"/>
    <w:rsid w:val="00A206FE"/>
    <w:rsid w:val="00A209C7"/>
    <w:rsid w:val="00A20F48"/>
    <w:rsid w:val="00A214E5"/>
    <w:rsid w:val="00A21DD0"/>
    <w:rsid w:val="00A22020"/>
    <w:rsid w:val="00A22216"/>
    <w:rsid w:val="00A240FF"/>
    <w:rsid w:val="00A24465"/>
    <w:rsid w:val="00A2494B"/>
    <w:rsid w:val="00A262D9"/>
    <w:rsid w:val="00A27178"/>
    <w:rsid w:val="00A273CE"/>
    <w:rsid w:val="00A2787E"/>
    <w:rsid w:val="00A30EDE"/>
    <w:rsid w:val="00A3155D"/>
    <w:rsid w:val="00A32208"/>
    <w:rsid w:val="00A333D5"/>
    <w:rsid w:val="00A35F5C"/>
    <w:rsid w:val="00A367E6"/>
    <w:rsid w:val="00A374FC"/>
    <w:rsid w:val="00A40E58"/>
    <w:rsid w:val="00A4220D"/>
    <w:rsid w:val="00A4281E"/>
    <w:rsid w:val="00A4340C"/>
    <w:rsid w:val="00A43F86"/>
    <w:rsid w:val="00A44892"/>
    <w:rsid w:val="00A448BA"/>
    <w:rsid w:val="00A44914"/>
    <w:rsid w:val="00A46940"/>
    <w:rsid w:val="00A50A31"/>
    <w:rsid w:val="00A51077"/>
    <w:rsid w:val="00A52632"/>
    <w:rsid w:val="00A52A6E"/>
    <w:rsid w:val="00A53216"/>
    <w:rsid w:val="00A54DBB"/>
    <w:rsid w:val="00A553E9"/>
    <w:rsid w:val="00A55AE3"/>
    <w:rsid w:val="00A57782"/>
    <w:rsid w:val="00A57FC8"/>
    <w:rsid w:val="00A60C6B"/>
    <w:rsid w:val="00A61CF9"/>
    <w:rsid w:val="00A62F66"/>
    <w:rsid w:val="00A6300E"/>
    <w:rsid w:val="00A64AE5"/>
    <w:rsid w:val="00A65BF3"/>
    <w:rsid w:val="00A7047C"/>
    <w:rsid w:val="00A72B59"/>
    <w:rsid w:val="00A73D72"/>
    <w:rsid w:val="00A73F09"/>
    <w:rsid w:val="00A74066"/>
    <w:rsid w:val="00A745BC"/>
    <w:rsid w:val="00A754EB"/>
    <w:rsid w:val="00A77179"/>
    <w:rsid w:val="00A8093A"/>
    <w:rsid w:val="00A82598"/>
    <w:rsid w:val="00A82F0E"/>
    <w:rsid w:val="00A83C1A"/>
    <w:rsid w:val="00A843B7"/>
    <w:rsid w:val="00A84E54"/>
    <w:rsid w:val="00A8552D"/>
    <w:rsid w:val="00A865CE"/>
    <w:rsid w:val="00A86C91"/>
    <w:rsid w:val="00A87826"/>
    <w:rsid w:val="00A87B93"/>
    <w:rsid w:val="00A9118A"/>
    <w:rsid w:val="00A91526"/>
    <w:rsid w:val="00A92AD1"/>
    <w:rsid w:val="00A93739"/>
    <w:rsid w:val="00A964B8"/>
    <w:rsid w:val="00A97818"/>
    <w:rsid w:val="00A97848"/>
    <w:rsid w:val="00AA0101"/>
    <w:rsid w:val="00AA1519"/>
    <w:rsid w:val="00AA1E0E"/>
    <w:rsid w:val="00AA20CA"/>
    <w:rsid w:val="00AA3B9F"/>
    <w:rsid w:val="00AA4CB9"/>
    <w:rsid w:val="00AA4EB5"/>
    <w:rsid w:val="00AA50D0"/>
    <w:rsid w:val="00AA6437"/>
    <w:rsid w:val="00AA6C74"/>
    <w:rsid w:val="00AB0590"/>
    <w:rsid w:val="00AB2CF1"/>
    <w:rsid w:val="00AB31AC"/>
    <w:rsid w:val="00AB4028"/>
    <w:rsid w:val="00AB52CE"/>
    <w:rsid w:val="00AB7028"/>
    <w:rsid w:val="00AB7390"/>
    <w:rsid w:val="00AB7A01"/>
    <w:rsid w:val="00AC0047"/>
    <w:rsid w:val="00AC3383"/>
    <w:rsid w:val="00AC43FD"/>
    <w:rsid w:val="00AC630A"/>
    <w:rsid w:val="00AC77D8"/>
    <w:rsid w:val="00AC7F2B"/>
    <w:rsid w:val="00AD0BEF"/>
    <w:rsid w:val="00AD27A3"/>
    <w:rsid w:val="00AD4B21"/>
    <w:rsid w:val="00AD65B8"/>
    <w:rsid w:val="00AE09D2"/>
    <w:rsid w:val="00AE270D"/>
    <w:rsid w:val="00AE2F32"/>
    <w:rsid w:val="00AF12DE"/>
    <w:rsid w:val="00AF1EE9"/>
    <w:rsid w:val="00AF2C6A"/>
    <w:rsid w:val="00AF3E93"/>
    <w:rsid w:val="00AF4A28"/>
    <w:rsid w:val="00AF69B7"/>
    <w:rsid w:val="00AF6CD7"/>
    <w:rsid w:val="00B0165C"/>
    <w:rsid w:val="00B01E1E"/>
    <w:rsid w:val="00B03094"/>
    <w:rsid w:val="00B054D3"/>
    <w:rsid w:val="00B05916"/>
    <w:rsid w:val="00B10412"/>
    <w:rsid w:val="00B107F4"/>
    <w:rsid w:val="00B10F14"/>
    <w:rsid w:val="00B12659"/>
    <w:rsid w:val="00B12E9D"/>
    <w:rsid w:val="00B1554E"/>
    <w:rsid w:val="00B156E3"/>
    <w:rsid w:val="00B1576B"/>
    <w:rsid w:val="00B1639D"/>
    <w:rsid w:val="00B1772B"/>
    <w:rsid w:val="00B17ABB"/>
    <w:rsid w:val="00B20EC1"/>
    <w:rsid w:val="00B2145A"/>
    <w:rsid w:val="00B21FE3"/>
    <w:rsid w:val="00B224E6"/>
    <w:rsid w:val="00B22776"/>
    <w:rsid w:val="00B230FC"/>
    <w:rsid w:val="00B23642"/>
    <w:rsid w:val="00B23C8C"/>
    <w:rsid w:val="00B30C1F"/>
    <w:rsid w:val="00B30EB1"/>
    <w:rsid w:val="00B31DF9"/>
    <w:rsid w:val="00B31EEF"/>
    <w:rsid w:val="00B337E0"/>
    <w:rsid w:val="00B346AE"/>
    <w:rsid w:val="00B35F02"/>
    <w:rsid w:val="00B36679"/>
    <w:rsid w:val="00B36DCD"/>
    <w:rsid w:val="00B401EE"/>
    <w:rsid w:val="00B41C33"/>
    <w:rsid w:val="00B426C3"/>
    <w:rsid w:val="00B4355D"/>
    <w:rsid w:val="00B43F20"/>
    <w:rsid w:val="00B44317"/>
    <w:rsid w:val="00B446F3"/>
    <w:rsid w:val="00B44768"/>
    <w:rsid w:val="00B45958"/>
    <w:rsid w:val="00B46251"/>
    <w:rsid w:val="00B46A91"/>
    <w:rsid w:val="00B4744D"/>
    <w:rsid w:val="00B476B4"/>
    <w:rsid w:val="00B4789B"/>
    <w:rsid w:val="00B50AFB"/>
    <w:rsid w:val="00B51C49"/>
    <w:rsid w:val="00B51E40"/>
    <w:rsid w:val="00B5280F"/>
    <w:rsid w:val="00B529DB"/>
    <w:rsid w:val="00B539BE"/>
    <w:rsid w:val="00B559B9"/>
    <w:rsid w:val="00B55B0F"/>
    <w:rsid w:val="00B55BE1"/>
    <w:rsid w:val="00B55DCA"/>
    <w:rsid w:val="00B56FE1"/>
    <w:rsid w:val="00B57373"/>
    <w:rsid w:val="00B60126"/>
    <w:rsid w:val="00B62445"/>
    <w:rsid w:val="00B6301D"/>
    <w:rsid w:val="00B631C4"/>
    <w:rsid w:val="00B63628"/>
    <w:rsid w:val="00B651D4"/>
    <w:rsid w:val="00B66797"/>
    <w:rsid w:val="00B731DD"/>
    <w:rsid w:val="00B73403"/>
    <w:rsid w:val="00B74353"/>
    <w:rsid w:val="00B76026"/>
    <w:rsid w:val="00B77F0C"/>
    <w:rsid w:val="00B77F33"/>
    <w:rsid w:val="00B805D4"/>
    <w:rsid w:val="00B80E5A"/>
    <w:rsid w:val="00B81062"/>
    <w:rsid w:val="00B86C16"/>
    <w:rsid w:val="00B91E02"/>
    <w:rsid w:val="00B92466"/>
    <w:rsid w:val="00B927E3"/>
    <w:rsid w:val="00B9414B"/>
    <w:rsid w:val="00B94777"/>
    <w:rsid w:val="00B95643"/>
    <w:rsid w:val="00B95B8F"/>
    <w:rsid w:val="00B95D34"/>
    <w:rsid w:val="00B96052"/>
    <w:rsid w:val="00B9686D"/>
    <w:rsid w:val="00B97410"/>
    <w:rsid w:val="00B979A3"/>
    <w:rsid w:val="00BA03CE"/>
    <w:rsid w:val="00BA05B0"/>
    <w:rsid w:val="00BA08DE"/>
    <w:rsid w:val="00BA32A3"/>
    <w:rsid w:val="00BA371E"/>
    <w:rsid w:val="00BA3B99"/>
    <w:rsid w:val="00BA517E"/>
    <w:rsid w:val="00BA537A"/>
    <w:rsid w:val="00BA70F2"/>
    <w:rsid w:val="00BB2364"/>
    <w:rsid w:val="00BB2CF3"/>
    <w:rsid w:val="00BB334D"/>
    <w:rsid w:val="00BB3B84"/>
    <w:rsid w:val="00BB5D7C"/>
    <w:rsid w:val="00BB6DDD"/>
    <w:rsid w:val="00BC03B1"/>
    <w:rsid w:val="00BC060E"/>
    <w:rsid w:val="00BC1D30"/>
    <w:rsid w:val="00BC235D"/>
    <w:rsid w:val="00BC28E2"/>
    <w:rsid w:val="00BC28F4"/>
    <w:rsid w:val="00BC2C3B"/>
    <w:rsid w:val="00BC5E73"/>
    <w:rsid w:val="00BC7302"/>
    <w:rsid w:val="00BD06CF"/>
    <w:rsid w:val="00BD3618"/>
    <w:rsid w:val="00BD3831"/>
    <w:rsid w:val="00BD6ECC"/>
    <w:rsid w:val="00BE0366"/>
    <w:rsid w:val="00BE0FF5"/>
    <w:rsid w:val="00BE2007"/>
    <w:rsid w:val="00BE2B94"/>
    <w:rsid w:val="00BE2FF6"/>
    <w:rsid w:val="00BE3573"/>
    <w:rsid w:val="00BE54AF"/>
    <w:rsid w:val="00BE6191"/>
    <w:rsid w:val="00BE78CD"/>
    <w:rsid w:val="00BF0C06"/>
    <w:rsid w:val="00BF0CAE"/>
    <w:rsid w:val="00BF5711"/>
    <w:rsid w:val="00BF5CFA"/>
    <w:rsid w:val="00C000EC"/>
    <w:rsid w:val="00C01778"/>
    <w:rsid w:val="00C01A85"/>
    <w:rsid w:val="00C01F79"/>
    <w:rsid w:val="00C02F8D"/>
    <w:rsid w:val="00C03356"/>
    <w:rsid w:val="00C04909"/>
    <w:rsid w:val="00C05D64"/>
    <w:rsid w:val="00C062A5"/>
    <w:rsid w:val="00C07D36"/>
    <w:rsid w:val="00C1247B"/>
    <w:rsid w:val="00C1289A"/>
    <w:rsid w:val="00C12FD1"/>
    <w:rsid w:val="00C13245"/>
    <w:rsid w:val="00C13340"/>
    <w:rsid w:val="00C143EE"/>
    <w:rsid w:val="00C15BD5"/>
    <w:rsid w:val="00C17780"/>
    <w:rsid w:val="00C17D4A"/>
    <w:rsid w:val="00C22F52"/>
    <w:rsid w:val="00C254E5"/>
    <w:rsid w:val="00C30106"/>
    <w:rsid w:val="00C308B8"/>
    <w:rsid w:val="00C331F5"/>
    <w:rsid w:val="00C33816"/>
    <w:rsid w:val="00C33F61"/>
    <w:rsid w:val="00C35C32"/>
    <w:rsid w:val="00C367C6"/>
    <w:rsid w:val="00C3687F"/>
    <w:rsid w:val="00C36D30"/>
    <w:rsid w:val="00C3724B"/>
    <w:rsid w:val="00C37878"/>
    <w:rsid w:val="00C3791A"/>
    <w:rsid w:val="00C40181"/>
    <w:rsid w:val="00C40710"/>
    <w:rsid w:val="00C412DC"/>
    <w:rsid w:val="00C446EC"/>
    <w:rsid w:val="00C4484F"/>
    <w:rsid w:val="00C450FB"/>
    <w:rsid w:val="00C47946"/>
    <w:rsid w:val="00C501DE"/>
    <w:rsid w:val="00C50B8D"/>
    <w:rsid w:val="00C5234E"/>
    <w:rsid w:val="00C528B5"/>
    <w:rsid w:val="00C53082"/>
    <w:rsid w:val="00C55C52"/>
    <w:rsid w:val="00C5640E"/>
    <w:rsid w:val="00C57243"/>
    <w:rsid w:val="00C61F46"/>
    <w:rsid w:val="00C620B6"/>
    <w:rsid w:val="00C620FA"/>
    <w:rsid w:val="00C623F7"/>
    <w:rsid w:val="00C627C6"/>
    <w:rsid w:val="00C63D4E"/>
    <w:rsid w:val="00C64B20"/>
    <w:rsid w:val="00C650B9"/>
    <w:rsid w:val="00C711B5"/>
    <w:rsid w:val="00C711D6"/>
    <w:rsid w:val="00C7462B"/>
    <w:rsid w:val="00C77121"/>
    <w:rsid w:val="00C77367"/>
    <w:rsid w:val="00C77851"/>
    <w:rsid w:val="00C81DB3"/>
    <w:rsid w:val="00C82369"/>
    <w:rsid w:val="00C842EA"/>
    <w:rsid w:val="00C85C5D"/>
    <w:rsid w:val="00C85DEA"/>
    <w:rsid w:val="00C87607"/>
    <w:rsid w:val="00C87645"/>
    <w:rsid w:val="00C90F31"/>
    <w:rsid w:val="00C91537"/>
    <w:rsid w:val="00C91658"/>
    <w:rsid w:val="00C92969"/>
    <w:rsid w:val="00C92B1B"/>
    <w:rsid w:val="00C9379C"/>
    <w:rsid w:val="00C93AD6"/>
    <w:rsid w:val="00C94012"/>
    <w:rsid w:val="00C9429C"/>
    <w:rsid w:val="00C947BB"/>
    <w:rsid w:val="00C952F6"/>
    <w:rsid w:val="00C95317"/>
    <w:rsid w:val="00C9541E"/>
    <w:rsid w:val="00C95A86"/>
    <w:rsid w:val="00C97654"/>
    <w:rsid w:val="00C97A5C"/>
    <w:rsid w:val="00C97B35"/>
    <w:rsid w:val="00CA0478"/>
    <w:rsid w:val="00CA04C4"/>
    <w:rsid w:val="00CA1116"/>
    <w:rsid w:val="00CA31B0"/>
    <w:rsid w:val="00CA479E"/>
    <w:rsid w:val="00CA679E"/>
    <w:rsid w:val="00CA67D5"/>
    <w:rsid w:val="00CA6A4C"/>
    <w:rsid w:val="00CA6D7E"/>
    <w:rsid w:val="00CB1822"/>
    <w:rsid w:val="00CB225B"/>
    <w:rsid w:val="00CB2A34"/>
    <w:rsid w:val="00CB3F41"/>
    <w:rsid w:val="00CB44F0"/>
    <w:rsid w:val="00CB4FF4"/>
    <w:rsid w:val="00CB504D"/>
    <w:rsid w:val="00CB5D0D"/>
    <w:rsid w:val="00CB69B4"/>
    <w:rsid w:val="00CB6DA4"/>
    <w:rsid w:val="00CB7EF1"/>
    <w:rsid w:val="00CC0D2C"/>
    <w:rsid w:val="00CC12C4"/>
    <w:rsid w:val="00CC16E1"/>
    <w:rsid w:val="00CC481D"/>
    <w:rsid w:val="00CC5195"/>
    <w:rsid w:val="00CC529F"/>
    <w:rsid w:val="00CC55C3"/>
    <w:rsid w:val="00CC627E"/>
    <w:rsid w:val="00CC6815"/>
    <w:rsid w:val="00CC6944"/>
    <w:rsid w:val="00CC6D5B"/>
    <w:rsid w:val="00CD03A7"/>
    <w:rsid w:val="00CD0C47"/>
    <w:rsid w:val="00CD0D27"/>
    <w:rsid w:val="00CD1544"/>
    <w:rsid w:val="00CD2562"/>
    <w:rsid w:val="00CD2D6A"/>
    <w:rsid w:val="00CD3444"/>
    <w:rsid w:val="00CD4D50"/>
    <w:rsid w:val="00CD590D"/>
    <w:rsid w:val="00CD6EA6"/>
    <w:rsid w:val="00CD7023"/>
    <w:rsid w:val="00CE0DCF"/>
    <w:rsid w:val="00CE10AE"/>
    <w:rsid w:val="00CE3D8D"/>
    <w:rsid w:val="00CE52E9"/>
    <w:rsid w:val="00CE6D4B"/>
    <w:rsid w:val="00CF172D"/>
    <w:rsid w:val="00CF1A2E"/>
    <w:rsid w:val="00CF3B9B"/>
    <w:rsid w:val="00CF4B74"/>
    <w:rsid w:val="00CF4BC9"/>
    <w:rsid w:val="00CF5749"/>
    <w:rsid w:val="00CF5A1C"/>
    <w:rsid w:val="00CF7B14"/>
    <w:rsid w:val="00D01384"/>
    <w:rsid w:val="00D033E3"/>
    <w:rsid w:val="00D03FF9"/>
    <w:rsid w:val="00D07129"/>
    <w:rsid w:val="00D076C6"/>
    <w:rsid w:val="00D11296"/>
    <w:rsid w:val="00D1164E"/>
    <w:rsid w:val="00D12B7C"/>
    <w:rsid w:val="00D12EE3"/>
    <w:rsid w:val="00D12FE4"/>
    <w:rsid w:val="00D155CE"/>
    <w:rsid w:val="00D17912"/>
    <w:rsid w:val="00D201EF"/>
    <w:rsid w:val="00D20B1A"/>
    <w:rsid w:val="00D20D48"/>
    <w:rsid w:val="00D212C6"/>
    <w:rsid w:val="00D22424"/>
    <w:rsid w:val="00D2415E"/>
    <w:rsid w:val="00D25D18"/>
    <w:rsid w:val="00D26FC3"/>
    <w:rsid w:val="00D31007"/>
    <w:rsid w:val="00D32293"/>
    <w:rsid w:val="00D324E4"/>
    <w:rsid w:val="00D339EB"/>
    <w:rsid w:val="00D33C8C"/>
    <w:rsid w:val="00D34672"/>
    <w:rsid w:val="00D358C0"/>
    <w:rsid w:val="00D36F19"/>
    <w:rsid w:val="00D37A13"/>
    <w:rsid w:val="00D40493"/>
    <w:rsid w:val="00D41B86"/>
    <w:rsid w:val="00D41EBC"/>
    <w:rsid w:val="00D427F1"/>
    <w:rsid w:val="00D44881"/>
    <w:rsid w:val="00D45319"/>
    <w:rsid w:val="00D45BD6"/>
    <w:rsid w:val="00D50E48"/>
    <w:rsid w:val="00D518A6"/>
    <w:rsid w:val="00D5352C"/>
    <w:rsid w:val="00D55496"/>
    <w:rsid w:val="00D554A9"/>
    <w:rsid w:val="00D55A0D"/>
    <w:rsid w:val="00D55AD0"/>
    <w:rsid w:val="00D56D2A"/>
    <w:rsid w:val="00D60873"/>
    <w:rsid w:val="00D609D6"/>
    <w:rsid w:val="00D621ED"/>
    <w:rsid w:val="00D64A57"/>
    <w:rsid w:val="00D65EA2"/>
    <w:rsid w:val="00D660DE"/>
    <w:rsid w:val="00D66C55"/>
    <w:rsid w:val="00D70A67"/>
    <w:rsid w:val="00D71962"/>
    <w:rsid w:val="00D721AF"/>
    <w:rsid w:val="00D72605"/>
    <w:rsid w:val="00D726FE"/>
    <w:rsid w:val="00D73127"/>
    <w:rsid w:val="00D7339B"/>
    <w:rsid w:val="00D734FE"/>
    <w:rsid w:val="00D73AC1"/>
    <w:rsid w:val="00D74796"/>
    <w:rsid w:val="00D74937"/>
    <w:rsid w:val="00D752A5"/>
    <w:rsid w:val="00D77207"/>
    <w:rsid w:val="00D77518"/>
    <w:rsid w:val="00D80529"/>
    <w:rsid w:val="00D80851"/>
    <w:rsid w:val="00D82FC2"/>
    <w:rsid w:val="00D84CC8"/>
    <w:rsid w:val="00D8657A"/>
    <w:rsid w:val="00D868EF"/>
    <w:rsid w:val="00D904A7"/>
    <w:rsid w:val="00D9208D"/>
    <w:rsid w:val="00D9327A"/>
    <w:rsid w:val="00D951F7"/>
    <w:rsid w:val="00D9528F"/>
    <w:rsid w:val="00D96375"/>
    <w:rsid w:val="00D968D1"/>
    <w:rsid w:val="00D970A1"/>
    <w:rsid w:val="00D97315"/>
    <w:rsid w:val="00D9799F"/>
    <w:rsid w:val="00DA0092"/>
    <w:rsid w:val="00DA015B"/>
    <w:rsid w:val="00DA0DBB"/>
    <w:rsid w:val="00DA181A"/>
    <w:rsid w:val="00DA1ABF"/>
    <w:rsid w:val="00DA2AC1"/>
    <w:rsid w:val="00DA3446"/>
    <w:rsid w:val="00DA3E5A"/>
    <w:rsid w:val="00DA522C"/>
    <w:rsid w:val="00DA5C1A"/>
    <w:rsid w:val="00DA6011"/>
    <w:rsid w:val="00DB0BF0"/>
    <w:rsid w:val="00DB10C4"/>
    <w:rsid w:val="00DB1264"/>
    <w:rsid w:val="00DB1308"/>
    <w:rsid w:val="00DB2DE8"/>
    <w:rsid w:val="00DB40DE"/>
    <w:rsid w:val="00DB4E15"/>
    <w:rsid w:val="00DB58F0"/>
    <w:rsid w:val="00DB59CC"/>
    <w:rsid w:val="00DB5D7C"/>
    <w:rsid w:val="00DC038B"/>
    <w:rsid w:val="00DC0EB7"/>
    <w:rsid w:val="00DC17BE"/>
    <w:rsid w:val="00DC2D96"/>
    <w:rsid w:val="00DC2EE9"/>
    <w:rsid w:val="00DC373A"/>
    <w:rsid w:val="00DC3BB6"/>
    <w:rsid w:val="00DD171D"/>
    <w:rsid w:val="00DD2977"/>
    <w:rsid w:val="00DD3553"/>
    <w:rsid w:val="00DD36DB"/>
    <w:rsid w:val="00DD38B5"/>
    <w:rsid w:val="00DD3A6C"/>
    <w:rsid w:val="00DD46CE"/>
    <w:rsid w:val="00DD5439"/>
    <w:rsid w:val="00DD56AE"/>
    <w:rsid w:val="00DD5CEF"/>
    <w:rsid w:val="00DD67FC"/>
    <w:rsid w:val="00DD7822"/>
    <w:rsid w:val="00DD79CD"/>
    <w:rsid w:val="00DD7AA5"/>
    <w:rsid w:val="00DE2A91"/>
    <w:rsid w:val="00DE55E3"/>
    <w:rsid w:val="00DE626B"/>
    <w:rsid w:val="00DE6981"/>
    <w:rsid w:val="00DE74C8"/>
    <w:rsid w:val="00DE7C8F"/>
    <w:rsid w:val="00DF08AE"/>
    <w:rsid w:val="00DF0E2A"/>
    <w:rsid w:val="00DF3348"/>
    <w:rsid w:val="00DF492F"/>
    <w:rsid w:val="00DF53CE"/>
    <w:rsid w:val="00DF5B36"/>
    <w:rsid w:val="00DF6A0F"/>
    <w:rsid w:val="00DF70DA"/>
    <w:rsid w:val="00DF74BA"/>
    <w:rsid w:val="00DF7C72"/>
    <w:rsid w:val="00E00762"/>
    <w:rsid w:val="00E01D03"/>
    <w:rsid w:val="00E02045"/>
    <w:rsid w:val="00E04073"/>
    <w:rsid w:val="00E0471C"/>
    <w:rsid w:val="00E0538F"/>
    <w:rsid w:val="00E076C0"/>
    <w:rsid w:val="00E1031F"/>
    <w:rsid w:val="00E104FB"/>
    <w:rsid w:val="00E11D9C"/>
    <w:rsid w:val="00E1227C"/>
    <w:rsid w:val="00E15311"/>
    <w:rsid w:val="00E17071"/>
    <w:rsid w:val="00E1737A"/>
    <w:rsid w:val="00E20886"/>
    <w:rsid w:val="00E220D6"/>
    <w:rsid w:val="00E255F1"/>
    <w:rsid w:val="00E30073"/>
    <w:rsid w:val="00E306A8"/>
    <w:rsid w:val="00E326A4"/>
    <w:rsid w:val="00E329C0"/>
    <w:rsid w:val="00E33192"/>
    <w:rsid w:val="00E335F4"/>
    <w:rsid w:val="00E33D60"/>
    <w:rsid w:val="00E34DC8"/>
    <w:rsid w:val="00E351BD"/>
    <w:rsid w:val="00E36D6F"/>
    <w:rsid w:val="00E371C5"/>
    <w:rsid w:val="00E40CF6"/>
    <w:rsid w:val="00E41202"/>
    <w:rsid w:val="00E4121A"/>
    <w:rsid w:val="00E42E8F"/>
    <w:rsid w:val="00E430CF"/>
    <w:rsid w:val="00E4338F"/>
    <w:rsid w:val="00E439E8"/>
    <w:rsid w:val="00E43FA4"/>
    <w:rsid w:val="00E4487B"/>
    <w:rsid w:val="00E44D92"/>
    <w:rsid w:val="00E46EB0"/>
    <w:rsid w:val="00E47193"/>
    <w:rsid w:val="00E52C37"/>
    <w:rsid w:val="00E53D38"/>
    <w:rsid w:val="00E54237"/>
    <w:rsid w:val="00E5675A"/>
    <w:rsid w:val="00E572F4"/>
    <w:rsid w:val="00E57524"/>
    <w:rsid w:val="00E57838"/>
    <w:rsid w:val="00E60897"/>
    <w:rsid w:val="00E614D9"/>
    <w:rsid w:val="00E6277D"/>
    <w:rsid w:val="00E63B9D"/>
    <w:rsid w:val="00E64B0A"/>
    <w:rsid w:val="00E6577F"/>
    <w:rsid w:val="00E65DC9"/>
    <w:rsid w:val="00E65F1B"/>
    <w:rsid w:val="00E6781F"/>
    <w:rsid w:val="00E7020F"/>
    <w:rsid w:val="00E72EC2"/>
    <w:rsid w:val="00E73EFF"/>
    <w:rsid w:val="00E74730"/>
    <w:rsid w:val="00E77F57"/>
    <w:rsid w:val="00E8101D"/>
    <w:rsid w:val="00E814C5"/>
    <w:rsid w:val="00E815D5"/>
    <w:rsid w:val="00E81ADE"/>
    <w:rsid w:val="00E81B92"/>
    <w:rsid w:val="00E83614"/>
    <w:rsid w:val="00E837A5"/>
    <w:rsid w:val="00E8429E"/>
    <w:rsid w:val="00E843F0"/>
    <w:rsid w:val="00E85157"/>
    <w:rsid w:val="00E862E4"/>
    <w:rsid w:val="00E8678C"/>
    <w:rsid w:val="00E90A95"/>
    <w:rsid w:val="00E92209"/>
    <w:rsid w:val="00E92EA5"/>
    <w:rsid w:val="00E96863"/>
    <w:rsid w:val="00E976D3"/>
    <w:rsid w:val="00EA06E8"/>
    <w:rsid w:val="00EA16EA"/>
    <w:rsid w:val="00EA1AA9"/>
    <w:rsid w:val="00EA2429"/>
    <w:rsid w:val="00EA3DF2"/>
    <w:rsid w:val="00EA61D5"/>
    <w:rsid w:val="00EA6CAB"/>
    <w:rsid w:val="00EA6EC9"/>
    <w:rsid w:val="00EA782F"/>
    <w:rsid w:val="00EB0310"/>
    <w:rsid w:val="00EB076B"/>
    <w:rsid w:val="00EB1053"/>
    <w:rsid w:val="00EB2E14"/>
    <w:rsid w:val="00EB48C6"/>
    <w:rsid w:val="00EB4AF5"/>
    <w:rsid w:val="00EB5102"/>
    <w:rsid w:val="00EB554C"/>
    <w:rsid w:val="00EB59FE"/>
    <w:rsid w:val="00EB60BF"/>
    <w:rsid w:val="00EB71AB"/>
    <w:rsid w:val="00EB7AA5"/>
    <w:rsid w:val="00EC1FFE"/>
    <w:rsid w:val="00EC56D7"/>
    <w:rsid w:val="00EC7802"/>
    <w:rsid w:val="00ED1E96"/>
    <w:rsid w:val="00ED318F"/>
    <w:rsid w:val="00ED4310"/>
    <w:rsid w:val="00ED4B5C"/>
    <w:rsid w:val="00ED4C79"/>
    <w:rsid w:val="00ED597B"/>
    <w:rsid w:val="00ED6482"/>
    <w:rsid w:val="00ED7D7F"/>
    <w:rsid w:val="00EE3D2C"/>
    <w:rsid w:val="00EE3F16"/>
    <w:rsid w:val="00EE4976"/>
    <w:rsid w:val="00EE4C28"/>
    <w:rsid w:val="00EE540B"/>
    <w:rsid w:val="00EE74B3"/>
    <w:rsid w:val="00EE7527"/>
    <w:rsid w:val="00EE7C1E"/>
    <w:rsid w:val="00EF09E5"/>
    <w:rsid w:val="00EF0BAE"/>
    <w:rsid w:val="00EF0DB8"/>
    <w:rsid w:val="00EF2001"/>
    <w:rsid w:val="00EF33BC"/>
    <w:rsid w:val="00EF3CE1"/>
    <w:rsid w:val="00EF40BC"/>
    <w:rsid w:val="00EF47AF"/>
    <w:rsid w:val="00EF621B"/>
    <w:rsid w:val="00EF656B"/>
    <w:rsid w:val="00EF6A6B"/>
    <w:rsid w:val="00EF75DF"/>
    <w:rsid w:val="00F00B8A"/>
    <w:rsid w:val="00F01269"/>
    <w:rsid w:val="00F02133"/>
    <w:rsid w:val="00F02141"/>
    <w:rsid w:val="00F04688"/>
    <w:rsid w:val="00F04DA1"/>
    <w:rsid w:val="00F108F0"/>
    <w:rsid w:val="00F10AC4"/>
    <w:rsid w:val="00F12585"/>
    <w:rsid w:val="00F13398"/>
    <w:rsid w:val="00F1499A"/>
    <w:rsid w:val="00F15496"/>
    <w:rsid w:val="00F1712B"/>
    <w:rsid w:val="00F17E30"/>
    <w:rsid w:val="00F2138E"/>
    <w:rsid w:val="00F22D86"/>
    <w:rsid w:val="00F2367E"/>
    <w:rsid w:val="00F24833"/>
    <w:rsid w:val="00F2492F"/>
    <w:rsid w:val="00F26F33"/>
    <w:rsid w:val="00F3120B"/>
    <w:rsid w:val="00F325B2"/>
    <w:rsid w:val="00F334F8"/>
    <w:rsid w:val="00F34E0F"/>
    <w:rsid w:val="00F350EB"/>
    <w:rsid w:val="00F355D8"/>
    <w:rsid w:val="00F366ED"/>
    <w:rsid w:val="00F3783F"/>
    <w:rsid w:val="00F4022A"/>
    <w:rsid w:val="00F410CD"/>
    <w:rsid w:val="00F41197"/>
    <w:rsid w:val="00F44A93"/>
    <w:rsid w:val="00F45366"/>
    <w:rsid w:val="00F45F1F"/>
    <w:rsid w:val="00F4706C"/>
    <w:rsid w:val="00F47A59"/>
    <w:rsid w:val="00F50BF6"/>
    <w:rsid w:val="00F5174D"/>
    <w:rsid w:val="00F5197F"/>
    <w:rsid w:val="00F527F7"/>
    <w:rsid w:val="00F5371E"/>
    <w:rsid w:val="00F548D2"/>
    <w:rsid w:val="00F56184"/>
    <w:rsid w:val="00F564F4"/>
    <w:rsid w:val="00F57B2B"/>
    <w:rsid w:val="00F603FA"/>
    <w:rsid w:val="00F60B37"/>
    <w:rsid w:val="00F614DD"/>
    <w:rsid w:val="00F62DE9"/>
    <w:rsid w:val="00F63974"/>
    <w:rsid w:val="00F64031"/>
    <w:rsid w:val="00F640F9"/>
    <w:rsid w:val="00F66075"/>
    <w:rsid w:val="00F66AB4"/>
    <w:rsid w:val="00F676A1"/>
    <w:rsid w:val="00F71A38"/>
    <w:rsid w:val="00F72019"/>
    <w:rsid w:val="00F72A84"/>
    <w:rsid w:val="00F75299"/>
    <w:rsid w:val="00F75EE3"/>
    <w:rsid w:val="00F82429"/>
    <w:rsid w:val="00F82BB8"/>
    <w:rsid w:val="00F831A0"/>
    <w:rsid w:val="00F83527"/>
    <w:rsid w:val="00F836A5"/>
    <w:rsid w:val="00F837A6"/>
    <w:rsid w:val="00F840C8"/>
    <w:rsid w:val="00F85589"/>
    <w:rsid w:val="00F85E7F"/>
    <w:rsid w:val="00F85FE1"/>
    <w:rsid w:val="00F8672B"/>
    <w:rsid w:val="00F86972"/>
    <w:rsid w:val="00F86A5D"/>
    <w:rsid w:val="00F916C8"/>
    <w:rsid w:val="00F92F53"/>
    <w:rsid w:val="00F93BFF"/>
    <w:rsid w:val="00F94706"/>
    <w:rsid w:val="00F9498D"/>
    <w:rsid w:val="00F94A64"/>
    <w:rsid w:val="00F96462"/>
    <w:rsid w:val="00F966F1"/>
    <w:rsid w:val="00FA0F2B"/>
    <w:rsid w:val="00FA12BF"/>
    <w:rsid w:val="00FA2A94"/>
    <w:rsid w:val="00FA3174"/>
    <w:rsid w:val="00FA324D"/>
    <w:rsid w:val="00FA5597"/>
    <w:rsid w:val="00FA60E1"/>
    <w:rsid w:val="00FA7D5C"/>
    <w:rsid w:val="00FB0C51"/>
    <w:rsid w:val="00FB0E1E"/>
    <w:rsid w:val="00FB2760"/>
    <w:rsid w:val="00FB2D41"/>
    <w:rsid w:val="00FB3BFE"/>
    <w:rsid w:val="00FB49EE"/>
    <w:rsid w:val="00FB5154"/>
    <w:rsid w:val="00FB51F4"/>
    <w:rsid w:val="00FB5E15"/>
    <w:rsid w:val="00FB764B"/>
    <w:rsid w:val="00FB7B87"/>
    <w:rsid w:val="00FB7F68"/>
    <w:rsid w:val="00FC0190"/>
    <w:rsid w:val="00FC14BB"/>
    <w:rsid w:val="00FC2E67"/>
    <w:rsid w:val="00FC5367"/>
    <w:rsid w:val="00FC5522"/>
    <w:rsid w:val="00FC797C"/>
    <w:rsid w:val="00FD1A12"/>
    <w:rsid w:val="00FD1ED5"/>
    <w:rsid w:val="00FD203C"/>
    <w:rsid w:val="00FD2C7E"/>
    <w:rsid w:val="00FD39CD"/>
    <w:rsid w:val="00FD43BF"/>
    <w:rsid w:val="00FD4560"/>
    <w:rsid w:val="00FD46D6"/>
    <w:rsid w:val="00FD5220"/>
    <w:rsid w:val="00FD54D1"/>
    <w:rsid w:val="00FD5C8A"/>
    <w:rsid w:val="00FD67AA"/>
    <w:rsid w:val="00FD6CAA"/>
    <w:rsid w:val="00FD6E14"/>
    <w:rsid w:val="00FE0324"/>
    <w:rsid w:val="00FE0C04"/>
    <w:rsid w:val="00FE2E6A"/>
    <w:rsid w:val="00FE4ED8"/>
    <w:rsid w:val="00FE6340"/>
    <w:rsid w:val="00FE7B37"/>
    <w:rsid w:val="00FF3142"/>
    <w:rsid w:val="00FF390B"/>
    <w:rsid w:val="00FF66BE"/>
    <w:rsid w:val="00FF6791"/>
    <w:rsid w:val="00FF6C9D"/>
    <w:rsid w:val="00FF73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1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B515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515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FB51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FB5154"/>
  </w:style>
  <w:style w:type="paragraph" w:styleId="Pieddepage">
    <w:name w:val="footer"/>
    <w:basedOn w:val="Normal"/>
    <w:link w:val="PieddepageCar"/>
    <w:uiPriority w:val="99"/>
    <w:unhideWhenUsed/>
    <w:rsid w:val="00FB51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B5154"/>
  </w:style>
  <w:style w:type="paragraph" w:styleId="Paragraphedeliste">
    <w:name w:val="List Paragraph"/>
    <w:basedOn w:val="Normal"/>
    <w:uiPriority w:val="34"/>
    <w:qFormat/>
    <w:rsid w:val="00FB515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51E40"/>
    <w:rPr>
      <w:color w:val="0000FF"/>
      <w:u w:val="single"/>
    </w:rPr>
  </w:style>
  <w:style w:type="character" w:customStyle="1" w:styleId="hps">
    <w:name w:val="hps"/>
    <w:basedOn w:val="Policepardfaut"/>
    <w:rsid w:val="009569BA"/>
  </w:style>
  <w:style w:type="table" w:styleId="Grilledutableau">
    <w:name w:val="Table Grid"/>
    <w:basedOn w:val="TableauNormal"/>
    <w:uiPriority w:val="59"/>
    <w:rsid w:val="007517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8361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Feuille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autoTitleDeleted val="1"/>
    <c:plotArea>
      <c:layout>
        <c:manualLayout>
          <c:layoutTarget val="inner"/>
          <c:xMode val="edge"/>
          <c:yMode val="edge"/>
          <c:x val="4.8143843344697408E-2"/>
          <c:y val="2.4595010730041732E-2"/>
          <c:w val="0.9207670997981956"/>
          <c:h val="0.8446452704050309"/>
        </c:manualLayout>
      </c:layout>
      <c:barChart>
        <c:barDir val="col"/>
        <c:grouping val="clustered"/>
        <c:ser>
          <c:idx val="0"/>
          <c:order val="0"/>
          <c:tx>
            <c:strRef>
              <c:f>'tableau note ar'!$A$2</c:f>
              <c:strCache>
                <c:ptCount val="1"/>
                <c:pt idx="0">
                  <c:v>Indice de Confiance des Ménages</c:v>
                </c:pt>
              </c:strCache>
            </c:strRef>
          </c:tx>
          <c:dPt>
            <c:idx val="48"/>
            <c:spPr>
              <a:effectLst>
                <a:outerShdw blurRad="40000" dist="23000" dir="5400000" rotWithShape="0">
                  <a:schemeClr val="tx2">
                    <a:lumMod val="20000"/>
                    <a:lumOff val="80000"/>
                    <a:alpha val="35000"/>
                  </a:schemeClr>
                </a:outerShdw>
              </a:effectLst>
            </c:spPr>
          </c:dPt>
          <c:dLbls>
            <c:dLbl>
              <c:idx val="48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1"/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52"/>
              <c:showVal val="1"/>
              <c:extLst>
                <c:ext xmlns:c15="http://schemas.microsoft.com/office/drawing/2012/chart" uri="{CE6537A1-D6FC-4f65-9D91-7224C49458BB}"/>
              </c:extLst>
            </c:dLbl>
            <c:delete val="1"/>
            <c:spPr>
              <a:noFill/>
              <a:ln>
                <a:noFill/>
              </a:ln>
              <a:effectLst/>
            </c:spPr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ar'!$B$2:$BB$2</c:f>
              <c:numCache>
                <c:formatCode>0.0</c:formatCode>
                <c:ptCount val="53"/>
                <c:pt idx="0">
                  <c:v>85.866502294191648</c:v>
                </c:pt>
                <c:pt idx="1">
                  <c:v>77.678707955853085</c:v>
                </c:pt>
                <c:pt idx="2">
                  <c:v>75.552480635756396</c:v>
                </c:pt>
                <c:pt idx="3">
                  <c:v>80.136884034904497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80.136086093619156</c:v>
                </c:pt>
                <c:pt idx="9">
                  <c:v>78.833388330574252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78.406406130604807</c:v>
                </c:pt>
                <c:pt idx="13">
                  <c:v>85.78953263253257</c:v>
                </c:pt>
                <c:pt idx="14">
                  <c:v>86.506225251482533</c:v>
                </c:pt>
                <c:pt idx="15">
                  <c:v>84.477214694877063</c:v>
                </c:pt>
                <c:pt idx="16">
                  <c:v>82.88047854282155</c:v>
                </c:pt>
                <c:pt idx="17">
                  <c:v>80.673652783725359</c:v>
                </c:pt>
                <c:pt idx="18">
                  <c:v>77.553867036569372</c:v>
                </c:pt>
                <c:pt idx="19">
                  <c:v>78.403353681349557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74.110620959005999</c:v>
                </c:pt>
                <c:pt idx="25">
                  <c:v>74.014553099961631</c:v>
                </c:pt>
                <c:pt idx="26">
                  <c:v>73.148145370690258</c:v>
                </c:pt>
                <c:pt idx="27">
                  <c:v>71.583460003653727</c:v>
                </c:pt>
                <c:pt idx="28">
                  <c:v>73.659282965035374</c:v>
                </c:pt>
                <c:pt idx="29">
                  <c:v>76.125099572807883</c:v>
                </c:pt>
                <c:pt idx="30">
                  <c:v>76.315005733685979</c:v>
                </c:pt>
                <c:pt idx="31">
                  <c:v>77.131028825386352</c:v>
                </c:pt>
                <c:pt idx="32">
                  <c:v>71.648499016392478</c:v>
                </c:pt>
                <c:pt idx="33">
                  <c:v>75.703427371681059</c:v>
                </c:pt>
                <c:pt idx="34">
                  <c:v>73.804891243097046</c:v>
                </c:pt>
                <c:pt idx="35">
                  <c:v>73.539376287214708</c:v>
                </c:pt>
                <c:pt idx="36">
                  <c:v>78.230698468980961</c:v>
                </c:pt>
                <c:pt idx="37">
                  <c:v>85.8</c:v>
                </c:pt>
                <c:pt idx="38">
                  <c:v>85.5</c:v>
                </c:pt>
                <c:pt idx="39">
                  <c:v>85.9</c:v>
                </c:pt>
                <c:pt idx="40">
                  <c:v>87.317111388814197</c:v>
                </c:pt>
                <c:pt idx="41">
                  <c:v>87.279337774029258</c:v>
                </c:pt>
                <c:pt idx="42">
                  <c:v>82.473279380066572</c:v>
                </c:pt>
                <c:pt idx="43">
                  <c:v>79.8</c:v>
                </c:pt>
                <c:pt idx="44">
                  <c:v>79.104981863169769</c:v>
                </c:pt>
                <c:pt idx="45">
                  <c:v>74.905107002702309</c:v>
                </c:pt>
                <c:pt idx="46">
                  <c:v>74.821311833193917</c:v>
                </c:pt>
                <c:pt idx="47">
                  <c:v>77.783342120372509</c:v>
                </c:pt>
                <c:pt idx="48">
                  <c:v>75.733160637772471</c:v>
                </c:pt>
                <c:pt idx="49">
                  <c:v>65.597735117391409</c:v>
                </c:pt>
                <c:pt idx="50">
                  <c:v>60.6</c:v>
                </c:pt>
                <c:pt idx="51">
                  <c:v>61.15460503678139</c:v>
                </c:pt>
                <c:pt idx="52">
                  <c:v>68.3</c:v>
                </c:pt>
              </c:numCache>
            </c:numRef>
          </c:val>
        </c:ser>
        <c:axId val="87145856"/>
        <c:axId val="87343488"/>
      </c:barChart>
      <c:catAx>
        <c:axId val="87145856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87343488"/>
        <c:crosses val="autoZero"/>
        <c:auto val="1"/>
        <c:lblAlgn val="ctr"/>
        <c:lblOffset val="100"/>
      </c:catAx>
      <c:valAx>
        <c:axId val="87343488"/>
        <c:scaling>
          <c:orientation val="minMax"/>
        </c:scaling>
        <c:delete val="1"/>
        <c:axPos val="l"/>
        <c:majorGridlines/>
        <c:numFmt formatCode="0.0" sourceLinked="1"/>
        <c:tickLblPos val="none"/>
        <c:crossAx val="87145856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6.2276644987490894E-2"/>
          <c:y val="6.3277814963568241E-2"/>
          <c:w val="0.90676282704361133"/>
          <c:h val="0.76539526341340247"/>
        </c:manualLayout>
      </c:layout>
      <c:lineChart>
        <c:grouping val="standard"/>
        <c:ser>
          <c:idx val="0"/>
          <c:order val="0"/>
          <c:tx>
            <c:strRef>
              <c:f>'tableau note ar'!$A$4</c:f>
              <c:strCache>
                <c:ptCount val="1"/>
                <c:pt idx="0">
                  <c:v>التطور السابق لمستوى المعيشة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ar'!$B$4:$BB$4</c:f>
              <c:numCache>
                <c:formatCode>#,##0.0</c:formatCode>
                <c:ptCount val="53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-31.141291421499723</c:v>
                </c:pt>
                <c:pt idx="3">
                  <c:v>-29.39384481866529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-25.723634629573009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-37.236760344983388</c:v>
                </c:pt>
                <c:pt idx="12">
                  <c:v>-26.050959167650063</c:v>
                </c:pt>
                <c:pt idx="13">
                  <c:v>-16.961438303130887</c:v>
                </c:pt>
                <c:pt idx="14">
                  <c:v>-13.439142519852011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-28.088708351168677</c:v>
                </c:pt>
                <c:pt idx="20">
                  <c:v>-29.212341127418195</c:v>
                </c:pt>
                <c:pt idx="21">
                  <c:v>-23.102864483982067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-17.387590506775634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  <c:pt idx="32">
                  <c:v>-22.864633579953789</c:v>
                </c:pt>
                <c:pt idx="33">
                  <c:v>-15.196177330129153</c:v>
                </c:pt>
                <c:pt idx="34">
                  <c:v>-17.372021059071617</c:v>
                </c:pt>
                <c:pt idx="35">
                  <c:v>-17.464225574589342</c:v>
                </c:pt>
                <c:pt idx="36">
                  <c:v>-11.990228520502576</c:v>
                </c:pt>
                <c:pt idx="37">
                  <c:v>-8.1644944099805006</c:v>
                </c:pt>
                <c:pt idx="38">
                  <c:v>-3.1370023233621227</c:v>
                </c:pt>
                <c:pt idx="39">
                  <c:v>-3.7719246964283601</c:v>
                </c:pt>
                <c:pt idx="40">
                  <c:v>-6.24696090915109</c:v>
                </c:pt>
                <c:pt idx="41" formatCode="General">
                  <c:v>-5.3830093381329069</c:v>
                </c:pt>
                <c:pt idx="42" formatCode="0.0">
                  <c:v>-9.5049571220917919</c:v>
                </c:pt>
                <c:pt idx="43" formatCode="0.0">
                  <c:v>-13.3</c:v>
                </c:pt>
                <c:pt idx="44" formatCode="0.0">
                  <c:v>-14.967427927122975</c:v>
                </c:pt>
                <c:pt idx="45" formatCode="0.0">
                  <c:v>-25.35300810689149</c:v>
                </c:pt>
                <c:pt idx="46" formatCode="0.0">
                  <c:v>-20.237097183526259</c:v>
                </c:pt>
                <c:pt idx="47" formatCode="0.0">
                  <c:v>-19.996896512157338</c:v>
                </c:pt>
                <c:pt idx="48" formatCode="0.0">
                  <c:v>-19.767991560587593</c:v>
                </c:pt>
                <c:pt idx="49" formatCode="0.0">
                  <c:v>-24.751522052511689</c:v>
                </c:pt>
                <c:pt idx="50" formatCode="0.0">
                  <c:v>-35.633876933169311</c:v>
                </c:pt>
                <c:pt idx="51" formatCode="0.0">
                  <c:v>-46.607458922581849</c:v>
                </c:pt>
                <c:pt idx="52" formatCode="0.0">
                  <c:v>-50.5</c:v>
                </c:pt>
              </c:numCache>
            </c:numRef>
          </c:val>
        </c:ser>
        <c:ser>
          <c:idx val="1"/>
          <c:order val="1"/>
          <c:tx>
            <c:strRef>
              <c:f>'tableau note ar'!$A$5</c:f>
              <c:strCache>
                <c:ptCount val="1"/>
                <c:pt idx="0">
                  <c:v>التطور المستقبلي لمستوى المعيشة</c:v>
                </c:pt>
              </c:strCache>
            </c:strRef>
          </c:tx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ar'!$B$5:$BB$5</c:f>
              <c:numCache>
                <c:formatCode>#,##0.0</c:formatCode>
                <c:ptCount val="53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8.4334302751112825E-2</c:v>
                </c:pt>
                <c:pt idx="7">
                  <c:v>2.1853913991610052</c:v>
                </c:pt>
                <c:pt idx="8">
                  <c:v>0.39154986438085609</c:v>
                </c:pt>
                <c:pt idx="9">
                  <c:v>2.7314646872285109</c:v>
                </c:pt>
                <c:pt idx="10">
                  <c:v>0.19418325799955116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18.132139936578806</c:v>
                </c:pt>
                <c:pt idx="14">
                  <c:v>11.870106120928286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-4.2068608448306435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-11.389732068783601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-12.672429336417755</c:v>
                </c:pt>
                <c:pt idx="28">
                  <c:v>-8.8537661336825266</c:v>
                </c:pt>
                <c:pt idx="29">
                  <c:v>-7.2727206831161801</c:v>
                </c:pt>
                <c:pt idx="30">
                  <c:v>-7.7131091840762114</c:v>
                </c:pt>
                <c:pt idx="31">
                  <c:v>-8.0828133778612727</c:v>
                </c:pt>
                <c:pt idx="32">
                  <c:v>-14.22824639578895</c:v>
                </c:pt>
                <c:pt idx="33">
                  <c:v>-7.5906192549525784</c:v>
                </c:pt>
                <c:pt idx="34">
                  <c:v>-7.0591296227720894</c:v>
                </c:pt>
                <c:pt idx="35">
                  <c:v>-2.3745123557304657</c:v>
                </c:pt>
                <c:pt idx="36">
                  <c:v>5.7386765593441833</c:v>
                </c:pt>
                <c:pt idx="37">
                  <c:v>11.056984366480341</c:v>
                </c:pt>
                <c:pt idx="38">
                  <c:v>10.513852464527606</c:v>
                </c:pt>
                <c:pt idx="39">
                  <c:v>11.534776778164916</c:v>
                </c:pt>
                <c:pt idx="40">
                  <c:v>16.612852585837704</c:v>
                </c:pt>
                <c:pt idx="41" formatCode="General">
                  <c:v>14.986375562038818</c:v>
                </c:pt>
                <c:pt idx="42" formatCode="0.0">
                  <c:v>11.908882798368182</c:v>
                </c:pt>
                <c:pt idx="43" formatCode="0.0">
                  <c:v>9</c:v>
                </c:pt>
                <c:pt idx="44" formatCode="0.0">
                  <c:v>9.9894562713734274</c:v>
                </c:pt>
                <c:pt idx="45" formatCode="0.0">
                  <c:v>4.7256177899689273</c:v>
                </c:pt>
                <c:pt idx="46" formatCode="0.0">
                  <c:v>-3.6764057837750337</c:v>
                </c:pt>
                <c:pt idx="47" formatCode="0.0">
                  <c:v>-2.1591381326741157</c:v>
                </c:pt>
                <c:pt idx="48" formatCode="0.0">
                  <c:v>-4.6486149345966226</c:v>
                </c:pt>
                <c:pt idx="49" formatCode="0.0">
                  <c:v>-11.439989639150372</c:v>
                </c:pt>
                <c:pt idx="50" formatCode="0.0">
                  <c:v>-17.395183495255484</c:v>
                </c:pt>
                <c:pt idx="51" formatCode="0.0">
                  <c:v>-17.398438698388123</c:v>
                </c:pt>
                <c:pt idx="52" formatCode="0.0">
                  <c:v>13.2</c:v>
                </c:pt>
              </c:numCache>
            </c:numRef>
          </c:val>
        </c:ser>
        <c:marker val="1"/>
        <c:axId val="114563712"/>
        <c:axId val="121762176"/>
      </c:lineChart>
      <c:catAx>
        <c:axId val="114563712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121762176"/>
        <c:crosses val="autoZero"/>
        <c:auto val="1"/>
        <c:lblAlgn val="ctr"/>
        <c:lblOffset val="100"/>
      </c:catAx>
      <c:valAx>
        <c:axId val="12176217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800"/>
            </a:pPr>
            <a:endParaRPr lang="fr-FR"/>
          </a:p>
        </c:txPr>
        <c:crossAx val="114563712"/>
        <c:crosses val="autoZero"/>
        <c:crossBetween val="between"/>
      </c:valAx>
    </c:plotArea>
    <c:legend>
      <c:legendPos val="b"/>
      <c:txPr>
        <a:bodyPr/>
        <a:lstStyle/>
        <a:p>
          <a:pPr>
            <a:defRPr lang="en-US" b="1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'tableau note ar'!$A$3</c:f>
              <c:strCache>
                <c:ptCount val="1"/>
                <c:pt idx="0">
                  <c:v>التطور المستقبلي للبطالة</c:v>
                </c:pt>
              </c:strCache>
            </c:strRef>
          </c:tx>
          <c:marker>
            <c:symbol val="none"/>
          </c:marker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ar'!$B$3:$BB$3</c:f>
              <c:numCache>
                <c:formatCode>#,##0.0</c:formatCode>
                <c:ptCount val="53"/>
                <c:pt idx="0">
                  <c:v>-52.09569227917919</c:v>
                </c:pt>
                <c:pt idx="1">
                  <c:v>-56.601297669293317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-57.930600458568478</c:v>
                </c:pt>
                <c:pt idx="7">
                  <c:v>-57.517749523976519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-52.335316844022458</c:v>
                </c:pt>
                <c:pt idx="12">
                  <c:v>-52.408437207990296</c:v>
                </c:pt>
                <c:pt idx="13">
                  <c:v>-45.982278486233483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-66.493969881109209</c:v>
                </c:pt>
                <c:pt idx="26">
                  <c:v>-68.825577821249908</c:v>
                </c:pt>
                <c:pt idx="27">
                  <c:v>-68.019160185663324</c:v>
                </c:pt>
                <c:pt idx="28">
                  <c:v>-65.155740215393664</c:v>
                </c:pt>
                <c:pt idx="29">
                  <c:v>-67.056481822589674</c:v>
                </c:pt>
                <c:pt idx="30">
                  <c:v>-66.189276460398091</c:v>
                </c:pt>
                <c:pt idx="31">
                  <c:v>-64.100777949741754</c:v>
                </c:pt>
                <c:pt idx="32">
                  <c:v>-67.734442836360955</c:v>
                </c:pt>
                <c:pt idx="33">
                  <c:v>-68.976178952187695</c:v>
                </c:pt>
                <c:pt idx="34">
                  <c:v>-70.599999999999994</c:v>
                </c:pt>
                <c:pt idx="35">
                  <c:v>-66.808709762830389</c:v>
                </c:pt>
                <c:pt idx="36">
                  <c:v>-64.932045987858601</c:v>
                </c:pt>
                <c:pt idx="37">
                  <c:v>-54.327058153454743</c:v>
                </c:pt>
                <c:pt idx="38">
                  <c:v>-59.886763094223141</c:v>
                </c:pt>
                <c:pt idx="39">
                  <c:v>-58.5</c:v>
                </c:pt>
                <c:pt idx="40">
                  <c:v>-54.525998602090162</c:v>
                </c:pt>
                <c:pt idx="41" formatCode="General">
                  <c:v>-61.706282712863526</c:v>
                </c:pt>
                <c:pt idx="42" formatCode="0.0">
                  <c:v>-65.247643368132074</c:v>
                </c:pt>
                <c:pt idx="43" formatCode="0.0">
                  <c:v>-70</c:v>
                </c:pt>
                <c:pt idx="44" formatCode="0.0">
                  <c:v>-75.565732444458845</c:v>
                </c:pt>
                <c:pt idx="45" formatCode="0.0">
                  <c:v>-76.905120512383789</c:v>
                </c:pt>
                <c:pt idx="46" formatCode="0.0">
                  <c:v>-71.817697941940466</c:v>
                </c:pt>
                <c:pt idx="47" formatCode="0.0">
                  <c:v>-71.645886731132009</c:v>
                </c:pt>
                <c:pt idx="48" formatCode="0.0">
                  <c:v>-70.7934404370435</c:v>
                </c:pt>
                <c:pt idx="49" formatCode="0.0">
                  <c:v>-75.168553605935344</c:v>
                </c:pt>
                <c:pt idx="50" formatCode="0.0">
                  <c:v>-82.012609773267997</c:v>
                </c:pt>
                <c:pt idx="51" formatCode="0.0">
                  <c:v>-78.280561499164364</c:v>
                </c:pt>
                <c:pt idx="52" formatCode="0.0">
                  <c:v>-62.2</c:v>
                </c:pt>
              </c:numCache>
            </c:numRef>
          </c:val>
        </c:ser>
        <c:marker val="1"/>
        <c:axId val="128343424"/>
        <c:axId val="128928000"/>
      </c:lineChart>
      <c:catAx>
        <c:axId val="128343424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128928000"/>
        <c:crosses val="autoZero"/>
        <c:auto val="1"/>
        <c:lblAlgn val="ctr"/>
        <c:lblOffset val="100"/>
      </c:catAx>
      <c:valAx>
        <c:axId val="128928000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lang="en-US" sz="900"/>
            </a:pPr>
            <a:endParaRPr lang="fr-FR"/>
          </a:p>
        </c:txPr>
        <c:crossAx val="128343424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5.7127347645033084E-2"/>
          <c:y val="5.9290035554066464E-2"/>
          <c:w val="0.91935832999498357"/>
          <c:h val="0.80706948865434369"/>
        </c:manualLayout>
      </c:layout>
      <c:lineChart>
        <c:grouping val="standard"/>
        <c:ser>
          <c:idx val="0"/>
          <c:order val="0"/>
          <c:tx>
            <c:strRef>
              <c:f>'tableau note ar'!$A$6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ar'!$B$6:$BB$6</c:f>
              <c:numCache>
                <c:formatCode>#,##0.0</c:formatCode>
                <c:ptCount val="53"/>
                <c:pt idx="0">
                  <c:v>-30.018449770831797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-41.765350509033929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-34.756506471721572</c:v>
                </c:pt>
                <c:pt idx="9">
                  <c:v>-37.532519098271848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-39.860076277616734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-37.388587169100497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-28.348240299081702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>
                  <c:v>-36.986420638663795</c:v>
                </c:pt>
                <c:pt idx="29">
                  <c:v>-35.967938268219903</c:v>
                </c:pt>
                <c:pt idx="30">
                  <c:v>-34.247070009141204</c:v>
                </c:pt>
                <c:pt idx="31">
                  <c:v>-37.509325471422457</c:v>
                </c:pt>
                <c:pt idx="32">
                  <c:v>-40.239810197161113</c:v>
                </c:pt>
                <c:pt idx="33">
                  <c:v>-34.794169125290885</c:v>
                </c:pt>
                <c:pt idx="34">
                  <c:v>-40.511458517814845</c:v>
                </c:pt>
                <c:pt idx="35">
                  <c:v>-43.033835365277199</c:v>
                </c:pt>
                <c:pt idx="36">
                  <c:v>-39.999291784066429</c:v>
                </c:pt>
                <c:pt idx="37">
                  <c:v>-28.160977836062902</c:v>
                </c:pt>
                <c:pt idx="38">
                  <c:v>-31.475843594428088</c:v>
                </c:pt>
                <c:pt idx="39">
                  <c:v>-25.6</c:v>
                </c:pt>
                <c:pt idx="40">
                  <c:v>-27.189644342164545</c:v>
                </c:pt>
                <c:pt idx="41" formatCode="General">
                  <c:v>-25.753095123938731</c:v>
                </c:pt>
                <c:pt idx="42" formatCode="0.0">
                  <c:v>-30.193271317535196</c:v>
                </c:pt>
                <c:pt idx="43" formatCode="0.0">
                  <c:v>-36.800000000000004</c:v>
                </c:pt>
                <c:pt idx="44" formatCode="0.0">
                  <c:v>-36.294477943510053</c:v>
                </c:pt>
                <c:pt idx="45" formatCode="0.0">
                  <c:v>-41.423646990592751</c:v>
                </c:pt>
                <c:pt idx="46" formatCode="0.0">
                  <c:v>-37.73056747306839</c:v>
                </c:pt>
                <c:pt idx="47" formatCode="0.0">
                  <c:v>-29.21833531467249</c:v>
                </c:pt>
                <c:pt idx="48" formatCode="0.0">
                  <c:v>-32.611752500665851</c:v>
                </c:pt>
                <c:pt idx="49" formatCode="0.0">
                  <c:v>-67.951617125134092</c:v>
                </c:pt>
                <c:pt idx="50" formatCode="0.0">
                  <c:v>-63.469757370471939</c:v>
                </c:pt>
                <c:pt idx="51" formatCode="0.0">
                  <c:v>-61.233843482530801</c:v>
                </c:pt>
                <c:pt idx="52" formatCode="0.0">
                  <c:v>-61.6</c:v>
                </c:pt>
              </c:numCache>
            </c:numRef>
          </c:val>
        </c:ser>
        <c:marker val="1"/>
        <c:axId val="101822848"/>
        <c:axId val="101824384"/>
      </c:lineChart>
      <c:catAx>
        <c:axId val="101822848"/>
        <c:scaling>
          <c:orientation val="minMax"/>
        </c:scaling>
        <c:axPos val="b"/>
        <c:numFmt formatCode="General" sourceLinked="0"/>
        <c:majorTickMark val="none"/>
        <c:tickLblPos val="low"/>
        <c:txPr>
          <a:bodyPr/>
          <a:lstStyle/>
          <a:p>
            <a:pPr>
              <a:defRPr lang="en-US" sz="600"/>
            </a:pPr>
            <a:endParaRPr lang="fr-FR"/>
          </a:p>
        </c:txPr>
        <c:crossAx val="101824384"/>
        <c:crosses val="autoZero"/>
        <c:auto val="1"/>
        <c:lblAlgn val="ctr"/>
        <c:lblOffset val="100"/>
      </c:catAx>
      <c:valAx>
        <c:axId val="101824384"/>
        <c:scaling>
          <c:orientation val="minMax"/>
        </c:scaling>
        <c:axPos val="l"/>
        <c:majorGridlines/>
        <c:numFmt formatCode="#,##0" sourceLinked="0"/>
        <c:tickLblPos val="nextTo"/>
        <c:txPr>
          <a:bodyPr/>
          <a:lstStyle/>
          <a:p>
            <a:pPr>
              <a:defRPr lang="en-US" sz="700"/>
            </a:pPr>
            <a:endParaRPr lang="fr-FR"/>
          </a:p>
        </c:txPr>
        <c:crossAx val="101822848"/>
        <c:crosses val="autoZero"/>
        <c:crossBetween val="between"/>
      </c:valAx>
    </c:plotArea>
    <c:plotVisOnly val="1"/>
    <c:dispBlanksAs val="gap"/>
  </c:chart>
  <c:spPr>
    <a:ln w="3175">
      <a:solidFill>
        <a:schemeClr val="tx1"/>
      </a:solidFill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lineChart>
        <c:grouping val="standard"/>
        <c:ser>
          <c:idx val="0"/>
          <c:order val="0"/>
          <c:tx>
            <c:strRef>
              <c:f>'tableau note ar'!$A$7</c:f>
              <c:strCache>
                <c:ptCount val="1"/>
                <c:pt idx="0">
                  <c:v>الوضعية المالية الحالية للأسرة</c:v>
                </c:pt>
              </c:strCache>
            </c:strRef>
          </c:tx>
          <c:marker>
            <c:symbol val="square"/>
            <c:size val="5"/>
          </c:marker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ar'!$B$7:$BB$7</c:f>
              <c:numCache>
                <c:formatCode>#,##0.0</c:formatCode>
                <c:ptCount val="53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-28.062624892496316</c:v>
                </c:pt>
                <c:pt idx="12">
                  <c:v>-30.645498931903745</c:v>
                </c:pt>
                <c:pt idx="13">
                  <c:v>-27.092549889444335</c:v>
                </c:pt>
                <c:pt idx="14">
                  <c:v>-24.28899054728441</c:v>
                </c:pt>
                <c:pt idx="15">
                  <c:v>-25.669712181349741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-30.846093343724203</c:v>
                </c:pt>
                <c:pt idx="19">
                  <c:v>-29.426966691861271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-29.484131282651223</c:v>
                </c:pt>
                <c:pt idx="23">
                  <c:v>-29.485585569479962</c:v>
                </c:pt>
                <c:pt idx="24">
                  <c:v>-31.290770339915049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-30.637429411694047</c:v>
                </c:pt>
                <c:pt idx="28">
                  <c:v>-32.404955656558201</c:v>
                </c:pt>
                <c:pt idx="29">
                  <c:v>-28</c:v>
                </c:pt>
                <c:pt idx="30">
                  <c:v>-25.071467645625653</c:v>
                </c:pt>
                <c:pt idx="31">
                  <c:v>-25.699936983325873</c:v>
                </c:pt>
                <c:pt idx="32">
                  <c:v>-27.23268621238142</c:v>
                </c:pt>
                <c:pt idx="33">
                  <c:v>-22.997618165471859</c:v>
                </c:pt>
                <c:pt idx="34">
                  <c:v>-25.8</c:v>
                </c:pt>
                <c:pt idx="35">
                  <c:v>-28.725836843764057</c:v>
                </c:pt>
                <c:pt idx="36">
                  <c:v>-27.797585066069505</c:v>
                </c:pt>
                <c:pt idx="37">
                  <c:v>-25.340990239285759</c:v>
                </c:pt>
                <c:pt idx="38">
                  <c:v>-22.581783906285729</c:v>
                </c:pt>
                <c:pt idx="39">
                  <c:v>-24.392000147868323</c:v>
                </c:pt>
                <c:pt idx="40">
                  <c:v>-25.236685531801342</c:v>
                </c:pt>
                <c:pt idx="41" formatCode="General">
                  <c:v>-24.077817715725971</c:v>
                </c:pt>
                <c:pt idx="42" formatCode="0.0">
                  <c:v>-29.675061855859198</c:v>
                </c:pt>
                <c:pt idx="43" formatCode="0.0">
                  <c:v>-28.4</c:v>
                </c:pt>
                <c:pt idx="44" formatCode="0.0">
                  <c:v>-28.874306637901352</c:v>
                </c:pt>
                <c:pt idx="45" formatCode="0.0">
                  <c:v>-30.794330285810986</c:v>
                </c:pt>
                <c:pt idx="46" formatCode="0.0">
                  <c:v>-29.543474949783889</c:v>
                </c:pt>
                <c:pt idx="47" formatCode="0.0">
                  <c:v>-26.38685501138583</c:v>
                </c:pt>
                <c:pt idx="48" formatCode="0.0">
                  <c:v>-27.711995909750634</c:v>
                </c:pt>
                <c:pt idx="49" formatCode="0.0">
                  <c:v>-29.955220894721663</c:v>
                </c:pt>
                <c:pt idx="50" formatCode="0.0">
                  <c:v>-31.504825451700452</c:v>
                </c:pt>
                <c:pt idx="51" formatCode="0.0">
                  <c:v>-29.083585505842859</c:v>
                </c:pt>
                <c:pt idx="52" formatCode="0.0">
                  <c:v>-34.4</c:v>
                </c:pt>
              </c:numCache>
            </c:numRef>
          </c:val>
        </c:ser>
        <c:ser>
          <c:idx val="1"/>
          <c:order val="1"/>
          <c:tx>
            <c:strRef>
              <c:f>'tableau note ar'!$A$8</c:f>
              <c:strCache>
                <c:ptCount val="1"/>
                <c:pt idx="0">
                  <c:v>التطور السابق للوضعية المالية للأسرة</c:v>
                </c:pt>
              </c:strCache>
            </c:strRef>
          </c:tx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ar'!$B$8:$BB$8</c:f>
              <c:numCache>
                <c:formatCode>#,##0.0</c:formatCode>
                <c:ptCount val="53"/>
                <c:pt idx="0">
                  <c:v>-11.760493904860514</c:v>
                </c:pt>
                <c:pt idx="1">
                  <c:v>-11.376439540974173</c:v>
                </c:pt>
                <c:pt idx="2">
                  <c:v>-11.707546774199251</c:v>
                </c:pt>
                <c:pt idx="3">
                  <c:v>-9.5250570435126427</c:v>
                </c:pt>
                <c:pt idx="4">
                  <c:v>-18.438210074457363</c:v>
                </c:pt>
                <c:pt idx="5">
                  <c:v>-13.353492384896761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-9.8004349690184043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-21.891965579068501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-29.150994705705717</c:v>
                </c:pt>
                <c:pt idx="28">
                  <c:v>-26.965288381475769</c:v>
                </c:pt>
                <c:pt idx="29">
                  <c:v>-20.216971341645095</c:v>
                </c:pt>
                <c:pt idx="30">
                  <c:v>-20.789363149769279</c:v>
                </c:pt>
                <c:pt idx="31">
                  <c:v>-18.50333400384844</c:v>
                </c:pt>
                <c:pt idx="32">
                  <c:v>-27.398022856415224</c:v>
                </c:pt>
                <c:pt idx="33">
                  <c:v>-22.820131487915329</c:v>
                </c:pt>
                <c:pt idx="34">
                  <c:v>-26.987361336961197</c:v>
                </c:pt>
                <c:pt idx="35">
                  <c:v>-33.305012733303052</c:v>
                </c:pt>
                <c:pt idx="36">
                  <c:v>-26.764408087130526</c:v>
                </c:pt>
                <c:pt idx="37">
                  <c:v>-16.626704252959726</c:v>
                </c:pt>
                <c:pt idx="38">
                  <c:v>-14.506801572644619</c:v>
                </c:pt>
                <c:pt idx="39">
                  <c:v>-16.7</c:v>
                </c:pt>
                <c:pt idx="40">
                  <c:v>-18.12020796730943</c:v>
                </c:pt>
                <c:pt idx="41" formatCode="General">
                  <c:v>-15.241299993196511</c:v>
                </c:pt>
                <c:pt idx="42" formatCode="0.0">
                  <c:v>-18.212765523946558</c:v>
                </c:pt>
                <c:pt idx="43" formatCode="0.0">
                  <c:v>-20.7</c:v>
                </c:pt>
                <c:pt idx="44" formatCode="0.0">
                  <c:v>-21.239570741294095</c:v>
                </c:pt>
                <c:pt idx="45" formatCode="0.0">
                  <c:v>-24.187755596841431</c:v>
                </c:pt>
                <c:pt idx="46" formatCode="0.0">
                  <c:v>-26.020639530378268</c:v>
                </c:pt>
                <c:pt idx="47" formatCode="0.0">
                  <c:v>-22.058531326387186</c:v>
                </c:pt>
                <c:pt idx="48" formatCode="0.0">
                  <c:v>-22.878127876162285</c:v>
                </c:pt>
                <c:pt idx="49" formatCode="0.0">
                  <c:v>-26.986745192981459</c:v>
                </c:pt>
                <c:pt idx="50" formatCode="0.0">
                  <c:v>-33.978821699551595</c:v>
                </c:pt>
                <c:pt idx="51" formatCode="0.0">
                  <c:v>-39.901098518697133</c:v>
                </c:pt>
                <c:pt idx="52" formatCode="0.0">
                  <c:v>-47.4</c:v>
                </c:pt>
              </c:numCache>
            </c:numRef>
          </c:val>
        </c:ser>
        <c:ser>
          <c:idx val="2"/>
          <c:order val="2"/>
          <c:tx>
            <c:strRef>
              <c:f>'tableau note ar'!$A$9</c:f>
              <c:strCache>
                <c:ptCount val="1"/>
                <c:pt idx="0">
                  <c:v>التطور المرتقب للوضعية المالية للأسرة</c:v>
                </c:pt>
              </c:strCache>
            </c:strRef>
          </c:tx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ar'!$B$9:$BB$9</c:f>
              <c:numCache>
                <c:formatCode>#,##0.0</c:formatCode>
                <c:ptCount val="53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26.705941849103187</c:v>
                </c:pt>
                <c:pt idx="4">
                  <c:v>26.769154239001928</c:v>
                </c:pt>
                <c:pt idx="5">
                  <c:v>21.986954089697061</c:v>
                </c:pt>
                <c:pt idx="6">
                  <c:v>17.532817766676494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11.776375704730505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20.354548457792724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11.23083364045033</c:v>
                </c:pt>
                <c:pt idx="17">
                  <c:v>11.136340416980383</c:v>
                </c:pt>
                <c:pt idx="18">
                  <c:v>7.6658451594012957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-1.7003971659207198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-3.9139038482871569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  <c:pt idx="32">
                  <c:v>1.2373351928094007</c:v>
                </c:pt>
                <c:pt idx="33">
                  <c:v>2.2988859177154</c:v>
                </c:pt>
                <c:pt idx="34">
                  <c:v>4.9642092382991612</c:v>
                </c:pt>
                <c:pt idx="35">
                  <c:v>6.4877666459978194</c:v>
                </c:pt>
                <c:pt idx="36">
                  <c:v>13.359772169150252</c:v>
                </c:pt>
                <c:pt idx="37">
                  <c:v>22.123807522802235</c:v>
                </c:pt>
                <c:pt idx="38">
                  <c:v>19.596485843359812</c:v>
                </c:pt>
                <c:pt idx="39">
                  <c:v>19.180868333171652</c:v>
                </c:pt>
                <c:pt idx="40">
                  <c:v>25.926424488378224</c:v>
                </c:pt>
                <c:pt idx="41" formatCode="General">
                  <c:v>28.130493740025226</c:v>
                </c:pt>
                <c:pt idx="42" formatCode="0.0">
                  <c:v>18.237772049662329</c:v>
                </c:pt>
                <c:pt idx="43" formatCode="0.0">
                  <c:v>19.100000000000001</c:v>
                </c:pt>
                <c:pt idx="44" formatCode="0.0">
                  <c:v>20.686932465103727</c:v>
                </c:pt>
                <c:pt idx="45" formatCode="0.0">
                  <c:v>18.273992721467774</c:v>
                </c:pt>
                <c:pt idx="46" formatCode="0.0">
                  <c:v>12.775065694831193</c:v>
                </c:pt>
                <c:pt idx="47" formatCode="0.0">
                  <c:v>15.949037871016623</c:v>
                </c:pt>
                <c:pt idx="48" formatCode="0.0">
                  <c:v>8.5440476832129519</c:v>
                </c:pt>
                <c:pt idx="49" formatCode="0.0">
                  <c:v>-4.5622056678242258</c:v>
                </c:pt>
                <c:pt idx="50" formatCode="0.0">
                  <c:v>-11.891224568065192</c:v>
                </c:pt>
                <c:pt idx="51" formatCode="0.0">
                  <c:v>0.5872218846748406</c:v>
                </c:pt>
                <c:pt idx="52" formatCode="0.0">
                  <c:v>21.2</c:v>
                </c:pt>
              </c:numCache>
            </c:numRef>
          </c:val>
        </c:ser>
        <c:marker val="1"/>
        <c:axId val="101830016"/>
        <c:axId val="107603072"/>
      </c:lineChart>
      <c:catAx>
        <c:axId val="101830016"/>
        <c:scaling>
          <c:orientation val="minMax"/>
        </c:scaling>
        <c:axPos val="b"/>
        <c:numFmt formatCode="General" sourceLinked="1"/>
        <c:majorTickMark val="none"/>
        <c:tickLblPos val="low"/>
        <c:txPr>
          <a:bodyPr/>
          <a:lstStyle/>
          <a:p>
            <a:pPr>
              <a:defRPr sz="600"/>
            </a:pPr>
            <a:endParaRPr lang="fr-FR"/>
          </a:p>
        </c:txPr>
        <c:crossAx val="107603072"/>
        <c:crosses val="autoZero"/>
        <c:auto val="1"/>
        <c:lblAlgn val="ctr"/>
        <c:lblOffset val="100"/>
      </c:catAx>
      <c:valAx>
        <c:axId val="10760307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01830016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1.0346301838392481E-2"/>
          <c:y val="0.85307042125297661"/>
          <c:w val="0.96434373663959128"/>
          <c:h val="0.12525099644664708"/>
        </c:manualLayout>
      </c:layout>
      <c:txPr>
        <a:bodyPr/>
        <a:lstStyle/>
        <a:p>
          <a:pPr>
            <a:defRPr sz="1000" b="1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txPr>
    <a:bodyPr/>
    <a:lstStyle/>
    <a:p>
      <a:pPr>
        <a:defRPr sz="1050"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>
        <c:manualLayout>
          <c:layoutTarget val="inner"/>
          <c:xMode val="edge"/>
          <c:yMode val="edge"/>
          <c:x val="6.152160034049798E-2"/>
          <c:y val="6.6474581738735231E-2"/>
          <c:w val="0.91007862895562319"/>
          <c:h val="0.70188155251543383"/>
        </c:manualLayout>
      </c:layout>
      <c:lineChart>
        <c:grouping val="standard"/>
        <c:ser>
          <c:idx val="0"/>
          <c:order val="0"/>
          <c:tx>
            <c:strRef>
              <c:f>'tableau note ar'!$A$11</c:f>
              <c:strCache>
                <c:ptCount val="1"/>
                <c:pt idx="0">
                  <c:v>التطور المرتقب لأسعار المواد الغذائية</c:v>
                </c:pt>
              </c:strCache>
            </c:strRef>
          </c:tx>
          <c:marker>
            <c:symbol val="circle"/>
            <c:size val="4"/>
          </c:marker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ar'!$B$11:$BB$11</c:f>
              <c:numCache>
                <c:formatCode>#,##0.0</c:formatCode>
                <c:ptCount val="53"/>
                <c:pt idx="0">
                  <c:v>-74.061389031284818</c:v>
                </c:pt>
                <c:pt idx="1">
                  <c:v>-77.716574651610344</c:v>
                </c:pt>
                <c:pt idx="2">
                  <c:v>-78.940542419693813</c:v>
                </c:pt>
                <c:pt idx="3">
                  <c:v>-49.653420650313549</c:v>
                </c:pt>
                <c:pt idx="4">
                  <c:v>-34.869529990694446</c:v>
                </c:pt>
                <c:pt idx="5">
                  <c:v>-33.523065681383365</c:v>
                </c:pt>
                <c:pt idx="6">
                  <c:v>-50.919242344766445</c:v>
                </c:pt>
                <c:pt idx="7">
                  <c:v>-47.87194786445459</c:v>
                </c:pt>
                <c:pt idx="8">
                  <c:v>-46.51502281152581</c:v>
                </c:pt>
                <c:pt idx="9">
                  <c:v>-56.832932011427921</c:v>
                </c:pt>
                <c:pt idx="10">
                  <c:v>-62.176731306136915</c:v>
                </c:pt>
                <c:pt idx="11">
                  <c:v>-70.131788082404199</c:v>
                </c:pt>
                <c:pt idx="12">
                  <c:v>-73.4127471825839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-72.965887012435019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-73.578371466433921</c:v>
                </c:pt>
                <c:pt idx="19">
                  <c:v>-70.049698245525676</c:v>
                </c:pt>
                <c:pt idx="20">
                  <c:v>-76.096296687300608</c:v>
                </c:pt>
                <c:pt idx="21">
                  <c:v>-73.375476646911594</c:v>
                </c:pt>
                <c:pt idx="22">
                  <c:v>-76.007455926126042</c:v>
                </c:pt>
                <c:pt idx="23">
                  <c:v>-76.048555842624523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-76.898841721729795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  <c:pt idx="32">
                  <c:v>-79.25874198980361</c:v>
                </c:pt>
                <c:pt idx="33">
                  <c:v>-77.326465444648022</c:v>
                </c:pt>
                <c:pt idx="34">
                  <c:v>-77.900000000000006</c:v>
                </c:pt>
                <c:pt idx="35">
                  <c:v>-77.33590195130148</c:v>
                </c:pt>
                <c:pt idx="36">
                  <c:v>-77.664169536728878</c:v>
                </c:pt>
                <c:pt idx="37">
                  <c:v>-74.5</c:v>
                </c:pt>
                <c:pt idx="38">
                  <c:v>-73.964173414184586</c:v>
                </c:pt>
                <c:pt idx="39">
                  <c:v>-79.602800137507884</c:v>
                </c:pt>
                <c:pt idx="40">
                  <c:v>-82.909090889011466</c:v>
                </c:pt>
                <c:pt idx="41" formatCode="General">
                  <c:v>-84.024833717392056</c:v>
                </c:pt>
                <c:pt idx="42">
                  <c:v>-82.078038176837381</c:v>
                </c:pt>
                <c:pt idx="43">
                  <c:v>-86.6</c:v>
                </c:pt>
                <c:pt idx="44">
                  <c:v>-87.54271632969234</c:v>
                </c:pt>
                <c:pt idx="45">
                  <c:v>-86.508482649196509</c:v>
                </c:pt>
                <c:pt idx="46">
                  <c:v>-83.288697742697579</c:v>
                </c:pt>
                <c:pt idx="47">
                  <c:v>-82.220036585575144</c:v>
                </c:pt>
                <c:pt idx="48">
                  <c:v>-82.585609750348496</c:v>
                </c:pt>
                <c:pt idx="49">
                  <c:v>-69.044082249116016</c:v>
                </c:pt>
                <c:pt idx="50" formatCode="0.0">
                  <c:v>-68.063522341730973</c:v>
                </c:pt>
                <c:pt idx="51" formatCode="0.0">
                  <c:v>-64.634662916008139</c:v>
                </c:pt>
                <c:pt idx="52" formatCode="0.0">
                  <c:v>-60.2</c:v>
                </c:pt>
              </c:numCache>
            </c:numRef>
          </c:val>
        </c:ser>
        <c:ser>
          <c:idx val="1"/>
          <c:order val="1"/>
          <c:tx>
            <c:strRef>
              <c:f>'tableau note ar'!$A$12</c:f>
              <c:strCache>
                <c:ptCount val="1"/>
                <c:pt idx="0">
                  <c:v>التطور السابق لأسعار المواد الغذائية</c:v>
                </c:pt>
              </c:strCache>
            </c:strRef>
          </c:tx>
          <c:cat>
            <c:strRef>
              <c:f>'tableau note ar'!$B$1:$BB$1</c:f>
              <c:strCache>
                <c:ptCount val="53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  <c:pt idx="32">
                  <c:v>T1/16</c:v>
                </c:pt>
                <c:pt idx="33">
                  <c:v>T2/16</c:v>
                </c:pt>
                <c:pt idx="34">
                  <c:v>T3/16</c:v>
                </c:pt>
                <c:pt idx="35">
                  <c:v>T4/16</c:v>
                </c:pt>
                <c:pt idx="36">
                  <c:v>T1/17</c:v>
                </c:pt>
                <c:pt idx="37">
                  <c:v>T2/17</c:v>
                </c:pt>
                <c:pt idx="38">
                  <c:v>T3/17</c:v>
                </c:pt>
                <c:pt idx="39">
                  <c:v>T4/17</c:v>
                </c:pt>
                <c:pt idx="40">
                  <c:v>T1/18</c:v>
                </c:pt>
                <c:pt idx="41">
                  <c:v>T2/18</c:v>
                </c:pt>
                <c:pt idx="42">
                  <c:v>T3/18</c:v>
                </c:pt>
                <c:pt idx="43">
                  <c:v>T4/18</c:v>
                </c:pt>
                <c:pt idx="44">
                  <c:v>T1/19</c:v>
                </c:pt>
                <c:pt idx="45">
                  <c:v>T2/19</c:v>
                </c:pt>
                <c:pt idx="46">
                  <c:v>T3/19</c:v>
                </c:pt>
                <c:pt idx="47">
                  <c:v>T4/19</c:v>
                </c:pt>
                <c:pt idx="48">
                  <c:v>T1/20</c:v>
                </c:pt>
                <c:pt idx="49">
                  <c:v>T2/20</c:v>
                </c:pt>
                <c:pt idx="50">
                  <c:v>T3/20</c:v>
                </c:pt>
                <c:pt idx="51">
                  <c:v>T4/20</c:v>
                </c:pt>
                <c:pt idx="52">
                  <c:v>T1/21</c:v>
                </c:pt>
              </c:strCache>
            </c:strRef>
          </c:cat>
          <c:val>
            <c:numRef>
              <c:f>'tableau note ar'!$B$12:$BB$12</c:f>
              <c:numCache>
                <c:formatCode>#,##0.0</c:formatCode>
                <c:ptCount val="53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-83.278098478101455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-90.967802162493527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-89.924388392526083</c:v>
                </c:pt>
                <c:pt idx="15">
                  <c:v>-92.495216554147746</c:v>
                </c:pt>
                <c:pt idx="16">
                  <c:v>-91.625316584481823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-91.630328830979664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-84.135715875789074</c:v>
                </c:pt>
                <c:pt idx="26">
                  <c:v>-81.763249669623747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-84.284507159523756</c:v>
                </c:pt>
                <c:pt idx="31">
                  <c:v>-85.427496568127424</c:v>
                </c:pt>
                <c:pt idx="32">
                  <c:v>-85.452277394276848</c:v>
                </c:pt>
                <c:pt idx="33">
                  <c:v>-87.871778057968157</c:v>
                </c:pt>
                <c:pt idx="34">
                  <c:v>-87.672521775530925</c:v>
                </c:pt>
                <c:pt idx="35">
                  <c:v>-87.308587775463366</c:v>
                </c:pt>
                <c:pt idx="36">
                  <c:v>-86.771015006658288</c:v>
                </c:pt>
                <c:pt idx="37">
                  <c:v>-86.4</c:v>
                </c:pt>
                <c:pt idx="38">
                  <c:v>-82.80501829248945</c:v>
                </c:pt>
                <c:pt idx="39">
                  <c:v>-88.513579156072012</c:v>
                </c:pt>
                <c:pt idx="40">
                  <c:v>-86.694812387811382</c:v>
                </c:pt>
                <c:pt idx="41" formatCode="General">
                  <c:v>-88.182833745436668</c:v>
                </c:pt>
                <c:pt idx="42">
                  <c:v>-88.119908444008828</c:v>
                </c:pt>
                <c:pt idx="43">
                  <c:v>-90.3</c:v>
                </c:pt>
                <c:pt idx="44">
                  <c:v>-88.136419421127727</c:v>
                </c:pt>
                <c:pt idx="45">
                  <c:v>-88.912542109472369</c:v>
                </c:pt>
                <c:pt idx="46">
                  <c:v>-83.748311328811582</c:v>
                </c:pt>
                <c:pt idx="47">
                  <c:v>-85.084964738360227</c:v>
                </c:pt>
                <c:pt idx="48">
                  <c:v>-82.774085672956858</c:v>
                </c:pt>
                <c:pt idx="49">
                  <c:v>-67.616999612935103</c:v>
                </c:pt>
                <c:pt idx="50" formatCode="0.0">
                  <c:v>-75.123128911649388</c:v>
                </c:pt>
                <c:pt idx="51" formatCode="0.0">
                  <c:v>-74.676635648394679</c:v>
                </c:pt>
                <c:pt idx="52" formatCode="0.0">
                  <c:v>-74</c:v>
                </c:pt>
              </c:numCache>
            </c:numRef>
          </c:val>
        </c:ser>
        <c:marker val="1"/>
        <c:axId val="110761856"/>
        <c:axId val="110763392"/>
      </c:lineChart>
      <c:catAx>
        <c:axId val="110761856"/>
        <c:scaling>
          <c:orientation val="minMax"/>
        </c:scaling>
        <c:axPos val="b"/>
        <c:numFmt formatCode="General" sourceLinked="0"/>
        <c:majorTickMark val="none"/>
        <c:tickLblPos val="low"/>
        <c:crossAx val="110763392"/>
        <c:crosses val="autoZero"/>
        <c:auto val="1"/>
        <c:lblAlgn val="ctr"/>
        <c:lblOffset val="100"/>
      </c:catAx>
      <c:valAx>
        <c:axId val="11076339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10761856"/>
        <c:crosses val="autoZero"/>
        <c:crossBetween val="between"/>
      </c:valAx>
    </c:plotArea>
    <c:legend>
      <c:legendPos val="b"/>
      <c:txPr>
        <a:bodyPr/>
        <a:lstStyle/>
        <a:p>
          <a:pPr>
            <a:defRPr sz="900" b="1"/>
          </a:pPr>
          <a:endParaRPr lang="fr-FR"/>
        </a:p>
      </c:txPr>
    </c:legend>
    <c:plotVisOnly val="1"/>
    <c:dispBlanksAs val="gap"/>
  </c:chart>
  <c:spPr>
    <a:ln w="3175">
      <a:solidFill>
        <a:schemeClr val="tx1"/>
      </a:solidFill>
    </a:ln>
  </c:spPr>
  <c:txPr>
    <a:bodyPr/>
    <a:lstStyle/>
    <a:p>
      <a:pPr>
        <a:defRPr sz="500"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E9F64-C8AF-439B-B11A-65F05C5D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1258</Words>
  <Characters>6924</Characters>
  <Application>Microsoft Office Word</Application>
  <DocSecurity>0</DocSecurity>
  <Lines>57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Bakraoui</dc:creator>
  <cp:lastModifiedBy>HCP</cp:lastModifiedBy>
  <cp:revision>7</cp:revision>
  <cp:lastPrinted>2020-01-14T14:51:00Z</cp:lastPrinted>
  <dcterms:created xsi:type="dcterms:W3CDTF">2021-04-12T12:49:00Z</dcterms:created>
  <dcterms:modified xsi:type="dcterms:W3CDTF">2021-04-14T08:03:00Z</dcterms:modified>
</cp:coreProperties>
</file>