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AE" w:rsidRDefault="00A050AE" w:rsidP="00A050AE">
      <w:pPr>
        <w:spacing w:line="276" w:lineRule="auto"/>
        <w:jc w:val="center"/>
        <w:rPr>
          <w:rFonts w:ascii="Book Antiqua" w:hAnsi="Book Antiqua"/>
          <w:b/>
          <w:bCs/>
          <w:color w:val="44546A" w:themeColor="text2"/>
          <w:sz w:val="28"/>
          <w:szCs w:val="28"/>
        </w:rPr>
      </w:pPr>
    </w:p>
    <w:p w:rsidR="00A050AE" w:rsidRDefault="00A050AE" w:rsidP="00A050AE">
      <w:pPr>
        <w:spacing w:line="276" w:lineRule="auto"/>
        <w:jc w:val="right"/>
        <w:rPr>
          <w:rFonts w:ascii="Book Antiqua" w:hAnsi="Book Antiqua"/>
          <w:b/>
          <w:bCs/>
          <w:color w:val="44546A" w:themeColor="text2"/>
          <w:sz w:val="28"/>
          <w:szCs w:val="28"/>
        </w:rPr>
      </w:pPr>
    </w:p>
    <w:p w:rsidR="00CF1A8F" w:rsidRDefault="00CF1A8F" w:rsidP="00A050AE">
      <w:pPr>
        <w:spacing w:line="276" w:lineRule="auto"/>
        <w:jc w:val="center"/>
        <w:rPr>
          <w:rFonts w:ascii="Book Antiqua" w:hAnsi="Book Antiqua"/>
          <w:b/>
          <w:bCs/>
          <w:color w:val="44546A" w:themeColor="text2"/>
          <w:sz w:val="28"/>
          <w:szCs w:val="28"/>
        </w:rPr>
      </w:pPr>
      <w:r>
        <w:rPr>
          <w:rFonts w:ascii="Book Antiqua" w:hAnsi="Book Antiqua"/>
          <w:b/>
          <w:bCs/>
          <w:color w:val="44546A" w:themeColor="text2"/>
          <w:sz w:val="28"/>
          <w:szCs w:val="28"/>
        </w:rPr>
        <w:t>Note d’information du Haut-commissariat au Plan</w:t>
      </w:r>
    </w:p>
    <w:p w:rsidR="00CF1A8F" w:rsidRDefault="00CF1A8F" w:rsidP="00A050AE">
      <w:pPr>
        <w:spacing w:line="276" w:lineRule="auto"/>
        <w:jc w:val="center"/>
        <w:rPr>
          <w:rFonts w:ascii="Book Antiqua" w:hAnsi="Book Antiqua"/>
          <w:b/>
          <w:bCs/>
          <w:color w:val="44546A" w:themeColor="text2"/>
          <w:sz w:val="28"/>
          <w:szCs w:val="28"/>
        </w:rPr>
      </w:pPr>
      <w:r>
        <w:rPr>
          <w:rFonts w:ascii="Book Antiqua" w:hAnsi="Book Antiqua"/>
          <w:b/>
          <w:bCs/>
          <w:color w:val="44546A" w:themeColor="text2"/>
          <w:sz w:val="28"/>
          <w:szCs w:val="28"/>
        </w:rPr>
        <w:t>sur les principales caractéristiques de la population</w:t>
      </w:r>
    </w:p>
    <w:p w:rsidR="00CF1A8F" w:rsidRDefault="00CF1A8F" w:rsidP="00A050AE">
      <w:pPr>
        <w:spacing w:line="276" w:lineRule="auto"/>
        <w:jc w:val="center"/>
        <w:rPr>
          <w:rFonts w:ascii="Book Antiqua" w:hAnsi="Book Antiqua"/>
          <w:b/>
          <w:bCs/>
          <w:color w:val="44546A" w:themeColor="text2"/>
          <w:sz w:val="28"/>
          <w:szCs w:val="28"/>
        </w:rPr>
      </w:pPr>
      <w:r>
        <w:rPr>
          <w:rFonts w:ascii="Book Antiqua" w:hAnsi="Book Antiqua"/>
          <w:b/>
          <w:bCs/>
          <w:color w:val="44546A" w:themeColor="text2"/>
          <w:sz w:val="28"/>
          <w:szCs w:val="28"/>
        </w:rPr>
        <w:t>active occupée en 2020</w:t>
      </w:r>
      <w:r w:rsidR="00E66F35">
        <w:rPr>
          <w:rFonts w:ascii="Book Antiqua" w:hAnsi="Book Antiqua"/>
          <w:b/>
          <w:bCs/>
          <w:color w:val="44546A" w:themeColor="text2"/>
          <w:sz w:val="28"/>
          <w:szCs w:val="28"/>
        </w:rPr>
        <w:t xml:space="preserve">  </w:t>
      </w:r>
    </w:p>
    <w:p w:rsidR="00CF1A8F" w:rsidRDefault="00CF1A8F" w:rsidP="00CF1A8F">
      <w:pPr>
        <w:spacing w:line="276" w:lineRule="auto"/>
        <w:jc w:val="center"/>
        <w:rPr>
          <w:rFonts w:ascii="Book Antiqua" w:hAnsi="Book Antiqua"/>
          <w:b/>
          <w:bCs/>
          <w:color w:val="44546A" w:themeColor="text2"/>
          <w:sz w:val="28"/>
          <w:szCs w:val="28"/>
        </w:rPr>
      </w:pPr>
    </w:p>
    <w:p w:rsidR="004366C8" w:rsidRPr="00912E99" w:rsidRDefault="004366C8" w:rsidP="006203AC">
      <w:pPr>
        <w:spacing w:before="120" w:after="120" w:line="312" w:lineRule="auto"/>
        <w:jc w:val="both"/>
        <w:rPr>
          <w:rFonts w:ascii="Book Antiqua" w:hAnsi="Book Antiqua"/>
        </w:rPr>
      </w:pPr>
      <w:r w:rsidRPr="00912E99">
        <w:rPr>
          <w:rFonts w:ascii="Book Antiqua" w:hAnsi="Book Antiqua"/>
        </w:rPr>
        <w:t xml:space="preserve">La présente note dresse le portrait de la population active occupée </w:t>
      </w:r>
      <w:r w:rsidR="006203AC">
        <w:rPr>
          <w:rFonts w:ascii="Book Antiqua" w:hAnsi="Book Antiqua"/>
        </w:rPr>
        <w:t xml:space="preserve">en 2020, </w:t>
      </w:r>
      <w:r w:rsidRPr="00912E99">
        <w:rPr>
          <w:rFonts w:ascii="Book Antiqua" w:hAnsi="Book Antiqua"/>
        </w:rPr>
        <w:t xml:space="preserve">ses principales caractéristiques </w:t>
      </w:r>
      <w:r w:rsidR="006203AC">
        <w:rPr>
          <w:rFonts w:ascii="Book Antiqua" w:hAnsi="Book Antiqua"/>
        </w:rPr>
        <w:t>et</w:t>
      </w:r>
      <w:r w:rsidRPr="00912E99">
        <w:rPr>
          <w:rFonts w:ascii="Book Antiqua" w:hAnsi="Book Antiqua"/>
        </w:rPr>
        <w:t xml:space="preserve"> son évolution par rapport à 2019.</w:t>
      </w:r>
    </w:p>
    <w:p w:rsidR="00686893" w:rsidRPr="002469E7" w:rsidRDefault="00686893" w:rsidP="00686893">
      <w:pPr>
        <w:spacing w:before="120" w:after="120" w:line="312" w:lineRule="auto"/>
        <w:jc w:val="both"/>
        <w:rPr>
          <w:rFonts w:ascii="Book Antiqua" w:hAnsi="Book Antiqua"/>
          <w:b/>
          <w:bCs/>
          <w:color w:val="0070C0"/>
          <w:sz w:val="28"/>
          <w:szCs w:val="28"/>
        </w:rPr>
      </w:pPr>
      <w:r w:rsidRPr="002469E7">
        <w:rPr>
          <w:rFonts w:ascii="Book Antiqua" w:hAnsi="Book Antiqua"/>
          <w:b/>
          <w:bCs/>
          <w:color w:val="0070C0"/>
          <w:sz w:val="28"/>
          <w:szCs w:val="28"/>
        </w:rPr>
        <w:t>Baisse de l’emploi</w:t>
      </w:r>
    </w:p>
    <w:p w:rsidR="006203AC" w:rsidRDefault="004366C8" w:rsidP="00BE4523">
      <w:pPr>
        <w:spacing w:before="120" w:after="120" w:line="312" w:lineRule="auto"/>
        <w:jc w:val="both"/>
        <w:rPr>
          <w:rFonts w:ascii="Book Antiqua" w:hAnsi="Book Antiqua"/>
        </w:rPr>
      </w:pPr>
      <w:r w:rsidRPr="0082595B">
        <w:rPr>
          <w:rFonts w:ascii="Book Antiqua" w:hAnsi="Book Antiqua"/>
        </w:rPr>
        <w:t xml:space="preserve">Il </w:t>
      </w:r>
      <w:r>
        <w:rPr>
          <w:rFonts w:ascii="Book Antiqua" w:hAnsi="Book Antiqua"/>
        </w:rPr>
        <w:t>est à</w:t>
      </w:r>
      <w:r w:rsidRPr="0082595B">
        <w:rPr>
          <w:rFonts w:ascii="Book Antiqua" w:hAnsi="Book Antiqua"/>
        </w:rPr>
        <w:t xml:space="preserve"> rappeler </w:t>
      </w:r>
      <w:r w:rsidR="006203AC">
        <w:rPr>
          <w:rFonts w:ascii="Book Antiqua" w:hAnsi="Book Antiqua"/>
        </w:rPr>
        <w:t xml:space="preserve">que le volume d’emploi a </w:t>
      </w:r>
      <w:r w:rsidR="00BE4523">
        <w:rPr>
          <w:rFonts w:ascii="Book Antiqua" w:hAnsi="Book Antiqua"/>
        </w:rPr>
        <w:t>chuté</w:t>
      </w:r>
      <w:r w:rsidR="00203792">
        <w:rPr>
          <w:rFonts w:ascii="Book Antiqua" w:hAnsi="Book Antiqua"/>
        </w:rPr>
        <w:t>, au niveau national, de 10.975</w:t>
      </w:r>
      <w:r w:rsidR="006203AC">
        <w:rPr>
          <w:rFonts w:ascii="Book Antiqua" w:hAnsi="Book Antiqua"/>
        </w:rPr>
        <w:t>.000, en 2019, à 10.542.000 en 2020, ce qui correspond à une baisse de 3,9%.</w:t>
      </w:r>
      <w:r w:rsidR="00686893">
        <w:rPr>
          <w:rFonts w:ascii="Book Antiqua" w:hAnsi="Book Antiqua"/>
        </w:rPr>
        <w:t xml:space="preserve"> </w:t>
      </w:r>
    </w:p>
    <w:p w:rsidR="004366C8" w:rsidRDefault="00192A74" w:rsidP="00BE4523">
      <w:pPr>
        <w:spacing w:before="120" w:after="12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L</w:t>
      </w:r>
      <w:r w:rsidR="006203AC" w:rsidRPr="00172EDC">
        <w:rPr>
          <w:rFonts w:ascii="Book Antiqua" w:hAnsi="Book Antiqua" w:cstheme="majorBidi"/>
        </w:rPr>
        <w:t>’économie nationale a</w:t>
      </w:r>
      <w:r w:rsidR="00686893">
        <w:rPr>
          <w:rFonts w:ascii="Book Antiqua" w:hAnsi="Book Antiqua" w:cstheme="majorBidi"/>
        </w:rPr>
        <w:t>, ainsi,</w:t>
      </w:r>
      <w:r w:rsidR="00BE4523">
        <w:rPr>
          <w:rFonts w:ascii="Book Antiqua" w:hAnsi="Book Antiqua" w:cstheme="majorBidi"/>
        </w:rPr>
        <w:t xml:space="preserve"> perdu </w:t>
      </w:r>
      <w:r w:rsidR="006203AC" w:rsidRPr="00172EDC">
        <w:rPr>
          <w:rFonts w:ascii="Book Antiqua" w:hAnsi="Book Antiqua" w:cstheme="majorBidi"/>
        </w:rPr>
        <w:t>432.000 postes d’emplois</w:t>
      </w:r>
      <w:r w:rsidR="00686893">
        <w:rPr>
          <w:rFonts w:ascii="Book Antiqua" w:hAnsi="Book Antiqua" w:cstheme="majorBidi"/>
        </w:rPr>
        <w:t xml:space="preserve">, </w:t>
      </w:r>
      <w:r w:rsidR="00686893" w:rsidRPr="00172EDC">
        <w:rPr>
          <w:rFonts w:ascii="Book Antiqua" w:hAnsi="Book Antiqua" w:cstheme="majorBidi"/>
        </w:rPr>
        <w:t>137.000 en milieu urbain</w:t>
      </w:r>
      <w:r w:rsidR="00942D23">
        <w:rPr>
          <w:rFonts w:ascii="Book Antiqua" w:hAnsi="Book Antiqua" w:cstheme="majorBidi"/>
        </w:rPr>
        <w:t xml:space="preserve"> </w:t>
      </w:r>
      <w:r w:rsidR="00686893">
        <w:rPr>
          <w:rFonts w:ascii="Book Antiqua" w:hAnsi="Book Antiqua" w:cstheme="majorBidi"/>
        </w:rPr>
        <w:t>(-2,2%)</w:t>
      </w:r>
      <w:r w:rsidR="00686893" w:rsidRPr="00172EDC">
        <w:rPr>
          <w:rFonts w:ascii="Book Antiqua" w:hAnsi="Book Antiqua" w:cstheme="majorBidi"/>
        </w:rPr>
        <w:t xml:space="preserve"> et 295.000 en milieu rural</w:t>
      </w:r>
      <w:r w:rsidR="00686893">
        <w:rPr>
          <w:rFonts w:ascii="Book Antiqua" w:hAnsi="Book Antiqua" w:cstheme="majorBidi"/>
        </w:rPr>
        <w:t xml:space="preserve"> (-6,3%</w:t>
      </w:r>
      <w:r w:rsidR="00686893" w:rsidRPr="00172EDC">
        <w:rPr>
          <w:rFonts w:ascii="Book Antiqua" w:hAnsi="Book Antiqua" w:cstheme="majorBidi"/>
        </w:rPr>
        <w:t>)</w:t>
      </w:r>
      <w:r w:rsidR="00686893">
        <w:rPr>
          <w:rFonts w:ascii="Book Antiqua" w:hAnsi="Book Antiqua" w:cstheme="majorBidi"/>
        </w:rPr>
        <w:t>,</w:t>
      </w:r>
      <w:r w:rsidR="002469E7">
        <w:rPr>
          <w:rFonts w:ascii="Book Antiqua" w:hAnsi="Book Antiqua" w:cstheme="majorBidi"/>
        </w:rPr>
        <w:t xml:space="preserve"> </w:t>
      </w:r>
      <w:r w:rsidR="004366C8" w:rsidRPr="004366C8">
        <w:rPr>
          <w:rFonts w:ascii="Book Antiqua" w:hAnsi="Book Antiqua"/>
        </w:rPr>
        <w:t>après</w:t>
      </w:r>
      <w:r w:rsidR="00615950">
        <w:rPr>
          <w:rFonts w:ascii="Book Antiqua" w:hAnsi="Book Antiqua"/>
        </w:rPr>
        <w:t xml:space="preserve"> </w:t>
      </w:r>
      <w:r w:rsidR="006203AC">
        <w:rPr>
          <w:rFonts w:ascii="Book Antiqua" w:hAnsi="Book Antiqua" w:cstheme="majorBidi"/>
        </w:rPr>
        <w:t>une création annuelle</w:t>
      </w:r>
      <w:r w:rsidR="004366C8" w:rsidRPr="00172EDC">
        <w:rPr>
          <w:rFonts w:ascii="Book Antiqua" w:hAnsi="Book Antiqua" w:cstheme="majorBidi"/>
        </w:rPr>
        <w:t xml:space="preserve"> moyenne </w:t>
      </w:r>
      <w:r w:rsidR="006203AC">
        <w:rPr>
          <w:rFonts w:ascii="Book Antiqua" w:hAnsi="Book Antiqua" w:cstheme="majorBidi"/>
        </w:rPr>
        <w:t xml:space="preserve">de </w:t>
      </w:r>
      <w:r w:rsidR="004366C8" w:rsidRPr="00172EDC">
        <w:rPr>
          <w:rFonts w:ascii="Book Antiqua" w:hAnsi="Book Antiqua" w:cstheme="majorBidi"/>
        </w:rPr>
        <w:t xml:space="preserve">121.000 </w:t>
      </w:r>
      <w:r w:rsidR="006203AC">
        <w:rPr>
          <w:rFonts w:ascii="Book Antiqua" w:hAnsi="Book Antiqua" w:cstheme="majorBidi"/>
        </w:rPr>
        <w:t xml:space="preserve">postes </w:t>
      </w:r>
      <w:r w:rsidR="004366C8" w:rsidRPr="00172EDC">
        <w:rPr>
          <w:rFonts w:ascii="Book Antiqua" w:hAnsi="Book Antiqua" w:cstheme="majorBidi"/>
        </w:rPr>
        <w:t>au cours de</w:t>
      </w:r>
      <w:r w:rsidR="00686893">
        <w:rPr>
          <w:rFonts w:ascii="Book Antiqua" w:hAnsi="Book Antiqua" w:cstheme="majorBidi"/>
        </w:rPr>
        <w:t xml:space="preserve"> la période 2017-2019</w:t>
      </w:r>
      <w:r w:rsidR="009F1E5C">
        <w:rPr>
          <w:rFonts w:ascii="Book Antiqua" w:hAnsi="Book Antiqua" w:cstheme="majorBidi"/>
        </w:rPr>
        <w:t>.</w:t>
      </w:r>
    </w:p>
    <w:p w:rsidR="00722B00" w:rsidRPr="00326D33" w:rsidRDefault="00722B00" w:rsidP="00722B00">
      <w:pPr>
        <w:spacing w:after="160" w:line="259" w:lineRule="auto"/>
        <w:rPr>
          <w:rFonts w:ascii="Book Antiqua" w:hAnsi="Book Antiqua"/>
          <w:b/>
          <w:bCs/>
          <w:color w:val="44546A" w:themeColor="text2"/>
          <w:sz w:val="22"/>
          <w:szCs w:val="22"/>
        </w:rPr>
      </w:pPr>
      <w:r w:rsidRPr="00326D33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Graphique </w:t>
      </w:r>
      <w:r>
        <w:rPr>
          <w:rFonts w:ascii="Book Antiqua" w:hAnsi="Book Antiqua"/>
          <w:b/>
          <w:bCs/>
          <w:color w:val="44546A" w:themeColor="text2"/>
          <w:sz w:val="22"/>
          <w:szCs w:val="22"/>
        </w:rPr>
        <w:t>1</w:t>
      </w:r>
      <w:r w:rsidRPr="00326D33">
        <w:rPr>
          <w:rFonts w:ascii="Book Antiqua" w:hAnsi="Book Antiqua"/>
          <w:b/>
          <w:bCs/>
          <w:color w:val="44546A" w:themeColor="text2"/>
          <w:sz w:val="22"/>
          <w:szCs w:val="22"/>
        </w:rPr>
        <w:t> : Variation absolue et relative de la création/perte des postes d’emploi depuis l’année 2017</w:t>
      </w:r>
    </w:p>
    <w:p w:rsidR="00722B00" w:rsidRDefault="00722B00" w:rsidP="00BE4523">
      <w:pPr>
        <w:spacing w:before="120" w:after="120" w:line="312" w:lineRule="auto"/>
        <w:jc w:val="both"/>
        <w:rPr>
          <w:rFonts w:ascii="Book Antiqua" w:hAnsi="Book Antiqua" w:cstheme="majorBidi"/>
        </w:rPr>
      </w:pPr>
      <w:r w:rsidRPr="00DB1E15">
        <w:rPr>
          <w:rFonts w:ascii="Book Antiqua" w:hAnsi="Book Antiqua"/>
          <w:noProof/>
        </w:rPr>
        <w:drawing>
          <wp:inline distT="0" distB="0" distL="0" distR="0">
            <wp:extent cx="5760720" cy="2169654"/>
            <wp:effectExtent l="0" t="0" r="0" b="0"/>
            <wp:docPr id="2" name="Graphique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22B00" w:rsidRDefault="00722B00" w:rsidP="00BE4523">
      <w:pPr>
        <w:spacing w:before="120" w:after="120" w:line="312" w:lineRule="auto"/>
        <w:jc w:val="both"/>
        <w:rPr>
          <w:rFonts w:ascii="Book Antiqua" w:hAnsi="Book Antiqua" w:cstheme="majorBidi"/>
        </w:rPr>
      </w:pPr>
    </w:p>
    <w:p w:rsidR="00660FF2" w:rsidRDefault="009F1E5C" w:rsidP="00BE4523">
      <w:pPr>
        <w:spacing w:before="120" w:after="12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</w:t>
      </w:r>
      <w:r w:rsidR="00BE4523">
        <w:rPr>
          <w:rFonts w:ascii="Book Antiqua" w:hAnsi="Book Antiqua"/>
        </w:rPr>
        <w:t>n 2020, 41,8% des</w:t>
      </w:r>
      <w:r w:rsidR="00660FF2" w:rsidRPr="00F07D51">
        <w:rPr>
          <w:rFonts w:ascii="Book Antiqua" w:hAnsi="Book Antiqua"/>
        </w:rPr>
        <w:t xml:space="preserve"> actifs occupés sont des ruraux et </w:t>
      </w:r>
      <w:r w:rsidR="00F37627">
        <w:rPr>
          <w:rFonts w:ascii="Book Antiqua" w:hAnsi="Book Antiqua"/>
        </w:rPr>
        <w:t>21</w:t>
      </w:r>
      <w:r w:rsidR="00660FF2" w:rsidRPr="00F07D51">
        <w:rPr>
          <w:rFonts w:ascii="Book Antiqua" w:hAnsi="Book Antiqua"/>
        </w:rPr>
        <w:t>,</w:t>
      </w:r>
      <w:r w:rsidR="00F37627">
        <w:rPr>
          <w:rFonts w:ascii="Book Antiqua" w:hAnsi="Book Antiqua"/>
        </w:rPr>
        <w:t>5</w:t>
      </w:r>
      <w:r w:rsidR="00660FF2" w:rsidRPr="00F07D51">
        <w:rPr>
          <w:rFonts w:ascii="Book Antiqua" w:hAnsi="Book Antiqua"/>
        </w:rPr>
        <w:t>% de sexe féminin (22,</w:t>
      </w:r>
      <w:r w:rsidR="00203792">
        <w:rPr>
          <w:rFonts w:ascii="Book Antiqua" w:hAnsi="Book Antiqua"/>
        </w:rPr>
        <w:t>7</w:t>
      </w:r>
      <w:r w:rsidR="00660FF2" w:rsidRPr="00F07D51">
        <w:rPr>
          <w:rFonts w:ascii="Book Antiqua" w:hAnsi="Book Antiqua"/>
        </w:rPr>
        <w:t xml:space="preserve">% une année auparavant). Les jeunes âgés de 15 à 34 ans </w:t>
      </w:r>
      <w:r w:rsidR="00BE4523">
        <w:rPr>
          <w:rFonts w:ascii="Book Antiqua" w:hAnsi="Book Antiqua"/>
        </w:rPr>
        <w:t xml:space="preserve">représentent </w:t>
      </w:r>
      <w:r w:rsidR="008314E5" w:rsidRPr="00F07D51">
        <w:rPr>
          <w:rFonts w:ascii="Book Antiqua" w:hAnsi="Book Antiqua"/>
        </w:rPr>
        <w:t>35</w:t>
      </w:r>
      <w:r w:rsidR="00660FF2" w:rsidRPr="00F07D51">
        <w:rPr>
          <w:rFonts w:ascii="Book Antiqua" w:hAnsi="Book Antiqua"/>
        </w:rPr>
        <w:t>,</w:t>
      </w:r>
      <w:r w:rsidR="008E0BD9">
        <w:rPr>
          <w:rFonts w:ascii="Book Antiqua" w:hAnsi="Book Antiqua"/>
        </w:rPr>
        <w:t>1</w:t>
      </w:r>
      <w:r w:rsidR="00660FF2" w:rsidRPr="00F07D51">
        <w:rPr>
          <w:rFonts w:ascii="Book Antiqua" w:hAnsi="Book Antiqua"/>
        </w:rPr>
        <w:t>% du volume total d</w:t>
      </w:r>
      <w:r w:rsidR="00BE4523">
        <w:rPr>
          <w:rFonts w:ascii="Book Antiqua" w:hAnsi="Book Antiqua"/>
        </w:rPr>
        <w:t>’</w:t>
      </w:r>
      <w:r w:rsidR="00660FF2" w:rsidRPr="00F07D51">
        <w:rPr>
          <w:rFonts w:ascii="Book Antiqua" w:hAnsi="Book Antiqua"/>
        </w:rPr>
        <w:t>emploi</w:t>
      </w:r>
      <w:r w:rsidR="00BE4523">
        <w:rPr>
          <w:rFonts w:ascii="Book Antiqua" w:hAnsi="Book Antiqua"/>
        </w:rPr>
        <w:t>, ceux âgés de</w:t>
      </w:r>
      <w:r w:rsidR="00BE4523" w:rsidRPr="00F07D51">
        <w:rPr>
          <w:rFonts w:ascii="Book Antiqua" w:hAnsi="Book Antiqua"/>
        </w:rPr>
        <w:t xml:space="preserve"> </w:t>
      </w:r>
      <w:r w:rsidR="00660FF2" w:rsidRPr="00F07D51">
        <w:rPr>
          <w:rFonts w:ascii="Book Antiqua" w:hAnsi="Book Antiqua"/>
        </w:rPr>
        <w:t>15</w:t>
      </w:r>
      <w:r w:rsidR="00BE4523">
        <w:rPr>
          <w:rFonts w:ascii="Book Antiqua" w:hAnsi="Book Antiqua"/>
        </w:rPr>
        <w:t xml:space="preserve"> à </w:t>
      </w:r>
      <w:r w:rsidR="00660FF2" w:rsidRPr="00F07D51">
        <w:rPr>
          <w:rFonts w:ascii="Book Antiqua" w:hAnsi="Book Antiqua"/>
        </w:rPr>
        <w:t xml:space="preserve">24 ans </w:t>
      </w:r>
      <w:r w:rsidR="00BE4523">
        <w:rPr>
          <w:rFonts w:ascii="Book Antiqua" w:hAnsi="Book Antiqua"/>
        </w:rPr>
        <w:t>9</w:t>
      </w:r>
      <w:r w:rsidR="00BE4523" w:rsidRPr="00F07D51">
        <w:rPr>
          <w:rFonts w:ascii="Book Antiqua" w:hAnsi="Book Antiqua"/>
        </w:rPr>
        <w:t xml:space="preserve">% </w:t>
      </w:r>
      <w:r w:rsidR="00660FF2" w:rsidRPr="00F07D51">
        <w:rPr>
          <w:rFonts w:ascii="Book Antiqua" w:hAnsi="Book Antiqua"/>
        </w:rPr>
        <w:t xml:space="preserve">et </w:t>
      </w:r>
      <w:r w:rsidR="00BE4523">
        <w:rPr>
          <w:rFonts w:ascii="Book Antiqua" w:hAnsi="Book Antiqua"/>
        </w:rPr>
        <w:t xml:space="preserve">ceux de </w:t>
      </w:r>
      <w:r w:rsidR="00660FF2" w:rsidRPr="00F07D51">
        <w:rPr>
          <w:rFonts w:ascii="Book Antiqua" w:hAnsi="Book Antiqua"/>
        </w:rPr>
        <w:t>25-34 ans</w:t>
      </w:r>
      <w:r w:rsidR="00BE4523">
        <w:rPr>
          <w:rFonts w:ascii="Book Antiqua" w:hAnsi="Book Antiqua"/>
        </w:rPr>
        <w:t xml:space="preserve"> </w:t>
      </w:r>
      <w:r w:rsidR="00BE4523" w:rsidRPr="00F07D51">
        <w:rPr>
          <w:rFonts w:ascii="Book Antiqua" w:hAnsi="Book Antiqua"/>
        </w:rPr>
        <w:t>26,</w:t>
      </w:r>
      <w:r w:rsidR="00BE4523">
        <w:rPr>
          <w:rFonts w:ascii="Book Antiqua" w:hAnsi="Book Antiqua"/>
        </w:rPr>
        <w:t>1</w:t>
      </w:r>
      <w:r w:rsidR="00BE4523" w:rsidRPr="00F07D51">
        <w:rPr>
          <w:rFonts w:ascii="Book Antiqua" w:hAnsi="Book Antiqua"/>
        </w:rPr>
        <w:t>%</w:t>
      </w:r>
      <w:r w:rsidR="00660FF2" w:rsidRPr="00F07D51">
        <w:rPr>
          <w:rFonts w:ascii="Book Antiqua" w:hAnsi="Book Antiqua"/>
        </w:rPr>
        <w:t>.</w:t>
      </w:r>
    </w:p>
    <w:p w:rsidR="000B45D0" w:rsidRPr="000B45D0" w:rsidRDefault="00565776" w:rsidP="009F1E5C">
      <w:pPr>
        <w:spacing w:after="200" w:line="276" w:lineRule="auto"/>
        <w:jc w:val="center"/>
        <w:rPr>
          <w:rFonts w:ascii="Book Antiqua" w:hAnsi="Book Antiqua"/>
          <w:b/>
          <w:bCs/>
          <w:color w:val="44546A" w:themeColor="text2"/>
          <w:sz w:val="22"/>
          <w:szCs w:val="22"/>
        </w:rPr>
      </w:pPr>
      <w:r>
        <w:rPr>
          <w:rFonts w:ascii="Book Antiqua" w:hAnsi="Book Antiqua"/>
          <w:b/>
          <w:bCs/>
          <w:color w:val="44546A" w:themeColor="text2"/>
          <w:sz w:val="22"/>
          <w:szCs w:val="22"/>
        </w:rPr>
        <w:lastRenderedPageBreak/>
        <w:t xml:space="preserve">Graphique </w:t>
      </w:r>
      <w:r w:rsidR="00722B00">
        <w:rPr>
          <w:rFonts w:ascii="Book Antiqua" w:hAnsi="Book Antiqua"/>
          <w:b/>
          <w:bCs/>
          <w:color w:val="44546A" w:themeColor="text2"/>
          <w:sz w:val="22"/>
          <w:szCs w:val="22"/>
        </w:rPr>
        <w:t>2</w:t>
      </w:r>
      <w:r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 : </w:t>
      </w:r>
      <w:r w:rsidR="000B45D0" w:rsidRPr="000B45D0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Evolution du taux d’emploi (en %) </w:t>
      </w:r>
      <w:r w:rsidR="00BE4523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selon le </w:t>
      </w:r>
      <w:r w:rsidR="00CF1A8F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milieu de </w:t>
      </w:r>
      <w:r w:rsidR="009B4A4D">
        <w:rPr>
          <w:rFonts w:ascii="Book Antiqua" w:hAnsi="Book Antiqua"/>
          <w:b/>
          <w:bCs/>
          <w:color w:val="44546A" w:themeColor="text2"/>
          <w:sz w:val="22"/>
          <w:szCs w:val="22"/>
        </w:rPr>
        <w:t>résidence</w:t>
      </w:r>
      <w:r w:rsidR="00615950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 </w:t>
      </w:r>
      <w:r w:rsidR="00BE4523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entre </w:t>
      </w:r>
      <w:r w:rsidR="000B45D0" w:rsidRPr="000B45D0">
        <w:rPr>
          <w:rFonts w:ascii="Book Antiqua" w:hAnsi="Book Antiqua"/>
          <w:b/>
          <w:bCs/>
          <w:color w:val="44546A" w:themeColor="text2"/>
          <w:sz w:val="22"/>
          <w:szCs w:val="22"/>
        </w:rPr>
        <w:t>2017</w:t>
      </w:r>
      <w:r w:rsidR="00BE4523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 et 2020</w:t>
      </w:r>
    </w:p>
    <w:p w:rsidR="000B45D0" w:rsidRDefault="00CF1A8F" w:rsidP="000B45D0">
      <w:pPr>
        <w:spacing w:before="240" w:line="312" w:lineRule="auto"/>
        <w:jc w:val="center"/>
        <w:rPr>
          <w:rFonts w:ascii="Book Antiqua" w:hAnsi="Book Antiqua"/>
        </w:rPr>
      </w:pPr>
      <w:r>
        <w:rPr>
          <w:noProof/>
        </w:rPr>
        <w:drawing>
          <wp:inline distT="0" distB="0" distL="0" distR="0">
            <wp:extent cx="5698490" cy="2232291"/>
            <wp:effectExtent l="0" t="0" r="0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68B3D3C-E25C-49AC-80F3-796AD38C03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1A0F" w:rsidRDefault="00B91A0F" w:rsidP="00222D48">
      <w:pPr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Si la baisse du taux d’emploi a été</w:t>
      </w:r>
      <w:r w:rsidRPr="00B91A0F">
        <w:rPr>
          <w:rFonts w:ascii="Book Antiqua" w:hAnsi="Book Antiqua"/>
        </w:rPr>
        <w:t xml:space="preserve"> </w:t>
      </w:r>
      <w:r w:rsidR="00203792">
        <w:rPr>
          <w:rFonts w:ascii="Book Antiqua" w:hAnsi="Book Antiqua"/>
        </w:rPr>
        <w:t>de 0,3 point, durant les trois</w:t>
      </w:r>
      <w:r>
        <w:rPr>
          <w:rFonts w:ascii="Book Antiqua" w:hAnsi="Book Antiqua"/>
        </w:rPr>
        <w:t xml:space="preserve"> années 2017-2019, (passant de 41,9% à 41,6%), elle a été de 2,2 points, entre 2019 et 2020, passant de 41,6% à 39,4%. </w:t>
      </w:r>
    </w:p>
    <w:p w:rsidR="00222D48" w:rsidRDefault="00BE4523" w:rsidP="00222D48">
      <w:pPr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Entre 201</w:t>
      </w:r>
      <w:r w:rsidR="00222D48">
        <w:rPr>
          <w:rFonts w:ascii="Book Antiqua" w:hAnsi="Book Antiqua"/>
        </w:rPr>
        <w:t>9</w:t>
      </w:r>
      <w:r>
        <w:rPr>
          <w:rFonts w:ascii="Book Antiqua" w:hAnsi="Book Antiqua"/>
        </w:rPr>
        <w:t xml:space="preserve"> et 2020, </w:t>
      </w:r>
      <w:r w:rsidR="00222D48">
        <w:rPr>
          <w:rFonts w:ascii="Book Antiqua" w:hAnsi="Book Antiqua"/>
        </w:rPr>
        <w:t>le recul du</w:t>
      </w:r>
      <w:r w:rsidR="002A06DF" w:rsidRPr="002A06DF">
        <w:rPr>
          <w:rFonts w:ascii="Book Antiqua" w:hAnsi="Book Antiqua"/>
        </w:rPr>
        <w:t xml:space="preserve"> taux d’emploi </w:t>
      </w:r>
      <w:r w:rsidR="00222D48">
        <w:rPr>
          <w:rFonts w:ascii="Book Antiqua" w:hAnsi="Book Antiqua"/>
        </w:rPr>
        <w:t xml:space="preserve">a été nettement plus important en milieu rural avec une baisse de 3,2 points, de 50,3% à 47%, qu’en milieu urbain où ce taux a chuté de 1,6 point, passant </w:t>
      </w:r>
      <w:r w:rsidR="009B4A4D">
        <w:rPr>
          <w:rFonts w:ascii="Book Antiqua" w:hAnsi="Book Antiqua"/>
        </w:rPr>
        <w:t xml:space="preserve">de </w:t>
      </w:r>
      <w:r w:rsidR="00222D48">
        <w:rPr>
          <w:rFonts w:ascii="Book Antiqua" w:hAnsi="Book Antiqua"/>
        </w:rPr>
        <w:t>36,9</w:t>
      </w:r>
      <w:r w:rsidR="002A06DF" w:rsidRPr="002A06DF">
        <w:rPr>
          <w:rFonts w:ascii="Book Antiqua" w:hAnsi="Book Antiqua"/>
        </w:rPr>
        <w:t xml:space="preserve">% à </w:t>
      </w:r>
      <w:r w:rsidR="00222D48">
        <w:rPr>
          <w:rFonts w:ascii="Book Antiqua" w:hAnsi="Book Antiqua"/>
        </w:rPr>
        <w:t>35,3%.</w:t>
      </w:r>
    </w:p>
    <w:p w:rsidR="002A06DF" w:rsidRDefault="00222D48" w:rsidP="00593836">
      <w:pPr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L</w:t>
      </w:r>
      <w:r w:rsidR="002A06DF" w:rsidRPr="002A06DF">
        <w:rPr>
          <w:rFonts w:ascii="Book Antiqua" w:hAnsi="Book Antiqua"/>
        </w:rPr>
        <w:t xml:space="preserve">a baisse </w:t>
      </w:r>
      <w:r>
        <w:rPr>
          <w:rFonts w:ascii="Book Antiqua" w:hAnsi="Book Antiqua"/>
        </w:rPr>
        <w:t>du</w:t>
      </w:r>
      <w:r w:rsidR="002A06DF" w:rsidRPr="002A06DF">
        <w:rPr>
          <w:rFonts w:ascii="Book Antiqua" w:hAnsi="Book Antiqua"/>
        </w:rPr>
        <w:t xml:space="preserve"> taux </w:t>
      </w:r>
      <w:r>
        <w:rPr>
          <w:rFonts w:ascii="Book Antiqua" w:hAnsi="Book Antiqua"/>
        </w:rPr>
        <w:t xml:space="preserve">d’emploi </w:t>
      </w:r>
      <w:r w:rsidR="002A06DF" w:rsidRPr="002A06DF">
        <w:rPr>
          <w:rFonts w:ascii="Book Antiqua" w:hAnsi="Book Antiqua"/>
        </w:rPr>
        <w:t xml:space="preserve">a été </w:t>
      </w:r>
      <w:r>
        <w:rPr>
          <w:rFonts w:ascii="Book Antiqua" w:hAnsi="Book Antiqua"/>
        </w:rPr>
        <w:t xml:space="preserve">également </w:t>
      </w:r>
      <w:r w:rsidR="002A06DF" w:rsidRPr="002A06DF">
        <w:rPr>
          <w:rFonts w:ascii="Book Antiqua" w:hAnsi="Book Antiqua"/>
        </w:rPr>
        <w:t xml:space="preserve">plus accentuée parmi les hommes (2,6 points) </w:t>
      </w:r>
      <w:r w:rsidR="008E34C3">
        <w:rPr>
          <w:rFonts w:ascii="Book Antiqua" w:hAnsi="Book Antiqua"/>
        </w:rPr>
        <w:t>que les femmes (1,9 point</w:t>
      </w:r>
      <w:r w:rsidR="002A06DF" w:rsidRPr="002A06DF">
        <w:rPr>
          <w:rFonts w:ascii="Book Antiqua" w:hAnsi="Book Antiqua"/>
        </w:rPr>
        <w:t xml:space="preserve">). </w:t>
      </w:r>
    </w:p>
    <w:p w:rsidR="002A06DF" w:rsidRPr="007714CC" w:rsidRDefault="00565776" w:rsidP="00722B00">
      <w:pPr>
        <w:spacing w:after="160" w:line="259" w:lineRule="auto"/>
        <w:rPr>
          <w:rFonts w:ascii="Book Antiqua" w:hAnsi="Book Antiqua"/>
          <w:color w:val="00B050"/>
        </w:rPr>
      </w:pPr>
      <w:r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Graphique </w:t>
      </w:r>
      <w:r w:rsidR="00722B00">
        <w:rPr>
          <w:rFonts w:ascii="Book Antiqua" w:hAnsi="Book Antiqua"/>
          <w:b/>
          <w:bCs/>
          <w:color w:val="44546A" w:themeColor="text2"/>
          <w:sz w:val="22"/>
          <w:szCs w:val="22"/>
        </w:rPr>
        <w:t>3</w:t>
      </w:r>
      <w:r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 : </w:t>
      </w:r>
      <w:r w:rsidR="002A06DF" w:rsidRPr="007714CC">
        <w:rPr>
          <w:rFonts w:ascii="Book Antiqua" w:hAnsi="Book Antiqua"/>
          <w:b/>
          <w:bCs/>
          <w:color w:val="44546A" w:themeColor="text2"/>
          <w:sz w:val="22"/>
          <w:szCs w:val="22"/>
        </w:rPr>
        <w:t>Taux d’emploi selon l’âge et le milieu de résidence (%)</w:t>
      </w:r>
    </w:p>
    <w:p w:rsidR="003B7109" w:rsidRDefault="002A06DF" w:rsidP="00CF1A8F">
      <w:pPr>
        <w:spacing w:after="200" w:line="276" w:lineRule="auto"/>
        <w:jc w:val="center"/>
        <w:rPr>
          <w:rFonts w:ascii="Book Antiqua" w:hAnsi="Book Antiqua"/>
        </w:rPr>
      </w:pPr>
      <w:r>
        <w:rPr>
          <w:noProof/>
        </w:rPr>
        <w:drawing>
          <wp:inline distT="0" distB="0" distL="0" distR="0">
            <wp:extent cx="5266690" cy="2342147"/>
            <wp:effectExtent l="0" t="0" r="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B7109" w:rsidRPr="00F07D51" w:rsidRDefault="003B7109" w:rsidP="00593836">
      <w:pPr>
        <w:spacing w:before="240" w:line="312" w:lineRule="auto"/>
        <w:jc w:val="both"/>
        <w:rPr>
          <w:rFonts w:ascii="Book Antiqua" w:hAnsi="Book Antiqua"/>
        </w:rPr>
      </w:pPr>
      <w:r w:rsidRPr="00F07D51">
        <w:rPr>
          <w:rFonts w:ascii="Book Antiqua" w:hAnsi="Book Antiqua"/>
        </w:rPr>
        <w:t>La répartition des actifs occupés</w:t>
      </w:r>
      <w:r w:rsidR="00615950">
        <w:rPr>
          <w:rFonts w:ascii="Book Antiqua" w:hAnsi="Book Antiqua"/>
        </w:rPr>
        <w:t xml:space="preserve"> </w:t>
      </w:r>
      <w:r w:rsidRPr="00764994">
        <w:rPr>
          <w:rFonts w:ascii="Book Antiqua" w:hAnsi="Book Antiqua"/>
        </w:rPr>
        <w:t>selon le secteur d’activité</w:t>
      </w:r>
      <w:r w:rsidRPr="00F07D51">
        <w:rPr>
          <w:rFonts w:ascii="Book Antiqua" w:hAnsi="Book Antiqua"/>
        </w:rPr>
        <w:t xml:space="preserve"> montre que le secteur des services </w:t>
      </w:r>
      <w:r w:rsidR="00593836">
        <w:rPr>
          <w:rFonts w:ascii="Book Antiqua" w:hAnsi="Book Antiqua"/>
        </w:rPr>
        <w:t xml:space="preserve">se situe en première position avec </w:t>
      </w:r>
      <w:r w:rsidRPr="00F07D51">
        <w:rPr>
          <w:rFonts w:ascii="Book Antiqua" w:hAnsi="Book Antiqua"/>
        </w:rPr>
        <w:t>4.</w:t>
      </w:r>
      <w:r>
        <w:rPr>
          <w:rFonts w:ascii="Book Antiqua" w:hAnsi="Book Antiqua"/>
        </w:rPr>
        <w:t>820</w:t>
      </w:r>
      <w:r w:rsidRPr="00F07D51">
        <w:rPr>
          <w:rFonts w:ascii="Book Antiqua" w:hAnsi="Book Antiqua"/>
        </w:rPr>
        <w:t xml:space="preserve">.000 personnes </w:t>
      </w:r>
      <w:r w:rsidR="00593836">
        <w:rPr>
          <w:rFonts w:ascii="Book Antiqua" w:hAnsi="Book Antiqua"/>
        </w:rPr>
        <w:t xml:space="preserve">et une part de </w:t>
      </w:r>
      <w:r w:rsidRPr="00F07D51">
        <w:rPr>
          <w:rFonts w:ascii="Book Antiqua" w:hAnsi="Book Antiqua"/>
        </w:rPr>
        <w:t>4</w:t>
      </w:r>
      <w:r>
        <w:rPr>
          <w:rFonts w:ascii="Book Antiqua" w:hAnsi="Book Antiqua"/>
        </w:rPr>
        <w:t>5</w:t>
      </w:r>
      <w:r w:rsidRPr="00F07D51">
        <w:rPr>
          <w:rFonts w:ascii="Book Antiqua" w:hAnsi="Book Antiqua"/>
        </w:rPr>
        <w:t>,</w:t>
      </w:r>
      <w:r>
        <w:rPr>
          <w:rFonts w:ascii="Book Antiqua" w:hAnsi="Book Antiqua"/>
        </w:rPr>
        <w:t>7</w:t>
      </w:r>
      <w:r w:rsidRPr="00F07D51">
        <w:rPr>
          <w:rFonts w:ascii="Book Antiqua" w:hAnsi="Book Antiqua"/>
        </w:rPr>
        <w:t>%, suivi de l’"agric</w:t>
      </w:r>
      <w:r>
        <w:rPr>
          <w:rFonts w:ascii="Book Antiqua" w:hAnsi="Book Antiqua"/>
        </w:rPr>
        <w:t>ulture, forêt et pêche" avec 3.295</w:t>
      </w:r>
      <w:r w:rsidRPr="00F07D51">
        <w:rPr>
          <w:rFonts w:ascii="Book Antiqua" w:hAnsi="Book Antiqua"/>
        </w:rPr>
        <w:t xml:space="preserve">.000 personnes </w:t>
      </w:r>
      <w:r w:rsidR="00593836">
        <w:rPr>
          <w:rFonts w:ascii="Book Antiqua" w:hAnsi="Book Antiqua"/>
        </w:rPr>
        <w:t>(</w:t>
      </w:r>
      <w:r w:rsidRPr="00F07D51">
        <w:rPr>
          <w:rFonts w:ascii="Book Antiqua" w:hAnsi="Book Antiqua"/>
        </w:rPr>
        <w:t>3</w:t>
      </w:r>
      <w:r>
        <w:rPr>
          <w:rFonts w:ascii="Book Antiqua" w:hAnsi="Book Antiqua"/>
        </w:rPr>
        <w:t>1,3</w:t>
      </w:r>
      <w:r w:rsidRPr="00F07D51">
        <w:rPr>
          <w:rFonts w:ascii="Book Antiqua" w:hAnsi="Book Antiqua"/>
        </w:rPr>
        <w:t>%</w:t>
      </w:r>
      <w:r w:rsidR="00593836">
        <w:rPr>
          <w:rFonts w:ascii="Book Antiqua" w:hAnsi="Book Antiqua"/>
        </w:rPr>
        <w:t>)</w:t>
      </w:r>
      <w:r w:rsidRPr="00F07D51">
        <w:rPr>
          <w:rFonts w:ascii="Book Antiqua" w:hAnsi="Book Antiqua"/>
        </w:rPr>
        <w:t>, de l’indust</w:t>
      </w:r>
      <w:r>
        <w:rPr>
          <w:rFonts w:ascii="Book Antiqua" w:hAnsi="Book Antiqua"/>
        </w:rPr>
        <w:t xml:space="preserve">rie y compris l’artisanat </w:t>
      </w:r>
      <w:r w:rsidR="00593836">
        <w:rPr>
          <w:rFonts w:ascii="Book Antiqua" w:hAnsi="Book Antiqua"/>
        </w:rPr>
        <w:t xml:space="preserve">avec </w:t>
      </w:r>
      <w:r>
        <w:rPr>
          <w:rFonts w:ascii="Book Antiqua" w:hAnsi="Book Antiqua"/>
        </w:rPr>
        <w:t>1.280</w:t>
      </w:r>
      <w:r w:rsidRPr="00F07D51">
        <w:rPr>
          <w:rFonts w:ascii="Book Antiqua" w:hAnsi="Book Antiqua"/>
        </w:rPr>
        <w:t xml:space="preserve">.000 personnes </w:t>
      </w:r>
      <w:r w:rsidR="00593836">
        <w:rPr>
          <w:rFonts w:ascii="Book Antiqua" w:hAnsi="Book Antiqua"/>
        </w:rPr>
        <w:t>(</w:t>
      </w:r>
      <w:r>
        <w:rPr>
          <w:rFonts w:ascii="Book Antiqua" w:hAnsi="Book Antiqua"/>
        </w:rPr>
        <w:t>12</w:t>
      </w:r>
      <w:r w:rsidRPr="00F07D51">
        <w:rPr>
          <w:rFonts w:ascii="Book Antiqua" w:hAnsi="Book Antiqua"/>
        </w:rPr>
        <w:t>,</w:t>
      </w:r>
      <w:r>
        <w:rPr>
          <w:rFonts w:ascii="Book Antiqua" w:hAnsi="Book Antiqua"/>
        </w:rPr>
        <w:t>1</w:t>
      </w:r>
      <w:r w:rsidRPr="00F07D51">
        <w:rPr>
          <w:rFonts w:ascii="Book Antiqua" w:hAnsi="Book Antiqua"/>
        </w:rPr>
        <w:t>%) et</w:t>
      </w:r>
      <w:r w:rsidR="00593836">
        <w:rPr>
          <w:rFonts w:ascii="Book Antiqua" w:hAnsi="Book Antiqua"/>
        </w:rPr>
        <w:t>,</w:t>
      </w:r>
      <w:r w:rsidRPr="00F07D5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enfin</w:t>
      </w:r>
      <w:r w:rsidR="0059383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</w:t>
      </w:r>
      <w:r w:rsidRPr="00F07D51">
        <w:rPr>
          <w:rFonts w:ascii="Book Antiqua" w:hAnsi="Book Antiqua"/>
        </w:rPr>
        <w:t xml:space="preserve">des BTP </w:t>
      </w:r>
      <w:r w:rsidR="00593836">
        <w:rPr>
          <w:rFonts w:ascii="Book Antiqua" w:hAnsi="Book Antiqua"/>
        </w:rPr>
        <w:t xml:space="preserve">avec </w:t>
      </w:r>
      <w:r w:rsidRPr="00F07D51">
        <w:rPr>
          <w:rFonts w:ascii="Book Antiqua" w:hAnsi="Book Antiqua"/>
        </w:rPr>
        <w:lastRenderedPageBreak/>
        <w:t>1.1</w:t>
      </w:r>
      <w:r>
        <w:rPr>
          <w:rFonts w:ascii="Book Antiqua" w:hAnsi="Book Antiqua"/>
        </w:rPr>
        <w:t xml:space="preserve">39.000 personnes </w:t>
      </w:r>
      <w:r w:rsidR="00593836">
        <w:rPr>
          <w:rFonts w:ascii="Book Antiqua" w:hAnsi="Book Antiqua"/>
        </w:rPr>
        <w:t>(</w:t>
      </w:r>
      <w:r>
        <w:rPr>
          <w:rFonts w:ascii="Book Antiqua" w:hAnsi="Book Antiqua"/>
        </w:rPr>
        <w:t>10</w:t>
      </w:r>
      <w:r w:rsidRPr="00F07D51">
        <w:rPr>
          <w:rFonts w:ascii="Book Antiqua" w:hAnsi="Book Antiqua"/>
        </w:rPr>
        <w:t>,</w:t>
      </w:r>
      <w:r>
        <w:rPr>
          <w:rFonts w:ascii="Book Antiqua" w:hAnsi="Book Antiqua"/>
        </w:rPr>
        <w:t>8</w:t>
      </w:r>
      <w:r w:rsidRPr="00F07D51">
        <w:rPr>
          <w:rFonts w:ascii="Book Antiqua" w:hAnsi="Book Antiqua"/>
        </w:rPr>
        <w:t>%)</w:t>
      </w:r>
      <w:r w:rsidRPr="00F07D51">
        <w:rPr>
          <w:rStyle w:val="Appelnotedebasdep"/>
          <w:rFonts w:ascii="Book Antiqua" w:hAnsi="Book Antiqua"/>
        </w:rPr>
        <w:footnoteReference w:id="1"/>
      </w:r>
      <w:r>
        <w:rPr>
          <w:rFonts w:ascii="Book Antiqua" w:hAnsi="Book Antiqua"/>
        </w:rPr>
        <w:t xml:space="preserve">. </w:t>
      </w:r>
      <w:r w:rsidRPr="00F07D51">
        <w:rPr>
          <w:rFonts w:ascii="Book Antiqua" w:hAnsi="Book Antiqua"/>
        </w:rPr>
        <w:t>Parmi les 4.</w:t>
      </w:r>
      <w:r>
        <w:rPr>
          <w:rFonts w:ascii="Book Antiqua" w:hAnsi="Book Antiqua"/>
        </w:rPr>
        <w:t>820</w:t>
      </w:r>
      <w:r w:rsidRPr="00F07D51">
        <w:rPr>
          <w:rFonts w:ascii="Book Antiqua" w:hAnsi="Book Antiqua"/>
        </w:rPr>
        <w:t xml:space="preserve">.000 personnes exerçant dans le secteur des services, </w:t>
      </w:r>
      <w:r w:rsidR="00CD517A" w:rsidRPr="00CD517A">
        <w:rPr>
          <w:rFonts w:ascii="Book Antiqua" w:hAnsi="Book Antiqua"/>
        </w:rPr>
        <w:t>37,3</w:t>
      </w:r>
      <w:r w:rsidRPr="00CD517A">
        <w:rPr>
          <w:rFonts w:ascii="Book Antiqua" w:hAnsi="Book Antiqua"/>
        </w:rPr>
        <w:t>% relèvent de</w:t>
      </w:r>
      <w:r w:rsidR="00CD517A" w:rsidRPr="00CD517A">
        <w:rPr>
          <w:rFonts w:ascii="Book Antiqua" w:hAnsi="Book Antiqua"/>
        </w:rPr>
        <w:t xml:space="preserve"> la branche du commerce, 11,2</w:t>
      </w:r>
      <w:r w:rsidRPr="00CD517A">
        <w:rPr>
          <w:rFonts w:ascii="Book Antiqua" w:hAnsi="Book Antiqua"/>
        </w:rPr>
        <w:t>% des services sociaux f</w:t>
      </w:r>
      <w:r w:rsidR="00CD517A" w:rsidRPr="00CD517A">
        <w:rPr>
          <w:rFonts w:ascii="Book Antiqua" w:hAnsi="Book Antiqua"/>
        </w:rPr>
        <w:t>ournis à la collectivité et 10,4</w:t>
      </w:r>
      <w:r w:rsidRPr="00CD517A">
        <w:rPr>
          <w:rFonts w:ascii="Book Antiqua" w:hAnsi="Book Antiqua"/>
        </w:rPr>
        <w:t>% du transport, entrepôts et communications.</w:t>
      </w:r>
    </w:p>
    <w:p w:rsidR="00722B00" w:rsidRDefault="00722B00" w:rsidP="00192A74">
      <w:pPr>
        <w:spacing w:after="200" w:line="276" w:lineRule="auto"/>
        <w:rPr>
          <w:rFonts w:ascii="Book Antiqua" w:hAnsi="Book Antiqua"/>
          <w:b/>
          <w:bCs/>
          <w:color w:val="44546A" w:themeColor="text2"/>
          <w:sz w:val="22"/>
          <w:szCs w:val="22"/>
        </w:rPr>
      </w:pPr>
    </w:p>
    <w:p w:rsidR="00CF1A8F" w:rsidRDefault="00565776" w:rsidP="00192A74">
      <w:pPr>
        <w:spacing w:after="200" w:line="276" w:lineRule="auto"/>
        <w:rPr>
          <w:rFonts w:ascii="Book Antiqua" w:hAnsi="Book Antiqua"/>
          <w:b/>
          <w:bCs/>
          <w:color w:val="44546A" w:themeColor="text2"/>
          <w:sz w:val="22"/>
          <w:szCs w:val="22"/>
        </w:rPr>
      </w:pPr>
      <w:r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Graphique </w:t>
      </w:r>
      <w:r w:rsidR="00722B00">
        <w:rPr>
          <w:rFonts w:ascii="Book Antiqua" w:hAnsi="Book Antiqua"/>
          <w:b/>
          <w:bCs/>
          <w:color w:val="44546A" w:themeColor="text2"/>
          <w:sz w:val="22"/>
          <w:szCs w:val="22"/>
        </w:rPr>
        <w:t>4</w:t>
      </w:r>
      <w:r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 : </w:t>
      </w:r>
      <w:r w:rsidR="00CF1A8F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Répartition des actifs occupés </w:t>
      </w:r>
      <w:r w:rsidR="00593836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selon les </w:t>
      </w:r>
      <w:r w:rsidR="00CF1A8F">
        <w:rPr>
          <w:rFonts w:ascii="Book Antiqua" w:hAnsi="Book Antiqua"/>
          <w:b/>
          <w:bCs/>
          <w:color w:val="44546A" w:themeColor="text2"/>
          <w:sz w:val="22"/>
          <w:szCs w:val="22"/>
        </w:rPr>
        <w:t>secteurs d’activité en 2020</w:t>
      </w:r>
    </w:p>
    <w:p w:rsidR="00CF1A8F" w:rsidRDefault="00CF1A8F" w:rsidP="00786034">
      <w:pPr>
        <w:spacing w:before="120" w:after="120" w:line="312" w:lineRule="auto"/>
        <w:jc w:val="center"/>
        <w:rPr>
          <w:rFonts w:ascii="Book Antiqua" w:hAnsi="Book Antiqua"/>
        </w:rPr>
      </w:pPr>
      <w:r>
        <w:rPr>
          <w:noProof/>
        </w:rPr>
        <w:drawing>
          <wp:inline distT="0" distB="0" distL="0" distR="0">
            <wp:extent cx="4572000" cy="1967788"/>
            <wp:effectExtent l="0" t="0" r="0" b="0"/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63E43EF-49CA-4897-B85A-8EE417B9C0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60FF2" w:rsidRPr="00326D33" w:rsidRDefault="00593836" w:rsidP="002469E7">
      <w:pPr>
        <w:spacing w:before="120" w:after="120" w:line="312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Il est à souligner qu’en 2020,</w:t>
      </w:r>
      <w:r w:rsidR="00660FF2">
        <w:rPr>
          <w:rFonts w:ascii="Book Antiqua" w:hAnsi="Book Antiqua"/>
        </w:rPr>
        <w:t xml:space="preserve"> p</w:t>
      </w:r>
      <w:r w:rsidR="00660FF2" w:rsidRPr="00F07D51">
        <w:rPr>
          <w:rFonts w:ascii="Book Antiqua" w:hAnsi="Book Antiqua"/>
        </w:rPr>
        <w:t>rès des deux-tiers (65,</w:t>
      </w:r>
      <w:r w:rsidR="005C2B74">
        <w:rPr>
          <w:rFonts w:ascii="Book Antiqua" w:hAnsi="Book Antiqua"/>
        </w:rPr>
        <w:t>7</w:t>
      </w:r>
      <w:r w:rsidR="00660FF2" w:rsidRPr="00F07D51">
        <w:rPr>
          <w:rFonts w:ascii="Book Antiqua" w:hAnsi="Book Antiqua"/>
        </w:rPr>
        <w:t xml:space="preserve">%) des actifs occupés citadins exercent dans </w:t>
      </w:r>
      <w:r w:rsidR="00660FF2" w:rsidRPr="00326D33">
        <w:rPr>
          <w:rFonts w:ascii="Book Antiqua" w:eastAsia="Book Antiqua" w:hAnsi="Book Antiqua" w:cs="Book Antiqua"/>
        </w:rPr>
        <w:t>le secteur des services et</w:t>
      </w:r>
      <w:r>
        <w:rPr>
          <w:rFonts w:ascii="Book Antiqua" w:eastAsia="Book Antiqua" w:hAnsi="Book Antiqua" w:cs="Book Antiqua"/>
        </w:rPr>
        <w:t xml:space="preserve"> </w:t>
      </w:r>
      <w:r w:rsidR="00660FF2" w:rsidRPr="00326D33">
        <w:rPr>
          <w:rFonts w:ascii="Book Antiqua" w:eastAsia="Book Antiqua" w:hAnsi="Book Antiqua" w:cs="Book Antiqua"/>
        </w:rPr>
        <w:t>17,</w:t>
      </w:r>
      <w:r w:rsidR="005C2B74" w:rsidRPr="00326D33">
        <w:rPr>
          <w:rFonts w:ascii="Book Antiqua" w:eastAsia="Book Antiqua" w:hAnsi="Book Antiqua" w:cs="Book Antiqua"/>
        </w:rPr>
        <w:t>5</w:t>
      </w:r>
      <w:r w:rsidR="00660FF2" w:rsidRPr="00326D33">
        <w:rPr>
          <w:rFonts w:ascii="Book Antiqua" w:eastAsia="Book Antiqua" w:hAnsi="Book Antiqua" w:cs="Book Antiqua"/>
        </w:rPr>
        <w:t>%</w:t>
      </w:r>
      <w:r>
        <w:rPr>
          <w:rFonts w:ascii="Book Antiqua" w:eastAsia="Book Antiqua" w:hAnsi="Book Antiqua" w:cs="Book Antiqua"/>
        </w:rPr>
        <w:t xml:space="preserve"> </w:t>
      </w:r>
      <w:r w:rsidR="00660FF2" w:rsidRPr="00326D33">
        <w:rPr>
          <w:rFonts w:ascii="Book Antiqua" w:eastAsia="Book Antiqua" w:hAnsi="Book Antiqua" w:cs="Book Antiqua"/>
        </w:rPr>
        <w:t>dans l’industrie y compris l’artisanat. En milieu rural, 6</w:t>
      </w:r>
      <w:r w:rsidR="005C2B74" w:rsidRPr="00326D33">
        <w:rPr>
          <w:rFonts w:ascii="Book Antiqua" w:eastAsia="Book Antiqua" w:hAnsi="Book Antiqua" w:cs="Book Antiqua"/>
        </w:rPr>
        <w:t>8</w:t>
      </w:r>
      <w:r w:rsidR="00660FF2" w:rsidRPr="00326D33">
        <w:rPr>
          <w:rFonts w:ascii="Book Antiqua" w:eastAsia="Book Antiqua" w:hAnsi="Book Antiqua" w:cs="Book Antiqua"/>
        </w:rPr>
        <w:t>% des actifs occupés</w:t>
      </w:r>
      <w:r>
        <w:rPr>
          <w:rFonts w:ascii="Book Antiqua" w:eastAsia="Book Antiqua" w:hAnsi="Book Antiqua" w:cs="Book Antiqua"/>
        </w:rPr>
        <w:t xml:space="preserve"> </w:t>
      </w:r>
      <w:r w:rsidR="00660FF2" w:rsidRPr="00326D33">
        <w:rPr>
          <w:rFonts w:ascii="Book Antiqua" w:eastAsia="Book Antiqua" w:hAnsi="Book Antiqua" w:cs="Book Antiqua"/>
        </w:rPr>
        <w:t>exercent dans le secteur de l’agriculture, forêt et pêche et 1</w:t>
      </w:r>
      <w:r w:rsidR="005C2B74" w:rsidRPr="00326D33">
        <w:rPr>
          <w:rFonts w:ascii="Book Antiqua" w:eastAsia="Book Antiqua" w:hAnsi="Book Antiqua" w:cs="Book Antiqua"/>
        </w:rPr>
        <w:t>7</w:t>
      </w:r>
      <w:r w:rsidR="00660FF2" w:rsidRPr="00326D33">
        <w:rPr>
          <w:rFonts w:ascii="Book Antiqua" w:eastAsia="Book Antiqua" w:hAnsi="Book Antiqua" w:cs="Book Antiqua"/>
        </w:rPr>
        <w:t>,</w:t>
      </w:r>
      <w:r w:rsidR="005C2B74" w:rsidRPr="00326D33">
        <w:rPr>
          <w:rFonts w:ascii="Book Antiqua" w:eastAsia="Book Antiqua" w:hAnsi="Book Antiqua" w:cs="Book Antiqua"/>
        </w:rPr>
        <w:t>9</w:t>
      </w:r>
      <w:r w:rsidR="00660FF2" w:rsidRPr="00326D33">
        <w:rPr>
          <w:rFonts w:ascii="Book Antiqua" w:eastAsia="Book Antiqua" w:hAnsi="Book Antiqua" w:cs="Book Antiqua"/>
        </w:rPr>
        <w:t xml:space="preserve">% dans </w:t>
      </w:r>
      <w:r>
        <w:rPr>
          <w:rFonts w:ascii="Book Antiqua" w:eastAsia="Book Antiqua" w:hAnsi="Book Antiqua" w:cs="Book Antiqua"/>
        </w:rPr>
        <w:t>les</w:t>
      </w:r>
      <w:r w:rsidR="00660FF2" w:rsidRPr="00326D33">
        <w:rPr>
          <w:rFonts w:ascii="Book Antiqua" w:eastAsia="Book Antiqua" w:hAnsi="Book Antiqua" w:cs="Book Antiqua"/>
        </w:rPr>
        <w:t xml:space="preserve"> services.</w:t>
      </w:r>
    </w:p>
    <w:p w:rsidR="00660FF2" w:rsidRPr="00F07D51" w:rsidRDefault="00660FF2" w:rsidP="00593836">
      <w:pPr>
        <w:spacing w:before="120" w:after="120" w:line="312" w:lineRule="auto"/>
        <w:jc w:val="both"/>
        <w:rPr>
          <w:rFonts w:ascii="Book Antiqua" w:eastAsia="Book Antiqua" w:hAnsi="Book Antiqua" w:cs="Book Antiqua"/>
        </w:rPr>
      </w:pPr>
      <w:r w:rsidRPr="00C27575">
        <w:rPr>
          <w:rFonts w:ascii="Book Antiqua" w:eastAsia="Book Antiqua" w:hAnsi="Book Antiqua" w:cs="Book Antiqua"/>
        </w:rPr>
        <w:t xml:space="preserve">Les professions les plus exercées sont les </w:t>
      </w:r>
      <w:r w:rsidRPr="00C27575">
        <w:rPr>
          <w:rFonts w:ascii="Book Antiqua" w:eastAsia="Book Antiqua" w:hAnsi="Book Antiqua" w:cs="Book Antiqua"/>
        </w:rPr>
        <w:sym w:font="Symbol" w:char="F0B2"/>
      </w:r>
      <w:r w:rsidRPr="00C27575">
        <w:rPr>
          <w:rFonts w:ascii="Book Antiqua" w:eastAsia="Book Antiqua" w:hAnsi="Book Antiqua" w:cs="Book Antiqua"/>
        </w:rPr>
        <w:t>artisans et ouvriers qualifiés des métiers artisanaux</w:t>
      </w:r>
      <w:r w:rsidRPr="00C27575">
        <w:rPr>
          <w:rFonts w:ascii="Book Antiqua" w:eastAsia="Book Antiqua" w:hAnsi="Book Antiqua" w:cs="Book Antiqua"/>
        </w:rPr>
        <w:sym w:font="Symbol" w:char="F0B2"/>
      </w:r>
      <w:r w:rsidRPr="00C27575">
        <w:rPr>
          <w:rFonts w:ascii="Book Antiqua" w:eastAsia="Book Antiqua" w:hAnsi="Book Antiqua" w:cs="Book Antiqua"/>
        </w:rPr>
        <w:t xml:space="preserve"> </w:t>
      </w:r>
      <w:r w:rsidR="00593836">
        <w:rPr>
          <w:rFonts w:ascii="Book Antiqua" w:eastAsia="Book Antiqua" w:hAnsi="Book Antiqua" w:cs="Book Antiqua"/>
        </w:rPr>
        <w:t xml:space="preserve">avec </w:t>
      </w:r>
      <w:r w:rsidRPr="00C27575">
        <w:rPr>
          <w:rFonts w:ascii="Book Antiqua" w:eastAsia="Book Antiqua" w:hAnsi="Book Antiqua" w:cs="Book Antiqua"/>
        </w:rPr>
        <w:t>19,</w:t>
      </w:r>
      <w:r w:rsidR="009B3F4F" w:rsidRPr="00C27575">
        <w:rPr>
          <w:rFonts w:ascii="Book Antiqua" w:eastAsia="Book Antiqua" w:hAnsi="Book Antiqua" w:cs="Book Antiqua"/>
        </w:rPr>
        <w:t>3</w:t>
      </w:r>
      <w:r w:rsidRPr="00C27575">
        <w:rPr>
          <w:rFonts w:ascii="Book Antiqua" w:eastAsia="Book Antiqua" w:hAnsi="Book Antiqua" w:cs="Book Antiqua"/>
        </w:rPr>
        <w:t xml:space="preserve">%, les "ouvriers et manœuvres de l’agriculture et de la pêche" </w:t>
      </w:r>
      <w:r w:rsidR="00593836">
        <w:rPr>
          <w:rFonts w:ascii="Book Antiqua" w:eastAsia="Book Antiqua" w:hAnsi="Book Antiqua" w:cs="Book Antiqua"/>
        </w:rPr>
        <w:t>(</w:t>
      </w:r>
      <w:r w:rsidRPr="00C27575">
        <w:rPr>
          <w:rFonts w:ascii="Book Antiqua" w:eastAsia="Book Antiqua" w:hAnsi="Book Antiqua" w:cs="Book Antiqua"/>
        </w:rPr>
        <w:t>18</w:t>
      </w:r>
      <w:r w:rsidR="009B3F4F" w:rsidRPr="00C27575">
        <w:rPr>
          <w:rFonts w:ascii="Book Antiqua" w:eastAsia="Book Antiqua" w:hAnsi="Book Antiqua" w:cs="Book Antiqua"/>
        </w:rPr>
        <w:t>,4</w:t>
      </w:r>
      <w:r w:rsidRPr="00C27575">
        <w:rPr>
          <w:rFonts w:ascii="Book Antiqua" w:eastAsia="Book Antiqua" w:hAnsi="Book Antiqua" w:cs="Book Antiqua"/>
        </w:rPr>
        <w:t>%</w:t>
      </w:r>
      <w:r w:rsidR="00593836">
        <w:rPr>
          <w:rFonts w:ascii="Book Antiqua" w:eastAsia="Book Antiqua" w:hAnsi="Book Antiqua" w:cs="Book Antiqua"/>
        </w:rPr>
        <w:t xml:space="preserve">) </w:t>
      </w:r>
      <w:r w:rsidRPr="00C27575">
        <w:rPr>
          <w:rFonts w:ascii="Book Antiqua" w:eastAsia="Book Antiqua" w:hAnsi="Book Antiqua" w:cs="Book Antiqua"/>
        </w:rPr>
        <w:t>et</w:t>
      </w:r>
      <w:r w:rsidR="00593836">
        <w:rPr>
          <w:rFonts w:ascii="Book Antiqua" w:eastAsia="Book Antiqua" w:hAnsi="Book Antiqua" w:cs="Book Antiqua"/>
        </w:rPr>
        <w:t xml:space="preserve"> </w:t>
      </w:r>
      <w:r w:rsidRPr="00C27575">
        <w:rPr>
          <w:rFonts w:ascii="Book Antiqua" w:eastAsia="Book Antiqua" w:hAnsi="Book Antiqua" w:cs="Book Antiqua"/>
        </w:rPr>
        <w:t>les</w:t>
      </w:r>
      <w:r w:rsidR="00593836">
        <w:rPr>
          <w:rFonts w:ascii="Book Antiqua" w:eastAsia="Book Antiqua" w:hAnsi="Book Antiqua" w:cs="Book Antiqua"/>
        </w:rPr>
        <w:t xml:space="preserve"> </w:t>
      </w:r>
      <w:r w:rsidRPr="00C27575">
        <w:rPr>
          <w:rFonts w:ascii="Book Antiqua" w:eastAsia="Book Antiqua" w:hAnsi="Book Antiqua" w:cs="Book Antiqua"/>
        </w:rPr>
        <w:t>"manœuvres non agricoles, manutentionnaires et travailleurs des petits métiers" (1</w:t>
      </w:r>
      <w:r w:rsidR="009B3F4F" w:rsidRPr="00C27575">
        <w:rPr>
          <w:rFonts w:ascii="Book Antiqua" w:eastAsia="Book Antiqua" w:hAnsi="Book Antiqua" w:cs="Book Antiqua"/>
        </w:rPr>
        <w:t>5</w:t>
      </w:r>
      <w:r w:rsidRPr="00C27575">
        <w:rPr>
          <w:rFonts w:ascii="Book Antiqua" w:eastAsia="Book Antiqua" w:hAnsi="Book Antiqua" w:cs="Book Antiqua"/>
        </w:rPr>
        <w:t>,</w:t>
      </w:r>
      <w:r w:rsidR="009B3F4F" w:rsidRPr="00C27575">
        <w:rPr>
          <w:rFonts w:ascii="Book Antiqua" w:eastAsia="Book Antiqua" w:hAnsi="Book Antiqua" w:cs="Book Antiqua"/>
        </w:rPr>
        <w:t>6</w:t>
      </w:r>
      <w:r w:rsidRPr="00C27575">
        <w:rPr>
          <w:rFonts w:ascii="Book Antiqua" w:eastAsia="Book Antiqua" w:hAnsi="Book Antiqua" w:cs="Book Antiqua"/>
        </w:rPr>
        <w:t>%).</w:t>
      </w:r>
    </w:p>
    <w:p w:rsidR="00660FF2" w:rsidRDefault="00772504" w:rsidP="00772504">
      <w:pPr>
        <w:widowControl w:val="0"/>
        <w:shd w:val="clear" w:color="auto" w:fill="FFFFFF"/>
        <w:spacing w:before="120" w:after="120" w:line="312" w:lineRule="auto"/>
        <w:ind w:left="-5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Près de la moitié</w:t>
      </w:r>
      <w:r w:rsidR="009F1E5C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 xml:space="preserve">(50,7%) des actifs occupés sont des salariés </w:t>
      </w:r>
      <w:r w:rsidR="00660FF2">
        <w:rPr>
          <w:rFonts w:ascii="Book Antiqua" w:eastAsia="Book Antiqua" w:hAnsi="Book Antiqua" w:cs="Book Antiqua"/>
        </w:rPr>
        <w:t>(contre 50,</w:t>
      </w:r>
      <w:r w:rsidR="00346940">
        <w:rPr>
          <w:rFonts w:ascii="Book Antiqua" w:eastAsia="Book Antiqua" w:hAnsi="Book Antiqua" w:cs="Book Antiqua"/>
        </w:rPr>
        <w:t>1</w:t>
      </w:r>
      <w:r w:rsidR="00660FF2">
        <w:rPr>
          <w:rFonts w:ascii="Book Antiqua" w:eastAsia="Book Antiqua" w:hAnsi="Book Antiqua" w:cs="Book Antiqua"/>
        </w:rPr>
        <w:t>% une</w:t>
      </w:r>
      <w:r w:rsidR="00660FF2" w:rsidRPr="00307B9F">
        <w:rPr>
          <w:rFonts w:ascii="Book Antiqua" w:eastAsia="Book Antiqua" w:hAnsi="Book Antiqua" w:cs="Book Antiqua"/>
        </w:rPr>
        <w:t xml:space="preserve"> année auparavant</w:t>
      </w:r>
      <w:r w:rsidR="00660FF2"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</w:rPr>
        <w:t xml:space="preserve">, 30,9% des </w:t>
      </w:r>
      <w:r w:rsidR="00660FF2" w:rsidRPr="00737BF4">
        <w:rPr>
          <w:rFonts w:ascii="Book Antiqua" w:eastAsia="Book Antiqua" w:hAnsi="Book Antiqua" w:cs="Book Antiqua"/>
        </w:rPr>
        <w:t>indépendants</w:t>
      </w:r>
      <w:r>
        <w:rPr>
          <w:rFonts w:ascii="Book Antiqua" w:eastAsia="Book Antiqua" w:hAnsi="Book Antiqua" w:cs="Book Antiqua"/>
        </w:rPr>
        <w:t xml:space="preserve"> </w:t>
      </w:r>
      <w:r w:rsidR="00660FF2" w:rsidRPr="00307B9F">
        <w:rPr>
          <w:rFonts w:ascii="Book Antiqua" w:eastAsia="Book Antiqua" w:hAnsi="Book Antiqua" w:cs="Book Antiqua"/>
        </w:rPr>
        <w:t>(contre 30,</w:t>
      </w:r>
      <w:r w:rsidR="00625BF4">
        <w:rPr>
          <w:rFonts w:ascii="Book Antiqua" w:eastAsia="Book Antiqua" w:hAnsi="Book Antiqua" w:cs="Book Antiqua"/>
        </w:rPr>
        <w:t>2</w:t>
      </w:r>
      <w:r w:rsidR="00660FF2" w:rsidRPr="00307B9F">
        <w:rPr>
          <w:rFonts w:ascii="Book Antiqua" w:eastAsia="Book Antiqua" w:hAnsi="Book Antiqua" w:cs="Book Antiqua"/>
        </w:rPr>
        <w:t>%</w:t>
      </w:r>
      <w:r w:rsidR="003B7109" w:rsidRPr="00307B9F"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</w:rPr>
        <w:t>, 13,7% des</w:t>
      </w:r>
      <w:r w:rsidR="00660FF2" w:rsidRPr="00307B9F">
        <w:rPr>
          <w:rFonts w:ascii="Book Antiqua" w:eastAsia="Book Antiqua" w:hAnsi="Book Antiqua" w:cs="Book Antiqua"/>
        </w:rPr>
        <w:t xml:space="preserve"> aides familia</w:t>
      </w:r>
      <w:r>
        <w:rPr>
          <w:rFonts w:ascii="Book Antiqua" w:eastAsia="Book Antiqua" w:hAnsi="Book Antiqua" w:cs="Book Antiqua"/>
        </w:rPr>
        <w:t xml:space="preserve">les </w:t>
      </w:r>
      <w:r w:rsidR="00660FF2" w:rsidRPr="00307B9F">
        <w:rPr>
          <w:rFonts w:ascii="Book Antiqua" w:eastAsia="Book Antiqua" w:hAnsi="Book Antiqua" w:cs="Book Antiqua"/>
        </w:rPr>
        <w:t>(contre 14</w:t>
      </w:r>
      <w:r w:rsidR="00625BF4">
        <w:rPr>
          <w:rFonts w:ascii="Book Antiqua" w:eastAsia="Book Antiqua" w:hAnsi="Book Antiqua" w:cs="Book Antiqua"/>
        </w:rPr>
        <w:t>,7</w:t>
      </w:r>
      <w:r w:rsidR="00660FF2" w:rsidRPr="00307B9F">
        <w:rPr>
          <w:rFonts w:ascii="Book Antiqua" w:eastAsia="Book Antiqua" w:hAnsi="Book Antiqua" w:cs="Book Antiqua"/>
        </w:rPr>
        <w:t>%)</w:t>
      </w:r>
      <w:r w:rsidR="00660FF2">
        <w:rPr>
          <w:rFonts w:ascii="Book Antiqua" w:eastAsia="Book Antiqua" w:hAnsi="Book Antiqua" w:cs="Book Antiqua"/>
        </w:rPr>
        <w:t xml:space="preserve"> et </w:t>
      </w:r>
      <w:r>
        <w:rPr>
          <w:rFonts w:ascii="Book Antiqua" w:eastAsia="Book Antiqua" w:hAnsi="Book Antiqua" w:cs="Book Antiqua"/>
        </w:rPr>
        <w:t xml:space="preserve">2% </w:t>
      </w:r>
      <w:r w:rsidR="00660FF2" w:rsidRPr="00307B9F">
        <w:rPr>
          <w:rFonts w:ascii="Book Antiqua" w:eastAsia="Book Antiqua" w:hAnsi="Book Antiqua" w:cs="Book Antiqua"/>
        </w:rPr>
        <w:t>d</w:t>
      </w:r>
      <w:r>
        <w:rPr>
          <w:rFonts w:ascii="Book Antiqua" w:eastAsia="Book Antiqua" w:hAnsi="Book Antiqua" w:cs="Book Antiqua"/>
        </w:rPr>
        <w:t xml:space="preserve">es </w:t>
      </w:r>
      <w:r w:rsidR="00660FF2" w:rsidRPr="00307B9F">
        <w:rPr>
          <w:rFonts w:ascii="Book Antiqua" w:eastAsia="Book Antiqua" w:hAnsi="Book Antiqua" w:cs="Book Antiqua"/>
        </w:rPr>
        <w:t>employeur</w:t>
      </w:r>
      <w:r>
        <w:rPr>
          <w:rFonts w:ascii="Book Antiqua" w:eastAsia="Book Antiqua" w:hAnsi="Book Antiqua" w:cs="Book Antiqua"/>
        </w:rPr>
        <w:t>s</w:t>
      </w:r>
      <w:r w:rsidR="00660FF2" w:rsidRPr="00307B9F">
        <w:rPr>
          <w:rFonts w:ascii="Book Antiqua" w:eastAsia="Book Antiqua" w:hAnsi="Book Antiqua" w:cs="Book Antiqua"/>
        </w:rPr>
        <w:t xml:space="preserve"> (contre 2</w:t>
      </w:r>
      <w:r w:rsidR="008E34C3">
        <w:rPr>
          <w:rFonts w:ascii="Book Antiqua" w:eastAsia="Book Antiqua" w:hAnsi="Book Antiqua" w:cs="Book Antiqua"/>
        </w:rPr>
        <w:t>,</w:t>
      </w:r>
      <w:r w:rsidR="00625BF4">
        <w:rPr>
          <w:rFonts w:ascii="Book Antiqua" w:eastAsia="Book Antiqua" w:hAnsi="Book Antiqua" w:cs="Book Antiqua"/>
        </w:rPr>
        <w:t>4</w:t>
      </w:r>
      <w:r w:rsidR="00660FF2" w:rsidRPr="00307B9F">
        <w:rPr>
          <w:rFonts w:ascii="Book Antiqua" w:eastAsia="Book Antiqua" w:hAnsi="Book Antiqua" w:cs="Book Antiqua"/>
        </w:rPr>
        <w:t>%).</w:t>
      </w:r>
    </w:p>
    <w:p w:rsidR="00301A62" w:rsidRPr="002469E7" w:rsidRDefault="00301A62" w:rsidP="00301A62">
      <w:pPr>
        <w:spacing w:before="240" w:line="312" w:lineRule="auto"/>
        <w:jc w:val="both"/>
        <w:rPr>
          <w:rFonts w:ascii="Book Antiqua" w:hAnsi="Book Antiqua"/>
          <w:color w:val="0070C0"/>
          <w:sz w:val="28"/>
          <w:szCs w:val="28"/>
        </w:rPr>
      </w:pPr>
      <w:r w:rsidRPr="002469E7">
        <w:rPr>
          <w:rFonts w:ascii="Book Antiqua" w:hAnsi="Book Antiqua"/>
          <w:b/>
          <w:bCs/>
          <w:color w:val="0070C0"/>
          <w:sz w:val="28"/>
          <w:szCs w:val="28"/>
        </w:rPr>
        <w:t>Faible qualification des actifs occupés</w:t>
      </w:r>
    </w:p>
    <w:p w:rsidR="002410BC" w:rsidRDefault="000B7708" w:rsidP="000B7708">
      <w:pPr>
        <w:widowControl w:val="0"/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En 2020, u</w:t>
      </w:r>
      <w:r w:rsidR="00301A62">
        <w:rPr>
          <w:rFonts w:ascii="Book Antiqua" w:hAnsi="Book Antiqua"/>
        </w:rPr>
        <w:t xml:space="preserve">n peu </w:t>
      </w:r>
      <w:r w:rsidR="008E34C3">
        <w:rPr>
          <w:rFonts w:ascii="Book Antiqua" w:hAnsi="Book Antiqua"/>
        </w:rPr>
        <w:t>plus</w:t>
      </w:r>
      <w:r w:rsidR="00301A62">
        <w:rPr>
          <w:rFonts w:ascii="Book Antiqua" w:hAnsi="Book Antiqua"/>
        </w:rPr>
        <w:t xml:space="preserve"> de la moitié (</w:t>
      </w:r>
      <w:r w:rsidR="00301A62" w:rsidRPr="007714CC">
        <w:rPr>
          <w:rFonts w:ascii="Book Antiqua" w:hAnsi="Book Antiqua"/>
        </w:rPr>
        <w:t>5</w:t>
      </w:r>
      <w:r w:rsidR="00301A62">
        <w:rPr>
          <w:rFonts w:ascii="Book Antiqua" w:hAnsi="Book Antiqua"/>
        </w:rPr>
        <w:t>4</w:t>
      </w:r>
      <w:r w:rsidR="00301A62" w:rsidRPr="007714CC">
        <w:rPr>
          <w:rFonts w:ascii="Book Antiqua" w:hAnsi="Book Antiqua"/>
        </w:rPr>
        <w:t>,</w:t>
      </w:r>
      <w:r w:rsidR="00301A62">
        <w:rPr>
          <w:rFonts w:ascii="Book Antiqua" w:hAnsi="Book Antiqua"/>
        </w:rPr>
        <w:t>3</w:t>
      </w:r>
      <w:r w:rsidR="00301A62" w:rsidRPr="007714CC">
        <w:rPr>
          <w:rFonts w:ascii="Book Antiqua" w:hAnsi="Book Antiqua"/>
        </w:rPr>
        <w:t>%</w:t>
      </w:r>
      <w:r w:rsidR="00301A62">
        <w:rPr>
          <w:rFonts w:ascii="Book Antiqua" w:hAnsi="Book Antiqua"/>
        </w:rPr>
        <w:t xml:space="preserve">) des </w:t>
      </w:r>
      <w:r w:rsidR="00301A62" w:rsidRPr="007714CC">
        <w:rPr>
          <w:rFonts w:ascii="Book Antiqua" w:hAnsi="Book Antiqua"/>
        </w:rPr>
        <w:t xml:space="preserve">actifs occupés n’ont aucun diplôme, </w:t>
      </w:r>
      <w:r w:rsidR="00301A62">
        <w:rPr>
          <w:rFonts w:ascii="Book Antiqua" w:hAnsi="Book Antiqua"/>
        </w:rPr>
        <w:t>30</w:t>
      </w:r>
      <w:r w:rsidR="00301A62" w:rsidRPr="007714CC">
        <w:rPr>
          <w:rFonts w:ascii="Book Antiqua" w:hAnsi="Book Antiqua"/>
        </w:rPr>
        <w:t>,</w:t>
      </w:r>
      <w:r w:rsidR="00301A62">
        <w:rPr>
          <w:rFonts w:ascii="Book Antiqua" w:hAnsi="Book Antiqua"/>
        </w:rPr>
        <w:t>5</w:t>
      </w:r>
      <w:r w:rsidR="00301A62" w:rsidRPr="007714CC">
        <w:rPr>
          <w:rFonts w:ascii="Book Antiqua" w:hAnsi="Book Antiqua"/>
        </w:rPr>
        <w:t xml:space="preserve">% </w:t>
      </w:r>
      <w:r w:rsidR="00301A62" w:rsidRPr="0033256A">
        <w:rPr>
          <w:rFonts w:ascii="Book Antiqua" w:hAnsi="Book Antiqua"/>
        </w:rPr>
        <w:t xml:space="preserve">ont un diplôme </w:t>
      </w:r>
      <w:r>
        <w:rPr>
          <w:rFonts w:ascii="Book Antiqua" w:hAnsi="Book Antiqua"/>
        </w:rPr>
        <w:t xml:space="preserve">de niveau </w:t>
      </w:r>
      <w:r w:rsidR="00301A62" w:rsidRPr="0033256A">
        <w:rPr>
          <w:rFonts w:ascii="Book Antiqua" w:hAnsi="Book Antiqua"/>
        </w:rPr>
        <w:t>moyen et 1</w:t>
      </w:r>
      <w:r w:rsidR="00301A62">
        <w:rPr>
          <w:rFonts w:ascii="Book Antiqua" w:hAnsi="Book Antiqua"/>
        </w:rPr>
        <w:t>5</w:t>
      </w:r>
      <w:r w:rsidR="00301A62" w:rsidRPr="0033256A">
        <w:rPr>
          <w:rFonts w:ascii="Book Antiqua" w:hAnsi="Book Antiqua"/>
        </w:rPr>
        <w:t>,</w:t>
      </w:r>
      <w:r w:rsidR="00301A62">
        <w:rPr>
          <w:rFonts w:ascii="Book Antiqua" w:hAnsi="Book Antiqua"/>
        </w:rPr>
        <w:t>2</w:t>
      </w:r>
      <w:r w:rsidR="00301A62" w:rsidRPr="0033256A">
        <w:rPr>
          <w:rFonts w:ascii="Book Antiqua" w:hAnsi="Book Antiqua"/>
        </w:rPr>
        <w:t xml:space="preserve">% </w:t>
      </w:r>
      <w:r w:rsidR="00301A62">
        <w:rPr>
          <w:rFonts w:ascii="Book Antiqua" w:hAnsi="Book Antiqua"/>
        </w:rPr>
        <w:t>un diplôme</w:t>
      </w:r>
      <w:r>
        <w:rPr>
          <w:rFonts w:ascii="Book Antiqua" w:hAnsi="Book Antiqua"/>
        </w:rPr>
        <w:t xml:space="preserve"> de niveau </w:t>
      </w:r>
      <w:r w:rsidR="00301A62" w:rsidRPr="0033256A">
        <w:rPr>
          <w:rFonts w:ascii="Book Antiqua" w:hAnsi="Book Antiqua"/>
        </w:rPr>
        <w:t xml:space="preserve">supérieur. </w:t>
      </w:r>
    </w:p>
    <w:p w:rsidR="000C550C" w:rsidRDefault="000C550C" w:rsidP="000B7708">
      <w:pPr>
        <w:widowControl w:val="0"/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</w:p>
    <w:p w:rsidR="000C550C" w:rsidRDefault="000C550C" w:rsidP="000B7708">
      <w:pPr>
        <w:widowControl w:val="0"/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</w:p>
    <w:p w:rsidR="00786034" w:rsidRDefault="00786034" w:rsidP="00786034">
      <w:pPr>
        <w:spacing w:line="276" w:lineRule="auto"/>
        <w:rPr>
          <w:rFonts w:ascii="Book Antiqua" w:hAnsi="Book Antiqua"/>
        </w:rPr>
      </w:pPr>
    </w:p>
    <w:p w:rsidR="002410BC" w:rsidRDefault="00565776" w:rsidP="00192A74">
      <w:pPr>
        <w:spacing w:after="160" w:line="259" w:lineRule="auto"/>
        <w:rPr>
          <w:rFonts w:ascii="Book Antiqua" w:hAnsi="Book Antiqua"/>
          <w:b/>
          <w:bCs/>
          <w:color w:val="44546A" w:themeColor="text2"/>
          <w:sz w:val="22"/>
          <w:szCs w:val="22"/>
        </w:rPr>
      </w:pPr>
      <w:r>
        <w:rPr>
          <w:rFonts w:ascii="Book Antiqua" w:hAnsi="Book Antiqua"/>
          <w:b/>
          <w:bCs/>
          <w:color w:val="44546A" w:themeColor="text2"/>
          <w:sz w:val="22"/>
          <w:szCs w:val="22"/>
        </w:rPr>
        <w:lastRenderedPageBreak/>
        <w:t xml:space="preserve">Graphique </w:t>
      </w:r>
      <w:r w:rsidR="00722B00">
        <w:rPr>
          <w:rFonts w:ascii="Book Antiqua" w:hAnsi="Book Antiqua"/>
          <w:b/>
          <w:bCs/>
          <w:color w:val="44546A" w:themeColor="text2"/>
          <w:sz w:val="22"/>
          <w:szCs w:val="22"/>
        </w:rPr>
        <w:t>5</w:t>
      </w:r>
      <w:r>
        <w:rPr>
          <w:rFonts w:ascii="Book Antiqua" w:hAnsi="Book Antiqua"/>
          <w:b/>
          <w:bCs/>
          <w:color w:val="44546A" w:themeColor="text2"/>
          <w:sz w:val="22"/>
          <w:szCs w:val="22"/>
        </w:rPr>
        <w:t> </w:t>
      </w:r>
      <w:r w:rsidR="004366C8">
        <w:rPr>
          <w:rFonts w:ascii="Book Antiqua" w:hAnsi="Book Antiqua"/>
          <w:b/>
          <w:bCs/>
          <w:color w:val="44546A" w:themeColor="text2"/>
          <w:sz w:val="22"/>
          <w:szCs w:val="22"/>
        </w:rPr>
        <w:t>: Structure</w:t>
      </w:r>
      <w:r w:rsidR="002410BC" w:rsidRPr="007714CC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 de la population active occupée selon le </w:t>
      </w:r>
      <w:r w:rsidR="002410BC">
        <w:rPr>
          <w:rFonts w:ascii="Book Antiqua" w:hAnsi="Book Antiqua"/>
          <w:b/>
          <w:bCs/>
          <w:color w:val="44546A" w:themeColor="text2"/>
          <w:sz w:val="22"/>
          <w:szCs w:val="22"/>
        </w:rPr>
        <w:t>d</w:t>
      </w:r>
      <w:r w:rsidR="002410BC" w:rsidRPr="007714CC">
        <w:rPr>
          <w:rFonts w:ascii="Book Antiqua" w:hAnsi="Book Antiqua"/>
          <w:b/>
          <w:bCs/>
          <w:color w:val="44546A" w:themeColor="text2"/>
          <w:sz w:val="22"/>
          <w:szCs w:val="22"/>
        </w:rPr>
        <w:t>iplôme</w:t>
      </w:r>
      <w:r w:rsidR="00786034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 en 2020 </w:t>
      </w:r>
      <w:r w:rsidR="00786034" w:rsidRPr="007714CC">
        <w:rPr>
          <w:rFonts w:ascii="Book Antiqua" w:hAnsi="Book Antiqua"/>
          <w:b/>
          <w:bCs/>
          <w:color w:val="44546A" w:themeColor="text2"/>
          <w:sz w:val="22"/>
          <w:szCs w:val="22"/>
        </w:rPr>
        <w:t>(</w:t>
      </w:r>
      <w:r w:rsidR="006F141F">
        <w:rPr>
          <w:rFonts w:ascii="Book Antiqua" w:hAnsi="Book Antiqua"/>
          <w:b/>
          <w:bCs/>
          <w:color w:val="44546A" w:themeColor="text2"/>
          <w:sz w:val="22"/>
          <w:szCs w:val="22"/>
        </w:rPr>
        <w:t>%)</w:t>
      </w:r>
    </w:p>
    <w:p w:rsidR="00FD2CA6" w:rsidRDefault="00FD2CA6" w:rsidP="00786034">
      <w:pPr>
        <w:spacing w:line="276" w:lineRule="auto"/>
        <w:jc w:val="center"/>
        <w:rPr>
          <w:rFonts w:ascii="Book Antiqua" w:hAnsi="Book Antiqua"/>
          <w:b/>
          <w:bCs/>
          <w:color w:val="44546A" w:themeColor="text2"/>
          <w:sz w:val="22"/>
          <w:szCs w:val="22"/>
        </w:rPr>
      </w:pPr>
      <w:r w:rsidRPr="00FD2CA6">
        <w:rPr>
          <w:rFonts w:ascii="Book Antiqua" w:hAnsi="Book Antiqua"/>
          <w:b/>
          <w:bCs/>
          <w:noProof/>
          <w:color w:val="44546A" w:themeColor="text2"/>
          <w:sz w:val="22"/>
          <w:szCs w:val="22"/>
        </w:rPr>
        <w:drawing>
          <wp:inline distT="0" distB="0" distL="0" distR="0">
            <wp:extent cx="4572000" cy="2422358"/>
            <wp:effectExtent l="0" t="0" r="0" b="0"/>
            <wp:docPr id="12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53A41" w:rsidRPr="009B2E0F" w:rsidRDefault="00653A41" w:rsidP="00653A41">
      <w:pPr>
        <w:widowControl w:val="0"/>
        <w:shd w:val="clear" w:color="auto" w:fill="FFFFFF"/>
        <w:spacing w:before="120" w:after="120" w:line="312" w:lineRule="auto"/>
        <w:ind w:left="-57"/>
        <w:jc w:val="both"/>
        <w:rPr>
          <w:rFonts w:ascii="Book Antiqua" w:hAnsi="Book Antiqua"/>
        </w:rPr>
      </w:pPr>
      <w:r w:rsidRPr="00653A41">
        <w:rPr>
          <w:rFonts w:ascii="Book Antiqua" w:hAnsi="Book Antiqua"/>
        </w:rPr>
        <w:t>Parmi les actifs occupés exerçant dans le secteur de l’"agriculture, forêt et pêche", 80,8% n’ont aucun diplôme. Cette proportion atteint 59,2% dans le secteur des BTP, 45,2% dans l'industrie (y compris l’artisanat) et 37,4%dans les services.</w:t>
      </w:r>
    </w:p>
    <w:p w:rsidR="00660FF2" w:rsidRPr="002469E7" w:rsidRDefault="00796CB3" w:rsidP="009F1E5C">
      <w:pPr>
        <w:spacing w:after="160" w:line="259" w:lineRule="auto"/>
        <w:rPr>
          <w:rFonts w:ascii="Book Antiqua" w:hAnsi="Book Antiqua"/>
          <w:b/>
          <w:bCs/>
          <w:color w:val="0070C0"/>
          <w:sz w:val="28"/>
          <w:szCs w:val="28"/>
        </w:rPr>
      </w:pPr>
      <w:r w:rsidRPr="002469E7">
        <w:rPr>
          <w:rFonts w:ascii="Book Antiqua" w:hAnsi="Book Antiqua"/>
          <w:b/>
          <w:bCs/>
          <w:color w:val="0070C0"/>
          <w:sz w:val="28"/>
          <w:szCs w:val="28"/>
        </w:rPr>
        <w:t xml:space="preserve">Faible protection du </w:t>
      </w:r>
      <w:r w:rsidR="00660FF2" w:rsidRPr="002469E7">
        <w:rPr>
          <w:rFonts w:ascii="Book Antiqua" w:hAnsi="Book Antiqua"/>
          <w:b/>
          <w:bCs/>
          <w:color w:val="0070C0"/>
          <w:sz w:val="28"/>
          <w:szCs w:val="28"/>
        </w:rPr>
        <w:t xml:space="preserve">marché de travail </w:t>
      </w:r>
    </w:p>
    <w:p w:rsidR="00660FF2" w:rsidRDefault="00F112FD" w:rsidP="00796CB3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C27575">
        <w:rPr>
          <w:rFonts w:ascii="Book Antiqua" w:hAnsi="Book Antiqua"/>
        </w:rPr>
        <w:t>En</w:t>
      </w:r>
      <w:r w:rsidR="00660FF2" w:rsidRPr="00C27575">
        <w:rPr>
          <w:rFonts w:ascii="Book Antiqua" w:hAnsi="Book Antiqua"/>
        </w:rPr>
        <w:t xml:space="preserve"> 2020, seul </w:t>
      </w:r>
      <w:r w:rsidR="00796CB3">
        <w:rPr>
          <w:rFonts w:ascii="Book Antiqua" w:hAnsi="Book Antiqua"/>
        </w:rPr>
        <w:t>le</w:t>
      </w:r>
      <w:r w:rsidR="00796CB3" w:rsidRPr="00C27575">
        <w:rPr>
          <w:rFonts w:ascii="Book Antiqua" w:hAnsi="Book Antiqua"/>
        </w:rPr>
        <w:t xml:space="preserve"> </w:t>
      </w:r>
      <w:r w:rsidR="00660FF2" w:rsidRPr="00C27575">
        <w:rPr>
          <w:rFonts w:ascii="Book Antiqua" w:hAnsi="Book Antiqua"/>
        </w:rPr>
        <w:t>quart des actifs occupés (2</w:t>
      </w:r>
      <w:r w:rsidR="00C27575" w:rsidRPr="00C27575">
        <w:rPr>
          <w:rFonts w:ascii="Book Antiqua" w:hAnsi="Book Antiqua"/>
        </w:rPr>
        <w:t>4</w:t>
      </w:r>
      <w:r w:rsidR="00660FF2" w:rsidRPr="00C27575">
        <w:rPr>
          <w:rFonts w:ascii="Book Antiqua" w:hAnsi="Book Antiqua"/>
        </w:rPr>
        <w:t>,</w:t>
      </w:r>
      <w:r w:rsidR="00C27575" w:rsidRPr="00C27575">
        <w:rPr>
          <w:rFonts w:ascii="Book Antiqua" w:hAnsi="Book Antiqua"/>
        </w:rPr>
        <w:t>7</w:t>
      </w:r>
      <w:r w:rsidR="00660FF2" w:rsidRPr="00C27575">
        <w:rPr>
          <w:rFonts w:ascii="Book Antiqua" w:hAnsi="Book Antiqua"/>
        </w:rPr>
        <w:t>%) bénéficient d’une couverture médicale liée à l’emploi (36,</w:t>
      </w:r>
      <w:r w:rsidR="00C27575" w:rsidRPr="00C27575">
        <w:rPr>
          <w:rFonts w:ascii="Book Antiqua" w:hAnsi="Book Antiqua"/>
        </w:rPr>
        <w:t>6</w:t>
      </w:r>
      <w:r w:rsidR="00660FF2" w:rsidRPr="00C27575">
        <w:rPr>
          <w:rFonts w:ascii="Book Antiqua" w:hAnsi="Book Antiqua"/>
        </w:rPr>
        <w:t xml:space="preserve">% dans les villes et </w:t>
      </w:r>
      <w:r w:rsidR="00C27575" w:rsidRPr="00C27575">
        <w:rPr>
          <w:rFonts w:ascii="Book Antiqua" w:hAnsi="Book Antiqua"/>
        </w:rPr>
        <w:t>8</w:t>
      </w:r>
      <w:r w:rsidR="00660FF2" w:rsidRPr="00C27575">
        <w:rPr>
          <w:rFonts w:ascii="Book Antiqua" w:hAnsi="Book Antiqua"/>
        </w:rPr>
        <w:t>,</w:t>
      </w:r>
      <w:r w:rsidR="00C27575" w:rsidRPr="00C27575">
        <w:rPr>
          <w:rFonts w:ascii="Book Antiqua" w:hAnsi="Book Antiqua"/>
        </w:rPr>
        <w:t>2</w:t>
      </w:r>
      <w:r w:rsidR="00660FF2" w:rsidRPr="00C27575">
        <w:rPr>
          <w:rFonts w:ascii="Book Antiqua" w:hAnsi="Book Antiqua"/>
        </w:rPr>
        <w:t>% à la campagne)</w:t>
      </w:r>
      <w:r w:rsidR="00796CB3">
        <w:rPr>
          <w:rFonts w:ascii="Book Antiqua" w:hAnsi="Book Antiqua"/>
        </w:rPr>
        <w:t xml:space="preserve"> contre </w:t>
      </w:r>
      <w:r w:rsidR="00660FF2" w:rsidRPr="00C27575">
        <w:rPr>
          <w:rFonts w:ascii="Book Antiqua" w:hAnsi="Book Antiqua"/>
        </w:rPr>
        <w:t>24,</w:t>
      </w:r>
      <w:r w:rsidR="00C27575" w:rsidRPr="00C27575">
        <w:rPr>
          <w:rFonts w:ascii="Book Antiqua" w:hAnsi="Book Antiqua"/>
        </w:rPr>
        <w:t>1</w:t>
      </w:r>
      <w:r w:rsidR="00660FF2" w:rsidRPr="00C27575">
        <w:rPr>
          <w:rFonts w:ascii="Book Antiqua" w:hAnsi="Book Antiqua"/>
        </w:rPr>
        <w:t>%</w:t>
      </w:r>
      <w:r w:rsidR="00796CB3">
        <w:rPr>
          <w:rFonts w:ascii="Book Antiqua" w:hAnsi="Book Antiqua"/>
        </w:rPr>
        <w:t xml:space="preserve"> en 2019</w:t>
      </w:r>
      <w:r w:rsidR="00660FF2" w:rsidRPr="00C27575">
        <w:rPr>
          <w:rFonts w:ascii="Book Antiqua" w:hAnsi="Book Antiqua"/>
        </w:rPr>
        <w:t xml:space="preserve">, 36,4 </w:t>
      </w:r>
      <w:r w:rsidR="00796CB3">
        <w:rPr>
          <w:rFonts w:ascii="Book Antiqua" w:hAnsi="Book Antiqua"/>
        </w:rPr>
        <w:t xml:space="preserve">en milieu urbain </w:t>
      </w:r>
      <w:r w:rsidR="00660FF2" w:rsidRPr="00C27575">
        <w:rPr>
          <w:rFonts w:ascii="Book Antiqua" w:hAnsi="Book Antiqua"/>
        </w:rPr>
        <w:t xml:space="preserve">et </w:t>
      </w:r>
      <w:r w:rsidR="00C27575" w:rsidRPr="00C27575">
        <w:rPr>
          <w:rFonts w:ascii="Book Antiqua" w:hAnsi="Book Antiqua"/>
        </w:rPr>
        <w:t>7</w:t>
      </w:r>
      <w:r w:rsidR="00660FF2" w:rsidRPr="00C27575">
        <w:rPr>
          <w:rFonts w:ascii="Book Antiqua" w:hAnsi="Book Antiqua"/>
        </w:rPr>
        <w:t>,</w:t>
      </w:r>
      <w:r w:rsidR="00C27575" w:rsidRPr="00C27575">
        <w:rPr>
          <w:rFonts w:ascii="Book Antiqua" w:hAnsi="Book Antiqua"/>
        </w:rPr>
        <w:t>8</w:t>
      </w:r>
      <w:r w:rsidR="00660FF2" w:rsidRPr="00C27575">
        <w:rPr>
          <w:rFonts w:ascii="Book Antiqua" w:hAnsi="Book Antiqua"/>
        </w:rPr>
        <w:t xml:space="preserve">% </w:t>
      </w:r>
      <w:r w:rsidR="00C27575" w:rsidRPr="00C27575">
        <w:rPr>
          <w:rFonts w:ascii="Book Antiqua" w:hAnsi="Book Antiqua"/>
        </w:rPr>
        <w:t>en</w:t>
      </w:r>
      <w:r w:rsidR="00660FF2" w:rsidRPr="00C27575">
        <w:rPr>
          <w:rFonts w:ascii="Book Antiqua" w:hAnsi="Book Antiqua"/>
        </w:rPr>
        <w:t xml:space="preserve"> </w:t>
      </w:r>
      <w:r w:rsidR="00796CB3">
        <w:rPr>
          <w:rFonts w:ascii="Book Antiqua" w:hAnsi="Book Antiqua"/>
        </w:rPr>
        <w:t>milieu rural</w:t>
      </w:r>
      <w:r w:rsidR="00660FF2" w:rsidRPr="00C27575">
        <w:rPr>
          <w:rFonts w:ascii="Book Antiqua" w:hAnsi="Book Antiqua"/>
        </w:rPr>
        <w:t>.</w:t>
      </w:r>
    </w:p>
    <w:p w:rsidR="0087357A" w:rsidRDefault="0087357A" w:rsidP="003B7109">
      <w:pPr>
        <w:spacing w:line="276" w:lineRule="auto"/>
        <w:jc w:val="center"/>
        <w:rPr>
          <w:rFonts w:ascii="Book Antiqua" w:hAnsi="Book Antiqua"/>
          <w:b/>
          <w:bCs/>
          <w:color w:val="44546A" w:themeColor="text2"/>
          <w:sz w:val="22"/>
          <w:szCs w:val="22"/>
        </w:rPr>
      </w:pPr>
    </w:p>
    <w:p w:rsidR="003E4B90" w:rsidRPr="003B7109" w:rsidRDefault="00565776" w:rsidP="00722B00">
      <w:pPr>
        <w:spacing w:after="160" w:line="259" w:lineRule="auto"/>
        <w:rPr>
          <w:rFonts w:ascii="Book Antiqua" w:hAnsi="Book Antiqua"/>
          <w:b/>
          <w:bCs/>
          <w:color w:val="44546A" w:themeColor="text2"/>
          <w:sz w:val="22"/>
          <w:szCs w:val="22"/>
        </w:rPr>
      </w:pPr>
      <w:r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Graphique </w:t>
      </w:r>
      <w:r w:rsidR="00722B00">
        <w:rPr>
          <w:rFonts w:ascii="Book Antiqua" w:hAnsi="Book Antiqua"/>
          <w:b/>
          <w:bCs/>
          <w:color w:val="44546A" w:themeColor="text2"/>
          <w:sz w:val="22"/>
          <w:szCs w:val="22"/>
        </w:rPr>
        <w:t>6</w:t>
      </w:r>
      <w:r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 : </w:t>
      </w:r>
      <w:r w:rsidR="003E4B90" w:rsidRPr="003B7109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Taux de couverture des actifs occupés de 15 ans et plus par une assurance maladie liée à leur emploi, </w:t>
      </w:r>
      <w:r w:rsidR="00796CB3">
        <w:rPr>
          <w:rFonts w:ascii="Book Antiqua" w:hAnsi="Book Antiqua"/>
          <w:b/>
          <w:bCs/>
          <w:color w:val="44546A" w:themeColor="text2"/>
          <w:sz w:val="22"/>
          <w:szCs w:val="22"/>
        </w:rPr>
        <w:t>selon le</w:t>
      </w:r>
      <w:r w:rsidR="00796CB3" w:rsidRPr="003B7109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 </w:t>
      </w:r>
      <w:r w:rsidR="003E4B90" w:rsidRPr="003B7109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milieu </w:t>
      </w:r>
      <w:r w:rsidR="00796CB3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de résidence </w:t>
      </w:r>
      <w:r w:rsidR="003E4B90" w:rsidRPr="003B7109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et </w:t>
      </w:r>
      <w:r w:rsidR="00796CB3">
        <w:rPr>
          <w:rFonts w:ascii="Book Antiqua" w:hAnsi="Book Antiqua"/>
          <w:b/>
          <w:bCs/>
          <w:color w:val="44546A" w:themeColor="text2"/>
          <w:sz w:val="22"/>
          <w:szCs w:val="22"/>
        </w:rPr>
        <w:t>le</w:t>
      </w:r>
      <w:r w:rsidR="00796CB3" w:rsidRPr="003B7109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 </w:t>
      </w:r>
      <w:r w:rsidR="003E4B90" w:rsidRPr="003B7109">
        <w:rPr>
          <w:rFonts w:ascii="Book Antiqua" w:hAnsi="Book Antiqua"/>
          <w:b/>
          <w:bCs/>
          <w:color w:val="44546A" w:themeColor="text2"/>
          <w:sz w:val="22"/>
          <w:szCs w:val="22"/>
        </w:rPr>
        <w:t>sexe</w:t>
      </w:r>
    </w:p>
    <w:p w:rsidR="003E4B90" w:rsidRPr="00F07D51" w:rsidRDefault="003E4B90" w:rsidP="003E4B90">
      <w:pPr>
        <w:autoSpaceDE w:val="0"/>
        <w:autoSpaceDN w:val="0"/>
        <w:adjustRightInd w:val="0"/>
        <w:spacing w:before="240" w:line="312" w:lineRule="auto"/>
        <w:jc w:val="center"/>
        <w:rPr>
          <w:rFonts w:ascii="Book Antiqua" w:hAnsi="Book Antiqua"/>
        </w:rPr>
      </w:pPr>
      <w:r>
        <w:rPr>
          <w:noProof/>
        </w:rPr>
        <w:drawing>
          <wp:inline distT="0" distB="0" distL="0" distR="0">
            <wp:extent cx="4572000" cy="2261937"/>
            <wp:effectExtent l="0" t="0" r="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60FF2" w:rsidRPr="00F07D51" w:rsidRDefault="00660FF2" w:rsidP="00796CB3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777391">
        <w:rPr>
          <w:rFonts w:ascii="Book Antiqua" w:hAnsi="Book Antiqua"/>
        </w:rPr>
        <w:t>La part des actifs occupés affiliés à un régime de</w:t>
      </w:r>
      <w:r w:rsidR="000B7708">
        <w:rPr>
          <w:rFonts w:ascii="Book Antiqua" w:hAnsi="Book Antiqua"/>
        </w:rPr>
        <w:t xml:space="preserve"> </w:t>
      </w:r>
      <w:r w:rsidRPr="00777391">
        <w:rPr>
          <w:rFonts w:ascii="Book Antiqua" w:hAnsi="Book Antiqua"/>
        </w:rPr>
        <w:t>couverture médicale</w:t>
      </w:r>
      <w:r w:rsidR="000B7708">
        <w:rPr>
          <w:rFonts w:ascii="Book Antiqua" w:hAnsi="Book Antiqua"/>
        </w:rPr>
        <w:t xml:space="preserve"> </w:t>
      </w:r>
      <w:r w:rsidRPr="00777391">
        <w:rPr>
          <w:rFonts w:ascii="Book Antiqua" w:hAnsi="Book Antiqua"/>
        </w:rPr>
        <w:t>s’améliore</w:t>
      </w:r>
      <w:r w:rsidR="000B7708">
        <w:rPr>
          <w:rFonts w:ascii="Book Antiqua" w:hAnsi="Book Antiqua"/>
        </w:rPr>
        <w:t xml:space="preserve"> </w:t>
      </w:r>
      <w:r w:rsidR="00796CB3">
        <w:rPr>
          <w:rFonts w:ascii="Book Antiqua" w:hAnsi="Book Antiqua"/>
        </w:rPr>
        <w:t>nettement au fur et à mesure que</w:t>
      </w:r>
      <w:r w:rsidR="00796CB3" w:rsidRPr="00777391">
        <w:rPr>
          <w:rFonts w:ascii="Book Antiqua" w:hAnsi="Book Antiqua"/>
        </w:rPr>
        <w:t xml:space="preserve"> </w:t>
      </w:r>
      <w:r w:rsidRPr="00777391">
        <w:rPr>
          <w:rFonts w:ascii="Book Antiqua" w:hAnsi="Book Antiqua"/>
        </w:rPr>
        <w:t>le niveau de diplôme</w:t>
      </w:r>
      <w:r w:rsidR="00796CB3">
        <w:rPr>
          <w:rFonts w:ascii="Book Antiqua" w:hAnsi="Book Antiqua"/>
        </w:rPr>
        <w:t xml:space="preserve"> s’élève</w:t>
      </w:r>
      <w:r w:rsidRPr="00777391">
        <w:rPr>
          <w:rFonts w:ascii="Book Antiqua" w:hAnsi="Book Antiqua"/>
        </w:rPr>
        <w:t>. Elle passe de 1</w:t>
      </w:r>
      <w:r w:rsidR="00777391" w:rsidRPr="00777391">
        <w:rPr>
          <w:rFonts w:ascii="Book Antiqua" w:hAnsi="Book Antiqua"/>
        </w:rPr>
        <w:t>0,7</w:t>
      </w:r>
      <w:r w:rsidRPr="00777391">
        <w:rPr>
          <w:rFonts w:ascii="Book Antiqua" w:hAnsi="Book Antiqua"/>
        </w:rPr>
        <w:t xml:space="preserve">% </w:t>
      </w:r>
      <w:r w:rsidRPr="00777391">
        <w:rPr>
          <w:rFonts w:ascii="Book Antiqua" w:hAnsi="Book Antiqua"/>
        </w:rPr>
        <w:lastRenderedPageBreak/>
        <w:t>parmi les personnes n'ayant aucun diplôme à 7</w:t>
      </w:r>
      <w:r w:rsidR="00777391" w:rsidRPr="00777391">
        <w:rPr>
          <w:rFonts w:ascii="Book Antiqua" w:hAnsi="Book Antiqua"/>
        </w:rPr>
        <w:t>2,8</w:t>
      </w:r>
      <w:r w:rsidRPr="00777391">
        <w:rPr>
          <w:rFonts w:ascii="Book Antiqua" w:hAnsi="Book Antiqua"/>
        </w:rPr>
        <w:t xml:space="preserve">% parmi </w:t>
      </w:r>
      <w:r w:rsidR="00796CB3">
        <w:rPr>
          <w:rFonts w:ascii="Book Antiqua" w:hAnsi="Book Antiqua"/>
        </w:rPr>
        <w:t xml:space="preserve">celles ayant </w:t>
      </w:r>
      <w:r w:rsidRPr="009C7493">
        <w:rPr>
          <w:rFonts w:ascii="Book Antiqua" w:hAnsi="Book Antiqua"/>
        </w:rPr>
        <w:t>un diplôme</w:t>
      </w:r>
      <w:r w:rsidRPr="00777391">
        <w:rPr>
          <w:rFonts w:ascii="Book Antiqua" w:hAnsi="Book Antiqua"/>
        </w:rPr>
        <w:t xml:space="preserve"> supérieur</w:t>
      </w:r>
      <w:r w:rsidRPr="00777391">
        <w:rPr>
          <w:rStyle w:val="Appelnotedebasdep"/>
          <w:rFonts w:ascii="Book Antiqua" w:hAnsi="Book Antiqua"/>
        </w:rPr>
        <w:footnoteReference w:id="2"/>
      </w:r>
      <w:r w:rsidRPr="00777391">
        <w:rPr>
          <w:rFonts w:ascii="Book Antiqua" w:hAnsi="Book Antiqua"/>
        </w:rPr>
        <w:t>.</w:t>
      </w:r>
    </w:p>
    <w:p w:rsidR="00660FF2" w:rsidRDefault="00796CB3" w:rsidP="00796CB3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L</w:t>
      </w:r>
      <w:r w:rsidR="00660FF2" w:rsidRPr="00777391">
        <w:rPr>
          <w:rFonts w:ascii="Book Antiqua" w:hAnsi="Book Antiqua"/>
        </w:rPr>
        <w:t xml:space="preserve">es actifs occupés exerçant dans l’"industrie y compris l’artisanat" enregistrent le taux de couverture médicale le plus élevé </w:t>
      </w:r>
      <w:r>
        <w:rPr>
          <w:rFonts w:ascii="Book Antiqua" w:hAnsi="Book Antiqua"/>
        </w:rPr>
        <w:t xml:space="preserve">avec </w:t>
      </w:r>
      <w:r w:rsidR="00660FF2" w:rsidRPr="00777391">
        <w:rPr>
          <w:rFonts w:ascii="Book Antiqua" w:hAnsi="Book Antiqua"/>
        </w:rPr>
        <w:t>4</w:t>
      </w:r>
      <w:r w:rsidR="00777391" w:rsidRPr="00777391">
        <w:rPr>
          <w:rFonts w:ascii="Book Antiqua" w:hAnsi="Book Antiqua"/>
        </w:rPr>
        <w:t>2</w:t>
      </w:r>
      <w:r w:rsidR="00660FF2" w:rsidRPr="00777391">
        <w:rPr>
          <w:rFonts w:ascii="Book Antiqua" w:hAnsi="Book Antiqua"/>
        </w:rPr>
        <w:t>,</w:t>
      </w:r>
      <w:r w:rsidR="00777391" w:rsidRPr="00777391">
        <w:rPr>
          <w:rFonts w:ascii="Book Antiqua" w:hAnsi="Book Antiqua"/>
        </w:rPr>
        <w:t>2</w:t>
      </w:r>
      <w:r w:rsidR="00660FF2" w:rsidRPr="00777391">
        <w:rPr>
          <w:rFonts w:ascii="Book Antiqua" w:hAnsi="Book Antiqua"/>
        </w:rPr>
        <w:t>%, suivis</w:t>
      </w:r>
      <w:r w:rsidR="000B7708">
        <w:rPr>
          <w:rFonts w:ascii="Book Antiqua" w:hAnsi="Book Antiqua"/>
        </w:rPr>
        <w:t xml:space="preserve"> </w:t>
      </w:r>
      <w:r w:rsidR="00660FF2" w:rsidRPr="00777391">
        <w:rPr>
          <w:rFonts w:ascii="Book Antiqua" w:hAnsi="Book Antiqua"/>
        </w:rPr>
        <w:t>de ceux relevant du secteur des services (3</w:t>
      </w:r>
      <w:r w:rsidR="00777391" w:rsidRPr="00777391">
        <w:rPr>
          <w:rFonts w:ascii="Book Antiqua" w:hAnsi="Book Antiqua"/>
        </w:rPr>
        <w:t>6</w:t>
      </w:r>
      <w:r w:rsidR="00660FF2" w:rsidRPr="00777391">
        <w:rPr>
          <w:rFonts w:ascii="Book Antiqua" w:hAnsi="Book Antiqua"/>
        </w:rPr>
        <w:t>,</w:t>
      </w:r>
      <w:r w:rsidR="00777391" w:rsidRPr="00777391">
        <w:rPr>
          <w:rFonts w:ascii="Book Antiqua" w:hAnsi="Book Antiqua"/>
        </w:rPr>
        <w:t>5</w:t>
      </w:r>
      <w:r w:rsidR="00660FF2" w:rsidRPr="00777391">
        <w:rPr>
          <w:rFonts w:ascii="Book Antiqua" w:hAnsi="Book Antiqua"/>
        </w:rPr>
        <w:t>%), des BTP (1</w:t>
      </w:r>
      <w:r w:rsidR="00777391" w:rsidRPr="00777391">
        <w:rPr>
          <w:rFonts w:ascii="Book Antiqua" w:hAnsi="Book Antiqua"/>
        </w:rPr>
        <w:t>3</w:t>
      </w:r>
      <w:r w:rsidR="00660FF2" w:rsidRPr="00777391">
        <w:rPr>
          <w:rFonts w:ascii="Book Antiqua" w:hAnsi="Book Antiqua"/>
        </w:rPr>
        <w:t>%) et de l’agriculture, forêt et pêche (</w:t>
      </w:r>
      <w:r w:rsidR="00777391" w:rsidRPr="00777391">
        <w:rPr>
          <w:rFonts w:ascii="Book Antiqua" w:hAnsi="Book Antiqua"/>
        </w:rPr>
        <w:t>4,</w:t>
      </w:r>
      <w:r w:rsidR="00660FF2" w:rsidRPr="00777391">
        <w:rPr>
          <w:rFonts w:ascii="Book Antiqua" w:hAnsi="Book Antiqua"/>
        </w:rPr>
        <w:t>6%).</w:t>
      </w:r>
    </w:p>
    <w:p w:rsidR="00660FF2" w:rsidRDefault="00796CB3" w:rsidP="00796CB3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Un peu moins </w:t>
      </w:r>
      <w:r w:rsidR="00660FF2" w:rsidRPr="004F282C">
        <w:rPr>
          <w:rFonts w:ascii="Book Antiqua" w:hAnsi="Book Antiqua"/>
        </w:rPr>
        <w:t>de la moitié (46,</w:t>
      </w:r>
      <w:r w:rsidR="004F282C" w:rsidRPr="004F282C">
        <w:rPr>
          <w:rFonts w:ascii="Book Antiqua" w:hAnsi="Book Antiqua"/>
        </w:rPr>
        <w:t>1</w:t>
      </w:r>
      <w:r w:rsidR="00660FF2" w:rsidRPr="004F282C">
        <w:rPr>
          <w:rFonts w:ascii="Book Antiqua" w:hAnsi="Book Antiqua"/>
        </w:rPr>
        <w:t xml:space="preserve">%) des salariés bénéficient d’une couverture médicale assurée par </w:t>
      </w:r>
      <w:r>
        <w:rPr>
          <w:rFonts w:ascii="Book Antiqua" w:hAnsi="Book Antiqua"/>
        </w:rPr>
        <w:t>l’</w:t>
      </w:r>
      <w:r w:rsidR="00660FF2" w:rsidRPr="004F282C">
        <w:rPr>
          <w:rFonts w:ascii="Book Antiqua" w:hAnsi="Book Antiqua"/>
        </w:rPr>
        <w:t>employeur</w:t>
      </w:r>
      <w:r>
        <w:rPr>
          <w:rFonts w:ascii="Book Antiqua" w:hAnsi="Book Antiqua"/>
        </w:rPr>
        <w:t xml:space="preserve">, </w:t>
      </w:r>
      <w:r w:rsidR="00660FF2" w:rsidRPr="004F282C">
        <w:rPr>
          <w:rFonts w:ascii="Book Antiqua" w:hAnsi="Book Antiqua"/>
        </w:rPr>
        <w:t>53,</w:t>
      </w:r>
      <w:r w:rsidR="004F282C" w:rsidRPr="004F282C">
        <w:rPr>
          <w:rFonts w:ascii="Book Antiqua" w:hAnsi="Book Antiqua"/>
        </w:rPr>
        <w:t>4</w:t>
      </w:r>
      <w:r w:rsidR="00660FF2" w:rsidRPr="004F282C">
        <w:rPr>
          <w:rFonts w:ascii="Book Antiqua" w:hAnsi="Book Antiqua"/>
        </w:rPr>
        <w:t>% en milieu urbain et 2</w:t>
      </w:r>
      <w:r w:rsidR="004F282C" w:rsidRPr="004F282C">
        <w:rPr>
          <w:rFonts w:ascii="Book Antiqua" w:hAnsi="Book Antiqua"/>
        </w:rPr>
        <w:t>5</w:t>
      </w:r>
      <w:r w:rsidR="00660FF2" w:rsidRPr="004F282C">
        <w:rPr>
          <w:rFonts w:ascii="Book Antiqua" w:hAnsi="Book Antiqua"/>
        </w:rPr>
        <w:t>,</w:t>
      </w:r>
      <w:r w:rsidR="004F282C" w:rsidRPr="004F282C">
        <w:rPr>
          <w:rFonts w:ascii="Book Antiqua" w:hAnsi="Book Antiqua"/>
        </w:rPr>
        <w:t>1</w:t>
      </w:r>
      <w:r w:rsidR="00660FF2" w:rsidRPr="004F282C">
        <w:rPr>
          <w:rFonts w:ascii="Book Antiqua" w:hAnsi="Book Antiqua"/>
        </w:rPr>
        <w:t>% en milieu rural</w:t>
      </w:r>
      <w:r>
        <w:rPr>
          <w:rFonts w:ascii="Book Antiqua" w:hAnsi="Book Antiqua"/>
        </w:rPr>
        <w:t xml:space="preserve">, </w:t>
      </w:r>
      <w:r w:rsidR="004F282C" w:rsidRPr="004F282C">
        <w:rPr>
          <w:rFonts w:ascii="Book Antiqua" w:hAnsi="Book Antiqua"/>
        </w:rPr>
        <w:t>57,3</w:t>
      </w:r>
      <w:r w:rsidR="00660FF2" w:rsidRPr="004F282C">
        <w:rPr>
          <w:rFonts w:ascii="Book Antiqua" w:hAnsi="Book Antiqua"/>
        </w:rPr>
        <w:t>% parmi les femmes et 43,</w:t>
      </w:r>
      <w:r w:rsidR="004F282C" w:rsidRPr="004F282C">
        <w:rPr>
          <w:rFonts w:ascii="Book Antiqua" w:hAnsi="Book Antiqua"/>
        </w:rPr>
        <w:t>3</w:t>
      </w:r>
      <w:r w:rsidR="00660FF2" w:rsidRPr="004F282C">
        <w:rPr>
          <w:rFonts w:ascii="Book Antiqua" w:hAnsi="Book Antiqua"/>
        </w:rPr>
        <w:t>% parmi les hommes.</w:t>
      </w:r>
    </w:p>
    <w:p w:rsidR="002E4A56" w:rsidRPr="000F0CFB" w:rsidRDefault="00796CB3" w:rsidP="00212837">
      <w:pPr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Près</w:t>
      </w:r>
      <w:r w:rsidRPr="000F0CFB">
        <w:rPr>
          <w:rFonts w:ascii="Book Antiqua" w:hAnsi="Book Antiqua"/>
        </w:rPr>
        <w:t xml:space="preserve"> </w:t>
      </w:r>
      <w:r w:rsidR="002E4A56" w:rsidRPr="000F0CFB">
        <w:rPr>
          <w:rFonts w:ascii="Book Antiqua" w:hAnsi="Book Antiqua"/>
        </w:rPr>
        <w:t xml:space="preserve">d’un actif occupé sur </w:t>
      </w:r>
      <w:r w:rsidR="00A80A57">
        <w:rPr>
          <w:rFonts w:ascii="Book Antiqua" w:hAnsi="Book Antiqua"/>
        </w:rPr>
        <w:t xml:space="preserve">4 </w:t>
      </w:r>
      <w:r w:rsidR="002E4A56" w:rsidRPr="000F0CFB">
        <w:rPr>
          <w:rFonts w:ascii="Book Antiqua" w:hAnsi="Book Antiqua"/>
        </w:rPr>
        <w:t>(</w:t>
      </w:r>
      <w:r w:rsidR="002E4A56">
        <w:rPr>
          <w:rFonts w:ascii="Book Antiqua" w:hAnsi="Book Antiqua"/>
        </w:rPr>
        <w:t>2</w:t>
      </w:r>
      <w:r w:rsidR="00A80A57">
        <w:rPr>
          <w:rFonts w:ascii="Book Antiqua" w:hAnsi="Book Antiqua"/>
        </w:rPr>
        <w:t>4</w:t>
      </w:r>
      <w:r w:rsidR="002E4A56" w:rsidRPr="000F0CFB">
        <w:rPr>
          <w:rFonts w:ascii="Book Antiqua" w:hAnsi="Book Antiqua"/>
        </w:rPr>
        <w:t>,</w:t>
      </w:r>
      <w:r w:rsidR="00A80A57">
        <w:rPr>
          <w:rFonts w:ascii="Book Antiqua" w:hAnsi="Book Antiqua"/>
        </w:rPr>
        <w:t>1</w:t>
      </w:r>
      <w:r w:rsidR="002E4A56" w:rsidRPr="000F0CFB">
        <w:rPr>
          <w:rFonts w:ascii="Book Antiqua" w:hAnsi="Book Antiqua"/>
        </w:rPr>
        <w:t xml:space="preserve">%) est </w:t>
      </w:r>
      <w:r w:rsidR="002E4A56">
        <w:rPr>
          <w:rFonts w:ascii="Book Antiqua" w:hAnsi="Book Antiqua"/>
        </w:rPr>
        <w:t xml:space="preserve">affilié à </w:t>
      </w:r>
      <w:r w:rsidR="002E4A56" w:rsidRPr="000F0CFB">
        <w:rPr>
          <w:rFonts w:ascii="Book Antiqua" w:hAnsi="Book Antiqua"/>
        </w:rPr>
        <w:t>un système de retraite, 3</w:t>
      </w:r>
      <w:r w:rsidR="00A80A57">
        <w:rPr>
          <w:rFonts w:ascii="Book Antiqua" w:hAnsi="Book Antiqua"/>
        </w:rPr>
        <w:t>6</w:t>
      </w:r>
      <w:r w:rsidR="002E4A56" w:rsidRPr="000F0CFB">
        <w:rPr>
          <w:rFonts w:ascii="Book Antiqua" w:hAnsi="Book Antiqua"/>
        </w:rPr>
        <w:t>,</w:t>
      </w:r>
      <w:r w:rsidR="00A80A57">
        <w:rPr>
          <w:rFonts w:ascii="Book Antiqua" w:hAnsi="Book Antiqua"/>
        </w:rPr>
        <w:t>3</w:t>
      </w:r>
      <w:r w:rsidR="002E4A56" w:rsidRPr="000F0CFB">
        <w:rPr>
          <w:rFonts w:ascii="Book Antiqua" w:hAnsi="Book Antiqua"/>
        </w:rPr>
        <w:t xml:space="preserve">% en milieu urbain et </w:t>
      </w:r>
      <w:r w:rsidR="00A80A57">
        <w:rPr>
          <w:rFonts w:ascii="Book Antiqua" w:hAnsi="Book Antiqua"/>
        </w:rPr>
        <w:t>7</w:t>
      </w:r>
      <w:r w:rsidR="002E4A56" w:rsidRPr="000F0CFB">
        <w:rPr>
          <w:rFonts w:ascii="Book Antiqua" w:hAnsi="Book Antiqua"/>
        </w:rPr>
        <w:t>,</w:t>
      </w:r>
      <w:r w:rsidR="002E4A56">
        <w:rPr>
          <w:rFonts w:ascii="Book Antiqua" w:hAnsi="Book Antiqua"/>
        </w:rPr>
        <w:t>1</w:t>
      </w:r>
      <w:r w:rsidR="002E4A56" w:rsidRPr="000F0CFB">
        <w:rPr>
          <w:rFonts w:ascii="Book Antiqua" w:hAnsi="Book Antiqua"/>
        </w:rPr>
        <w:t xml:space="preserve">% en milieu rural. Le taux de couverture par un système de retraite est </w:t>
      </w:r>
      <w:r w:rsidR="00212837">
        <w:rPr>
          <w:rFonts w:ascii="Book Antiqua" w:hAnsi="Book Antiqua"/>
        </w:rPr>
        <w:t>légèrement plus élevé</w:t>
      </w:r>
      <w:r w:rsidR="008E34C3" w:rsidRPr="009C7493">
        <w:rPr>
          <w:rFonts w:ascii="Book Antiqua" w:hAnsi="Book Antiqua"/>
        </w:rPr>
        <w:t xml:space="preserve"> parmi </w:t>
      </w:r>
      <w:r w:rsidR="002E4A56" w:rsidRPr="009C7493">
        <w:rPr>
          <w:rFonts w:ascii="Book Antiqua" w:hAnsi="Book Antiqua"/>
        </w:rPr>
        <w:t>les femmes</w:t>
      </w:r>
      <w:r w:rsidR="008E34C3" w:rsidRPr="009C7493">
        <w:rPr>
          <w:rFonts w:ascii="Book Antiqua" w:hAnsi="Book Antiqua"/>
        </w:rPr>
        <w:t xml:space="preserve"> que les hommes</w:t>
      </w:r>
      <w:r w:rsidR="002E4A56" w:rsidRPr="009C7493">
        <w:rPr>
          <w:rFonts w:ascii="Book Antiqua" w:hAnsi="Book Antiqua"/>
        </w:rPr>
        <w:t>, respectivement 2</w:t>
      </w:r>
      <w:r w:rsidR="00A80A57" w:rsidRPr="009C7493">
        <w:rPr>
          <w:rFonts w:ascii="Book Antiqua" w:hAnsi="Book Antiqua"/>
        </w:rPr>
        <w:t>7</w:t>
      </w:r>
      <w:r w:rsidR="002E4A56" w:rsidRPr="009C7493">
        <w:rPr>
          <w:rFonts w:ascii="Book Antiqua" w:hAnsi="Book Antiqua"/>
        </w:rPr>
        <w:t>,</w:t>
      </w:r>
      <w:r w:rsidR="00A80A57" w:rsidRPr="009C7493">
        <w:rPr>
          <w:rFonts w:ascii="Book Antiqua" w:hAnsi="Book Antiqua"/>
        </w:rPr>
        <w:t>5</w:t>
      </w:r>
      <w:r w:rsidR="002E4A56" w:rsidRPr="009C7493">
        <w:rPr>
          <w:rFonts w:ascii="Book Antiqua" w:hAnsi="Book Antiqua"/>
        </w:rPr>
        <w:t>%</w:t>
      </w:r>
      <w:r w:rsidR="00192A74">
        <w:rPr>
          <w:rFonts w:ascii="Book Antiqua" w:hAnsi="Book Antiqua"/>
        </w:rPr>
        <w:t xml:space="preserve"> </w:t>
      </w:r>
      <w:r w:rsidR="009C7493" w:rsidRPr="009C7493">
        <w:rPr>
          <w:rFonts w:ascii="Book Antiqua" w:hAnsi="Book Antiqua"/>
        </w:rPr>
        <w:t xml:space="preserve">et 23,1%. </w:t>
      </w:r>
      <w:r w:rsidR="002E4A56" w:rsidRPr="009C7493">
        <w:rPr>
          <w:rFonts w:ascii="Book Antiqua" w:hAnsi="Book Antiqua"/>
        </w:rPr>
        <w:t>Ce</w:t>
      </w:r>
      <w:r w:rsidR="00212837">
        <w:rPr>
          <w:rFonts w:ascii="Book Antiqua" w:hAnsi="Book Antiqua"/>
        </w:rPr>
        <w:t xml:space="preserve">tte proportion </w:t>
      </w:r>
      <w:r w:rsidR="002E4A56" w:rsidRPr="000F0CFB">
        <w:rPr>
          <w:rFonts w:ascii="Book Antiqua" w:hAnsi="Book Antiqua"/>
        </w:rPr>
        <w:t xml:space="preserve">passe de </w:t>
      </w:r>
      <w:r w:rsidR="00A80A57">
        <w:rPr>
          <w:rFonts w:ascii="Book Antiqua" w:hAnsi="Book Antiqua"/>
        </w:rPr>
        <w:t>8</w:t>
      </w:r>
      <w:r w:rsidR="002E4A56" w:rsidRPr="000F0CFB">
        <w:rPr>
          <w:rFonts w:ascii="Book Antiqua" w:hAnsi="Book Antiqua"/>
        </w:rPr>
        <w:t>,</w:t>
      </w:r>
      <w:r w:rsidR="00A80A57">
        <w:rPr>
          <w:rFonts w:ascii="Book Antiqua" w:hAnsi="Book Antiqua"/>
        </w:rPr>
        <w:t>6</w:t>
      </w:r>
      <w:r w:rsidR="002E4A56" w:rsidRPr="000F0CFB">
        <w:rPr>
          <w:rFonts w:ascii="Book Antiqua" w:hAnsi="Book Antiqua"/>
        </w:rPr>
        <w:t>% parmi les jeunes âgés de 15 à 2</w:t>
      </w:r>
      <w:r w:rsidR="00A80A57">
        <w:rPr>
          <w:rFonts w:ascii="Book Antiqua" w:hAnsi="Book Antiqua"/>
        </w:rPr>
        <w:t>4</w:t>
      </w:r>
      <w:r w:rsidR="002E4A56" w:rsidRPr="000F0CFB">
        <w:rPr>
          <w:rFonts w:ascii="Book Antiqua" w:hAnsi="Book Antiqua"/>
        </w:rPr>
        <w:t xml:space="preserve"> ans à 2</w:t>
      </w:r>
      <w:r w:rsidR="00A80A57">
        <w:rPr>
          <w:rFonts w:ascii="Book Antiqua" w:hAnsi="Book Antiqua"/>
        </w:rPr>
        <w:t>7</w:t>
      </w:r>
      <w:r w:rsidR="002E4A56" w:rsidRPr="000F0CFB">
        <w:rPr>
          <w:rFonts w:ascii="Book Antiqua" w:hAnsi="Book Antiqua"/>
        </w:rPr>
        <w:t>,</w:t>
      </w:r>
      <w:r w:rsidR="00A80A57">
        <w:rPr>
          <w:rFonts w:ascii="Book Antiqua" w:hAnsi="Book Antiqua"/>
        </w:rPr>
        <w:t>7</w:t>
      </w:r>
      <w:r w:rsidR="002E4A56" w:rsidRPr="000F0CFB">
        <w:rPr>
          <w:rFonts w:ascii="Book Antiqua" w:hAnsi="Book Antiqua"/>
        </w:rPr>
        <w:t xml:space="preserve">% parmi les personnes de </w:t>
      </w:r>
      <w:r w:rsidR="00A80A57">
        <w:rPr>
          <w:rFonts w:ascii="Book Antiqua" w:hAnsi="Book Antiqua"/>
        </w:rPr>
        <w:t>35 à 44</w:t>
      </w:r>
      <w:r w:rsidR="002E4A56" w:rsidRPr="000F0CFB">
        <w:rPr>
          <w:rFonts w:ascii="Book Antiqua" w:hAnsi="Book Antiqua"/>
        </w:rPr>
        <w:t xml:space="preserve"> ans</w:t>
      </w:r>
      <w:r w:rsidR="00212837">
        <w:rPr>
          <w:rFonts w:ascii="Book Antiqua" w:hAnsi="Book Antiqua"/>
        </w:rPr>
        <w:t xml:space="preserve"> et </w:t>
      </w:r>
      <w:r w:rsidR="002E4A56" w:rsidRPr="000F0CFB">
        <w:rPr>
          <w:rFonts w:ascii="Book Antiqua" w:hAnsi="Book Antiqua"/>
        </w:rPr>
        <w:t xml:space="preserve">de </w:t>
      </w:r>
      <w:r w:rsidR="00A80A57">
        <w:rPr>
          <w:rFonts w:ascii="Book Antiqua" w:hAnsi="Book Antiqua"/>
        </w:rPr>
        <w:t>9</w:t>
      </w:r>
      <w:r w:rsidR="002E4A56" w:rsidRPr="000F0CFB">
        <w:rPr>
          <w:rFonts w:ascii="Book Antiqua" w:hAnsi="Book Antiqua"/>
        </w:rPr>
        <w:t>,</w:t>
      </w:r>
      <w:r w:rsidR="002E4A56">
        <w:rPr>
          <w:rFonts w:ascii="Book Antiqua" w:hAnsi="Book Antiqua"/>
        </w:rPr>
        <w:t>9</w:t>
      </w:r>
      <w:r w:rsidR="002E4A56" w:rsidRPr="000F0CFB">
        <w:rPr>
          <w:rFonts w:ascii="Book Antiqua" w:hAnsi="Book Antiqua"/>
        </w:rPr>
        <w:t xml:space="preserve">% parmi les </w:t>
      </w:r>
      <w:r w:rsidR="002E4A56">
        <w:rPr>
          <w:rFonts w:ascii="Book Antiqua" w:hAnsi="Book Antiqua"/>
        </w:rPr>
        <w:t xml:space="preserve">actifs occupés n'ayant aucun </w:t>
      </w:r>
      <w:r w:rsidR="002E4A56" w:rsidRPr="000F0CFB">
        <w:rPr>
          <w:rFonts w:ascii="Book Antiqua" w:hAnsi="Book Antiqua"/>
        </w:rPr>
        <w:t xml:space="preserve">diplôme à </w:t>
      </w:r>
      <w:r w:rsidR="002E4A56">
        <w:rPr>
          <w:rFonts w:ascii="Book Antiqua" w:hAnsi="Book Antiqua"/>
        </w:rPr>
        <w:t>7</w:t>
      </w:r>
      <w:r w:rsidR="00A80A57">
        <w:rPr>
          <w:rFonts w:ascii="Book Antiqua" w:hAnsi="Book Antiqua"/>
        </w:rPr>
        <w:t>2</w:t>
      </w:r>
      <w:r w:rsidR="002E4A56" w:rsidRPr="000F0CFB">
        <w:rPr>
          <w:rFonts w:ascii="Book Antiqua" w:hAnsi="Book Antiqua"/>
        </w:rPr>
        <w:t>,</w:t>
      </w:r>
      <w:r w:rsidR="00A80A57">
        <w:rPr>
          <w:rFonts w:ascii="Book Antiqua" w:hAnsi="Book Antiqua"/>
        </w:rPr>
        <w:t>4</w:t>
      </w:r>
      <w:r w:rsidR="002E4A56" w:rsidRPr="000F0CFB">
        <w:rPr>
          <w:rFonts w:ascii="Book Antiqua" w:hAnsi="Book Antiqua"/>
        </w:rPr>
        <w:t xml:space="preserve">% parmi </w:t>
      </w:r>
      <w:r w:rsidR="00212837">
        <w:rPr>
          <w:rFonts w:ascii="Book Antiqua" w:hAnsi="Book Antiqua"/>
        </w:rPr>
        <w:t xml:space="preserve">ceux ayant </w:t>
      </w:r>
      <w:r w:rsidR="002E4A56" w:rsidRPr="000F0CFB">
        <w:rPr>
          <w:rFonts w:ascii="Book Antiqua" w:hAnsi="Book Antiqua"/>
        </w:rPr>
        <w:t>un diplôme supérieur.</w:t>
      </w:r>
    </w:p>
    <w:p w:rsidR="00012D8C" w:rsidRDefault="00660FF2" w:rsidP="00F951D2">
      <w:pPr>
        <w:spacing w:before="240" w:line="312" w:lineRule="auto"/>
        <w:jc w:val="both"/>
        <w:rPr>
          <w:rFonts w:ascii="Book Antiqua" w:hAnsi="Book Antiqua"/>
        </w:rPr>
      </w:pPr>
      <w:r w:rsidRPr="00D43BC0">
        <w:rPr>
          <w:rFonts w:ascii="Book Antiqua" w:hAnsi="Book Antiqua"/>
        </w:rPr>
        <w:t>Par ailleurs, plus de la moitié des salariés (55,</w:t>
      </w:r>
      <w:r w:rsidR="004D2931" w:rsidRPr="00D43BC0">
        <w:rPr>
          <w:rFonts w:ascii="Book Antiqua" w:hAnsi="Book Antiqua"/>
        </w:rPr>
        <w:t>2</w:t>
      </w:r>
      <w:r w:rsidRPr="00D43BC0">
        <w:rPr>
          <w:rFonts w:ascii="Book Antiqua" w:hAnsi="Book Antiqua"/>
        </w:rPr>
        <w:t>%) ne disposent d'aucun contrat formalisant leur relation avec l'employeur (</w:t>
      </w:r>
      <w:r w:rsidR="00F951D2">
        <w:rPr>
          <w:rFonts w:ascii="Book Antiqua" w:hAnsi="Book Antiqua"/>
        </w:rPr>
        <w:t>54,9</w:t>
      </w:r>
      <w:r w:rsidRPr="00D43BC0">
        <w:rPr>
          <w:rFonts w:ascii="Book Antiqua" w:hAnsi="Book Antiqua"/>
        </w:rPr>
        <w:t xml:space="preserve">% </w:t>
      </w:r>
      <w:r w:rsidR="004D2931" w:rsidRPr="00D43BC0">
        <w:rPr>
          <w:rFonts w:ascii="Book Antiqua" w:hAnsi="Book Antiqua"/>
        </w:rPr>
        <w:t>en</w:t>
      </w:r>
      <w:r w:rsidRPr="00D43BC0">
        <w:rPr>
          <w:rFonts w:ascii="Book Antiqua" w:hAnsi="Book Antiqua"/>
        </w:rPr>
        <w:t xml:space="preserve"> 2019). Un peu plus du quart (2</w:t>
      </w:r>
      <w:r w:rsidR="004D2931" w:rsidRPr="00D43BC0">
        <w:rPr>
          <w:rFonts w:ascii="Book Antiqua" w:hAnsi="Book Antiqua"/>
        </w:rPr>
        <w:t>6</w:t>
      </w:r>
      <w:r w:rsidRPr="00D43BC0">
        <w:rPr>
          <w:rFonts w:ascii="Book Antiqua" w:hAnsi="Book Antiqua"/>
        </w:rPr>
        <w:t>,</w:t>
      </w:r>
      <w:r w:rsidR="004D2931" w:rsidRPr="00D43BC0">
        <w:rPr>
          <w:rFonts w:ascii="Book Antiqua" w:hAnsi="Book Antiqua"/>
        </w:rPr>
        <w:t>4</w:t>
      </w:r>
      <w:r w:rsidRPr="00D43BC0">
        <w:rPr>
          <w:rFonts w:ascii="Book Antiqua" w:hAnsi="Book Antiqua"/>
        </w:rPr>
        <w:t>%) disposent d'un contrat à durée indéterminée, 1</w:t>
      </w:r>
      <w:r w:rsidR="004D2931" w:rsidRPr="00D43BC0">
        <w:rPr>
          <w:rFonts w:ascii="Book Antiqua" w:hAnsi="Book Antiqua"/>
        </w:rPr>
        <w:t>2</w:t>
      </w:r>
      <w:r w:rsidRPr="00D43BC0">
        <w:rPr>
          <w:rFonts w:ascii="Book Antiqua" w:hAnsi="Book Antiqua"/>
        </w:rPr>
        <w:t>,</w:t>
      </w:r>
      <w:r w:rsidR="004D2931" w:rsidRPr="00D43BC0">
        <w:rPr>
          <w:rFonts w:ascii="Book Antiqua" w:hAnsi="Book Antiqua"/>
        </w:rPr>
        <w:t>2</w:t>
      </w:r>
      <w:r w:rsidRPr="00D43BC0">
        <w:rPr>
          <w:rFonts w:ascii="Book Antiqua" w:hAnsi="Book Antiqua"/>
        </w:rPr>
        <w:t>% d'un contrat à durée déterminée et 6,2% d’un contrat verbal. La part des salariés ne disposant d'aucun contrat s’élève à</w:t>
      </w:r>
      <w:r w:rsidR="00FD2CA6">
        <w:rPr>
          <w:rFonts w:ascii="Book Antiqua" w:hAnsi="Book Antiqua"/>
        </w:rPr>
        <w:t xml:space="preserve"> </w:t>
      </w:r>
      <w:r w:rsidRPr="00D43BC0">
        <w:rPr>
          <w:rFonts w:ascii="Book Antiqua" w:hAnsi="Book Antiqua"/>
        </w:rPr>
        <w:t>4</w:t>
      </w:r>
      <w:r w:rsidR="004D2931" w:rsidRPr="00D43BC0">
        <w:rPr>
          <w:rFonts w:ascii="Book Antiqua" w:hAnsi="Book Antiqua"/>
        </w:rPr>
        <w:t>3</w:t>
      </w:r>
      <w:r w:rsidRPr="00D43BC0">
        <w:rPr>
          <w:rFonts w:ascii="Book Antiqua" w:hAnsi="Book Antiqua"/>
        </w:rPr>
        <w:t>,</w:t>
      </w:r>
      <w:r w:rsidR="004D2931" w:rsidRPr="00D43BC0">
        <w:rPr>
          <w:rFonts w:ascii="Book Antiqua" w:hAnsi="Book Antiqua"/>
        </w:rPr>
        <w:t>2</w:t>
      </w:r>
      <w:r w:rsidRPr="00D43BC0">
        <w:rPr>
          <w:rFonts w:ascii="Book Antiqua" w:hAnsi="Book Antiqua"/>
        </w:rPr>
        <w:t xml:space="preserve">% parmi les femmes </w:t>
      </w:r>
      <w:r w:rsidR="00212837">
        <w:rPr>
          <w:rFonts w:ascii="Book Antiqua" w:hAnsi="Book Antiqua"/>
        </w:rPr>
        <w:t>contre</w:t>
      </w:r>
      <w:r w:rsidRPr="00D43BC0">
        <w:rPr>
          <w:rFonts w:ascii="Book Antiqua" w:hAnsi="Book Antiqua"/>
        </w:rPr>
        <w:t xml:space="preserve"> 58,</w:t>
      </w:r>
      <w:r w:rsidR="004D2931" w:rsidRPr="00D43BC0">
        <w:rPr>
          <w:rFonts w:ascii="Book Antiqua" w:hAnsi="Book Antiqua"/>
        </w:rPr>
        <w:t>2</w:t>
      </w:r>
      <w:r w:rsidRPr="00D43BC0">
        <w:rPr>
          <w:rFonts w:ascii="Book Antiqua" w:hAnsi="Book Antiqua"/>
        </w:rPr>
        <w:t>% parmi les hommes</w:t>
      </w:r>
      <w:r w:rsidR="00212837">
        <w:rPr>
          <w:rFonts w:ascii="Book Antiqua" w:hAnsi="Book Antiqua"/>
        </w:rPr>
        <w:t xml:space="preserve">, </w:t>
      </w:r>
      <w:r w:rsidRPr="00D43BC0">
        <w:rPr>
          <w:rFonts w:ascii="Book Antiqua" w:hAnsi="Book Antiqua"/>
        </w:rPr>
        <w:t>respectivement 4</w:t>
      </w:r>
      <w:r w:rsidR="004D2931" w:rsidRPr="00D43BC0">
        <w:rPr>
          <w:rFonts w:ascii="Book Antiqua" w:hAnsi="Book Antiqua"/>
        </w:rPr>
        <w:t>3</w:t>
      </w:r>
      <w:r w:rsidRPr="00D43BC0">
        <w:rPr>
          <w:rFonts w:ascii="Book Antiqua" w:hAnsi="Book Antiqua"/>
        </w:rPr>
        <w:t xml:space="preserve">% </w:t>
      </w:r>
      <w:r w:rsidR="00212837">
        <w:rPr>
          <w:rFonts w:ascii="Book Antiqua" w:hAnsi="Book Antiqua"/>
        </w:rPr>
        <w:t xml:space="preserve">contre </w:t>
      </w:r>
      <w:r w:rsidRPr="00D43BC0">
        <w:rPr>
          <w:rFonts w:ascii="Book Antiqua" w:hAnsi="Book Antiqua"/>
        </w:rPr>
        <w:t xml:space="preserve">58% </w:t>
      </w:r>
      <w:r w:rsidR="004D2931" w:rsidRPr="00D43BC0">
        <w:rPr>
          <w:rFonts w:ascii="Book Antiqua" w:hAnsi="Book Antiqua"/>
        </w:rPr>
        <w:t>en</w:t>
      </w:r>
      <w:r w:rsidRPr="00D43BC0">
        <w:rPr>
          <w:rFonts w:ascii="Book Antiqua" w:hAnsi="Book Antiqua"/>
        </w:rPr>
        <w:t xml:space="preserve"> 2019.</w:t>
      </w:r>
    </w:p>
    <w:p w:rsidR="00660FF2" w:rsidRDefault="00660FF2" w:rsidP="00212837">
      <w:pPr>
        <w:spacing w:before="240" w:line="312" w:lineRule="auto"/>
        <w:jc w:val="both"/>
        <w:rPr>
          <w:rFonts w:ascii="Book Antiqua" w:hAnsi="Book Antiqua"/>
        </w:rPr>
      </w:pPr>
      <w:r w:rsidRPr="00D43BC0">
        <w:rPr>
          <w:rFonts w:ascii="Book Antiqua" w:hAnsi="Book Antiqua"/>
        </w:rPr>
        <w:t>Les salariés âgés de 15 à 29 ans et les personnes n'ayant aucun diplôme sont les plus touchés par le travail sans contrat avec respectivement 6</w:t>
      </w:r>
      <w:r w:rsidR="00D43BC0" w:rsidRPr="00D43BC0">
        <w:rPr>
          <w:rFonts w:ascii="Book Antiqua" w:hAnsi="Book Antiqua"/>
        </w:rPr>
        <w:t>2</w:t>
      </w:r>
      <w:r w:rsidRPr="00D43BC0">
        <w:rPr>
          <w:rFonts w:ascii="Book Antiqua" w:hAnsi="Book Antiqua"/>
        </w:rPr>
        <w:t>,</w:t>
      </w:r>
      <w:r w:rsidR="00D43BC0" w:rsidRPr="00D43BC0">
        <w:rPr>
          <w:rFonts w:ascii="Book Antiqua" w:hAnsi="Book Antiqua"/>
        </w:rPr>
        <w:t>7</w:t>
      </w:r>
      <w:r w:rsidRPr="00D43BC0">
        <w:rPr>
          <w:rFonts w:ascii="Book Antiqua" w:hAnsi="Book Antiqua"/>
        </w:rPr>
        <w:t>% et 7</w:t>
      </w:r>
      <w:r w:rsidR="00D43BC0" w:rsidRPr="00D43BC0">
        <w:rPr>
          <w:rFonts w:ascii="Book Antiqua" w:hAnsi="Book Antiqua"/>
        </w:rPr>
        <w:t>4</w:t>
      </w:r>
      <w:r w:rsidRPr="00D43BC0">
        <w:rPr>
          <w:rFonts w:ascii="Book Antiqua" w:hAnsi="Book Antiqua"/>
        </w:rPr>
        <w:t>,</w:t>
      </w:r>
      <w:r w:rsidR="00D43BC0" w:rsidRPr="00D43BC0">
        <w:rPr>
          <w:rFonts w:ascii="Book Antiqua" w:hAnsi="Book Antiqua"/>
        </w:rPr>
        <w:t>4</w:t>
      </w:r>
      <w:r w:rsidRPr="00D43BC0">
        <w:rPr>
          <w:rFonts w:ascii="Book Antiqua" w:hAnsi="Book Antiqua"/>
        </w:rPr>
        <w:t>%.</w:t>
      </w:r>
    </w:p>
    <w:p w:rsidR="00E366DA" w:rsidRPr="0087357A" w:rsidRDefault="00565776" w:rsidP="00A1625F">
      <w:pPr>
        <w:spacing w:line="276" w:lineRule="auto"/>
        <w:rPr>
          <w:rFonts w:ascii="Book Antiqua" w:hAnsi="Book Antiqua"/>
          <w:b/>
          <w:bCs/>
          <w:color w:val="44546A" w:themeColor="text2"/>
          <w:sz w:val="22"/>
          <w:szCs w:val="22"/>
        </w:rPr>
      </w:pPr>
      <w:r>
        <w:rPr>
          <w:rFonts w:ascii="Book Antiqua" w:hAnsi="Book Antiqua"/>
          <w:b/>
          <w:bCs/>
          <w:color w:val="44546A" w:themeColor="text2"/>
          <w:sz w:val="22"/>
          <w:szCs w:val="22"/>
        </w:rPr>
        <w:lastRenderedPageBreak/>
        <w:t xml:space="preserve">Graphique </w:t>
      </w:r>
      <w:r w:rsidR="00722B00">
        <w:rPr>
          <w:rFonts w:ascii="Book Antiqua" w:hAnsi="Book Antiqua"/>
          <w:b/>
          <w:bCs/>
          <w:color w:val="44546A" w:themeColor="text2"/>
          <w:sz w:val="22"/>
          <w:szCs w:val="22"/>
        </w:rPr>
        <w:t>7</w:t>
      </w:r>
      <w:r>
        <w:rPr>
          <w:rFonts w:ascii="Book Antiqua" w:hAnsi="Book Antiqua"/>
          <w:b/>
          <w:bCs/>
          <w:color w:val="44546A" w:themeColor="text2"/>
          <w:sz w:val="22"/>
          <w:szCs w:val="22"/>
        </w:rPr>
        <w:t> </w:t>
      </w:r>
      <w:r w:rsidR="00012D8C">
        <w:rPr>
          <w:rFonts w:ascii="Book Antiqua" w:hAnsi="Book Antiqua"/>
          <w:b/>
          <w:bCs/>
          <w:color w:val="44546A" w:themeColor="text2"/>
          <w:sz w:val="22"/>
          <w:szCs w:val="22"/>
        </w:rPr>
        <w:t>: Répartition</w:t>
      </w:r>
      <w:r w:rsidR="0055086B" w:rsidRPr="0087357A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 des actifs occupés salariés de 15 ans et plus </w:t>
      </w:r>
      <w:r w:rsidR="00744418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selon le diplôme </w:t>
      </w:r>
      <w:r w:rsidR="00212837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et </w:t>
      </w:r>
      <w:r w:rsidR="00744418">
        <w:rPr>
          <w:rFonts w:ascii="Book Antiqua" w:hAnsi="Book Antiqua"/>
          <w:b/>
          <w:bCs/>
          <w:color w:val="44546A" w:themeColor="text2"/>
          <w:sz w:val="22"/>
          <w:szCs w:val="22"/>
        </w:rPr>
        <w:t>le</w:t>
      </w:r>
      <w:r w:rsidR="0055086B" w:rsidRPr="0087357A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 type de contrat de travail </w:t>
      </w:r>
      <w:r w:rsidR="0087357A">
        <w:rPr>
          <w:rFonts w:ascii="Book Antiqua" w:hAnsi="Book Antiqua"/>
          <w:b/>
          <w:bCs/>
          <w:color w:val="44546A" w:themeColor="text2"/>
          <w:sz w:val="22"/>
          <w:szCs w:val="22"/>
        </w:rPr>
        <w:t>2020</w:t>
      </w:r>
      <w:r w:rsidR="00E366DA" w:rsidRPr="00E366DA">
        <w:rPr>
          <w:rFonts w:ascii="Book Antiqua" w:hAnsi="Book Antiqua"/>
          <w:b/>
          <w:bCs/>
          <w:noProof/>
          <w:color w:val="44546A" w:themeColor="text2"/>
          <w:sz w:val="22"/>
          <w:szCs w:val="22"/>
        </w:rPr>
        <w:drawing>
          <wp:inline distT="0" distB="0" distL="0" distR="0">
            <wp:extent cx="5429250" cy="2743200"/>
            <wp:effectExtent l="0" t="0" r="0" b="0"/>
            <wp:docPr id="11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10074" w:rsidRPr="007714CC" w:rsidRDefault="00212837" w:rsidP="00A1625F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  <w:r w:rsidRPr="000535B4">
        <w:rPr>
          <w:rFonts w:ascii="Book Antiqua" w:hAnsi="Book Antiqua"/>
        </w:rPr>
        <w:t xml:space="preserve">Environ </w:t>
      </w:r>
      <w:r w:rsidR="00910074" w:rsidRPr="000535B4">
        <w:rPr>
          <w:rFonts w:ascii="Book Antiqua" w:hAnsi="Book Antiqua"/>
        </w:rPr>
        <w:t>1</w:t>
      </w:r>
      <w:r w:rsidR="00C237F1" w:rsidRPr="000535B4">
        <w:rPr>
          <w:rFonts w:ascii="Book Antiqua" w:hAnsi="Book Antiqua"/>
        </w:rPr>
        <w:t>4</w:t>
      </w:r>
      <w:r w:rsidR="00910074" w:rsidRPr="000535B4">
        <w:rPr>
          <w:rFonts w:ascii="Book Antiqua" w:hAnsi="Book Antiqua"/>
        </w:rPr>
        <w:t>% des actifs occupés exercent un emploi non rémunéré, les ruraux</w:t>
      </w:r>
      <w:r w:rsidRPr="000535B4">
        <w:rPr>
          <w:rFonts w:ascii="Book Antiqua" w:hAnsi="Book Antiqua"/>
        </w:rPr>
        <w:t xml:space="preserve">, avec </w:t>
      </w:r>
      <w:r w:rsidR="00910074" w:rsidRPr="000535B4">
        <w:rPr>
          <w:rFonts w:ascii="Book Antiqua" w:hAnsi="Book Antiqua"/>
        </w:rPr>
        <w:t>29,9%</w:t>
      </w:r>
      <w:r w:rsidRPr="000535B4">
        <w:rPr>
          <w:rFonts w:ascii="Book Antiqua" w:hAnsi="Book Antiqua"/>
        </w:rPr>
        <w:t>,</w:t>
      </w:r>
      <w:r w:rsidR="00910074" w:rsidRPr="000535B4">
        <w:rPr>
          <w:rFonts w:ascii="Book Antiqua" w:hAnsi="Book Antiqua"/>
        </w:rPr>
        <w:t xml:space="preserve"> plus que les citadins (3%) et les femmes</w:t>
      </w:r>
      <w:r w:rsidR="00BF13D7" w:rsidRPr="000535B4">
        <w:rPr>
          <w:rFonts w:ascii="Book Antiqua" w:hAnsi="Book Antiqua"/>
        </w:rPr>
        <w:t>,</w:t>
      </w:r>
      <w:r w:rsidR="00910074" w:rsidRPr="000535B4">
        <w:rPr>
          <w:rFonts w:ascii="Book Antiqua" w:hAnsi="Book Antiqua"/>
        </w:rPr>
        <w:t xml:space="preserve"> </w:t>
      </w:r>
      <w:r w:rsidR="00BF13D7" w:rsidRPr="000535B4">
        <w:rPr>
          <w:rFonts w:ascii="Book Antiqua" w:hAnsi="Book Antiqua"/>
        </w:rPr>
        <w:t xml:space="preserve">avec </w:t>
      </w:r>
      <w:r w:rsidR="00910074" w:rsidRPr="000535B4">
        <w:rPr>
          <w:rFonts w:ascii="Book Antiqua" w:hAnsi="Book Antiqua"/>
        </w:rPr>
        <w:t>35%</w:t>
      </w:r>
      <w:r w:rsidR="00BF13D7" w:rsidRPr="000535B4">
        <w:rPr>
          <w:rFonts w:ascii="Book Antiqua" w:hAnsi="Book Antiqua"/>
        </w:rPr>
        <w:t>,</w:t>
      </w:r>
      <w:r w:rsidR="00E366DA" w:rsidRPr="000535B4">
        <w:rPr>
          <w:rFonts w:ascii="Book Antiqua" w:hAnsi="Book Antiqua"/>
        </w:rPr>
        <w:t xml:space="preserve"> </w:t>
      </w:r>
      <w:r w:rsidR="00910074" w:rsidRPr="000535B4">
        <w:rPr>
          <w:rFonts w:ascii="Book Antiqua" w:hAnsi="Book Antiqua"/>
        </w:rPr>
        <w:t>plus que les hommes (</w:t>
      </w:r>
      <w:r w:rsidR="00C237F1" w:rsidRPr="000535B4">
        <w:rPr>
          <w:rFonts w:ascii="Book Antiqua" w:hAnsi="Book Antiqua"/>
        </w:rPr>
        <w:t>8,6</w:t>
      </w:r>
      <w:r w:rsidR="00910074" w:rsidRPr="000535B4">
        <w:rPr>
          <w:rFonts w:ascii="Book Antiqua" w:hAnsi="Book Antiqua"/>
        </w:rPr>
        <w:t>%</w:t>
      </w:r>
      <w:r w:rsidR="0051612B" w:rsidRPr="000535B4">
        <w:rPr>
          <w:rFonts w:ascii="Book Antiqua" w:hAnsi="Book Antiqua"/>
        </w:rPr>
        <w:t>)</w:t>
      </w:r>
      <w:r w:rsidR="00910074" w:rsidRPr="000535B4">
        <w:rPr>
          <w:rFonts w:ascii="Book Antiqua" w:hAnsi="Book Antiqua"/>
        </w:rPr>
        <w:t>.</w:t>
      </w:r>
      <w:r w:rsidR="00910074" w:rsidRPr="00A1625F">
        <w:rPr>
          <w:rFonts w:ascii="Book Antiqua" w:hAnsi="Book Antiqua"/>
        </w:rPr>
        <w:t xml:space="preserve"> Les </w:t>
      </w:r>
      <w:r w:rsidR="00BF13D7" w:rsidRPr="00A1625F">
        <w:rPr>
          <w:rFonts w:ascii="Book Antiqua" w:hAnsi="Book Antiqua"/>
        </w:rPr>
        <w:t>personnes n’ayant aucun diplôme</w:t>
      </w:r>
      <w:r w:rsidR="00910074" w:rsidRPr="00A1625F">
        <w:rPr>
          <w:rFonts w:ascii="Book Antiqua" w:hAnsi="Book Antiqua"/>
        </w:rPr>
        <w:t xml:space="preserve"> sont également plus touché</w:t>
      </w:r>
      <w:r w:rsidR="00BF13D7" w:rsidRPr="00A1625F">
        <w:rPr>
          <w:rFonts w:ascii="Book Antiqua" w:hAnsi="Book Antiqua"/>
        </w:rPr>
        <w:t>e</w:t>
      </w:r>
      <w:r w:rsidR="00910074" w:rsidRPr="00A1625F">
        <w:rPr>
          <w:rFonts w:ascii="Book Antiqua" w:hAnsi="Book Antiqua"/>
        </w:rPr>
        <w:t>s par</w:t>
      </w:r>
      <w:r w:rsidR="00910074" w:rsidRPr="007714CC">
        <w:rPr>
          <w:rFonts w:ascii="Book Antiqua" w:hAnsi="Book Antiqua"/>
        </w:rPr>
        <w:t xml:space="preserve"> l’emploi non rémunéré avec 1</w:t>
      </w:r>
      <w:r w:rsidR="0051612B">
        <w:rPr>
          <w:rFonts w:ascii="Book Antiqua" w:hAnsi="Book Antiqua"/>
        </w:rPr>
        <w:t>8</w:t>
      </w:r>
      <w:r w:rsidR="00910074" w:rsidRPr="007714CC">
        <w:rPr>
          <w:rFonts w:ascii="Book Antiqua" w:hAnsi="Book Antiqua"/>
        </w:rPr>
        <w:t>,</w:t>
      </w:r>
      <w:r w:rsidR="0051612B">
        <w:rPr>
          <w:rFonts w:ascii="Book Antiqua" w:hAnsi="Book Antiqua"/>
        </w:rPr>
        <w:t>5</w:t>
      </w:r>
      <w:r w:rsidR="00910074" w:rsidRPr="007714CC">
        <w:rPr>
          <w:rFonts w:ascii="Book Antiqua" w:hAnsi="Book Antiqua"/>
        </w:rPr>
        <w:t xml:space="preserve">% contre </w:t>
      </w:r>
      <w:r w:rsidR="0051612B">
        <w:rPr>
          <w:rFonts w:ascii="Book Antiqua" w:hAnsi="Book Antiqua"/>
        </w:rPr>
        <w:t>12</w:t>
      </w:r>
      <w:r w:rsidR="00910074" w:rsidRPr="007714CC">
        <w:rPr>
          <w:rFonts w:ascii="Book Antiqua" w:hAnsi="Book Antiqua"/>
        </w:rPr>
        <w:t xml:space="preserve">,5% pour </w:t>
      </w:r>
      <w:r w:rsidR="00BF13D7">
        <w:rPr>
          <w:rFonts w:ascii="Book Antiqua" w:hAnsi="Book Antiqua"/>
        </w:rPr>
        <w:t xml:space="preserve">celles ayant un </w:t>
      </w:r>
      <w:r w:rsidR="00910074" w:rsidRPr="007714CC">
        <w:rPr>
          <w:rFonts w:ascii="Book Antiqua" w:hAnsi="Book Antiqua"/>
        </w:rPr>
        <w:t>diplôm</w:t>
      </w:r>
      <w:r w:rsidR="00910074">
        <w:rPr>
          <w:rFonts w:ascii="Book Antiqua" w:hAnsi="Book Antiqua"/>
        </w:rPr>
        <w:t>e</w:t>
      </w:r>
      <w:r w:rsidR="0051612B">
        <w:rPr>
          <w:rFonts w:ascii="Book Antiqua" w:hAnsi="Book Antiqua"/>
        </w:rPr>
        <w:t xml:space="preserve"> moyen et 2,5 pour </w:t>
      </w:r>
      <w:r w:rsidR="00BF13D7">
        <w:rPr>
          <w:rFonts w:ascii="Book Antiqua" w:hAnsi="Book Antiqua"/>
        </w:rPr>
        <w:t xml:space="preserve">celles ayant un diplôme </w:t>
      </w:r>
      <w:r w:rsidR="0051612B">
        <w:rPr>
          <w:rFonts w:ascii="Book Antiqua" w:hAnsi="Book Antiqua"/>
        </w:rPr>
        <w:t>supérieur</w:t>
      </w:r>
      <w:r w:rsidR="00910074" w:rsidRPr="007714CC">
        <w:rPr>
          <w:rFonts w:ascii="Book Antiqua" w:hAnsi="Book Antiqua"/>
        </w:rPr>
        <w:t xml:space="preserve">. </w:t>
      </w:r>
    </w:p>
    <w:p w:rsidR="00660FF2" w:rsidRDefault="00BF13D7" w:rsidP="00BF13D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Près d’un</w:t>
      </w:r>
      <w:r w:rsidR="00660FF2" w:rsidRPr="008C27F8">
        <w:rPr>
          <w:rFonts w:ascii="Book Antiqua" w:hAnsi="Book Antiqua"/>
        </w:rPr>
        <w:t xml:space="preserve"> actif occupé sur 10 (</w:t>
      </w:r>
      <w:r w:rsidR="008C27F8" w:rsidRPr="008C27F8">
        <w:rPr>
          <w:rFonts w:ascii="Book Antiqua" w:hAnsi="Book Antiqua"/>
        </w:rPr>
        <w:t>9</w:t>
      </w:r>
      <w:r w:rsidR="00660FF2" w:rsidRPr="008C27F8">
        <w:rPr>
          <w:rFonts w:ascii="Book Antiqua" w:hAnsi="Book Antiqua"/>
        </w:rPr>
        <w:t>,</w:t>
      </w:r>
      <w:r w:rsidR="008C27F8" w:rsidRPr="008C27F8">
        <w:rPr>
          <w:rFonts w:ascii="Book Antiqua" w:hAnsi="Book Antiqua"/>
        </w:rPr>
        <w:t>5</w:t>
      </w:r>
      <w:r w:rsidR="00660FF2" w:rsidRPr="008C27F8">
        <w:rPr>
          <w:rFonts w:ascii="Book Antiqua" w:hAnsi="Book Antiqua"/>
        </w:rPr>
        <w:t>%) exerce un emploi de type occasionnel ou saisonnier, 1</w:t>
      </w:r>
      <w:r w:rsidR="008C27F8" w:rsidRPr="008C27F8">
        <w:rPr>
          <w:rFonts w:ascii="Book Antiqua" w:hAnsi="Book Antiqua"/>
        </w:rPr>
        <w:t>2</w:t>
      </w:r>
      <w:r w:rsidR="00660FF2" w:rsidRPr="008C27F8">
        <w:rPr>
          <w:rFonts w:ascii="Book Antiqua" w:hAnsi="Book Antiqua"/>
        </w:rPr>
        <w:t>,</w:t>
      </w:r>
      <w:r w:rsidR="008C27F8" w:rsidRPr="008C27F8">
        <w:rPr>
          <w:rFonts w:ascii="Book Antiqua" w:hAnsi="Book Antiqua"/>
        </w:rPr>
        <w:t>3</w:t>
      </w:r>
      <w:r w:rsidR="00660FF2" w:rsidRPr="008C27F8">
        <w:rPr>
          <w:rFonts w:ascii="Book Antiqua" w:hAnsi="Book Antiqua"/>
        </w:rPr>
        <w:t xml:space="preserve">% en milieu rural et </w:t>
      </w:r>
      <w:r w:rsidR="008C27F8" w:rsidRPr="008C27F8">
        <w:rPr>
          <w:rFonts w:ascii="Book Antiqua" w:hAnsi="Book Antiqua"/>
        </w:rPr>
        <w:t>7</w:t>
      </w:r>
      <w:r w:rsidR="00660FF2" w:rsidRPr="008C27F8">
        <w:rPr>
          <w:rFonts w:ascii="Book Antiqua" w:hAnsi="Book Antiqua"/>
        </w:rPr>
        <w:t>,</w:t>
      </w:r>
      <w:r w:rsidR="008C27F8" w:rsidRPr="008C27F8">
        <w:rPr>
          <w:rFonts w:ascii="Book Antiqua" w:hAnsi="Book Antiqua"/>
        </w:rPr>
        <w:t>5</w:t>
      </w:r>
      <w:r w:rsidR="00660FF2" w:rsidRPr="008C27F8">
        <w:rPr>
          <w:rFonts w:ascii="Book Antiqua" w:hAnsi="Book Antiqua"/>
        </w:rPr>
        <w:t>% en milieu urbain.  Ces parts étaient respectivement de 9,</w:t>
      </w:r>
      <w:r w:rsidR="008C27F8" w:rsidRPr="008C27F8">
        <w:rPr>
          <w:rFonts w:ascii="Book Antiqua" w:hAnsi="Book Antiqua"/>
        </w:rPr>
        <w:t>2</w:t>
      </w:r>
      <w:r w:rsidR="00660FF2" w:rsidRPr="008C27F8">
        <w:rPr>
          <w:rFonts w:ascii="Book Antiqua" w:hAnsi="Book Antiqua"/>
        </w:rPr>
        <w:t>%, 1</w:t>
      </w:r>
      <w:r w:rsidR="008C27F8" w:rsidRPr="008C27F8">
        <w:rPr>
          <w:rFonts w:ascii="Book Antiqua" w:hAnsi="Book Antiqua"/>
        </w:rPr>
        <w:t>1</w:t>
      </w:r>
      <w:r w:rsidR="00660FF2" w:rsidRPr="008C27F8">
        <w:rPr>
          <w:rFonts w:ascii="Book Antiqua" w:hAnsi="Book Antiqua"/>
        </w:rPr>
        <w:t>,</w:t>
      </w:r>
      <w:r w:rsidR="008C27F8" w:rsidRPr="008C27F8">
        <w:rPr>
          <w:rFonts w:ascii="Book Antiqua" w:hAnsi="Book Antiqua"/>
        </w:rPr>
        <w:t>6</w:t>
      </w:r>
      <w:r w:rsidR="00660FF2" w:rsidRPr="008C27F8">
        <w:rPr>
          <w:rFonts w:ascii="Book Antiqua" w:hAnsi="Book Antiqua"/>
        </w:rPr>
        <w:t>% et 7,</w:t>
      </w:r>
      <w:r w:rsidR="008C27F8" w:rsidRPr="008C27F8">
        <w:rPr>
          <w:rFonts w:ascii="Book Antiqua" w:hAnsi="Book Antiqua"/>
        </w:rPr>
        <w:t>4</w:t>
      </w:r>
      <w:r w:rsidR="00660FF2" w:rsidRPr="008C27F8">
        <w:rPr>
          <w:rFonts w:ascii="Book Antiqua" w:hAnsi="Book Antiqua"/>
        </w:rPr>
        <w:t xml:space="preserve">% </w:t>
      </w:r>
      <w:r w:rsidR="008C27F8" w:rsidRPr="008C27F8">
        <w:rPr>
          <w:rFonts w:ascii="Book Antiqua" w:hAnsi="Book Antiqua"/>
        </w:rPr>
        <w:t>en</w:t>
      </w:r>
      <w:r w:rsidR="00660FF2" w:rsidRPr="008C27F8">
        <w:rPr>
          <w:rFonts w:ascii="Book Antiqua" w:hAnsi="Book Antiqua"/>
        </w:rPr>
        <w:t xml:space="preserve"> 2019.</w:t>
      </w:r>
    </w:p>
    <w:p w:rsidR="005110E9" w:rsidRPr="002469E7" w:rsidRDefault="005110E9" w:rsidP="00A92B62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  <w:b/>
          <w:bCs/>
          <w:color w:val="0070C0"/>
          <w:sz w:val="28"/>
          <w:szCs w:val="28"/>
        </w:rPr>
      </w:pPr>
      <w:r w:rsidRPr="002469E7">
        <w:rPr>
          <w:rFonts w:ascii="Book Antiqua" w:hAnsi="Book Antiqua"/>
          <w:b/>
          <w:bCs/>
          <w:color w:val="0070C0"/>
          <w:sz w:val="28"/>
          <w:szCs w:val="28"/>
        </w:rPr>
        <w:t xml:space="preserve">Baisse du volume horaire de travail </w:t>
      </w:r>
    </w:p>
    <w:p w:rsidR="009C7493" w:rsidRPr="009C7493" w:rsidRDefault="005110E9" w:rsidP="00BF13D7">
      <w:pPr>
        <w:spacing w:before="100" w:beforeAutospacing="1" w:after="100" w:afterAutospacing="1" w:line="312" w:lineRule="auto"/>
        <w:jc w:val="both"/>
        <w:rPr>
          <w:rFonts w:ascii="Book Antiqua" w:eastAsia="Book Antiqua" w:hAnsi="Book Antiqua" w:cs="Book Antiqua"/>
          <w:vertAlign w:val="superscript"/>
        </w:rPr>
      </w:pPr>
      <w:r w:rsidRPr="005110E9">
        <w:rPr>
          <w:rFonts w:ascii="Book Antiqua" w:eastAsia="Book Antiqua" w:hAnsi="Book Antiqua" w:cs="Book Antiqua"/>
        </w:rPr>
        <w:t>Le nombre total d’heures trav</w:t>
      </w:r>
      <w:r w:rsidR="009C7493">
        <w:rPr>
          <w:rFonts w:ascii="Book Antiqua" w:eastAsia="Book Antiqua" w:hAnsi="Book Antiqua" w:cs="Book Antiqua"/>
        </w:rPr>
        <w:t xml:space="preserve">aillées par semaine a baissé de </w:t>
      </w:r>
      <w:r w:rsidR="009C7493" w:rsidRPr="005110E9">
        <w:rPr>
          <w:rFonts w:ascii="Book Antiqua" w:eastAsia="Book Antiqua" w:hAnsi="Book Antiqua" w:cs="Book Antiqua"/>
        </w:rPr>
        <w:t>20%</w:t>
      </w:r>
      <w:r w:rsidR="009C7493">
        <w:rPr>
          <w:rFonts w:ascii="Book Antiqua" w:eastAsia="Book Antiqua" w:hAnsi="Book Antiqua" w:cs="Book Antiqua"/>
        </w:rPr>
        <w:t>,</w:t>
      </w:r>
      <w:r w:rsidR="009C7493" w:rsidRPr="005110E9">
        <w:rPr>
          <w:rFonts w:ascii="Book Antiqua" w:eastAsia="Book Antiqua" w:hAnsi="Book Antiqua" w:cs="Book Antiqua"/>
        </w:rPr>
        <w:t xml:space="preserve"> </w:t>
      </w:r>
      <w:r w:rsidR="00BF13D7">
        <w:rPr>
          <w:rFonts w:ascii="Book Antiqua" w:eastAsia="Book Antiqua" w:hAnsi="Book Antiqua" w:cs="Book Antiqua"/>
        </w:rPr>
        <w:t xml:space="preserve">passant de </w:t>
      </w:r>
      <w:r w:rsidRPr="005110E9">
        <w:rPr>
          <w:rFonts w:ascii="Book Antiqua" w:eastAsia="Book Antiqua" w:hAnsi="Book Antiqua" w:cs="Book Antiqua"/>
        </w:rPr>
        <w:t xml:space="preserve">494 millions heures en 2019 à 394 millions en 2020, ce qui </w:t>
      </w:r>
      <w:r w:rsidR="00BF13D7">
        <w:rPr>
          <w:rFonts w:ascii="Book Antiqua" w:eastAsia="Book Antiqua" w:hAnsi="Book Antiqua" w:cs="Book Antiqua"/>
        </w:rPr>
        <w:t>équivaut</w:t>
      </w:r>
      <w:r w:rsidR="00BF13D7" w:rsidRPr="005110E9">
        <w:rPr>
          <w:rFonts w:ascii="Book Antiqua" w:eastAsia="Book Antiqua" w:hAnsi="Book Antiqua" w:cs="Book Antiqua"/>
        </w:rPr>
        <w:t xml:space="preserve"> </w:t>
      </w:r>
      <w:r w:rsidR="009C7493">
        <w:rPr>
          <w:rFonts w:ascii="Book Antiqua" w:eastAsia="Book Antiqua" w:hAnsi="Book Antiqua" w:cs="Book Antiqua"/>
        </w:rPr>
        <w:t xml:space="preserve">à </w:t>
      </w:r>
      <w:r w:rsidR="009C7493" w:rsidRPr="009C7493">
        <w:rPr>
          <w:rFonts w:ascii="Book Antiqua" w:eastAsia="Book Antiqua" w:hAnsi="Book Antiqua" w:cs="Book Antiqua"/>
        </w:rPr>
        <w:t>2,1 millions emplois à temps plein</w:t>
      </w:r>
      <w:r w:rsidR="009C7493" w:rsidRPr="009C7493">
        <w:rPr>
          <w:rFonts w:eastAsia="Book Antiqua"/>
          <w:vertAlign w:val="superscript"/>
        </w:rPr>
        <w:footnoteReference w:id="3"/>
      </w:r>
      <w:r w:rsidR="009F1E5C">
        <w:rPr>
          <w:rFonts w:ascii="Book Antiqua" w:eastAsia="Book Antiqua" w:hAnsi="Book Antiqua" w:cs="Book Antiqua"/>
        </w:rPr>
        <w:t>.</w:t>
      </w:r>
    </w:p>
    <w:p w:rsidR="005110E9" w:rsidRPr="005110E9" w:rsidRDefault="00744418" w:rsidP="00BF13D7">
      <w:pPr>
        <w:spacing w:before="100" w:beforeAutospacing="1" w:after="100" w:afterAutospacing="1" w:line="312" w:lineRule="auto"/>
        <w:jc w:val="both"/>
        <w:rPr>
          <w:rFonts w:ascii="Book Antiqua" w:eastAsia="Book Antiqua" w:hAnsi="Book Antiqua" w:cs="Book Antiqua"/>
        </w:rPr>
      </w:pPr>
      <w:r w:rsidRPr="009C7493">
        <w:rPr>
          <w:rFonts w:ascii="Book Antiqua" w:eastAsia="Book Antiqua" w:hAnsi="Book Antiqua" w:cs="Book Antiqua"/>
        </w:rPr>
        <w:t>Selon le milieu</w:t>
      </w:r>
      <w:r w:rsidR="00BF13D7">
        <w:rPr>
          <w:rFonts w:ascii="Book Antiqua" w:eastAsia="Book Antiqua" w:hAnsi="Book Antiqua" w:cs="Book Antiqua"/>
        </w:rPr>
        <w:t xml:space="preserve"> de résidence</w:t>
      </w:r>
      <w:r w:rsidRPr="009C7493">
        <w:rPr>
          <w:rFonts w:ascii="Book Antiqua" w:eastAsia="Book Antiqua" w:hAnsi="Book Antiqua" w:cs="Book Antiqua"/>
        </w:rPr>
        <w:t>, l</w:t>
      </w:r>
      <w:r w:rsidR="005110E9" w:rsidRPr="009C7493">
        <w:rPr>
          <w:rFonts w:ascii="Book Antiqua" w:eastAsia="Book Antiqua" w:hAnsi="Book Antiqua" w:cs="Book Antiqua"/>
        </w:rPr>
        <w:t>e</w:t>
      </w:r>
      <w:r w:rsidR="005110E9" w:rsidRPr="005110E9">
        <w:rPr>
          <w:rFonts w:ascii="Book Antiqua" w:eastAsia="Book Antiqua" w:hAnsi="Book Antiqua" w:cs="Book Antiqua"/>
        </w:rPr>
        <w:t xml:space="preserve"> volume d’heures travaillées</w:t>
      </w:r>
      <w:r w:rsidR="00BF13D7">
        <w:rPr>
          <w:rFonts w:ascii="Book Antiqua" w:eastAsia="Book Antiqua" w:hAnsi="Book Antiqua" w:cs="Book Antiqua"/>
        </w:rPr>
        <w:t>,</w:t>
      </w:r>
      <w:r w:rsidR="005110E9" w:rsidRPr="005110E9">
        <w:rPr>
          <w:rFonts w:ascii="Book Antiqua" w:eastAsia="Book Antiqua" w:hAnsi="Book Antiqua" w:cs="Book Antiqua"/>
        </w:rPr>
        <w:t xml:space="preserve"> par semaine</w:t>
      </w:r>
      <w:r w:rsidR="00BF13D7">
        <w:rPr>
          <w:rFonts w:ascii="Book Antiqua" w:eastAsia="Book Antiqua" w:hAnsi="Book Antiqua" w:cs="Book Antiqua"/>
        </w:rPr>
        <w:t>,</w:t>
      </w:r>
      <w:r w:rsidR="005110E9" w:rsidRPr="005110E9">
        <w:rPr>
          <w:rFonts w:ascii="Book Antiqua" w:eastAsia="Book Antiqua" w:hAnsi="Book Antiqua" w:cs="Book Antiqua"/>
        </w:rPr>
        <w:t xml:space="preserve"> est passé de 300 millions </w:t>
      </w:r>
      <w:r w:rsidR="00BF13D7" w:rsidRPr="005110E9">
        <w:rPr>
          <w:rFonts w:ascii="Book Antiqua" w:eastAsia="Book Antiqua" w:hAnsi="Book Antiqua" w:cs="Book Antiqua"/>
        </w:rPr>
        <w:t xml:space="preserve">heures </w:t>
      </w:r>
      <w:r w:rsidR="005110E9" w:rsidRPr="005110E9">
        <w:rPr>
          <w:rFonts w:ascii="Book Antiqua" w:eastAsia="Book Antiqua" w:hAnsi="Book Antiqua" w:cs="Book Antiqua"/>
        </w:rPr>
        <w:t>à 237 millions en milieu urbain</w:t>
      </w:r>
      <w:r w:rsidR="009C7493">
        <w:rPr>
          <w:rFonts w:ascii="Book Antiqua" w:eastAsia="Book Antiqua" w:hAnsi="Book Antiqua" w:cs="Book Antiqua"/>
        </w:rPr>
        <w:t xml:space="preserve"> </w:t>
      </w:r>
      <w:r w:rsidR="005110E9" w:rsidRPr="005110E9">
        <w:rPr>
          <w:rFonts w:ascii="Book Antiqua" w:eastAsia="Book Antiqua" w:hAnsi="Book Antiqua" w:cs="Book Antiqua"/>
        </w:rPr>
        <w:t xml:space="preserve">(-21%) et de 194 millions </w:t>
      </w:r>
      <w:r w:rsidR="00BF13D7" w:rsidRPr="005110E9">
        <w:rPr>
          <w:rFonts w:ascii="Book Antiqua" w:eastAsia="Book Antiqua" w:hAnsi="Book Antiqua" w:cs="Book Antiqua"/>
        </w:rPr>
        <w:t xml:space="preserve">heures </w:t>
      </w:r>
      <w:r w:rsidR="005110E9" w:rsidRPr="005110E9">
        <w:rPr>
          <w:rFonts w:ascii="Book Antiqua" w:eastAsia="Book Antiqua" w:hAnsi="Book Antiqua" w:cs="Book Antiqua"/>
        </w:rPr>
        <w:t>à 157 millions en milieu rural (-19%</w:t>
      </w:r>
      <w:r w:rsidR="0087357A" w:rsidRPr="005110E9">
        <w:rPr>
          <w:rFonts w:ascii="Book Antiqua" w:eastAsia="Book Antiqua" w:hAnsi="Book Antiqua" w:cs="Book Antiqua"/>
        </w:rPr>
        <w:t>). La</w:t>
      </w:r>
      <w:r w:rsidR="005110E9" w:rsidRPr="005110E9">
        <w:rPr>
          <w:rFonts w:ascii="Book Antiqua" w:eastAsia="Book Antiqua" w:hAnsi="Book Antiqua" w:cs="Book Antiqua"/>
        </w:rPr>
        <w:t xml:space="preserve"> baisse relative des heures travaillées par semaine a été plus élevée parmi les femmes (-24,4%</w:t>
      </w:r>
      <w:r w:rsidR="00BF13D7">
        <w:rPr>
          <w:rFonts w:ascii="Book Antiqua" w:eastAsia="Book Antiqua" w:hAnsi="Book Antiqua" w:cs="Book Antiqua"/>
        </w:rPr>
        <w:t xml:space="preserve"> passant</w:t>
      </w:r>
      <w:r w:rsidR="005110E9" w:rsidRPr="005110E9">
        <w:rPr>
          <w:rFonts w:ascii="Book Antiqua" w:eastAsia="Book Antiqua" w:hAnsi="Book Antiqua" w:cs="Book Antiqua"/>
        </w:rPr>
        <w:t xml:space="preserve"> de 86 millions à 65 millions heures) que parmi les </w:t>
      </w:r>
      <w:r w:rsidR="00786034" w:rsidRPr="005110E9">
        <w:rPr>
          <w:rFonts w:ascii="Book Antiqua" w:eastAsia="Book Antiqua" w:hAnsi="Book Antiqua" w:cs="Book Antiqua"/>
        </w:rPr>
        <w:t>hommes (</w:t>
      </w:r>
      <w:r w:rsidR="005110E9" w:rsidRPr="005110E9">
        <w:rPr>
          <w:rFonts w:ascii="Book Antiqua" w:eastAsia="Book Antiqua" w:hAnsi="Book Antiqua" w:cs="Book Antiqua"/>
        </w:rPr>
        <w:t>-19,4%</w:t>
      </w:r>
      <w:r w:rsidR="00BF13D7">
        <w:rPr>
          <w:rFonts w:ascii="Book Antiqua" w:eastAsia="Book Antiqua" w:hAnsi="Book Antiqua" w:cs="Book Antiqua"/>
        </w:rPr>
        <w:t xml:space="preserve"> passant</w:t>
      </w:r>
      <w:r w:rsidR="005110E9" w:rsidRPr="005110E9">
        <w:rPr>
          <w:rFonts w:ascii="Book Antiqua" w:eastAsia="Book Antiqua" w:hAnsi="Book Antiqua" w:cs="Book Antiqua"/>
        </w:rPr>
        <w:t xml:space="preserve"> de 408 millions à 329 millions heures).</w:t>
      </w:r>
    </w:p>
    <w:p w:rsidR="005110E9" w:rsidRPr="0087357A" w:rsidRDefault="00326D33" w:rsidP="00192A74">
      <w:pPr>
        <w:spacing w:line="276" w:lineRule="auto"/>
        <w:jc w:val="center"/>
        <w:rPr>
          <w:rFonts w:ascii="Book Antiqua" w:hAnsi="Book Antiqua"/>
          <w:b/>
          <w:bCs/>
          <w:color w:val="44546A" w:themeColor="text2"/>
          <w:sz w:val="22"/>
          <w:szCs w:val="22"/>
        </w:rPr>
      </w:pPr>
      <w:r>
        <w:rPr>
          <w:rFonts w:ascii="Book Antiqua" w:hAnsi="Book Antiqua"/>
          <w:b/>
          <w:bCs/>
          <w:color w:val="44546A" w:themeColor="text2"/>
          <w:sz w:val="22"/>
          <w:szCs w:val="22"/>
        </w:rPr>
        <w:lastRenderedPageBreak/>
        <w:t xml:space="preserve">Graphique </w:t>
      </w:r>
      <w:r w:rsidR="00722B00">
        <w:rPr>
          <w:rFonts w:ascii="Book Antiqua" w:hAnsi="Book Antiqua"/>
          <w:b/>
          <w:bCs/>
          <w:color w:val="44546A" w:themeColor="text2"/>
          <w:sz w:val="22"/>
          <w:szCs w:val="22"/>
        </w:rPr>
        <w:t>8</w:t>
      </w:r>
      <w:r w:rsidR="00565776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 : </w:t>
      </w:r>
      <w:r w:rsidR="005110E9" w:rsidRPr="0087357A">
        <w:rPr>
          <w:rFonts w:ascii="Book Antiqua" w:hAnsi="Book Antiqua"/>
          <w:b/>
          <w:bCs/>
          <w:color w:val="44546A" w:themeColor="text2"/>
          <w:sz w:val="22"/>
          <w:szCs w:val="22"/>
        </w:rPr>
        <w:t>Variation relative du volume d'heures travaillées</w:t>
      </w:r>
      <w:r w:rsidR="00BF13D7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 </w:t>
      </w:r>
      <w:r w:rsidR="005110E9" w:rsidRPr="0087357A">
        <w:rPr>
          <w:rFonts w:ascii="Book Antiqua" w:hAnsi="Book Antiqua"/>
          <w:b/>
          <w:bCs/>
          <w:color w:val="44546A" w:themeColor="text2"/>
          <w:sz w:val="22"/>
          <w:szCs w:val="22"/>
        </w:rPr>
        <w:t>(%) selon le secteur d'activité</w:t>
      </w:r>
      <w:r w:rsidR="00BF13D7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 </w:t>
      </w:r>
      <w:r w:rsidR="005110E9" w:rsidRPr="0087357A">
        <w:rPr>
          <w:rFonts w:ascii="Book Antiqua" w:hAnsi="Book Antiqua"/>
          <w:b/>
          <w:bCs/>
          <w:color w:val="44546A" w:themeColor="text2"/>
          <w:sz w:val="22"/>
          <w:szCs w:val="22"/>
        </w:rPr>
        <w:t>économique entre 2019 et 2020</w:t>
      </w:r>
    </w:p>
    <w:p w:rsidR="005110E9" w:rsidRPr="005110E9" w:rsidRDefault="005110E9" w:rsidP="005110E9">
      <w:pPr>
        <w:spacing w:after="200"/>
        <w:rPr>
          <w:rFonts w:ascii="Book Antiqua" w:hAnsi="Book Antiqua" w:cstheme="majorHAnsi"/>
          <w:b/>
          <w:bCs/>
          <w:color w:val="000000"/>
          <w:sz w:val="20"/>
          <w:szCs w:val="20"/>
        </w:rPr>
      </w:pPr>
      <w:r w:rsidRPr="005110E9">
        <w:rPr>
          <w:noProof/>
        </w:rPr>
        <w:drawing>
          <wp:inline distT="0" distB="0" distL="0" distR="0">
            <wp:extent cx="5886450" cy="2445489"/>
            <wp:effectExtent l="0" t="0" r="0" b="0"/>
            <wp:docPr id="15" name="Graphique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110E9" w:rsidRPr="005110E9" w:rsidRDefault="00BF13D7" w:rsidP="00BF13D7">
      <w:pPr>
        <w:spacing w:before="100" w:beforeAutospacing="1" w:after="100" w:afterAutospacing="1" w:line="312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La</w:t>
      </w:r>
      <w:r w:rsidRPr="005110E9">
        <w:rPr>
          <w:rFonts w:ascii="Book Antiqua" w:eastAsia="Book Antiqua" w:hAnsi="Book Antiqua" w:cs="Book Antiqua"/>
        </w:rPr>
        <w:t xml:space="preserve"> </w:t>
      </w:r>
      <w:r w:rsidR="005110E9" w:rsidRPr="005110E9">
        <w:rPr>
          <w:rFonts w:ascii="Book Antiqua" w:eastAsia="Book Antiqua" w:hAnsi="Book Antiqua" w:cs="Book Antiqua"/>
        </w:rPr>
        <w:t xml:space="preserve">baisse </w:t>
      </w:r>
      <w:r>
        <w:rPr>
          <w:rFonts w:ascii="Book Antiqua" w:eastAsia="Book Antiqua" w:hAnsi="Book Antiqua" w:cs="Book Antiqua"/>
        </w:rPr>
        <w:t xml:space="preserve">du </w:t>
      </w:r>
      <w:r w:rsidRPr="005110E9">
        <w:rPr>
          <w:rFonts w:ascii="Book Antiqua" w:eastAsia="Book Antiqua" w:hAnsi="Book Antiqua" w:cs="Book Antiqua"/>
        </w:rPr>
        <w:t xml:space="preserve">volume d’heures travaillées par semaine </w:t>
      </w:r>
      <w:r w:rsidR="005110E9" w:rsidRPr="005110E9">
        <w:rPr>
          <w:rFonts w:ascii="Book Antiqua" w:eastAsia="Book Antiqua" w:hAnsi="Book Antiqua" w:cs="Book Antiqua"/>
        </w:rPr>
        <w:t>a touché tous les secteurs, 49 millions heures dans les services</w:t>
      </w:r>
      <w:r w:rsidR="00E366DA">
        <w:rPr>
          <w:rFonts w:ascii="Book Antiqua" w:eastAsia="Book Antiqua" w:hAnsi="Book Antiqua" w:cs="Book Antiqua"/>
        </w:rPr>
        <w:t xml:space="preserve"> </w:t>
      </w:r>
      <w:r w:rsidR="005110E9" w:rsidRPr="005110E9">
        <w:rPr>
          <w:rFonts w:ascii="Book Antiqua" w:eastAsia="Book Antiqua" w:hAnsi="Book Antiqua" w:cs="Book Antiqua"/>
        </w:rPr>
        <w:t>(-20,4%), 24 millions dans l’agriculture, forêt et pêche (-17%), 14 millions dans l’industrie y compris l’artisanat (-22,3%), et 14 millions dans les BTP (-25,4%).</w:t>
      </w:r>
    </w:p>
    <w:p w:rsidR="00192A74" w:rsidRDefault="005110E9" w:rsidP="00722B00">
      <w:pPr>
        <w:spacing w:before="240" w:line="312" w:lineRule="auto"/>
        <w:jc w:val="both"/>
        <w:rPr>
          <w:rFonts w:ascii="Book Antiqua" w:hAnsi="Book Antiqua"/>
          <w:b/>
          <w:bCs/>
          <w:color w:val="44546A" w:themeColor="text2"/>
          <w:sz w:val="22"/>
          <w:szCs w:val="22"/>
        </w:rPr>
      </w:pPr>
      <w:r w:rsidRPr="005110E9">
        <w:rPr>
          <w:rFonts w:ascii="Book Antiqua" w:eastAsia="Book Antiqua" w:hAnsi="Book Antiqua" w:cs="Book Antiqua"/>
        </w:rPr>
        <w:t>Le nombre d'heures travaillées par semaine a diminué pour tous les groupes d'âge</w:t>
      </w:r>
      <w:r w:rsidR="00BA1047">
        <w:rPr>
          <w:rFonts w:ascii="Book Antiqua" w:eastAsia="Book Antiqua" w:hAnsi="Book Antiqua" w:cs="Book Antiqua"/>
        </w:rPr>
        <w:t xml:space="preserve">. Cette baisse a été de 29% </w:t>
      </w:r>
      <w:r w:rsidRPr="005110E9">
        <w:rPr>
          <w:rFonts w:ascii="Book Antiqua" w:eastAsia="Book Antiqua" w:hAnsi="Book Antiqua" w:cs="Book Antiqua"/>
        </w:rPr>
        <w:t xml:space="preserve">parmi les jeunes </w:t>
      </w:r>
      <w:r w:rsidR="00BA1047">
        <w:rPr>
          <w:rFonts w:ascii="Book Antiqua" w:eastAsia="Book Antiqua" w:hAnsi="Book Antiqua" w:cs="Book Antiqua"/>
        </w:rPr>
        <w:t xml:space="preserve">âgés de </w:t>
      </w:r>
      <w:r w:rsidRPr="005110E9">
        <w:rPr>
          <w:rFonts w:ascii="Book Antiqua" w:eastAsia="Book Antiqua" w:hAnsi="Book Antiqua" w:cs="Book Antiqua"/>
        </w:rPr>
        <w:t>15 à 24 ans</w:t>
      </w:r>
      <w:r w:rsidR="00BA1047">
        <w:rPr>
          <w:rFonts w:ascii="Book Antiqua" w:eastAsia="Book Antiqua" w:hAnsi="Book Antiqua" w:cs="Book Antiqua"/>
        </w:rPr>
        <w:t xml:space="preserve">, </w:t>
      </w:r>
      <w:r w:rsidRPr="005110E9">
        <w:rPr>
          <w:rFonts w:ascii="Book Antiqua" w:eastAsia="Book Antiqua" w:hAnsi="Book Antiqua" w:cs="Book Antiqua"/>
        </w:rPr>
        <w:t>de 21,9</w:t>
      </w:r>
      <w:r w:rsidRPr="005110E9">
        <w:rPr>
          <w:rFonts w:ascii="Book Antiqua" w:hAnsi="Book Antiqua"/>
        </w:rPr>
        <w:t xml:space="preserve">% </w:t>
      </w:r>
      <w:r w:rsidR="00BA1047">
        <w:rPr>
          <w:rFonts w:ascii="Book Antiqua" w:hAnsi="Book Antiqua"/>
        </w:rPr>
        <w:t xml:space="preserve">parmi </w:t>
      </w:r>
      <w:r w:rsidRPr="005110E9">
        <w:rPr>
          <w:rFonts w:ascii="Book Antiqua" w:hAnsi="Book Antiqua"/>
        </w:rPr>
        <w:t>les</w:t>
      </w:r>
      <w:r w:rsidR="00BA1047">
        <w:rPr>
          <w:rFonts w:ascii="Book Antiqua" w:hAnsi="Book Antiqua"/>
        </w:rPr>
        <w:t xml:space="preserve"> personnes âgées de </w:t>
      </w:r>
      <w:r w:rsidRPr="005110E9">
        <w:rPr>
          <w:rFonts w:ascii="Book Antiqua" w:hAnsi="Book Antiqua"/>
        </w:rPr>
        <w:t>25</w:t>
      </w:r>
      <w:r w:rsidR="00BA1047">
        <w:rPr>
          <w:rFonts w:ascii="Book Antiqua" w:hAnsi="Book Antiqua"/>
        </w:rPr>
        <w:t xml:space="preserve"> à </w:t>
      </w:r>
      <w:r w:rsidRPr="005110E9">
        <w:rPr>
          <w:rFonts w:ascii="Book Antiqua" w:hAnsi="Book Antiqua"/>
        </w:rPr>
        <w:t xml:space="preserve">34 ans, </w:t>
      </w:r>
      <w:r w:rsidR="00BA1047">
        <w:rPr>
          <w:rFonts w:ascii="Book Antiqua" w:hAnsi="Book Antiqua"/>
        </w:rPr>
        <w:t xml:space="preserve">de </w:t>
      </w:r>
      <w:r w:rsidRPr="005110E9">
        <w:rPr>
          <w:rFonts w:ascii="Book Antiqua" w:hAnsi="Book Antiqua"/>
        </w:rPr>
        <w:t xml:space="preserve">19% </w:t>
      </w:r>
      <w:r w:rsidR="00BA1047">
        <w:rPr>
          <w:rFonts w:ascii="Book Antiqua" w:hAnsi="Book Antiqua"/>
        </w:rPr>
        <w:t>parmi</w:t>
      </w:r>
      <w:r w:rsidR="00BA1047" w:rsidRPr="005110E9">
        <w:rPr>
          <w:rFonts w:ascii="Book Antiqua" w:hAnsi="Book Antiqua"/>
        </w:rPr>
        <w:t xml:space="preserve"> </w:t>
      </w:r>
      <w:r w:rsidRPr="005110E9">
        <w:rPr>
          <w:rFonts w:ascii="Book Antiqua" w:hAnsi="Book Antiqua"/>
        </w:rPr>
        <w:t xml:space="preserve">les 35-44 ans et de 17,7% </w:t>
      </w:r>
      <w:r w:rsidR="00BA1047">
        <w:rPr>
          <w:rFonts w:ascii="Book Antiqua" w:hAnsi="Book Antiqua"/>
        </w:rPr>
        <w:t>parmi</w:t>
      </w:r>
      <w:r w:rsidR="00BA1047" w:rsidRPr="005110E9">
        <w:rPr>
          <w:rFonts w:ascii="Book Antiqua" w:hAnsi="Book Antiqua"/>
        </w:rPr>
        <w:t xml:space="preserve"> </w:t>
      </w:r>
      <w:r w:rsidRPr="005110E9">
        <w:rPr>
          <w:rFonts w:ascii="Book Antiqua" w:hAnsi="Book Antiqua"/>
        </w:rPr>
        <w:t>les 45 ans ou plus.</w:t>
      </w:r>
    </w:p>
    <w:p w:rsidR="005110E9" w:rsidRPr="0087357A" w:rsidRDefault="00326D33" w:rsidP="002469E7">
      <w:pPr>
        <w:spacing w:after="160" w:line="259" w:lineRule="auto"/>
        <w:rPr>
          <w:rFonts w:ascii="Book Antiqua" w:hAnsi="Book Antiqua"/>
          <w:b/>
          <w:bCs/>
          <w:color w:val="44546A" w:themeColor="text2"/>
          <w:sz w:val="22"/>
          <w:szCs w:val="22"/>
        </w:rPr>
      </w:pPr>
      <w:r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Graphique </w:t>
      </w:r>
      <w:r w:rsidR="00722B00">
        <w:rPr>
          <w:rFonts w:ascii="Book Antiqua" w:hAnsi="Book Antiqua"/>
          <w:b/>
          <w:bCs/>
          <w:color w:val="44546A" w:themeColor="text2"/>
          <w:sz w:val="22"/>
          <w:szCs w:val="22"/>
        </w:rPr>
        <w:t>9</w:t>
      </w:r>
      <w:r w:rsidR="00565776">
        <w:rPr>
          <w:rFonts w:ascii="Book Antiqua" w:hAnsi="Book Antiqua"/>
          <w:b/>
          <w:bCs/>
          <w:color w:val="44546A" w:themeColor="text2"/>
          <w:sz w:val="22"/>
          <w:szCs w:val="22"/>
        </w:rPr>
        <w:t> : Variation</w:t>
      </w:r>
      <w:r w:rsidR="005110E9" w:rsidRPr="0087357A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 relative du volume d'heures travaillées</w:t>
      </w:r>
      <w:r w:rsidR="00BA1047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 </w:t>
      </w:r>
      <w:r w:rsidR="005110E9" w:rsidRPr="0087357A">
        <w:rPr>
          <w:rFonts w:ascii="Book Antiqua" w:hAnsi="Book Antiqua"/>
          <w:b/>
          <w:bCs/>
          <w:color w:val="44546A" w:themeColor="text2"/>
          <w:sz w:val="22"/>
          <w:szCs w:val="22"/>
        </w:rPr>
        <w:t>(%) selon l’âge en</w:t>
      </w:r>
      <w:r w:rsidR="00BA1047">
        <w:rPr>
          <w:rFonts w:ascii="Book Antiqua" w:hAnsi="Book Antiqua"/>
          <w:b/>
          <w:bCs/>
          <w:color w:val="44546A" w:themeColor="text2"/>
          <w:sz w:val="22"/>
          <w:szCs w:val="22"/>
        </w:rPr>
        <w:t>tre</w:t>
      </w:r>
      <w:r w:rsidR="005110E9" w:rsidRPr="0087357A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 2019 </w:t>
      </w:r>
      <w:r w:rsidR="00BA1047">
        <w:rPr>
          <w:rFonts w:ascii="Book Antiqua" w:hAnsi="Book Antiqua"/>
          <w:b/>
          <w:bCs/>
          <w:color w:val="44546A" w:themeColor="text2"/>
          <w:sz w:val="22"/>
          <w:szCs w:val="22"/>
        </w:rPr>
        <w:t>et</w:t>
      </w:r>
      <w:r w:rsidR="005110E9" w:rsidRPr="0087357A">
        <w:rPr>
          <w:rFonts w:ascii="Book Antiqua" w:hAnsi="Book Antiqua"/>
          <w:b/>
          <w:bCs/>
          <w:color w:val="44546A" w:themeColor="text2"/>
          <w:sz w:val="22"/>
          <w:szCs w:val="22"/>
        </w:rPr>
        <w:t xml:space="preserve"> 2020 </w:t>
      </w:r>
    </w:p>
    <w:p w:rsidR="005110E9" w:rsidRPr="005110E9" w:rsidRDefault="005110E9" w:rsidP="005110E9">
      <w:pPr>
        <w:spacing w:before="100" w:beforeAutospacing="1" w:after="100" w:afterAutospacing="1" w:line="312" w:lineRule="auto"/>
        <w:jc w:val="center"/>
        <w:rPr>
          <w:rFonts w:ascii="Book Antiqua" w:eastAsia="Book Antiqua" w:hAnsi="Book Antiqua" w:cs="Book Antiqua"/>
        </w:rPr>
      </w:pPr>
      <w:r w:rsidRPr="005110E9">
        <w:rPr>
          <w:noProof/>
        </w:rPr>
        <w:drawing>
          <wp:inline distT="0" distB="0" distL="0" distR="0">
            <wp:extent cx="4689043" cy="2187245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92A74" w:rsidRPr="00DB1E15" w:rsidRDefault="00192A74" w:rsidP="0037172E">
      <w:pPr>
        <w:spacing w:before="100" w:beforeAutospacing="1" w:after="100" w:afterAutospacing="1" w:line="312" w:lineRule="auto"/>
        <w:jc w:val="both"/>
        <w:rPr>
          <w:rFonts w:ascii="Book Antiqua" w:hAnsi="Book Antiqua"/>
          <w:noProof/>
        </w:rPr>
      </w:pPr>
    </w:p>
    <w:sectPr w:rsidR="00192A74" w:rsidRPr="00DB1E15" w:rsidSect="000C550C"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78F" w:rsidRDefault="0061578F" w:rsidP="00660FF2">
      <w:r>
        <w:separator/>
      </w:r>
    </w:p>
  </w:endnote>
  <w:endnote w:type="continuationSeparator" w:id="0">
    <w:p w:rsidR="0061578F" w:rsidRDefault="0061578F" w:rsidP="00660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407079"/>
      <w:docPartObj>
        <w:docPartGallery w:val="Page Numbers (Bottom of Page)"/>
        <w:docPartUnique/>
      </w:docPartObj>
    </w:sdtPr>
    <w:sdtContent>
      <w:p w:rsidR="00593836" w:rsidRDefault="00236662">
        <w:pPr>
          <w:pStyle w:val="Pieddepage"/>
          <w:jc w:val="center"/>
        </w:pPr>
        <w:r>
          <w:fldChar w:fldCharType="begin"/>
        </w:r>
        <w:r w:rsidR="006D6D41">
          <w:instrText xml:space="preserve"> PAGE   \* MERGEFORMAT </w:instrText>
        </w:r>
        <w:r>
          <w:fldChar w:fldCharType="separate"/>
        </w:r>
        <w:r w:rsidR="000C55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93836" w:rsidRDefault="005938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78F" w:rsidRDefault="0061578F" w:rsidP="00660FF2">
      <w:r>
        <w:separator/>
      </w:r>
    </w:p>
  </w:footnote>
  <w:footnote w:type="continuationSeparator" w:id="0">
    <w:p w:rsidR="0061578F" w:rsidRDefault="0061578F" w:rsidP="00660FF2">
      <w:r>
        <w:continuationSeparator/>
      </w:r>
    </w:p>
  </w:footnote>
  <w:footnote w:id="1">
    <w:p w:rsidR="00593836" w:rsidRPr="009F1E5C" w:rsidRDefault="00593836" w:rsidP="003B7109">
      <w:pPr>
        <w:pStyle w:val="Notedebasdepage"/>
        <w:jc w:val="left"/>
        <w:rPr>
          <w:rStyle w:val="Appelnotedebasdep"/>
        </w:rPr>
      </w:pPr>
      <w:r w:rsidRPr="00B22FDA">
        <w:rPr>
          <w:rStyle w:val="Appelnotedebasdep"/>
        </w:rPr>
        <w:footnoteRef/>
      </w:r>
      <w:r w:rsidRPr="009F1E5C">
        <w:rPr>
          <w:rStyle w:val="Appelnotedebasdep"/>
        </w:rPr>
        <w:t>La différence par rapport au volume total de l'emploi, soit</w:t>
      </w:r>
      <w:r w:rsidR="00B22FDA">
        <w:t xml:space="preserve"> </w:t>
      </w:r>
      <w:r w:rsidRPr="009F1E5C">
        <w:rPr>
          <w:rStyle w:val="Appelnotedebasdep"/>
        </w:rPr>
        <w:t>0,1% des actifs occupés, concerne les activités non désignées</w:t>
      </w:r>
    </w:p>
  </w:footnote>
  <w:footnote w:id="2">
    <w:p w:rsidR="00593836" w:rsidRPr="00F00DAC" w:rsidRDefault="00593836" w:rsidP="00660FF2">
      <w:pPr>
        <w:pStyle w:val="Notedebasdepage"/>
        <w:jc w:val="left"/>
        <w:rPr>
          <w:sz w:val="18"/>
          <w:szCs w:val="18"/>
        </w:rPr>
      </w:pPr>
      <w:r w:rsidRPr="009C7493">
        <w:rPr>
          <w:rStyle w:val="Appelnotedebasdep"/>
        </w:rPr>
        <w:footnoteRef/>
      </w:r>
      <w:r w:rsidRPr="009C7493">
        <w:rPr>
          <w:sz w:val="18"/>
          <w:szCs w:val="18"/>
        </w:rPr>
        <w:t>Niveau supérieur</w:t>
      </w:r>
      <w:r w:rsidRPr="00F00DAC">
        <w:rPr>
          <w:sz w:val="18"/>
          <w:szCs w:val="18"/>
        </w:rPr>
        <w:t xml:space="preserve"> : Baccalauréat, diplômes de cadres moyens et diplômes de l'enseignement supérieur (facultés, grandes écoles et instituts supérieurs).</w:t>
      </w:r>
    </w:p>
  </w:footnote>
  <w:footnote w:id="3">
    <w:p w:rsidR="00593836" w:rsidRDefault="00593836" w:rsidP="009C7493">
      <w:pPr>
        <w:pStyle w:val="Notedebasdepage"/>
        <w:jc w:val="left"/>
      </w:pPr>
      <w:r>
        <w:rPr>
          <w:rStyle w:val="Appelnotedebasdep"/>
        </w:rPr>
        <w:footnoteRef/>
      </w:r>
      <w:r>
        <w:rPr>
          <w:sz w:val="14"/>
          <w:szCs w:val="14"/>
        </w:rPr>
        <w:t xml:space="preserve">En considérant qu’une semaine de travail à temps plein correspond à </w:t>
      </w:r>
      <w:r w:rsidRPr="00B84F3C">
        <w:rPr>
          <w:sz w:val="14"/>
          <w:szCs w:val="14"/>
        </w:rPr>
        <w:t>48 heures</w:t>
      </w:r>
      <w:r>
        <w:rPr>
          <w:sz w:val="14"/>
          <w:szCs w:val="1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0C" w:rsidRDefault="000C550C" w:rsidP="000C550C">
    <w:pPr>
      <w:pStyle w:val="En-tte"/>
      <w:jc w:val="center"/>
    </w:pPr>
    <w:r w:rsidRPr="000C550C">
      <w:drawing>
        <wp:inline distT="0" distB="0" distL="0" distR="0">
          <wp:extent cx="1449705" cy="1261745"/>
          <wp:effectExtent l="19050" t="0" r="0" b="0"/>
          <wp:docPr id="5" name="Imag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8298D"/>
    <w:multiLevelType w:val="hybridMultilevel"/>
    <w:tmpl w:val="D29C65EC"/>
    <w:lvl w:ilvl="0" w:tplc="99F6F9C2">
      <w:start w:val="1"/>
      <w:numFmt w:val="decimal"/>
      <w:lvlText w:val="%1."/>
      <w:lvlJc w:val="left"/>
      <w:pPr>
        <w:ind w:left="720" w:hanging="360"/>
      </w:pPr>
      <w:rPr>
        <w:rFonts w:hint="default"/>
        <w:color w:val="222A35" w:themeColor="text2" w:themeShade="80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FF2"/>
    <w:rsid w:val="00012AF7"/>
    <w:rsid w:val="00012D8C"/>
    <w:rsid w:val="000535B4"/>
    <w:rsid w:val="000B45D0"/>
    <w:rsid w:val="000B7708"/>
    <w:rsid w:val="000C363B"/>
    <w:rsid w:val="000C550C"/>
    <w:rsid w:val="00117725"/>
    <w:rsid w:val="00124B74"/>
    <w:rsid w:val="001317BB"/>
    <w:rsid w:val="00170687"/>
    <w:rsid w:val="00192A74"/>
    <w:rsid w:val="001A75B5"/>
    <w:rsid w:val="001D1892"/>
    <w:rsid w:val="00202084"/>
    <w:rsid w:val="00203792"/>
    <w:rsid w:val="00212837"/>
    <w:rsid w:val="00222D48"/>
    <w:rsid w:val="00236662"/>
    <w:rsid w:val="002410BC"/>
    <w:rsid w:val="002469E7"/>
    <w:rsid w:val="0026490E"/>
    <w:rsid w:val="00280BA0"/>
    <w:rsid w:val="002A06DF"/>
    <w:rsid w:val="002A47C5"/>
    <w:rsid w:val="002A51C5"/>
    <w:rsid w:val="002E4A56"/>
    <w:rsid w:val="00301A62"/>
    <w:rsid w:val="00326D33"/>
    <w:rsid w:val="00346940"/>
    <w:rsid w:val="00353DBB"/>
    <w:rsid w:val="0037172E"/>
    <w:rsid w:val="00382C5A"/>
    <w:rsid w:val="00386295"/>
    <w:rsid w:val="003A5F06"/>
    <w:rsid w:val="003B7109"/>
    <w:rsid w:val="003D4AEC"/>
    <w:rsid w:val="003E4B90"/>
    <w:rsid w:val="003F24E1"/>
    <w:rsid w:val="004366C8"/>
    <w:rsid w:val="004A2ABF"/>
    <w:rsid w:val="004A6699"/>
    <w:rsid w:val="004A7A7A"/>
    <w:rsid w:val="004B1781"/>
    <w:rsid w:val="004B50A8"/>
    <w:rsid w:val="004D2931"/>
    <w:rsid w:val="004F282C"/>
    <w:rsid w:val="005110E9"/>
    <w:rsid w:val="0051612B"/>
    <w:rsid w:val="0055086B"/>
    <w:rsid w:val="00564902"/>
    <w:rsid w:val="00565776"/>
    <w:rsid w:val="00580AD2"/>
    <w:rsid w:val="00593836"/>
    <w:rsid w:val="005C20F0"/>
    <w:rsid w:val="005C2B74"/>
    <w:rsid w:val="005F1B48"/>
    <w:rsid w:val="0061578F"/>
    <w:rsid w:val="00615950"/>
    <w:rsid w:val="006203AC"/>
    <w:rsid w:val="00625BF4"/>
    <w:rsid w:val="00653A41"/>
    <w:rsid w:val="00660FF2"/>
    <w:rsid w:val="00686893"/>
    <w:rsid w:val="006B50FE"/>
    <w:rsid w:val="006D5636"/>
    <w:rsid w:val="006D6D41"/>
    <w:rsid w:val="006F141F"/>
    <w:rsid w:val="00722B00"/>
    <w:rsid w:val="00744418"/>
    <w:rsid w:val="00770B1F"/>
    <w:rsid w:val="00772504"/>
    <w:rsid w:val="00777391"/>
    <w:rsid w:val="00783EC0"/>
    <w:rsid w:val="00786034"/>
    <w:rsid w:val="00786E33"/>
    <w:rsid w:val="00792302"/>
    <w:rsid w:val="00793013"/>
    <w:rsid w:val="00796CB3"/>
    <w:rsid w:val="007C401A"/>
    <w:rsid w:val="007F36B8"/>
    <w:rsid w:val="007F41EC"/>
    <w:rsid w:val="00800B75"/>
    <w:rsid w:val="00814D0A"/>
    <w:rsid w:val="008314E5"/>
    <w:rsid w:val="00853C9F"/>
    <w:rsid w:val="0087357A"/>
    <w:rsid w:val="008B14EE"/>
    <w:rsid w:val="008B7745"/>
    <w:rsid w:val="008C27F8"/>
    <w:rsid w:val="008E0BD9"/>
    <w:rsid w:val="008E2706"/>
    <w:rsid w:val="008E34C3"/>
    <w:rsid w:val="008F0D64"/>
    <w:rsid w:val="009045BD"/>
    <w:rsid w:val="00910074"/>
    <w:rsid w:val="00912E99"/>
    <w:rsid w:val="0092728C"/>
    <w:rsid w:val="00942D23"/>
    <w:rsid w:val="00951E06"/>
    <w:rsid w:val="00960949"/>
    <w:rsid w:val="009872F8"/>
    <w:rsid w:val="009B3F4F"/>
    <w:rsid w:val="009B4A4D"/>
    <w:rsid w:val="009C7493"/>
    <w:rsid w:val="009F1E5C"/>
    <w:rsid w:val="00A050AE"/>
    <w:rsid w:val="00A1625F"/>
    <w:rsid w:val="00A46758"/>
    <w:rsid w:val="00A52921"/>
    <w:rsid w:val="00A61902"/>
    <w:rsid w:val="00A6424F"/>
    <w:rsid w:val="00A71B30"/>
    <w:rsid w:val="00A77720"/>
    <w:rsid w:val="00A80A57"/>
    <w:rsid w:val="00A918D7"/>
    <w:rsid w:val="00A92B62"/>
    <w:rsid w:val="00B21827"/>
    <w:rsid w:val="00B22FDA"/>
    <w:rsid w:val="00B91A0F"/>
    <w:rsid w:val="00BA0BBA"/>
    <w:rsid w:val="00BA1047"/>
    <w:rsid w:val="00BB5F99"/>
    <w:rsid w:val="00BC531C"/>
    <w:rsid w:val="00BE4523"/>
    <w:rsid w:val="00BF13D7"/>
    <w:rsid w:val="00C237F1"/>
    <w:rsid w:val="00C27575"/>
    <w:rsid w:val="00C416BE"/>
    <w:rsid w:val="00C44B04"/>
    <w:rsid w:val="00C67CA3"/>
    <w:rsid w:val="00C73710"/>
    <w:rsid w:val="00CA4A9D"/>
    <w:rsid w:val="00CD517A"/>
    <w:rsid w:val="00CF1A8F"/>
    <w:rsid w:val="00CF67FF"/>
    <w:rsid w:val="00D229ED"/>
    <w:rsid w:val="00D31FE6"/>
    <w:rsid w:val="00D43BC0"/>
    <w:rsid w:val="00D450F9"/>
    <w:rsid w:val="00D861B3"/>
    <w:rsid w:val="00DD2A2A"/>
    <w:rsid w:val="00E05A45"/>
    <w:rsid w:val="00E1654A"/>
    <w:rsid w:val="00E34C52"/>
    <w:rsid w:val="00E366DA"/>
    <w:rsid w:val="00E6586C"/>
    <w:rsid w:val="00E66F35"/>
    <w:rsid w:val="00EA7767"/>
    <w:rsid w:val="00EB6972"/>
    <w:rsid w:val="00EC6E52"/>
    <w:rsid w:val="00F0093C"/>
    <w:rsid w:val="00F054B9"/>
    <w:rsid w:val="00F112FD"/>
    <w:rsid w:val="00F25051"/>
    <w:rsid w:val="00F37627"/>
    <w:rsid w:val="00F40C70"/>
    <w:rsid w:val="00F951D2"/>
    <w:rsid w:val="00FD2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660FF2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0FF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660FF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60F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0F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FF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00B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00B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00B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0B7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mel\Downloads\2019-2020%20-%20Note%20sur%20les%20chiffres%20cl&#233;s%20-%20Tabulation%20%232%20-1901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Graphiques_AO_Note2020_12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Annuelle\Data\2019-2020%20-%20Note%20sur%20les%20chiffres%20cl&#233;s%20-%20Tabulation%20%231%20-1901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2019-2020%20-%20Note%20sur%20les%20chiffres%20cl&#233;s%20-%20Tabulation%20%232%20-19012021%20(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Bureau%20Fev%202021\TABULATION%202020\2019-2020%20-%20Note%20sur%20les%20chiffres%20cl&#233;s%20-%20Tabulation%20%232%20-1901202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Annuelle\Data\2019-2020%20-%20Note%20sur%20les%20chiffres%20cl&#233;s%20-%20Tabulation%20%231%20-1901202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ownloads\2019-2020%20-%20Note%20sur%20l'emploi%20-%20Tabulation%20%231%20-Ali03022021%20(1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mel\Downloads\2019-2020%20-%20Note%20sur%20les%20chiffres%20cl&#233;s%20-%20Tabulation%20%232%20-1901202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mel\Downloads\2019-2020%20-%20Note%20sur%20les%20chiffres%20cl&#233;s%20-%20Tabulation%20%232%20-1901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Feuil1!$A$52</c:f>
              <c:strCache>
                <c:ptCount val="1"/>
                <c:pt idx="0">
                  <c:v>Variation absolue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Feuil1!$B$51:$E$51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Feuil1!$B$52:$E$52</c:f>
              <c:numCache>
                <c:formatCode>General</c:formatCode>
                <c:ptCount val="4"/>
                <c:pt idx="0">
                  <c:v>86000</c:v>
                </c:pt>
                <c:pt idx="1">
                  <c:v>111000</c:v>
                </c:pt>
                <c:pt idx="2">
                  <c:v>165000</c:v>
                </c:pt>
                <c:pt idx="3">
                  <c:v>-432000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A1-4684-B1AA-85D73972F6DA}"/>
            </c:ext>
          </c:extLst>
        </c:ser>
        <c:gapWidth val="219"/>
        <c:axId val="80130048"/>
        <c:axId val="80124160"/>
      </c:barChart>
      <c:lineChart>
        <c:grouping val="standard"/>
        <c:ser>
          <c:idx val="1"/>
          <c:order val="1"/>
          <c:tx>
            <c:strRef>
              <c:f>Feuil1!$A$53</c:f>
              <c:strCache>
                <c:ptCount val="1"/>
                <c:pt idx="0">
                  <c:v>Variation relative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77777777777888E-2"/>
                  <c:y val="3.240740740740825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A1-4684-B1AA-85D73972F6DA}"/>
                </c:ext>
              </c:extLst>
            </c:dLbl>
            <c:dLbl>
              <c:idx val="1"/>
              <c:layout>
                <c:manualLayout>
                  <c:x val="-2.9914529914529909E-2"/>
                  <c:y val="4.166666666666668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A1-4684-B1AA-85D73972F6DA}"/>
                </c:ext>
              </c:extLst>
            </c:dLbl>
            <c:dLbl>
              <c:idx val="2"/>
              <c:layout>
                <c:manualLayout>
                  <c:x val="-3.2051282051282076E-2"/>
                  <c:y val="5.092592592592593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A1-4684-B1AA-85D73972F6DA}"/>
                </c:ext>
              </c:extLst>
            </c:dLbl>
            <c:dLbl>
              <c:idx val="3"/>
              <c:layout>
                <c:manualLayout>
                  <c:x val="-2.777777777777888E-2"/>
                  <c:y val="-5.555555555555564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A1-4684-B1AA-85D73972F6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Feuil1!$B$51:$E$51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Feuil1!$B$53:$E$53</c:f>
              <c:numCache>
                <c:formatCode>0.0</c:formatCode>
                <c:ptCount val="4"/>
                <c:pt idx="0">
                  <c:v>0.8</c:v>
                </c:pt>
                <c:pt idx="1">
                  <c:v>1.0468268062435742</c:v>
                </c:pt>
                <c:pt idx="2">
                  <c:v>1.5263644773357998</c:v>
                </c:pt>
                <c:pt idx="3">
                  <c:v>-3.9453302961276178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FA1-4684-B1AA-85D73972F6DA}"/>
            </c:ext>
          </c:extLst>
        </c:ser>
        <c:marker val="1"/>
        <c:axId val="80133120"/>
        <c:axId val="80131584"/>
      </c:lineChart>
      <c:valAx>
        <c:axId val="80124160"/>
        <c:scaling>
          <c:orientation val="minMax"/>
        </c:scaling>
        <c:axPos val="r"/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0130048"/>
        <c:crosses val="max"/>
        <c:crossBetween val="between"/>
      </c:valAx>
      <c:catAx>
        <c:axId val="80130048"/>
        <c:scaling>
          <c:orientation val="minMax"/>
        </c:scaling>
        <c:axPos val="b"/>
        <c:numFmt formatCode="General" sourceLinked="1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0124160"/>
        <c:crosses val="autoZero"/>
        <c:auto val="1"/>
        <c:lblAlgn val="ctr"/>
        <c:lblOffset val="100"/>
      </c:catAx>
      <c:valAx>
        <c:axId val="80131584"/>
        <c:scaling>
          <c:orientation val="minMax"/>
        </c:scaling>
        <c:axPos val="l"/>
        <c:numFmt formatCode="0.0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0133120"/>
        <c:crosses val="autoZero"/>
        <c:crossBetween val="between"/>
      </c:valAx>
      <c:catAx>
        <c:axId val="80133120"/>
        <c:scaling>
          <c:orientation val="minMax"/>
        </c:scaling>
        <c:delete val="1"/>
        <c:axPos val="b"/>
        <c:numFmt formatCode="General" sourceLinked="1"/>
        <c:tickLblPos val="none"/>
        <c:crossAx val="80131584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>
        <c:manualLayout>
          <c:layoutTarget val="inner"/>
          <c:xMode val="edge"/>
          <c:yMode val="edge"/>
          <c:x val="3.055555555555561E-2"/>
          <c:y val="5.2194543297746504E-2"/>
          <c:w val="0.96944444444444822"/>
          <c:h val="0.72374029758736136"/>
        </c:manualLayout>
      </c:layout>
      <c:lineChart>
        <c:grouping val="standard"/>
        <c:ser>
          <c:idx val="0"/>
          <c:order val="0"/>
          <c:tx>
            <c:strRef>
              <c:f>Feuil1!$H$3</c:f>
              <c:strCache>
                <c:ptCount val="1"/>
                <c:pt idx="0">
                  <c:v>Urbain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Feuil1!$I$2:$L$2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Feuil1!$I$3:$L$3</c:f>
              <c:numCache>
                <c:formatCode>General</c:formatCode>
                <c:ptCount val="4"/>
                <c:pt idx="0">
                  <c:v>36.1</c:v>
                </c:pt>
                <c:pt idx="1">
                  <c:v>36.200000000000003</c:v>
                </c:pt>
                <c:pt idx="2">
                  <c:v>36.9</c:v>
                </c:pt>
                <c:pt idx="3">
                  <c:v>35.300000000000004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1F-4F39-A854-96AB70E22404}"/>
            </c:ext>
          </c:extLst>
        </c:ser>
        <c:ser>
          <c:idx val="1"/>
          <c:order val="1"/>
          <c:tx>
            <c:strRef>
              <c:f>Feuil1!$H$4</c:f>
              <c:strCache>
                <c:ptCount val="1"/>
                <c:pt idx="0">
                  <c:v>Rural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Feuil1!$I$2:$L$2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Feuil1!$I$4:$L$4</c:f>
              <c:numCache>
                <c:formatCode>General</c:formatCode>
                <c:ptCount val="4"/>
                <c:pt idx="0">
                  <c:v>52</c:v>
                </c:pt>
                <c:pt idx="1">
                  <c:v>51.3</c:v>
                </c:pt>
                <c:pt idx="2">
                  <c:v>50.3</c:v>
                </c:pt>
                <c:pt idx="3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1F-4F39-A854-96AB70E22404}"/>
            </c:ext>
          </c:extLst>
        </c:ser>
        <c:ser>
          <c:idx val="2"/>
          <c:order val="2"/>
          <c:tx>
            <c:strRef>
              <c:f>Feuil1!$H$5</c:f>
              <c:strCache>
                <c:ptCount val="1"/>
                <c:pt idx="0">
                  <c:v>National</c:v>
                </c:pt>
              </c:strCache>
            </c:strRef>
          </c:tx>
          <c:spPr>
            <a:ln w="19050" cap="rnd" cmpd="sng" algn="ctr">
              <a:solidFill>
                <a:schemeClr val="accent3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Feuil1!$I$2:$L$2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Feuil1!$I$5:$L$5</c:f>
              <c:numCache>
                <c:formatCode>General</c:formatCode>
                <c:ptCount val="4"/>
                <c:pt idx="0">
                  <c:v>41.9</c:v>
                </c:pt>
                <c:pt idx="1">
                  <c:v>41.7</c:v>
                </c:pt>
                <c:pt idx="2">
                  <c:v>41.6</c:v>
                </c:pt>
                <c:pt idx="3">
                  <c:v>39.4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1F-4F39-A854-96AB70E22404}"/>
            </c:ext>
          </c:extLst>
        </c:ser>
        <c:dLbls>
          <c:showVal val="1"/>
        </c:dLbls>
        <c:marker val="1"/>
        <c:axId val="83712256"/>
        <c:axId val="83726336"/>
      </c:lineChart>
      <c:catAx>
        <c:axId val="837122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3726336"/>
        <c:crosses val="autoZero"/>
        <c:auto val="1"/>
        <c:lblAlgn val="ctr"/>
        <c:lblOffset val="100"/>
      </c:catAx>
      <c:valAx>
        <c:axId val="8372633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83712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883656898581905"/>
          <c:y val="0.8698583652400157"/>
          <c:w val="0.5511833836683051"/>
          <c:h val="9.600630025386514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Graphiques!$A$37</c:f>
              <c:strCache>
                <c:ptCount val="1"/>
                <c:pt idx="0">
                  <c:v>15-29 ans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Graphiques!$B$36:$D$36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Ensemble</c:v>
                </c:pt>
              </c:strCache>
            </c:strRef>
          </c:cat>
          <c:val>
            <c:numRef>
              <c:f>Graphiques!$B$37:$D$37</c:f>
              <c:numCache>
                <c:formatCode>###0.0</c:formatCode>
                <c:ptCount val="3"/>
                <c:pt idx="0">
                  <c:v>21.57591536065723</c:v>
                </c:pt>
                <c:pt idx="1">
                  <c:v>31.752039491717206</c:v>
                </c:pt>
                <c:pt idx="2">
                  <c:v>25.401812609861189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A5-422E-A7F8-1BE61F334011}"/>
            </c:ext>
          </c:extLst>
        </c:ser>
        <c:ser>
          <c:idx val="1"/>
          <c:order val="1"/>
          <c:tx>
            <c:strRef>
              <c:f>Graphiques!$A$38</c:f>
              <c:strCache>
                <c:ptCount val="1"/>
                <c:pt idx="0">
                  <c:v>30-44 ans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Graphiques!$B$36:$D$36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Ensemble</c:v>
                </c:pt>
              </c:strCache>
            </c:strRef>
          </c:cat>
          <c:val>
            <c:numRef>
              <c:f>Graphiques!$B$38:$D$38</c:f>
              <c:numCache>
                <c:formatCode>###0.0</c:formatCode>
                <c:ptCount val="3"/>
                <c:pt idx="0">
                  <c:v>50.998024266664324</c:v>
                </c:pt>
                <c:pt idx="1">
                  <c:v>61.355879013009975</c:v>
                </c:pt>
                <c:pt idx="2">
                  <c:v>54.445407577693025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6A5-422E-A7F8-1BE61F334011}"/>
            </c:ext>
          </c:extLst>
        </c:ser>
        <c:ser>
          <c:idx val="2"/>
          <c:order val="2"/>
          <c:tx>
            <c:strRef>
              <c:f>Graphiques!$A$39</c:f>
              <c:strCache>
                <c:ptCount val="1"/>
                <c:pt idx="0">
                  <c:v>45 ans ou plus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Graphiques!$B$36:$D$36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Ensemble</c:v>
                </c:pt>
              </c:strCache>
            </c:strRef>
          </c:cat>
          <c:val>
            <c:numRef>
              <c:f>Graphiques!$B$39:$D$39</c:f>
              <c:numCache>
                <c:formatCode>###0.0</c:formatCode>
                <c:ptCount val="3"/>
                <c:pt idx="0">
                  <c:v>34.358660574392829</c:v>
                </c:pt>
                <c:pt idx="1">
                  <c:v>50.937175683462975</c:v>
                </c:pt>
                <c:pt idx="2">
                  <c:v>40.000002442309132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6A5-422E-A7F8-1BE61F334011}"/>
            </c:ext>
          </c:extLst>
        </c:ser>
        <c:gapWidth val="219"/>
        <c:overlap val="-27"/>
        <c:axId val="83561472"/>
        <c:axId val="83579648"/>
      </c:barChart>
      <c:catAx>
        <c:axId val="835614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3579648"/>
        <c:crosses val="autoZero"/>
        <c:auto val="1"/>
        <c:lblAlgn val="ctr"/>
        <c:lblOffset val="100"/>
      </c:catAx>
      <c:valAx>
        <c:axId val="83579648"/>
        <c:scaling>
          <c:orientation val="minMax"/>
        </c:scaling>
        <c:delete val="1"/>
        <c:axPos val="l"/>
        <c:numFmt formatCode="###0.0" sourceLinked="1"/>
        <c:majorTickMark val="none"/>
        <c:tickLblPos val="none"/>
        <c:crossAx val="8356147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doughnutChart>
        <c:varyColors val="1"/>
        <c:ser>
          <c:idx val="0"/>
          <c:order val="0"/>
          <c:dPt>
            <c:idx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C76-48B1-B458-B4C5F48A9205}"/>
              </c:ext>
            </c:extLst>
          </c:dPt>
          <c:dPt>
            <c:idx val="1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C76-48B1-B458-B4C5F48A9205}"/>
              </c:ext>
            </c:extLst>
          </c:dPt>
          <c:dPt>
            <c:idx val="2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C76-48B1-B458-B4C5F48A9205}"/>
              </c:ext>
            </c:extLst>
          </c:dPt>
          <c:dPt>
            <c:idx val="3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C76-48B1-B458-B4C5F48A9205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Feuil1!$C$5:$C$8</c:f>
              <c:strCache>
                <c:ptCount val="4"/>
                <c:pt idx="0">
                  <c:v>Agriculture, forê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Feuil1!$D$5:$D$8</c:f>
              <c:numCache>
                <c:formatCode>General</c:formatCode>
                <c:ptCount val="4"/>
                <c:pt idx="0">
                  <c:v>31.3</c:v>
                </c:pt>
                <c:pt idx="1">
                  <c:v>12.1</c:v>
                </c:pt>
                <c:pt idx="2">
                  <c:v>10.8</c:v>
                </c:pt>
                <c:pt idx="3">
                  <c:v>45.7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C76-48B1-B458-B4C5F48A9205}"/>
            </c:ext>
          </c:extLst>
        </c:ser>
        <c:dLbls>
          <c:showPercent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zero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Feuil1!$I$7</c:f>
              <c:strCache>
                <c:ptCount val="1"/>
                <c:pt idx="0">
                  <c:v>Diplôme supérieur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Feuil1!$J$6:$L$6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Total</c:v>
                </c:pt>
              </c:strCache>
            </c:strRef>
          </c:cat>
          <c:val>
            <c:numRef>
              <c:f>Feuil1!$J$7:$L$7</c:f>
              <c:numCache>
                <c:formatCode>0.0</c:formatCode>
                <c:ptCount val="3"/>
                <c:pt idx="0">
                  <c:v>24.212750749612535</c:v>
                </c:pt>
                <c:pt idx="1">
                  <c:v>2.5942310080483812</c:v>
                </c:pt>
                <c:pt idx="2">
                  <c:v>15.184092381037351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FD-4FD8-85D0-B4D0B4413480}"/>
            </c:ext>
          </c:extLst>
        </c:ser>
        <c:ser>
          <c:idx val="1"/>
          <c:order val="1"/>
          <c:tx>
            <c:strRef>
              <c:f>Feuil1!$I$8</c:f>
              <c:strCache>
                <c:ptCount val="1"/>
                <c:pt idx="0">
                  <c:v>Diplôme moyen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Feuil1!$J$6:$L$6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Total</c:v>
                </c:pt>
              </c:strCache>
            </c:strRef>
          </c:cat>
          <c:val>
            <c:numRef>
              <c:f>Feuil1!$J$8:$L$8</c:f>
              <c:numCache>
                <c:formatCode>0.0</c:formatCode>
                <c:ptCount val="3"/>
                <c:pt idx="0">
                  <c:v>36.604408632966837</c:v>
                </c:pt>
                <c:pt idx="1">
                  <c:v>22.009178489687834</c:v>
                </c:pt>
                <c:pt idx="2">
                  <c:v>30.508924374576626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FD-4FD8-85D0-B4D0B4413480}"/>
            </c:ext>
          </c:extLst>
        </c:ser>
        <c:ser>
          <c:idx val="2"/>
          <c:order val="2"/>
          <c:tx>
            <c:strRef>
              <c:f>Feuil1!$I$9</c:f>
              <c:strCache>
                <c:ptCount val="1"/>
                <c:pt idx="0">
                  <c:v>Aucun diplôme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Feuil1!$J$6:$L$6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Total</c:v>
                </c:pt>
              </c:strCache>
            </c:strRef>
          </c:cat>
          <c:val>
            <c:numRef>
              <c:f>Feuil1!$J$9:$L$9</c:f>
              <c:numCache>
                <c:formatCode>0.0</c:formatCode>
                <c:ptCount val="3"/>
                <c:pt idx="0">
                  <c:v>39.110453178090495</c:v>
                </c:pt>
                <c:pt idx="1">
                  <c:v>75.370507155048259</c:v>
                </c:pt>
                <c:pt idx="2">
                  <c:v>54.253934031436721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1FD-4FD8-85D0-B4D0B4413480}"/>
            </c:ext>
          </c:extLst>
        </c:ser>
        <c:gapWidth val="75"/>
        <c:overlap val="-25"/>
        <c:axId val="84944000"/>
        <c:axId val="84945536"/>
      </c:barChart>
      <c:catAx>
        <c:axId val="84944000"/>
        <c:scaling>
          <c:orientation val="minMax"/>
        </c:scaling>
        <c:axPos val="b"/>
        <c:numFmt formatCode="General" sourceLinked="0"/>
        <c:majorTickMark val="none"/>
        <c:tickLblPos val="nextTo"/>
        <c:crossAx val="84945536"/>
        <c:crosses val="autoZero"/>
        <c:auto val="1"/>
        <c:lblAlgn val="ctr"/>
        <c:lblOffset val="100"/>
      </c:catAx>
      <c:valAx>
        <c:axId val="84945536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8494400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Graphiques!$B$68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Graphiques!$A$69:$A$73</c:f>
              <c:strCache>
                <c:ptCount val="5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Feminin</c:v>
                </c:pt>
                <c:pt idx="4">
                  <c:v>National</c:v>
                </c:pt>
              </c:strCache>
            </c:strRef>
          </c:cat>
          <c:val>
            <c:numRef>
              <c:f>Graphiques!$B$69:$B$73</c:f>
              <c:numCache>
                <c:formatCode>#,##0.0</c:formatCode>
                <c:ptCount val="5"/>
                <c:pt idx="0">
                  <c:v>36.359777731022078</c:v>
                </c:pt>
                <c:pt idx="1">
                  <c:v>7.7791481469213908</c:v>
                </c:pt>
                <c:pt idx="2" formatCode="General">
                  <c:v>23.7</c:v>
                </c:pt>
                <c:pt idx="3" formatCode="General">
                  <c:v>25.5</c:v>
                </c:pt>
                <c:pt idx="4">
                  <c:v>24.115239833696929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FB-4B0E-B14D-6E3CE1D22B9D}"/>
            </c:ext>
          </c:extLst>
        </c:ser>
        <c:ser>
          <c:idx val="1"/>
          <c:order val="1"/>
          <c:tx>
            <c:strRef>
              <c:f>Graphiques!$C$68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Graphiques!$A$69:$A$73</c:f>
              <c:strCache>
                <c:ptCount val="5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Feminin</c:v>
                </c:pt>
                <c:pt idx="4">
                  <c:v>National</c:v>
                </c:pt>
              </c:strCache>
            </c:strRef>
          </c:cat>
          <c:val>
            <c:numRef>
              <c:f>Graphiques!$C$69:$C$73</c:f>
              <c:numCache>
                <c:formatCode>#,##0.0</c:formatCode>
                <c:ptCount val="5"/>
                <c:pt idx="0">
                  <c:v>36.55660059122917</c:v>
                </c:pt>
                <c:pt idx="1">
                  <c:v>8.1566595336702825</c:v>
                </c:pt>
                <c:pt idx="2" formatCode="General">
                  <c:v>23.9</c:v>
                </c:pt>
                <c:pt idx="3" formatCode="General">
                  <c:v>27.6</c:v>
                </c:pt>
                <c:pt idx="4">
                  <c:v>24.687032852795255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FB-4B0E-B14D-6E3CE1D22B9D}"/>
            </c:ext>
          </c:extLst>
        </c:ser>
        <c:gapWidth val="219"/>
        <c:overlap val="-27"/>
        <c:axId val="85197568"/>
        <c:axId val="85199104"/>
      </c:barChart>
      <c:catAx>
        <c:axId val="851975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5199104"/>
        <c:crosses val="autoZero"/>
        <c:auto val="1"/>
        <c:lblAlgn val="ctr"/>
        <c:lblOffset val="100"/>
      </c:catAx>
      <c:valAx>
        <c:axId val="85199104"/>
        <c:scaling>
          <c:orientation val="minMax"/>
        </c:scaling>
        <c:delete val="1"/>
        <c:axPos val="l"/>
        <c:numFmt formatCode="#,##0.0" sourceLinked="1"/>
        <c:majorTickMark val="none"/>
        <c:tickLblPos val="none"/>
        <c:crossAx val="85197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Feuil2!$C$7</c:f>
              <c:strCache>
                <c:ptCount val="1"/>
                <c:pt idx="0">
                  <c:v>CDI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Feuil2!$D$5:$G$6</c:f>
              <c:strCache>
                <c:ptCount val="4"/>
                <c:pt idx="0">
                  <c:v>Diplôme supérieur</c:v>
                </c:pt>
                <c:pt idx="1">
                  <c:v>Diplôme moyen</c:v>
                </c:pt>
                <c:pt idx="2">
                  <c:v>Aucun diplôme</c:v>
                </c:pt>
                <c:pt idx="3">
                  <c:v>Total</c:v>
                </c:pt>
              </c:strCache>
            </c:strRef>
          </c:cat>
          <c:val>
            <c:numRef>
              <c:f>Feuil2!$D$7:$G$7</c:f>
              <c:numCache>
                <c:formatCode>#,##0.0</c:formatCode>
                <c:ptCount val="4"/>
                <c:pt idx="0">
                  <c:v>57.850135324382443</c:v>
                </c:pt>
                <c:pt idx="1">
                  <c:v>22.590550062436915</c:v>
                </c:pt>
                <c:pt idx="2">
                  <c:v>11.041401440543098</c:v>
                </c:pt>
                <c:pt idx="3">
                  <c:v>26.373569265244431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98-403B-83C7-40E2BE353B8B}"/>
            </c:ext>
          </c:extLst>
        </c:ser>
        <c:ser>
          <c:idx val="1"/>
          <c:order val="1"/>
          <c:tx>
            <c:strRef>
              <c:f>Feuil2!$C$8</c:f>
              <c:strCache>
                <c:ptCount val="1"/>
                <c:pt idx="0">
                  <c:v>CDD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Feuil2!$D$5:$G$6</c:f>
              <c:strCache>
                <c:ptCount val="4"/>
                <c:pt idx="0">
                  <c:v>Diplôme supérieur</c:v>
                </c:pt>
                <c:pt idx="1">
                  <c:v>Diplôme moyen</c:v>
                </c:pt>
                <c:pt idx="2">
                  <c:v>Aucun diplôme</c:v>
                </c:pt>
                <c:pt idx="3">
                  <c:v>Total</c:v>
                </c:pt>
              </c:strCache>
            </c:strRef>
          </c:cat>
          <c:val>
            <c:numRef>
              <c:f>Feuil2!$D$8:$G$8</c:f>
              <c:numCache>
                <c:formatCode>#,##0.0</c:formatCode>
                <c:ptCount val="4"/>
                <c:pt idx="0">
                  <c:v>18.629695069422691</c:v>
                </c:pt>
                <c:pt idx="1">
                  <c:v>13.275453493431023</c:v>
                </c:pt>
                <c:pt idx="2">
                  <c:v>7.6208866232773964</c:v>
                </c:pt>
                <c:pt idx="3">
                  <c:v>12.214115204819278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B98-403B-83C7-40E2BE353B8B}"/>
            </c:ext>
          </c:extLst>
        </c:ser>
        <c:ser>
          <c:idx val="2"/>
          <c:order val="2"/>
          <c:tx>
            <c:strRef>
              <c:f>Feuil2!$C$9</c:f>
              <c:strCache>
                <c:ptCount val="1"/>
                <c:pt idx="0">
                  <c:v>Contrat verbal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Feuil2!$D$5:$G$6</c:f>
              <c:strCache>
                <c:ptCount val="4"/>
                <c:pt idx="0">
                  <c:v>Diplôme supérieur</c:v>
                </c:pt>
                <c:pt idx="1">
                  <c:v>Diplôme moyen</c:v>
                </c:pt>
                <c:pt idx="2">
                  <c:v>Aucun diplôme</c:v>
                </c:pt>
                <c:pt idx="3">
                  <c:v>Total</c:v>
                </c:pt>
              </c:strCache>
            </c:strRef>
          </c:cat>
          <c:val>
            <c:numRef>
              <c:f>Feuil2!$D$9:$G$9</c:f>
              <c:numCache>
                <c:formatCode>#,##0.0</c:formatCode>
                <c:ptCount val="4"/>
                <c:pt idx="0">
                  <c:v>3.5482786548072007</c:v>
                </c:pt>
                <c:pt idx="1">
                  <c:v>7.179996654967467</c:v>
                </c:pt>
                <c:pt idx="2">
                  <c:v>6.9604883677487646</c:v>
                </c:pt>
                <c:pt idx="3">
                  <c:v>6.1997432590948502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B98-403B-83C7-40E2BE353B8B}"/>
            </c:ext>
          </c:extLst>
        </c:ser>
        <c:ser>
          <c:idx val="3"/>
          <c:order val="3"/>
          <c:tx>
            <c:strRef>
              <c:f>Feuil2!$C$10</c:f>
              <c:strCache>
                <c:ptCount val="1"/>
                <c:pt idx="0">
                  <c:v>Aucun contrat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Feuil2!$D$5:$G$6</c:f>
              <c:strCache>
                <c:ptCount val="4"/>
                <c:pt idx="0">
                  <c:v>Diplôme supérieur</c:v>
                </c:pt>
                <c:pt idx="1">
                  <c:v>Diplôme moyen</c:v>
                </c:pt>
                <c:pt idx="2">
                  <c:v>Aucun diplôme</c:v>
                </c:pt>
                <c:pt idx="3">
                  <c:v>Total</c:v>
                </c:pt>
              </c:strCache>
            </c:strRef>
          </c:cat>
          <c:val>
            <c:numRef>
              <c:f>Feuil2!$D$10:$G$10</c:f>
              <c:numCache>
                <c:formatCode>#,##0.0</c:formatCode>
                <c:ptCount val="4"/>
                <c:pt idx="0">
                  <c:v>19.971890951388836</c:v>
                </c:pt>
                <c:pt idx="1">
                  <c:v>56.953999789165444</c:v>
                </c:pt>
                <c:pt idx="2">
                  <c:v>74.377223568430097</c:v>
                </c:pt>
                <c:pt idx="3">
                  <c:v>55.212572270840994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B98-403B-83C7-40E2BE353B8B}"/>
            </c:ext>
          </c:extLst>
        </c:ser>
        <c:gapWidth val="75"/>
        <c:overlap val="100"/>
        <c:axId val="85231488"/>
        <c:axId val="85233024"/>
      </c:barChart>
      <c:catAx>
        <c:axId val="85231488"/>
        <c:scaling>
          <c:orientation val="minMax"/>
        </c:scaling>
        <c:axPos val="l"/>
        <c:numFmt formatCode="General" sourceLinked="0"/>
        <c:majorTickMark val="none"/>
        <c:tickLblPos val="nextTo"/>
        <c:crossAx val="85233024"/>
        <c:crosses val="autoZero"/>
        <c:auto val="1"/>
        <c:lblAlgn val="ctr"/>
        <c:lblOffset val="100"/>
      </c:catAx>
      <c:valAx>
        <c:axId val="85233024"/>
        <c:scaling>
          <c:orientation val="minMax"/>
          <c:max val="110"/>
        </c:scaling>
        <c:delete val="1"/>
        <c:axPos val="b"/>
        <c:numFmt formatCode="#,##0.0" sourceLinked="1"/>
        <c:majorTickMark val="none"/>
        <c:tickLblPos val="none"/>
        <c:crossAx val="8523148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Feuil1!$B$35</c:f>
              <c:strCache>
                <c:ptCount val="1"/>
                <c:pt idx="0">
                  <c:v>Urbain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Feuil1!$A$36:$A$39</c:f>
              <c:strCache>
                <c:ptCount val="4"/>
                <c:pt idx="0">
                  <c:v>Agriculture, forêt et pêche</c:v>
                </c:pt>
                <c:pt idx="1">
                  <c:v>Industrie (y compris l'artisanat)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Feuil1!$B$36:$B$39</c:f>
              <c:numCache>
                <c:formatCode>0.0</c:formatCode>
                <c:ptCount val="4"/>
                <c:pt idx="0">
                  <c:v>-13.630165893849721</c:v>
                </c:pt>
                <c:pt idx="1">
                  <c:v>-22.172876408740837</c:v>
                </c:pt>
                <c:pt idx="2">
                  <c:v>-26.069441069321261</c:v>
                </c:pt>
                <c:pt idx="3">
                  <c:v>-20.375218171937529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F9-425A-9724-380F8378FD80}"/>
            </c:ext>
          </c:extLst>
        </c:ser>
        <c:ser>
          <c:idx val="1"/>
          <c:order val="1"/>
          <c:tx>
            <c:strRef>
              <c:f>Feuil1!$C$35</c:f>
              <c:strCache>
                <c:ptCount val="1"/>
                <c:pt idx="0">
                  <c:v>Rural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Feuil1!$A$36:$A$39</c:f>
              <c:strCache>
                <c:ptCount val="4"/>
                <c:pt idx="0">
                  <c:v>Agriculture, forêt et pêche</c:v>
                </c:pt>
                <c:pt idx="1">
                  <c:v>Industrie (y compris l'artisanat)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Feuil1!$C$36:$C$39</c:f>
              <c:numCache>
                <c:formatCode>0.0</c:formatCode>
                <c:ptCount val="4"/>
                <c:pt idx="0">
                  <c:v>-17.394809672132652</c:v>
                </c:pt>
                <c:pt idx="1">
                  <c:v>-22.658226267295749</c:v>
                </c:pt>
                <c:pt idx="2">
                  <c:v>-24.223137650946189</c:v>
                </c:pt>
                <c:pt idx="3">
                  <c:v>-20.45791560313609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F9-425A-9724-380F8378FD80}"/>
            </c:ext>
          </c:extLst>
        </c:ser>
        <c:ser>
          <c:idx val="2"/>
          <c:order val="2"/>
          <c:tx>
            <c:strRef>
              <c:f>Feuil1!$D$35</c:f>
              <c:strCache>
                <c:ptCount val="1"/>
                <c:pt idx="0">
                  <c:v>Ensemble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Feuil1!$A$36:$A$39</c:f>
              <c:strCache>
                <c:ptCount val="4"/>
                <c:pt idx="0">
                  <c:v>Agriculture, forêt et pêche</c:v>
                </c:pt>
                <c:pt idx="1">
                  <c:v>Industrie (y compris l'artisanat)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Feuil1!$D$36:$D$39</c:f>
              <c:numCache>
                <c:formatCode>0.0</c:formatCode>
                <c:ptCount val="4"/>
                <c:pt idx="0">
                  <c:v>-17.021235227103787</c:v>
                </c:pt>
                <c:pt idx="1">
                  <c:v>-22.251523998766224</c:v>
                </c:pt>
                <c:pt idx="2">
                  <c:v>-25.416503651012746</c:v>
                </c:pt>
                <c:pt idx="3">
                  <c:v>-20.389185235027089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AF9-425A-9724-380F8378FD80}"/>
            </c:ext>
          </c:extLst>
        </c:ser>
        <c:gapWidth val="219"/>
        <c:overlap val="-27"/>
        <c:axId val="83795968"/>
        <c:axId val="83797504"/>
      </c:barChart>
      <c:catAx>
        <c:axId val="83795968"/>
        <c:scaling>
          <c:orientation val="minMax"/>
        </c:scaling>
        <c:axPos val="b"/>
        <c:numFmt formatCode="General" sourceLinked="1"/>
        <c:maj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3797504"/>
        <c:crosses val="autoZero"/>
        <c:auto val="1"/>
        <c:lblAlgn val="ctr"/>
        <c:lblOffset val="100"/>
      </c:catAx>
      <c:valAx>
        <c:axId val="8379750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8379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Feuil1!$A$22:$A$26</c:f>
              <c:strCache>
                <c:ptCount val="5"/>
                <c:pt idx="0">
                  <c:v>15-24 ans</c:v>
                </c:pt>
                <c:pt idx="1">
                  <c:v>25-34 ans</c:v>
                </c:pt>
                <c:pt idx="2">
                  <c:v>35-44 ans</c:v>
                </c:pt>
                <c:pt idx="3">
                  <c:v>45 ans ou plus</c:v>
                </c:pt>
                <c:pt idx="4">
                  <c:v>Total</c:v>
                </c:pt>
              </c:strCache>
            </c:strRef>
          </c:cat>
          <c:val>
            <c:numRef>
              <c:f>Feuil1!$B$22:$B$26</c:f>
              <c:numCache>
                <c:formatCode>0.0</c:formatCode>
                <c:ptCount val="5"/>
                <c:pt idx="0">
                  <c:v>-28.969429934659704</c:v>
                </c:pt>
                <c:pt idx="1">
                  <c:v>-21.883668067029962</c:v>
                </c:pt>
                <c:pt idx="2">
                  <c:v>-18.961920699369763</c:v>
                </c:pt>
                <c:pt idx="3">
                  <c:v>-17.683340044946974</c:v>
                </c:pt>
                <c:pt idx="4">
                  <c:v>-20.273619820250609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C2-418A-9846-AFAEB57BDA91}"/>
            </c:ext>
          </c:extLst>
        </c:ser>
        <c:gapWidth val="219"/>
        <c:overlap val="-27"/>
        <c:axId val="83834368"/>
        <c:axId val="83835904"/>
      </c:barChart>
      <c:catAx>
        <c:axId val="83834368"/>
        <c:scaling>
          <c:orientation val="minMax"/>
        </c:scaling>
        <c:axPos val="b"/>
        <c:numFmt formatCode="General" sourceLinked="1"/>
        <c:maj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3835904"/>
        <c:crosses val="autoZero"/>
        <c:auto val="1"/>
        <c:lblAlgn val="ctr"/>
        <c:lblOffset val="100"/>
      </c:catAx>
      <c:valAx>
        <c:axId val="8383590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83834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1237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 AAI</dc:creator>
  <cp:lastModifiedBy>HCP</cp:lastModifiedBy>
  <cp:revision>5</cp:revision>
  <cp:lastPrinted>2021-02-17T00:08:00Z</cp:lastPrinted>
  <dcterms:created xsi:type="dcterms:W3CDTF">2021-02-16T23:59:00Z</dcterms:created>
  <dcterms:modified xsi:type="dcterms:W3CDTF">2021-02-17T07:56:00Z</dcterms:modified>
</cp:coreProperties>
</file>