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BDF" w:rsidRPr="00194038" w:rsidRDefault="00927BDF" w:rsidP="000B1701">
      <w:pPr>
        <w:bidi/>
        <w:spacing w:before="120" w:after="120" w:line="312" w:lineRule="auto"/>
        <w:jc w:val="center"/>
        <w:rPr>
          <w:rFonts w:ascii="Simplified Arabic" w:hAnsi="Simplified Arabic" w:cs="Simplified Arabic"/>
          <w:sz w:val="24"/>
          <w:szCs w:val="24"/>
          <w:rtl/>
          <w:lang w:bidi="tzm-Arab-MA"/>
        </w:rPr>
      </w:pPr>
    </w:p>
    <w:p w:rsidR="00D644D4" w:rsidRPr="00C14AFB" w:rsidRDefault="00D644D4" w:rsidP="000D2AE8">
      <w:pPr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8"/>
          <w:szCs w:val="28"/>
        </w:rPr>
      </w:pPr>
      <w:r w:rsidRPr="00C14AFB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 xml:space="preserve">مذكرة إخبارية </w:t>
      </w:r>
      <w:r w:rsidR="00B11AED" w:rsidRPr="00C14AFB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>للمندوبية</w:t>
      </w:r>
      <w:r w:rsidRPr="00C14AFB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 xml:space="preserve"> السامية للتخطيط</w:t>
      </w:r>
    </w:p>
    <w:p w:rsidR="00D644D4" w:rsidRPr="00C14AFB" w:rsidRDefault="00D644D4" w:rsidP="000D2AE8">
      <w:pPr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8"/>
          <w:szCs w:val="28"/>
          <w:rtl/>
        </w:rPr>
      </w:pPr>
      <w:r w:rsidRPr="00C14AFB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>حول المميزات الأساسية للسكان النشيطين المشتغلين</w:t>
      </w:r>
    </w:p>
    <w:p w:rsidR="00D644D4" w:rsidRPr="00C14AFB" w:rsidRDefault="00D644D4" w:rsidP="000D2AE8">
      <w:pPr>
        <w:spacing w:before="120" w:after="120" w:line="240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8"/>
          <w:szCs w:val="28"/>
          <w:rtl/>
        </w:rPr>
      </w:pPr>
      <w:r w:rsidRPr="00C14AFB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>خلال سنة 2020</w:t>
      </w:r>
    </w:p>
    <w:p w:rsidR="00FF701E" w:rsidRPr="00F777CC" w:rsidRDefault="00B7640F" w:rsidP="006F3DDB">
      <w:pPr>
        <w:bidi/>
        <w:spacing w:before="120" w:after="120" w:line="247" w:lineRule="auto"/>
        <w:rPr>
          <w:rFonts w:ascii="Simplified Arabic" w:hAnsi="Simplified Arabic" w:cs="Simplified Arabic"/>
          <w:sz w:val="28"/>
          <w:szCs w:val="28"/>
          <w:lang w:bidi="tzm-Arab-MA"/>
        </w:rPr>
      </w:pP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تقدم هذه المذكرة 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وضعية ال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لسكان النشيطين المشتغلين</w:t>
      </w:r>
      <w:r w:rsidR="00FF701E" w:rsidRPr="00F777CC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خلال سنة 2020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وخصائصه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</w:t>
      </w:r>
      <w:r w:rsidR="006F3DD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الرئيسية و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تطور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هذه الساكنة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مقارنة 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مع سنة 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2019</w:t>
      </w:r>
      <w:r w:rsidR="00FF701E" w:rsidRPr="00F777CC">
        <w:rPr>
          <w:rFonts w:ascii="Simplified Arabic" w:hAnsi="Simplified Arabic" w:cs="Simplified Arabic"/>
          <w:sz w:val="28"/>
          <w:szCs w:val="28"/>
          <w:lang w:bidi="tzm-Arab-MA"/>
        </w:rPr>
        <w:t>.</w:t>
      </w:r>
    </w:p>
    <w:p w:rsidR="00FF701E" w:rsidRPr="00194038" w:rsidRDefault="00FF701E" w:rsidP="00C14AFB">
      <w:pPr>
        <w:spacing w:before="120" w:after="120" w:line="247" w:lineRule="auto"/>
        <w:jc w:val="right"/>
        <w:rPr>
          <w:rFonts w:ascii="Simplified Arabic" w:hAnsi="Simplified Arabic" w:cs="Simplified Arabic"/>
          <w:b/>
          <w:bCs/>
          <w:color w:val="44546A" w:themeColor="text2"/>
          <w:sz w:val="24"/>
          <w:szCs w:val="24"/>
        </w:rPr>
      </w:pPr>
      <w:r w:rsidRPr="00F777CC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>انخفاض الشغل</w:t>
      </w:r>
    </w:p>
    <w:p w:rsidR="00C14AFB" w:rsidRDefault="00FF701E" w:rsidP="00E134AB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تجدر الاشارة </w:t>
      </w:r>
      <w:r w:rsidR="00C14AFB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إلى 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أن 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ححم النشيطين المشتغلين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قد 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انخفض على الصعيد الوطني 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</w:t>
      </w:r>
      <w:r w:rsidR="00B7640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C14AFB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10.975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.000 شخص سنة 2019 </w:t>
      </w:r>
      <w:r w:rsidR="00B7640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إلى 10.542.000 </w:t>
      </w:r>
      <w:r w:rsidR="00927BD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شخص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 2020، </w:t>
      </w:r>
      <w:r w:rsidR="00B7640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وهو ما يمثل انخفاضًا بنسبة </w:t>
      </w:r>
      <w:r w:rsidR="00B7640F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3,9% 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B7640F" w:rsidRDefault="00C14AFB" w:rsidP="00C14AFB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وهكذا فقد الاقتصاد الوطني 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432.000</w:t>
      </w: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، </w:t>
      </w:r>
      <w:r w:rsidR="00B7640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137.000 منصب شغل في الوسط الحضري </w:t>
      </w:r>
      <w:r w:rsidR="00B7640F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(-2,2%) 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B7640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و295.000 في </w:t>
      </w:r>
      <w:r w:rsidR="00927BDF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الوسط القروي</w:t>
      </w:r>
      <w:r w:rsid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927BDF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>(-6,3%)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، بعد إحداث 121.000 منصب في المتوسط </w:t>
      </w:r>
      <w:r w:rsidR="00FF701E" w:rsidRPr="00F777CC">
        <w:rPr>
          <w:rFonts w:ascii="Arial" w:hAnsi="Arial" w:cs="Arial" w:hint="cs"/>
          <w:sz w:val="28"/>
          <w:szCs w:val="28"/>
          <w:rtl/>
          <w:lang w:bidi="tzm-Arab-MA"/>
        </w:rPr>
        <w:t>​​</w:t>
      </w:r>
      <w:r w:rsidR="00FF701E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خلال الفترة 2017 -2019.</w:t>
      </w:r>
    </w:p>
    <w:p w:rsidR="00C55681" w:rsidRPr="008D2D31" w:rsidRDefault="00C55681" w:rsidP="00C55681">
      <w:pPr>
        <w:autoSpaceDE w:val="0"/>
        <w:autoSpaceDN w:val="0"/>
        <w:bidi/>
        <w:adjustRightInd w:val="0"/>
        <w:spacing w:line="360" w:lineRule="auto"/>
        <w:jc w:val="center"/>
        <w:rPr>
          <w:rFonts w:ascii="Simplified Arabic" w:hAnsi="Simplified Arabic" w:cs="Simplified Arabic"/>
          <w:lang w:bidi="ar-MA"/>
        </w:rPr>
      </w:pP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مبيان </w:t>
      </w:r>
      <w:r>
        <w:rPr>
          <w:rFonts w:ascii="Simplified Arabic" w:hAnsi="Simplified Arabic" w:cs="Simplified Arabic" w:hint="cs"/>
          <w:b/>
          <w:bCs/>
          <w:color w:val="44546A" w:themeColor="text2"/>
          <w:rtl/>
        </w:rPr>
        <w:t>1</w:t>
      </w: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:التغيير المطلق والنسبي لإحداث وفقدان مناصب الشغل منذ سنة 2017</w:t>
      </w:r>
    </w:p>
    <w:p w:rsidR="00C55681" w:rsidRPr="00C55681" w:rsidRDefault="00C55681" w:rsidP="00C55681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5572760" cy="2621280"/>
            <wp:effectExtent l="0" t="0" r="0" b="0"/>
            <wp:docPr id="1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55681" w:rsidRDefault="00C55681" w:rsidP="00C14AFB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</w:p>
    <w:p w:rsidR="0013367D" w:rsidRDefault="00FF701E" w:rsidP="00C55681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lastRenderedPageBreak/>
        <w:t>خلال سنة 2020، نجد أن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41,8% </w:t>
      </w:r>
      <w:r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من النشيطين المشتغلين </w:t>
      </w:r>
      <w:r w:rsidR="000B1701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يقطنون بالوسط القروي و</w:t>
      </w:r>
      <w:r w:rsidRPr="00F777CC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>21,5%</w:t>
      </w:r>
      <w:r w:rsidR="000B1701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منهم إناث (مقابل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>22,</w:t>
      </w:r>
      <w:r w:rsidR="00C14AFB">
        <w:rPr>
          <w:rFonts w:ascii="Simplified Arabic" w:hAnsi="Simplified Arabic" w:cs="Simplified Arabic"/>
          <w:sz w:val="28"/>
          <w:szCs w:val="28"/>
          <w:lang w:bidi="tzm-Arab-MA"/>
        </w:rPr>
        <w:t>7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% </w:t>
      </w:r>
      <w:r w:rsidR="000B1701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 من قبل). ويشكل الشباب الذين تتراوح أعمارهم بين 15 و 34 سنة 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</w:t>
      </w:r>
      <w:r w:rsidR="00C14AFB">
        <w:rPr>
          <w:rFonts w:ascii="Simplified Arabic" w:hAnsi="Simplified Arabic" w:cs="Simplified Arabic"/>
          <w:sz w:val="28"/>
          <w:szCs w:val="28"/>
          <w:lang w:bidi="tzm-Arab-MA"/>
        </w:rPr>
        <w:t xml:space="preserve">   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>35,1%</w:t>
      </w:r>
      <w:r w:rsidR="00C14AFB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C14AF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0B1701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 إجمالي حجم الشغل ؛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9,0% </w:t>
      </w:r>
      <w:r w:rsidR="000B1701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لمن تتراوح أعمارهم بين 15 و 24 سنة و </w:t>
      </w:r>
      <w:r w:rsidR="000B1701" w:rsidRPr="00F777CC">
        <w:rPr>
          <w:rFonts w:ascii="Simplified Arabic" w:hAnsi="Simplified Arabic" w:cs="Simplified Arabic" w:hint="cs"/>
          <w:sz w:val="28"/>
          <w:szCs w:val="28"/>
          <w:lang w:bidi="tzm-Arab-MA"/>
        </w:rPr>
        <w:t>26,1%</w:t>
      </w:r>
      <w:r w:rsidR="000B1701" w:rsidRPr="00F777CC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لمن تتراوح أعمارهم بين 25 و 34 سنة.</w:t>
      </w:r>
    </w:p>
    <w:p w:rsidR="00C14AFB" w:rsidRDefault="00C14AFB" w:rsidP="00C14AFB">
      <w:pPr>
        <w:bidi/>
        <w:spacing w:before="120" w:after="120" w:line="312" w:lineRule="auto"/>
        <w:jc w:val="center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2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: تطور معدل الشغل حسب وسط الإقامة</w:t>
      </w:r>
      <w:r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 xml:space="preserve"> ما بين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2017</w:t>
      </w:r>
      <w:r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 xml:space="preserve"> و </w:t>
      </w:r>
      <w:r w:rsidR="00E134AB"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 xml:space="preserve"> </w:t>
      </w:r>
      <w:r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>2020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(بـ</w:t>
      </w:r>
      <w:r w:rsidRPr="00625645">
        <w:rPr>
          <w:rFonts w:ascii="Simplified Arabic" w:hAnsi="Simplified Arabic" w:cs="Simplified Arabic"/>
          <w:b/>
          <w:bCs/>
          <w:color w:val="44546A" w:themeColor="text2"/>
        </w:rPr>
        <w:t>%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)</w:t>
      </w:r>
    </w:p>
    <w:p w:rsidR="00927BDF" w:rsidRPr="00625645" w:rsidRDefault="00C14AFB" w:rsidP="00C14AFB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4"/>
          <w:szCs w:val="24"/>
          <w:rtl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5760720" cy="2138564"/>
            <wp:effectExtent l="0" t="0" r="0" b="0"/>
            <wp:docPr id="1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C68B3D3C-E25C-49AC-80F3-796AD38C03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22B27" w:rsidRPr="0013367D" w:rsidRDefault="00822B27" w:rsidP="00E134AB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كما أن معدل الشغل انخفض ب </w:t>
      </w:r>
      <w:r w:rsidR="00C14AFB">
        <w:rPr>
          <w:rFonts w:ascii="Simplified Arabic" w:hAnsi="Simplified Arabic" w:cs="Simplified Arabic"/>
          <w:sz w:val="28"/>
          <w:szCs w:val="28"/>
          <w:lang w:bidi="tzm-Arab-MA"/>
        </w:rPr>
        <w:t>0,3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نقطة، </w:t>
      </w:r>
      <w:r w:rsidR="00D47DB7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خلال السن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</w:t>
      </w:r>
      <w:r w:rsidR="00D47DB7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ات الثلاث الأخيرة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2017 و2019 (منتقلا</w:t>
      </w:r>
      <w:r w:rsidR="008660E6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من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41,</w:t>
      </w:r>
      <w:r w:rsidRPr="0013367D">
        <w:rPr>
          <w:rFonts w:ascii="Simplified Arabic" w:hAnsi="Simplified Arabic" w:cs="Simplified Arabic"/>
          <w:sz w:val="28"/>
          <w:szCs w:val="28"/>
          <w:lang w:bidi="tzm-Arab-MA"/>
        </w:rPr>
        <w:t>9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13367D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إلى</w:t>
      </w:r>
      <w:r w:rsidRPr="0013367D">
        <w:rPr>
          <w:rFonts w:ascii="Simplified Arabic" w:hAnsi="Simplified Arabic" w:cs="Simplified Arabic"/>
          <w:sz w:val="28"/>
          <w:szCs w:val="28"/>
          <w:lang w:bidi="tzm-Arab-MA"/>
        </w:rPr>
        <w:t>(</w:t>
      </w:r>
      <w:r w:rsidR="008660E6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41,6% </w:t>
      </w:r>
      <w:r w:rsidR="008660E6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ومن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41,6%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8660E6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إلى </w:t>
      </w:r>
      <w:r w:rsidR="008660E6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39,4%</w:t>
      </w:r>
      <w:r w:rsidR="008660E6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على المستوى الوطني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مابين 2019 و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2020</w:t>
      </w:r>
      <w:r w:rsidR="008660E6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</w:t>
      </w:r>
      <w:r w:rsidR="008660E6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-2,2 </w:t>
      </w:r>
      <w:r w:rsidR="008660E6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نقطة)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8660E6" w:rsidRPr="0013367D" w:rsidRDefault="008660E6" w:rsidP="00C25FBE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وقد كان انخفض معدل الشغل مهم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بالوسط القروي</w:t>
      </w:r>
      <w:r w:rsidR="003707FB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 حيث انتقل من</w:t>
      </w:r>
      <w:r w:rsidR="00822B27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50,3%  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إلى </w:t>
      </w:r>
      <w:r w:rsidR="00822B27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47,0% </w:t>
      </w:r>
      <w:r w:rsidR="00D47DB7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(</w:t>
      </w:r>
      <w:r w:rsidR="00D47DB7">
        <w:rPr>
          <w:rFonts w:ascii="Simplified Arabic" w:hAnsi="Simplified Arabic" w:cs="Simplified Arabic"/>
          <w:sz w:val="28"/>
          <w:szCs w:val="28"/>
          <w:lang w:bidi="tzm-Arab-MA"/>
        </w:rPr>
        <w:t>3,3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نقطة) في المناطق القروية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ومن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36,9%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إلى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35,3%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</w:t>
      </w:r>
      <w:r w:rsidR="00D47DB7">
        <w:rPr>
          <w:rFonts w:ascii="Simplified Arabic" w:hAnsi="Simplified Arabic" w:cs="Simplified Arabic"/>
          <w:sz w:val="28"/>
          <w:szCs w:val="28"/>
          <w:lang w:bidi="tzm-Arab-MA"/>
        </w:rPr>
        <w:t>1,6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نقطة) </w:t>
      </w:r>
      <w:r w:rsidR="003707FB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بالوسط الحضري. </w:t>
      </w:r>
    </w:p>
    <w:p w:rsidR="00181A8C" w:rsidRPr="0013367D" w:rsidRDefault="008660E6" w:rsidP="00C25FBE">
      <w:pPr>
        <w:bidi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بالإضافة إلى ذلك، كان الانخفاض في هذا المعدل أكثر بين الرجال 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2,6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نقطة) منه بين النساء(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1,9</w:t>
      </w:r>
      <w:r w:rsidR="00822B2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نقطة)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.</w:t>
      </w:r>
    </w:p>
    <w:p w:rsidR="00625645" w:rsidRPr="00194038" w:rsidRDefault="00181A8C" w:rsidP="00625645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4"/>
          <w:szCs w:val="24"/>
        </w:rPr>
      </w:pP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3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: معدل الشغل حسب السن ووسط الإقامة </w:t>
      </w:r>
      <w:r w:rsidR="00625645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(بـ</w:t>
      </w:r>
      <w:r w:rsidR="00625645" w:rsidRPr="00625645">
        <w:rPr>
          <w:rFonts w:ascii="Simplified Arabic" w:hAnsi="Simplified Arabic" w:cs="Simplified Arabic"/>
          <w:b/>
          <w:bCs/>
          <w:color w:val="44546A" w:themeColor="text2"/>
        </w:rPr>
        <w:t>%</w:t>
      </w:r>
      <w:r w:rsidR="00625645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)</w:t>
      </w:r>
    </w:p>
    <w:p w:rsidR="007978D0" w:rsidRPr="00194038" w:rsidRDefault="007978D0" w:rsidP="007978D0">
      <w:pPr>
        <w:bidi/>
        <w:spacing w:before="120" w:after="120" w:line="312" w:lineRule="auto"/>
        <w:jc w:val="center"/>
        <w:rPr>
          <w:rFonts w:ascii="Simplified Arabic" w:hAnsi="Simplified Arabic" w:cs="Simplified Arabic"/>
          <w:sz w:val="24"/>
          <w:szCs w:val="24"/>
          <w:rtl/>
          <w:lang w:bidi="tzm-Arab-MA"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5029200" cy="2076450"/>
            <wp:effectExtent l="0" t="0" r="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81A8C" w:rsidRPr="0013367D" w:rsidRDefault="00181A8C" w:rsidP="00C25FBE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lastRenderedPageBreak/>
        <w:t xml:space="preserve">من خلال توزيع النشطين المشتغلين حسب قطاع النشاط، يتضح أن قطاع الخدمات يشغل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4.820.000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شخص 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45,7%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)، يليه قطاع الفلاحة الغابات والصيد بـ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3.295.000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 شخص أي مايعادل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31,3%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،الصناعة بما فيها الصناعة التقليدية (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1.280.000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شخص أو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</w:t>
      </w:r>
      <w:r w:rsidR="006D5FDF" w:rsidRPr="0013367D">
        <w:rPr>
          <w:rFonts w:ascii="Simplified Arabic" w:hAnsi="Simplified Arabic" w:cs="Simplified Arabic"/>
          <w:sz w:val="28"/>
          <w:szCs w:val="28"/>
          <w:lang w:bidi="tzm-Arab-MA"/>
        </w:rPr>
        <w:t>2,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) وأخيراً البناء والأشغال العمومية </w:t>
      </w:r>
      <w:r w:rsidR="008D2D31" w:rsidRPr="0013367D">
        <w:rPr>
          <w:rStyle w:val="Appelnotedebasdep"/>
          <w:rFonts w:ascii="Simplified Arabic" w:hAnsi="Simplified Arabic" w:cs="Simplified Arabic"/>
          <w:sz w:val="28"/>
          <w:szCs w:val="28"/>
          <w:rtl/>
          <w:lang w:bidi="tzm-Arab-MA"/>
        </w:rPr>
        <w:footnoteReference w:id="1"/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(</w:t>
      </w:r>
      <w:r w:rsidR="00F51665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1.139.000 </w:t>
      </w:r>
      <w:r w:rsidR="00432512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شخص أو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10,8% 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).</w:t>
      </w:r>
    </w:p>
    <w:p w:rsidR="00D47DB7" w:rsidRDefault="00181A8C" w:rsidP="00C55681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b/>
          <w:bCs/>
          <w:color w:val="44546A" w:themeColor="text2"/>
          <w:rtl/>
          <w:lang w:bidi="ar-DZ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من </w:t>
      </w:r>
      <w:r w:rsidR="00432512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بين 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4.820.000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نشيط مشتغل في قطاع الخدمات، نجد أن</w:t>
      </w:r>
      <w:r w:rsidR="00C25FB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37,3%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منهم بفرع التجارة،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11,2%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في الخدمات الاجتماعية المقدمة للمجتمع و</w:t>
      </w:r>
      <w:r w:rsidR="00C25FBE">
        <w:rPr>
          <w:rFonts w:ascii="Simplified Arabic" w:hAnsi="Simplified Arabic" w:cs="Simplified Arabic"/>
          <w:sz w:val="28"/>
          <w:szCs w:val="28"/>
          <w:lang w:bidi="tzm-Arab-MA"/>
        </w:rPr>
        <w:t xml:space="preserve"> </w:t>
      </w:r>
      <w:r w:rsidR="00432512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10,4% 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في النقل والتخزين والاتصال.</w:t>
      </w:r>
    </w:p>
    <w:p w:rsidR="00D644D4" w:rsidRPr="00625645" w:rsidRDefault="00D644D4" w:rsidP="0013367D">
      <w:pPr>
        <w:bidi/>
        <w:jc w:val="center"/>
        <w:rPr>
          <w:rFonts w:ascii="Simplified Arabic" w:hAnsi="Simplified Arabic" w:cs="Simplified Arabic"/>
          <w:b/>
          <w:bCs/>
          <w:color w:val="44546A" w:themeColor="text2"/>
          <w:rtl/>
        </w:rPr>
      </w:pP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4</w:t>
      </w:r>
      <w:r w:rsidR="006974BD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: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توزيع</w:t>
      </w:r>
      <w:r w:rsidR="002B2FFF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السكان</w:t>
      </w:r>
      <w:r w:rsidR="006D5FDF">
        <w:rPr>
          <w:rFonts w:ascii="Simplified Arabic" w:hAnsi="Simplified Arabic" w:cs="Simplified Arabic"/>
          <w:b/>
          <w:bCs/>
          <w:color w:val="44546A" w:themeColor="text2"/>
        </w:rPr>
        <w:t xml:space="preserve"> </w:t>
      </w:r>
      <w:r w:rsidR="002B2FFF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النشيطين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المشتغلين حسب قطاع النشاط الاقتصادي في 2020</w:t>
      </w:r>
      <w:r w:rsidR="00625645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(بـ</w:t>
      </w:r>
      <w:r w:rsidR="00625645" w:rsidRPr="00625645">
        <w:rPr>
          <w:rFonts w:ascii="Simplified Arabic" w:hAnsi="Simplified Arabic" w:cs="Simplified Arabic"/>
          <w:b/>
          <w:bCs/>
          <w:color w:val="44546A" w:themeColor="text2"/>
        </w:rPr>
        <w:t>%</w:t>
      </w:r>
      <w:r w:rsidR="00625645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)</w:t>
      </w:r>
    </w:p>
    <w:p w:rsidR="00181A8C" w:rsidRPr="00194038" w:rsidRDefault="00D644D4" w:rsidP="00D644D4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4"/>
          <w:szCs w:val="24"/>
          <w:rtl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5796915" cy="2218414"/>
            <wp:effectExtent l="0" t="0" r="0" b="0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AFC9216-95F9-4B09-8878-C44BCAF3BB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673A8" w:rsidRPr="0013367D" w:rsidRDefault="006D5FDF" w:rsidP="00E134AB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تجدر الاشارة أنه خلال سنة 2020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 ما يقارب ثلثي النشيطين المشتغلين بالمدن (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65,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7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) </w:t>
      </w:r>
      <w:r w:rsidR="00E134AB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يعمل 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بقطاع الخدمات، و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17,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5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بالصناعة بما فيها الصناعة التقليدية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.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أما في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الوسط القروي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 فإن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6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8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% 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من النشيطين المشتغلين يعملون بقطاع الفلاحة الغابة والصيد، و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7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,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9</w:t>
      </w:r>
      <w:r w:rsidR="000673A8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% </w:t>
      </w:r>
      <w:r w:rsidR="000673A8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بقطاع الخدمات.</w:t>
      </w:r>
    </w:p>
    <w:p w:rsidR="000673A8" w:rsidRPr="0013367D" w:rsidRDefault="000673A8" w:rsidP="000322D0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 بين المهن الأكثر مزاولة من طرف النشيطين المشتغلين، نجد مهن "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الحرفين و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العمال المؤهلين في المهن الحرفية" بنسبة 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19,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)، و"العمال والعمال اليدوي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 في الفلاحة، الغابة والصيد" بنسبة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18,4%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و" العمال اليدوي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 غير الفلاحيين، الحمال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 وعمال المهن الصغرى"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(1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5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,</w:t>
      </w:r>
      <w:r w:rsidR="00F62E1A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6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%)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F62E1A" w:rsidRPr="0013367D" w:rsidRDefault="00F62E1A" w:rsidP="000322D0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يمثل المستأجرون نصف النشيطين المشتغلين االبالغين 15 سنة فما فوق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(50,7%)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، مقابل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50,1%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 من قبل، وبالنسبة للمستقلين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30,9%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(مقابل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30,2%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سنة من قبل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( 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  <w:r w:rsid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ويمثل المساعدون العائليون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13,7% 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من مجموع النشيطين (مقابل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14,7%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سنة من قبل)</w:t>
      </w:r>
      <w:r w:rsidR="006D5FD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ويمثل المشغلون</w:t>
      </w:r>
      <w:r w:rsidR="006D5FD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2,0%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(مقابل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2,4%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 من  قبل).</w:t>
      </w:r>
    </w:p>
    <w:p w:rsidR="00D644D4" w:rsidRPr="0013367D" w:rsidRDefault="00D644D4" w:rsidP="00EA47D3">
      <w:pPr>
        <w:spacing w:before="120" w:after="120" w:line="312" w:lineRule="auto"/>
        <w:jc w:val="right"/>
        <w:rPr>
          <w:rFonts w:ascii="Simplified Arabic" w:hAnsi="Simplified Arabic" w:cs="Simplified Arabic"/>
          <w:b/>
          <w:bCs/>
          <w:color w:val="44546A" w:themeColor="text2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lastRenderedPageBreak/>
        <w:t xml:space="preserve">ضعف تأهيل النشيطين المشتغلين </w:t>
      </w:r>
    </w:p>
    <w:p w:rsidR="00C25FBE" w:rsidRDefault="006D5FDF" w:rsidP="00C55681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b/>
          <w:bCs/>
          <w:color w:val="44546A" w:themeColor="text2"/>
          <w:rtl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خلال سنة 2020، </w:t>
      </w:r>
      <w:r w:rsidR="007004B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أكثر بقليل من نصف النشيطين المشتغلين </w:t>
      </w:r>
      <w:r w:rsidR="007004B7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(54,3%)</w:t>
      </w:r>
      <w:r w:rsidR="007004B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لا يتوفرون على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أية</w:t>
      </w:r>
      <w:r w:rsidR="007004B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شهادة، و</w:t>
      </w:r>
      <w:r w:rsidR="007004B7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30,5%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7004B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منهم لديهم شهادة متوسطة و</w:t>
      </w:r>
      <w:r w:rsidR="007004B7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15,2% </w:t>
      </w:r>
      <w:r w:rsid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7004B7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لديهم شهادة عليا.</w:t>
      </w:r>
    </w:p>
    <w:p w:rsidR="00625645" w:rsidRPr="00625645" w:rsidRDefault="007732B6" w:rsidP="00625645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44546A" w:themeColor="text2"/>
        </w:rPr>
      </w:pP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5</w:t>
      </w:r>
      <w:r w:rsidR="008D2D31"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>:</w:t>
      </w:r>
      <w:r w:rsidR="006F3DDB"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 xml:space="preserve"> توزيع</w:t>
      </w:r>
      <w:r w:rsidRPr="00625645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السكان النشيطين المشتغلين حسب الشهادة في 2020</w:t>
      </w:r>
      <w:r w:rsidR="00625645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(بـ</w:t>
      </w:r>
      <w:r w:rsidR="00625645" w:rsidRPr="008D2D31">
        <w:rPr>
          <w:rFonts w:ascii="Simplified Arabic" w:hAnsi="Simplified Arabic" w:cs="Simplified Arabic"/>
          <w:b/>
          <w:bCs/>
          <w:color w:val="44546A" w:themeColor="text2"/>
        </w:rPr>
        <w:t>%</w:t>
      </w:r>
      <w:r w:rsidR="00625645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)</w:t>
      </w:r>
    </w:p>
    <w:p w:rsidR="007004B7" w:rsidRPr="00194038" w:rsidRDefault="007732B6" w:rsidP="007004B7">
      <w:pPr>
        <w:spacing w:line="276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4"/>
          <w:szCs w:val="24"/>
        </w:rPr>
      </w:pPr>
      <w:r>
        <w:rPr>
          <w:noProof/>
          <w:lang w:eastAsia="fr-FR"/>
        </w:rPr>
        <w:drawing>
          <wp:inline distT="0" distB="0" distL="0" distR="0">
            <wp:extent cx="4572000" cy="2148840"/>
            <wp:effectExtent l="0" t="0" r="0" b="0"/>
            <wp:docPr id="9" name="Graphique 9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0AD5B205-FB39-4208-B1B7-E8394E4BF9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A47D3" w:rsidRPr="0013367D" w:rsidRDefault="00EA47D3" w:rsidP="00C25FBE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ومن بين النشيطين المشتغلين في قطاع "الفلاحة والغابات والصيد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نجد أن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80,8%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منهم ليس لديهم أي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ة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شهادة. وتبلغ هذه النسبة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59,2%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في قطاع البناء والأشغال العمومية، و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45,2%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في</w:t>
      </w:r>
      <w:r w:rsidR="000322D0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قطاع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الصناعة بما فيها الصناعة التقليدية و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37,4 %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في قطاع الخدمات.</w:t>
      </w:r>
    </w:p>
    <w:p w:rsidR="002B2FFF" w:rsidRPr="0013367D" w:rsidRDefault="002B2FFF" w:rsidP="00EA47D3">
      <w:pPr>
        <w:spacing w:before="120" w:after="120" w:line="312" w:lineRule="auto"/>
        <w:jc w:val="right"/>
        <w:rPr>
          <w:rFonts w:ascii="Simplified Arabic" w:hAnsi="Simplified Arabic" w:cs="Simplified Arabic"/>
          <w:b/>
          <w:bCs/>
          <w:color w:val="44546A" w:themeColor="text2"/>
          <w:sz w:val="28"/>
          <w:szCs w:val="28"/>
        </w:rPr>
      </w:pPr>
      <w:r w:rsidRPr="0013367D">
        <w:rPr>
          <w:rFonts w:ascii="Simplified Arabic" w:hAnsi="Simplified Arabic" w:cs="Simplified Arabic" w:hint="cs"/>
          <w:b/>
          <w:bCs/>
          <w:color w:val="44546A" w:themeColor="text2"/>
          <w:sz w:val="28"/>
          <w:szCs w:val="28"/>
          <w:rtl/>
        </w:rPr>
        <w:t>حماية ضعيفة للنشيطين المشتغلين</w:t>
      </w:r>
    </w:p>
    <w:p w:rsidR="006974BD" w:rsidRPr="0013367D" w:rsidRDefault="000322D0" w:rsidP="00C25FBE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خلال سنة 2020، 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يستفيد قرابة ربع النشيطين المشتغلين (%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24,</w:t>
      </w:r>
      <w:r w:rsidR="006D5FDF" w:rsidRPr="0013367D">
        <w:rPr>
          <w:rFonts w:ascii="Simplified Arabic" w:hAnsi="Simplified Arabic" w:cs="Simplified Arabic"/>
          <w:sz w:val="28"/>
          <w:szCs w:val="28"/>
          <w:lang w:bidi="tzm-Arab-MA"/>
        </w:rPr>
        <w:t>7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 من التغطية الصحية المرتبطة بالشغل (%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36,</w:t>
      </w:r>
      <w:r w:rsidR="006D5FDF" w:rsidRPr="0013367D">
        <w:rPr>
          <w:rFonts w:ascii="Simplified Arabic" w:hAnsi="Simplified Arabic" w:cs="Simplified Arabic"/>
          <w:sz w:val="28"/>
          <w:szCs w:val="28"/>
          <w:lang w:bidi="tzm-Arab-MA"/>
        </w:rPr>
        <w:t>6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بالمدن و%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</w:t>
      </w:r>
      <w:r w:rsidR="006D5FDF" w:rsidRPr="0013367D">
        <w:rPr>
          <w:rFonts w:ascii="Simplified Arabic" w:hAnsi="Simplified Arabic" w:cs="Simplified Arabic"/>
          <w:sz w:val="28"/>
          <w:szCs w:val="28"/>
          <w:lang w:bidi="tzm-Arab-MA"/>
        </w:rPr>
        <w:t>8,2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 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بالقرى). وكانت هذه النسب</w:t>
      </w:r>
      <w:r w:rsidR="008A6588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على التوالي 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%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24,1,</w:t>
      </w:r>
      <w:r w:rsidR="00E134A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 </w:t>
      </w:r>
      <w:r w:rsidR="00E134AB">
        <w:rPr>
          <w:rFonts w:ascii="Simplified Arabic" w:hAnsi="Simplified Arabic" w:cs="Simplified Arabic"/>
          <w:sz w:val="28"/>
          <w:szCs w:val="28"/>
          <w:lang w:bidi="tzm-Arab-MA"/>
        </w:rPr>
        <w:t>;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%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36,4,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و%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7,8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</w:t>
      </w:r>
      <w:r w:rsidR="002B2FFF"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 xml:space="preserve">2019 </w:t>
      </w:r>
      <w:r w:rsidR="002B2FFF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</w:t>
      </w:r>
    </w:p>
    <w:p w:rsidR="002B2FFF" w:rsidRPr="008D2D31" w:rsidRDefault="002B2FFF" w:rsidP="006974BD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44546A" w:themeColor="text2"/>
        </w:rPr>
      </w:pP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6</w:t>
      </w:r>
      <w:r w:rsidR="00EA47D3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:</w:t>
      </w: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نسبة النشيطين المشتغلين المستفيدين من التغطية الصحية</w:t>
      </w:r>
      <w:r w:rsidR="008A6588"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 xml:space="preserve"> </w:t>
      </w: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المرتبطة بالشغل</w:t>
      </w:r>
      <w:r w:rsidR="008A6588">
        <w:rPr>
          <w:rFonts w:ascii="Simplified Arabic" w:hAnsi="Simplified Arabic" w:cs="Simplified Arabic" w:hint="cs"/>
          <w:b/>
          <w:bCs/>
          <w:color w:val="44546A" w:themeColor="text2"/>
          <w:rtl/>
          <w:lang w:bidi="tzm-Arab-MA"/>
        </w:rPr>
        <w:t xml:space="preserve"> </w:t>
      </w: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حسب وسط الإقامة و الجنس</w:t>
      </w:r>
      <w:r w:rsidR="00625645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(بـ</w:t>
      </w:r>
      <w:r w:rsidR="00625645" w:rsidRPr="008D2D31">
        <w:rPr>
          <w:rFonts w:ascii="Simplified Arabic" w:hAnsi="Simplified Arabic" w:cs="Simplified Arabic"/>
          <w:b/>
          <w:bCs/>
          <w:color w:val="44546A" w:themeColor="text2"/>
        </w:rPr>
        <w:t>%</w:t>
      </w:r>
      <w:r w:rsidR="00625645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)</w:t>
      </w:r>
    </w:p>
    <w:p w:rsidR="002B2FFF" w:rsidRPr="00194038" w:rsidRDefault="002B2FFF" w:rsidP="002B2FFF">
      <w:pPr>
        <w:bidi/>
        <w:spacing w:after="120"/>
        <w:jc w:val="center"/>
        <w:rPr>
          <w:rFonts w:ascii="Simplified Arabic" w:hAnsi="Simplified Arabic" w:cs="Simplified Arabic"/>
          <w:color w:val="212121"/>
          <w:sz w:val="24"/>
          <w:szCs w:val="24"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5086350" cy="2072640"/>
            <wp:effectExtent l="0" t="0" r="0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2B2FFF" w:rsidRPr="0013367D" w:rsidRDefault="002B2FFF" w:rsidP="00C25FBE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lastRenderedPageBreak/>
        <w:t>و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ترتفع نسبة</w:t>
      </w:r>
      <w:r w:rsidR="006D5FDF" w:rsidRP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السكان النشيطين المشتغلين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المستفيدين من التغطية الصحية بارتفاع مستوى الشهادات، حيث تنتقل من 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10,7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بالنسبة للأشخاص الذين لا يتوفرون على</w:t>
      </w:r>
      <w:r w:rsidR="008A658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أية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شهادة إلى 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72,8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بالنسبة لحاملي الشهادات العليا</w:t>
      </w:r>
      <w:r w:rsidR="00074166" w:rsidRPr="0013367D">
        <w:rPr>
          <w:rStyle w:val="Appelnotedebasdep"/>
          <w:rFonts w:ascii="Simplified Arabic" w:hAnsi="Simplified Arabic" w:cs="Simplified Arabic"/>
          <w:color w:val="212121"/>
          <w:sz w:val="28"/>
          <w:szCs w:val="28"/>
          <w:rtl/>
        </w:rPr>
        <w:footnoteReference w:id="2"/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2B2FFF" w:rsidRPr="0013367D" w:rsidRDefault="002B2FFF" w:rsidP="00C25FBE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يسجل المشتغلون في قطاع "الصناعة بما في ذلك الصناعة التقليدية" أعلى </w:t>
      </w:r>
      <w:r w:rsidR="008A658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نسبة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انخراط في نظام التغطية الصحية</w:t>
      </w:r>
      <w:r w:rsidR="008A6588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المرتبط بالشغل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(%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42,2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)، يليه قطاع "الخدمات" (%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36,5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ثم قطاع "البناء والأشغال العمومية" (%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13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وقطاع "الفلاحة، الغابة والصيد" (%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4,6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).</w:t>
      </w:r>
    </w:p>
    <w:p w:rsidR="002B2FFF" w:rsidRPr="0013367D" w:rsidRDefault="002B2FFF" w:rsidP="00C25FBE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على الصعيد الوطني، يستفيد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46,1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من المستأجرين من التغطية الصحية المرتب</w:t>
      </w:r>
      <w:r w:rsidR="00AA03B5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ط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ة بالشغل،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53,4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بالوسط الحضري و%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25,1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بالوسط القروي. وتبلغ هذه النسبة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57,3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لدى النساء و%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43,3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لدى الرجال.</w:t>
      </w:r>
    </w:p>
    <w:p w:rsidR="002B2FFF" w:rsidRPr="00194038" w:rsidRDefault="002B2FFF" w:rsidP="008540A4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4"/>
          <w:szCs w:val="24"/>
          <w:rtl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يستفيد </w:t>
      </w:r>
      <w:r w:rsidR="008540A4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قرابة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نشيط مشتغل من بين كل أربعة (%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24,1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 من نظام للتقاعد،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36,3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بالوسط الحضري و%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7,1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بالوسط القروي.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ويبقى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معدل تغطية نظام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التقاعد مرتفع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ا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نسبيًا بين النساء منه بين الرجال، مسجلا على التوالي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27,5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و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23,1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. وينتقل هذا المعدل من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8,6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بالنسبة للشباب المتراوحة أعمارهم ما بين 15 و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24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 إلى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27,7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بالنسبة الأشخاص المتراوحة أعمارهم ما بين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35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و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44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سنة. كما ينتقل هذا المعدل من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9,9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بالنسبة للأشخاص</w:t>
      </w:r>
      <w:r w:rsid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</w:t>
      </w:r>
      <w:r w:rsidR="00AA03B5"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غير الحاصلين على أية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شهادة إلى %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72,4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لدى حاملي الشهادات العليا.</w:t>
      </w:r>
    </w:p>
    <w:p w:rsidR="007732B6" w:rsidRPr="00D338EC" w:rsidRDefault="007732B6" w:rsidP="008540A4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أكثر من نصف المستأجرين (%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55,2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 لا يتوفرون على عقدة عمل تنظم علاقاتهم مع مشغلهم </w:t>
      </w:r>
      <w:r w:rsidR="0013367D" w:rsidRPr="00D338EC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     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(%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</w:t>
      </w:r>
      <w:r w:rsidR="008540A4" w:rsidRPr="00D338EC">
        <w:rPr>
          <w:rFonts w:ascii="Simplified Arabic" w:hAnsi="Simplified Arabic" w:cs="Simplified Arabic"/>
          <w:color w:val="212121"/>
          <w:sz w:val="28"/>
          <w:szCs w:val="28"/>
        </w:rPr>
        <w:t>54,9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سنة 2019). وأكثر من الربع (%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26,4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يتوفرون على عقدة ذات مدة غير محدودة،</w:t>
      </w:r>
      <w:r w:rsidR="00D03A2B" w:rsidRPr="00D338EC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12,2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على عقدة ذات مدة محدودة و%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6,2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على عقد</w:t>
      </w:r>
      <w:r w:rsidR="00AA03B5" w:rsidRPr="00D338EC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ة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شفوي</w:t>
      </w:r>
      <w:r w:rsidR="00AA03B5" w:rsidRPr="00D338EC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ة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7732B6" w:rsidRDefault="007732B6" w:rsidP="00D338EC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</w:t>
      </w:r>
      <w:r w:rsidR="00D03A2B" w:rsidRPr="00D338EC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>تصل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نسبة المستأجرين الذين لا يتوفرون على عقدة عمل إلى 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43,2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النساء مقابل 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58,2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لدى الرجال. وكانت هذه النسب 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43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و%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58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سنة</w:t>
      </w:r>
      <w:r w:rsidRPr="00D338EC">
        <w:rPr>
          <w:rFonts w:ascii="Simplified Arabic" w:hAnsi="Simplified Arabic" w:cs="Simplified Arabic" w:hint="cs"/>
          <w:color w:val="212121"/>
          <w:sz w:val="28"/>
          <w:szCs w:val="28"/>
        </w:rPr>
        <w:t>2019</w:t>
      </w:r>
      <w:r w:rsidRPr="00D115CE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</w:t>
      </w:r>
      <w:r w:rsidRPr="00D115CE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13367D" w:rsidRDefault="007732B6" w:rsidP="00C25FBE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وتبقى فئتا الشباب المتراوحة أعمارهم ما بين 15و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29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سنة و الأشخاص الذين لا يتوفرون على شهادة أكثر عرضة للعمل بدون عقدة، بنسبة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62,7%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74,4%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على التوالي</w:t>
      </w:r>
    </w:p>
    <w:p w:rsidR="0013367D" w:rsidRDefault="0013367D">
      <w:pPr>
        <w:rPr>
          <w:rFonts w:ascii="Simplified Arabic" w:hAnsi="Simplified Arabic" w:cs="Simplified Arabic"/>
          <w:color w:val="212121"/>
          <w:sz w:val="28"/>
          <w:szCs w:val="28"/>
          <w:rtl/>
        </w:rPr>
      </w:pPr>
      <w:r>
        <w:rPr>
          <w:rFonts w:ascii="Simplified Arabic" w:hAnsi="Simplified Arabic" w:cs="Simplified Arabic"/>
          <w:color w:val="212121"/>
          <w:sz w:val="28"/>
          <w:szCs w:val="28"/>
          <w:rtl/>
        </w:rPr>
        <w:br w:type="page"/>
      </w:r>
    </w:p>
    <w:p w:rsidR="002B2FFF" w:rsidRPr="0013367D" w:rsidRDefault="00EA47D3" w:rsidP="00D03A2B">
      <w:pPr>
        <w:bidi/>
        <w:spacing w:before="120" w:after="120" w:line="312" w:lineRule="auto"/>
        <w:jc w:val="center"/>
        <w:rPr>
          <w:rFonts w:ascii="Simplified Arabic" w:hAnsi="Simplified Arabic" w:cs="Simplified Arabic"/>
          <w:b/>
          <w:bCs/>
          <w:color w:val="44546A" w:themeColor="text2"/>
          <w:sz w:val="28"/>
          <w:szCs w:val="28"/>
          <w:rtl/>
        </w:rPr>
      </w:pPr>
      <w:r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lastRenderedPageBreak/>
        <w:t>مبيان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>7</w:t>
      </w:r>
      <w:r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 xml:space="preserve">: </w:t>
      </w:r>
      <w:r w:rsidR="00AA03B5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  <w:lang w:bidi="tzm-Arab-MA"/>
        </w:rPr>
        <w:t>توزيع</w:t>
      </w:r>
      <w:r w:rsidR="00AA03B5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 xml:space="preserve"> المستأجر</w:t>
      </w:r>
      <w:r w:rsidR="00AA03B5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  <w:lang w:bidi="tzm-Arab-MA"/>
        </w:rPr>
        <w:t xml:space="preserve">ين </w:t>
      </w:r>
      <w:r w:rsidR="00D03A2B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  <w:lang w:bidi="tzm-Arab-MA"/>
        </w:rPr>
        <w:t xml:space="preserve">البالغين 15 سنة فأكثر </w:t>
      </w:r>
      <w:r w:rsidR="002B2FFF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>حسب الشهادة</w:t>
      </w:r>
      <w:r w:rsidR="00AA03B5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  <w:lang w:bidi="tzm-Arab-MA"/>
        </w:rPr>
        <w:t xml:space="preserve"> </w:t>
      </w:r>
      <w:r w:rsidR="002B2FFF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>ونوع عقد العمل</w:t>
      </w:r>
      <w:r w:rsidR="00AA03B5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  <w:lang w:bidi="tzm-Arab-MA"/>
        </w:rPr>
        <w:t xml:space="preserve"> </w:t>
      </w:r>
      <w:r w:rsidR="002B2FFF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>سنة</w:t>
      </w:r>
      <w:r w:rsidR="002B2FFF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</w:rPr>
        <w:t xml:space="preserve">2020 </w:t>
      </w:r>
      <w:r w:rsidR="008D2D31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>(بـ</w:t>
      </w:r>
      <w:r w:rsidR="008D2D31" w:rsidRPr="0013367D">
        <w:rPr>
          <w:rFonts w:ascii="Simplified Arabic" w:hAnsi="Simplified Arabic" w:cs="Simplified Arabic"/>
          <w:b/>
          <w:bCs/>
          <w:color w:val="44546A" w:themeColor="text2"/>
          <w:sz w:val="24"/>
          <w:szCs w:val="24"/>
        </w:rPr>
        <w:t>%</w:t>
      </w:r>
      <w:r w:rsidR="008D2D31" w:rsidRPr="0013367D">
        <w:rPr>
          <w:rFonts w:ascii="Simplified Arabic" w:hAnsi="Simplified Arabic" w:cs="Simplified Arabic" w:hint="cs"/>
          <w:b/>
          <w:bCs/>
          <w:color w:val="44546A" w:themeColor="text2"/>
          <w:sz w:val="24"/>
          <w:szCs w:val="24"/>
          <w:rtl/>
        </w:rPr>
        <w:t>)</w:t>
      </w:r>
    </w:p>
    <w:p w:rsidR="002B2FFF" w:rsidRPr="00194038" w:rsidRDefault="002B2FFF" w:rsidP="002B2FFF">
      <w:pPr>
        <w:bidi/>
        <w:spacing w:after="120"/>
        <w:jc w:val="center"/>
        <w:rPr>
          <w:rFonts w:ascii="Simplified Arabic" w:hAnsi="Simplified Arabic" w:cs="Simplified Arabic"/>
          <w:sz w:val="24"/>
          <w:szCs w:val="24"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5382895" cy="2857500"/>
            <wp:effectExtent l="0" t="0" r="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3367D" w:rsidRDefault="002B2FFF" w:rsidP="00C25FBE">
      <w:pPr>
        <w:bidi/>
        <w:spacing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  <w:lang w:bidi="tzm-Arab-MA"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يمارس حوالي </w:t>
      </w:r>
      <w:r w:rsidR="00AA03B5" w:rsidRPr="0013367D">
        <w:rPr>
          <w:rFonts w:ascii="Simplified Arabic" w:hAnsi="Simplified Arabic" w:cs="Simplified Arabic"/>
          <w:color w:val="212121"/>
          <w:sz w:val="28"/>
          <w:szCs w:val="28"/>
        </w:rPr>
        <w:t>14%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من النشيطين المشتغلين شغلا غير مؤدى عنه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ar-MA"/>
        </w:rPr>
        <w:t xml:space="preserve">. ويهم هذا النوع من الشغل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القرويين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29,9%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أكثر من القاطنين بالمدن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3,0%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)، والنساء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3</w:t>
      </w:r>
      <w:r w:rsidR="00AA03B5" w:rsidRPr="0013367D">
        <w:rPr>
          <w:rFonts w:ascii="Simplified Arabic" w:hAnsi="Simplified Arabic" w:cs="Simplified Arabic"/>
          <w:color w:val="212121"/>
          <w:sz w:val="28"/>
          <w:szCs w:val="28"/>
        </w:rPr>
        <w:t>5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أكثر</w:t>
      </w:r>
      <w:r w:rsid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من الرجال (</w:t>
      </w:r>
      <w:r w:rsidR="00AA03B5" w:rsidRPr="0013367D">
        <w:rPr>
          <w:rFonts w:ascii="Simplified Arabic" w:hAnsi="Simplified Arabic" w:cs="Simplified Arabic"/>
          <w:color w:val="212121"/>
          <w:sz w:val="28"/>
          <w:szCs w:val="28"/>
        </w:rPr>
        <w:t>8,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9%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). ويعتبر</w:t>
      </w:r>
      <w:r w:rsidR="00D03A2B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الأشخاص</w:t>
      </w:r>
      <w:r w:rsidR="00AA03B5" w:rsidRPr="0013367D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الذين</w:t>
      </w:r>
      <w:r w:rsidR="00AA03B5" w:rsidRPr="0013367D">
        <w:rPr>
          <w:rFonts w:ascii="Simplified Arabic" w:hAnsi="Simplified Arabic" w:cs="Simplified Arabic"/>
          <w:color w:val="212121"/>
          <w:sz w:val="28"/>
          <w:szCs w:val="28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لا يتوفرون على شهادة أكثر عرضة للشغل غير المؤدى عنه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18,5%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مقارنة بحاملي الشهادات المتوسطة</w:t>
      </w:r>
      <w:r w:rsidR="00D03A2B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12,5%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</w:t>
      </w:r>
      <w:r w:rsid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وحاملي الشهادات العليا</w:t>
      </w:r>
      <w:r w:rsidR="00D03A2B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2,5%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). </w:t>
      </w:r>
    </w:p>
    <w:p w:rsidR="002B2FFF" w:rsidRPr="0013367D" w:rsidRDefault="002B2FFF" w:rsidP="00C25FBE">
      <w:pPr>
        <w:bidi/>
        <w:spacing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ما يقارب نشيط مشتغل من بين كل عشرة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9,5%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 هم صدفيون أو موسميون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12,3%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بالقرى و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7,5%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 بالمدن).وكانت هذه النسب 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9,2,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11,6,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و%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7,4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سنة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2019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.</w:t>
      </w:r>
    </w:p>
    <w:p w:rsidR="002B2FFF" w:rsidRPr="0013367D" w:rsidRDefault="002B2FFF" w:rsidP="00C25FBE">
      <w:pPr>
        <w:jc w:val="right"/>
        <w:rPr>
          <w:rFonts w:ascii="Simplified Arabic" w:hAnsi="Simplified Arabic" w:cs="Simplified Arabic"/>
          <w:b/>
          <w:bCs/>
          <w:color w:val="323E4F" w:themeColor="text2" w:themeShade="BF"/>
          <w:sz w:val="28"/>
          <w:szCs w:val="28"/>
        </w:rPr>
      </w:pPr>
      <w:r w:rsidRPr="0013367D">
        <w:rPr>
          <w:rFonts w:ascii="Simplified Arabic" w:hAnsi="Simplified Arabic" w:cs="Simplified Arabic" w:hint="cs"/>
          <w:b/>
          <w:bCs/>
          <w:color w:val="323E4F" w:themeColor="text2" w:themeShade="BF"/>
          <w:sz w:val="28"/>
          <w:szCs w:val="28"/>
          <w:rtl/>
        </w:rPr>
        <w:t>انخفاض حجم ساعات العمل</w:t>
      </w:r>
    </w:p>
    <w:p w:rsidR="002B2FFF" w:rsidRPr="0013367D" w:rsidRDefault="002B2FFF" w:rsidP="00C25FBE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انخفض إجمالي عدد ساعات العمل في الأسبوع من 494 مليون ساعة في سنة 2019 إلى 394 مليون ساعة في سنة 2020، وهو ما يمثل تراجعا بنسبة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%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20 في حجم ساعات العمل. ويعادل هذا الانخفاض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2,1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مليون منصب شغل بدوام كامل</w:t>
      </w:r>
      <w:r w:rsidR="00074166" w:rsidRPr="0013367D">
        <w:rPr>
          <w:rStyle w:val="Appelnotedebasdep"/>
          <w:rFonts w:ascii="Simplified Arabic" w:hAnsi="Simplified Arabic" w:cs="Simplified Arabic"/>
          <w:color w:val="212121"/>
          <w:sz w:val="28"/>
          <w:szCs w:val="28"/>
          <w:rtl/>
        </w:rPr>
        <w:footnoteReference w:id="3"/>
      </w:r>
    </w:p>
    <w:p w:rsidR="002B2FFF" w:rsidRPr="0013367D" w:rsidRDefault="002B2FFF" w:rsidP="00D115CE">
      <w:pPr>
        <w:bidi/>
        <w:spacing w:before="120" w:after="120" w:line="247" w:lineRule="auto"/>
        <w:jc w:val="both"/>
        <w:rPr>
          <w:rFonts w:ascii="Simplified Arabic" w:hAnsi="Simplified Arabic" w:cs="Simplified Arabic"/>
          <w:color w:val="212121"/>
          <w:sz w:val="28"/>
          <w:szCs w:val="28"/>
          <w:rtl/>
        </w:rPr>
      </w:pP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وانخفض حجم ساعات العمل في الأسبوع من 300 مليون إلى 237 مليون ساعة في الوسط الحضري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-21,0%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) ومن 194 مليون إلى 157 مليون </w:t>
      </w:r>
      <w:r w:rsidR="000A0038"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ساعة بـالوسط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القروي 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-19,0%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).</w:t>
      </w:r>
      <w:r w:rsidR="00D03A2B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وكان الانخفاض النسبي في ساعات العمل في الأسبوع أعلى بين النساء</w:t>
      </w:r>
      <w:r w:rsidR="00D03A2B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 </w:t>
      </w:r>
      <w:r w:rsidR="00D115CE">
        <w:rPr>
          <w:rFonts w:ascii="Simplified Arabic" w:hAnsi="Simplified Arabic" w:cs="Simplified Arabic"/>
          <w:color w:val="212121"/>
          <w:sz w:val="28"/>
          <w:szCs w:val="28"/>
        </w:rPr>
        <w:t>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-24,4% )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من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86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مليون</w:t>
      </w:r>
      <w:r w:rsid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إلى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65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مليون</w:t>
      </w:r>
      <w:r w:rsid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ساعة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>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 منه بين الرجال</w:t>
      </w:r>
      <w:r w:rsidR="00D03A2B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</w:t>
      </w:r>
      <w:r w:rsidR="00D115CE">
        <w:rPr>
          <w:rFonts w:ascii="Simplified Arabic" w:hAnsi="Simplified Arabic" w:cs="Simplified Arabic"/>
          <w:color w:val="212121"/>
          <w:sz w:val="28"/>
          <w:szCs w:val="28"/>
          <w:lang w:bidi="tzm-Arab-MA"/>
        </w:rPr>
        <w:t>(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-19,4% )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 من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408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مليون</w:t>
      </w:r>
      <w:r w:rsid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إلى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</w:rPr>
        <w:t xml:space="preserve"> 329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مليون</w:t>
      </w:r>
      <w:r w:rsidR="0013367D">
        <w:rPr>
          <w:rFonts w:ascii="Simplified Arabic" w:hAnsi="Simplified Arabic" w:cs="Simplified Arabic" w:hint="cs"/>
          <w:color w:val="212121"/>
          <w:sz w:val="28"/>
          <w:szCs w:val="28"/>
          <w:rtl/>
          <w:lang w:bidi="tzm-Arab-MA"/>
        </w:rPr>
        <w:t xml:space="preserve">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>ساعة</w:t>
      </w:r>
      <w:r w:rsidR="00D115CE">
        <w:rPr>
          <w:rFonts w:ascii="Simplified Arabic" w:hAnsi="Simplified Arabic" w:cs="Simplified Arabic"/>
          <w:color w:val="212121"/>
          <w:sz w:val="28"/>
          <w:szCs w:val="28"/>
        </w:rPr>
        <w:t>.</w:t>
      </w:r>
    </w:p>
    <w:p w:rsidR="00C25FBE" w:rsidRDefault="00C25FBE">
      <w:pPr>
        <w:rPr>
          <w:rFonts w:ascii="Simplified Arabic" w:hAnsi="Simplified Arabic" w:cs="Simplified Arabic"/>
          <w:b/>
          <w:bCs/>
          <w:color w:val="44546A" w:themeColor="text2"/>
          <w:rtl/>
        </w:rPr>
      </w:pPr>
      <w:r>
        <w:rPr>
          <w:rFonts w:ascii="Simplified Arabic" w:hAnsi="Simplified Arabic" w:cs="Simplified Arabic"/>
          <w:b/>
          <w:bCs/>
          <w:color w:val="44546A" w:themeColor="text2"/>
          <w:rtl/>
        </w:rPr>
        <w:br w:type="page"/>
      </w:r>
    </w:p>
    <w:p w:rsidR="002B2FFF" w:rsidRPr="008D2D31" w:rsidRDefault="00194038" w:rsidP="008D2D31">
      <w:pPr>
        <w:bidi/>
        <w:spacing w:before="120" w:after="120" w:line="312" w:lineRule="auto"/>
        <w:rPr>
          <w:rFonts w:ascii="Simplified Arabic" w:hAnsi="Simplified Arabic" w:cs="Simplified Arabic"/>
          <w:b/>
          <w:bCs/>
          <w:color w:val="44546A" w:themeColor="text2"/>
        </w:rPr>
      </w:pP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lastRenderedPageBreak/>
        <w:t xml:space="preserve">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8</w:t>
      </w: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: </w:t>
      </w:r>
      <w:r w:rsidR="002B2FFF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التغيير النسبي في حجم ساعات العمل (%) حسب قطاعات النشاط الاقتصادي بين سنتي 2019 و2020</w:t>
      </w:r>
    </w:p>
    <w:p w:rsidR="002B2FFF" w:rsidRPr="00194038" w:rsidRDefault="002B2FFF" w:rsidP="002B2FFF">
      <w:pPr>
        <w:autoSpaceDE w:val="0"/>
        <w:autoSpaceDN w:val="0"/>
        <w:bidi/>
        <w:adjustRightInd w:val="0"/>
        <w:spacing w:line="360" w:lineRule="auto"/>
        <w:jc w:val="center"/>
        <w:rPr>
          <w:rFonts w:ascii="Simplified Arabic" w:hAnsi="Simplified Arabic" w:cs="Simplified Arabic"/>
          <w:sz w:val="24"/>
          <w:szCs w:val="24"/>
          <w:lang w:bidi="tzm-Arab-MA"/>
        </w:rPr>
      </w:pPr>
      <w:r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4968875" cy="2346325"/>
            <wp:effectExtent l="0" t="0" r="0" b="0"/>
            <wp:docPr id="4" name="Graphique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B2FFF" w:rsidRPr="0013367D" w:rsidRDefault="002B2FFF" w:rsidP="00C25FBE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lang w:bidi="tzm-Arab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وهم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هذا الانخفاض جميع القطاعات، 49 مليون ساعة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بقطاع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"الخدمات" 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-20,4%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)، 24 مليون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بقطاع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"الفلاحة والغابات والصيد" 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-17%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)، 14 مليون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بقطاع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"الصناعة بما في ذلك الصناعة التقليدية"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  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(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-22,3%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)، و14 مليون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بقطاع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"البناء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والأشغال العمومية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" ( </w:t>
      </w:r>
      <w:r w:rsidRPr="0013367D">
        <w:rPr>
          <w:rFonts w:ascii="Simplified Arabic" w:hAnsi="Simplified Arabic" w:cs="Simplified Arabic" w:hint="cs"/>
          <w:sz w:val="28"/>
          <w:szCs w:val="28"/>
          <w:lang w:bidi="tzm-Arab-MA"/>
        </w:rPr>
        <w:t>-25,4%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).</w:t>
      </w:r>
    </w:p>
    <w:p w:rsidR="002B2FFF" w:rsidRPr="0013367D" w:rsidRDefault="002B2FFF" w:rsidP="00C25FBE">
      <w:pPr>
        <w:autoSpaceDE w:val="0"/>
        <w:autoSpaceDN w:val="0"/>
        <w:bidi/>
        <w:adjustRightInd w:val="0"/>
        <w:spacing w:before="120" w:after="120" w:line="247" w:lineRule="auto"/>
        <w:jc w:val="both"/>
        <w:rPr>
          <w:rFonts w:ascii="Simplified Arabic" w:hAnsi="Simplified Arabic" w:cs="Simplified Arabic"/>
          <w:sz w:val="28"/>
          <w:szCs w:val="28"/>
          <w:lang w:bidi="ar-MA"/>
        </w:rPr>
      </w:pP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انخفض عدد ساعات العمل في الأسبوع لجميع ال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>فئات العمرية خلال الفترة ، ولكن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 xml:space="preserve"> كان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أكبر انخفاض نسبي بين الشباب الذين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تراوح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سنهم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بين 15 و 24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سنة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(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-29%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). يبلغ هذا الانخفاض نسبة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21,9%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لمن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تراوح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سنهم</w:t>
      </w:r>
      <w:r w:rsidR="00D03A2B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بين 25 و 34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سنة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، و 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>19%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تراوح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سنهم</w:t>
      </w:r>
      <w:r w:rsidR="00D03A2B"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بين 35 و 44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سنة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</w:t>
      </w:r>
      <w:r w:rsidRPr="0013367D">
        <w:rPr>
          <w:rFonts w:ascii="Simplified Arabic" w:hAnsi="Simplified Arabic" w:cs="Simplified Arabic" w:hint="cs"/>
          <w:sz w:val="28"/>
          <w:szCs w:val="28"/>
          <w:lang w:bidi="ar-MA"/>
        </w:rPr>
        <w:t xml:space="preserve"> 17.7%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لمن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ي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تراوح </w:t>
      </w:r>
      <w:r w:rsidR="00D03A2B">
        <w:rPr>
          <w:rFonts w:ascii="Simplified Arabic" w:hAnsi="Simplified Arabic" w:cs="Simplified Arabic" w:hint="cs"/>
          <w:sz w:val="28"/>
          <w:szCs w:val="28"/>
          <w:rtl/>
          <w:lang w:bidi="tzm-Arab-MA"/>
        </w:rPr>
        <w:t>سنهم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 xml:space="preserve"> 45 </w:t>
      </w:r>
      <w:r w:rsidRPr="0013367D">
        <w:rPr>
          <w:rFonts w:ascii="Simplified Arabic" w:hAnsi="Simplified Arabic" w:cs="Simplified Arabic" w:hint="cs"/>
          <w:color w:val="212121"/>
          <w:sz w:val="28"/>
          <w:szCs w:val="28"/>
          <w:rtl/>
        </w:rPr>
        <w:t xml:space="preserve">سنة </w:t>
      </w:r>
      <w:r w:rsidRPr="0013367D">
        <w:rPr>
          <w:rFonts w:ascii="Simplified Arabic" w:hAnsi="Simplified Arabic" w:cs="Simplified Arabic" w:hint="cs"/>
          <w:sz w:val="28"/>
          <w:szCs w:val="28"/>
          <w:rtl/>
          <w:lang w:bidi="ar-MA"/>
        </w:rPr>
        <w:t>وأكثر.</w:t>
      </w:r>
    </w:p>
    <w:p w:rsidR="002B2FFF" w:rsidRPr="00194038" w:rsidRDefault="00194038" w:rsidP="002B2FFF">
      <w:pPr>
        <w:autoSpaceDE w:val="0"/>
        <w:autoSpaceDN w:val="0"/>
        <w:bidi/>
        <w:adjustRightInd w:val="0"/>
        <w:spacing w:line="360" w:lineRule="auto"/>
        <w:jc w:val="center"/>
        <w:rPr>
          <w:rFonts w:ascii="Simplified Arabic" w:hAnsi="Simplified Arabic" w:cs="Simplified Arabic"/>
          <w:sz w:val="24"/>
          <w:szCs w:val="24"/>
          <w:lang w:bidi="ar-MA"/>
        </w:rPr>
      </w:pP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مبيان </w:t>
      </w:r>
      <w:r w:rsidR="00C55681">
        <w:rPr>
          <w:rFonts w:ascii="Simplified Arabic" w:hAnsi="Simplified Arabic" w:cs="Simplified Arabic" w:hint="cs"/>
          <w:b/>
          <w:bCs/>
          <w:color w:val="44546A" w:themeColor="text2"/>
          <w:rtl/>
        </w:rPr>
        <w:t>9</w:t>
      </w:r>
      <w:r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 xml:space="preserve"> :</w:t>
      </w:r>
      <w:r w:rsidR="002B2FFF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التغير النسبي في حجم ساعات العمل (</w:t>
      </w:r>
      <w:r w:rsidR="002B2FFF" w:rsidRPr="008D2D31">
        <w:rPr>
          <w:rFonts w:ascii="Simplified Arabic" w:hAnsi="Simplified Arabic" w:cs="Simplified Arabic" w:hint="cs"/>
          <w:b/>
          <w:bCs/>
          <w:color w:val="44546A" w:themeColor="text2"/>
        </w:rPr>
        <w:t>%</w:t>
      </w:r>
      <w:r w:rsidR="002B2FFF" w:rsidRPr="008D2D31">
        <w:rPr>
          <w:rFonts w:ascii="Simplified Arabic" w:hAnsi="Simplified Arabic" w:cs="Simplified Arabic" w:hint="cs"/>
          <w:b/>
          <w:bCs/>
          <w:color w:val="44546A" w:themeColor="text2"/>
          <w:rtl/>
        </w:rPr>
        <w:t>) حسب السن بين سنتي 2019 و2020</w:t>
      </w:r>
      <w:r w:rsidR="002B2FFF" w:rsidRPr="00194038">
        <w:rPr>
          <w:rFonts w:ascii="Simplified Arabic" w:hAnsi="Simplified Arabic" w:cs="Simplified Arabic" w:hint="cs"/>
          <w:noProof/>
          <w:sz w:val="24"/>
          <w:szCs w:val="24"/>
          <w:lang w:eastAsia="fr-FR"/>
        </w:rPr>
        <w:drawing>
          <wp:inline distT="0" distB="0" distL="0" distR="0">
            <wp:extent cx="4968875" cy="2795270"/>
            <wp:effectExtent l="0" t="0" r="0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81A8C" w:rsidRPr="00194038" w:rsidRDefault="00181A8C" w:rsidP="00C25FBE">
      <w:pPr>
        <w:autoSpaceDE w:val="0"/>
        <w:autoSpaceDN w:val="0"/>
        <w:bidi/>
        <w:adjustRightInd w:val="0"/>
        <w:spacing w:line="360" w:lineRule="auto"/>
        <w:jc w:val="center"/>
        <w:rPr>
          <w:rFonts w:ascii="Simplified Arabic" w:hAnsi="Simplified Arabic" w:cs="Simplified Arabic"/>
          <w:sz w:val="24"/>
          <w:szCs w:val="24"/>
          <w:rtl/>
        </w:rPr>
      </w:pPr>
    </w:p>
    <w:sectPr w:rsidR="00181A8C" w:rsidRPr="00194038" w:rsidSect="00812EED">
      <w:footerReference w:type="default" r:id="rId16"/>
      <w:headerReference w:type="first" r:id="rId1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762" w:rsidRDefault="00D05762" w:rsidP="00181A8C">
      <w:pPr>
        <w:spacing w:after="0" w:line="240" w:lineRule="auto"/>
      </w:pPr>
      <w:r>
        <w:separator/>
      </w:r>
    </w:p>
  </w:endnote>
  <w:endnote w:type="continuationSeparator" w:id="0">
    <w:p w:rsidR="00D05762" w:rsidRDefault="00D05762" w:rsidP="0018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39891058"/>
      <w:docPartObj>
        <w:docPartGallery w:val="Page Numbers (Bottom of Page)"/>
        <w:docPartUnique/>
      </w:docPartObj>
    </w:sdtPr>
    <w:sdtContent>
      <w:p w:rsidR="00D03A2B" w:rsidRDefault="00643AF9">
        <w:pPr>
          <w:pStyle w:val="Pieddepage"/>
          <w:jc w:val="center"/>
        </w:pPr>
        <w:r>
          <w:fldChar w:fldCharType="begin"/>
        </w:r>
        <w:r w:rsidR="003F267E">
          <w:instrText>PAGE   \* MERGEFORMAT</w:instrText>
        </w:r>
        <w:r>
          <w:fldChar w:fldCharType="separate"/>
        </w:r>
        <w:r w:rsidR="00F32AE7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03A2B" w:rsidRDefault="00D03A2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762" w:rsidRDefault="00D05762" w:rsidP="00181A8C">
      <w:pPr>
        <w:spacing w:after="0" w:line="240" w:lineRule="auto"/>
      </w:pPr>
      <w:r>
        <w:separator/>
      </w:r>
    </w:p>
  </w:footnote>
  <w:footnote w:type="continuationSeparator" w:id="0">
    <w:p w:rsidR="00D05762" w:rsidRDefault="00D05762" w:rsidP="00181A8C">
      <w:pPr>
        <w:spacing w:after="0" w:line="240" w:lineRule="auto"/>
      </w:pPr>
      <w:r>
        <w:continuationSeparator/>
      </w:r>
    </w:p>
  </w:footnote>
  <w:footnote w:id="1">
    <w:p w:rsidR="00D03A2B" w:rsidRPr="006D5FDF" w:rsidRDefault="00D03A2B" w:rsidP="00AF53C3">
      <w:pPr>
        <w:pStyle w:val="Notedebasdepage"/>
        <w:bidi/>
        <w:jc w:val="both"/>
        <w:rPr>
          <w:rFonts w:ascii="Simplified Arabic" w:hAnsi="Simplified Arabic" w:cs="Simplified Arabic"/>
          <w:b/>
          <w:bCs/>
          <w:sz w:val="16"/>
          <w:szCs w:val="16"/>
          <w:rtl/>
          <w:lang w:bidi="ar-MA"/>
        </w:rPr>
      </w:pPr>
      <w:r w:rsidRPr="006D5FDF">
        <w:rPr>
          <w:rStyle w:val="Appelnotedebasdep"/>
          <w:rFonts w:ascii="Simplified Arabic" w:hAnsi="Simplified Arabic" w:cs="Simplified Arabic" w:hint="cs"/>
          <w:b/>
          <w:bCs/>
          <w:sz w:val="16"/>
          <w:szCs w:val="16"/>
        </w:rPr>
        <w:footnoteRef/>
      </w:r>
      <w:r w:rsidRPr="006D5FDF">
        <w:rPr>
          <w:rFonts w:ascii="Simplified Arabic" w:hAnsi="Simplified Arabic" w:cs="Simplified Arabic" w:hint="cs"/>
          <w:b/>
          <w:bCs/>
          <w:sz w:val="16"/>
          <w:szCs w:val="16"/>
          <w:rtl/>
          <w:lang w:bidi="ar-MA"/>
        </w:rPr>
        <w:t xml:space="preserve"> </w:t>
      </w:r>
      <w:r w:rsidRPr="00D47DB7">
        <w:rPr>
          <w:rFonts w:ascii="Simplified Arabic" w:hAnsi="Simplified Arabic" w:cs="Simplified Arabic" w:hint="cs"/>
          <w:sz w:val="16"/>
          <w:szCs w:val="16"/>
          <w:rtl/>
          <w:lang w:bidi="ar-MA"/>
        </w:rPr>
        <w:t xml:space="preserve">الفرق مقارنة مع الحجم الإجمالي للشغل،   </w:t>
      </w:r>
      <w:r w:rsidRPr="00D47DB7">
        <w:rPr>
          <w:rFonts w:ascii="Simplified Arabic" w:hAnsi="Simplified Arabic" w:cs="Simplified Arabic" w:hint="cs"/>
          <w:color w:val="212121"/>
          <w:sz w:val="16"/>
          <w:szCs w:val="16"/>
          <w:lang w:bidi="ar-MA"/>
        </w:rPr>
        <w:t>0,1%</w:t>
      </w:r>
      <w:r w:rsidRPr="00D47DB7">
        <w:rPr>
          <w:rFonts w:ascii="Simplified Arabic" w:hAnsi="Simplified Arabic" w:cs="Simplified Arabic" w:hint="cs"/>
          <w:color w:val="212121"/>
          <w:sz w:val="16"/>
          <w:szCs w:val="16"/>
          <w:rtl/>
          <w:lang w:bidi="ar-MA"/>
        </w:rPr>
        <w:t xml:space="preserve"> من النشيطين المشتغلتين، يهم الأنشطة المبهمة.</w:t>
      </w:r>
    </w:p>
    <w:p w:rsidR="00D03A2B" w:rsidRPr="00AF53C3" w:rsidRDefault="00D03A2B" w:rsidP="00AF53C3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22"/>
          <w:szCs w:val="22"/>
          <w:rtl/>
          <w:lang w:bidi="ar-MA"/>
        </w:rPr>
      </w:pPr>
    </w:p>
    <w:p w:rsidR="00D03A2B" w:rsidRPr="00AF53C3" w:rsidRDefault="00D03A2B" w:rsidP="00AF53C3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22"/>
          <w:szCs w:val="22"/>
          <w:lang w:bidi="ar-MA"/>
        </w:rPr>
      </w:pPr>
    </w:p>
  </w:footnote>
  <w:footnote w:id="2">
    <w:p w:rsidR="00D03A2B" w:rsidRPr="00AF53C3" w:rsidRDefault="00D03A2B" w:rsidP="00AF53C3">
      <w:pPr>
        <w:pStyle w:val="Notedebasdepage"/>
        <w:bidi/>
        <w:jc w:val="left"/>
        <w:rPr>
          <w:rFonts w:ascii="Simplified Arabic" w:hAnsi="Simplified Arabic" w:cs="Simplified Arabic"/>
          <w:b/>
          <w:bCs/>
          <w:sz w:val="22"/>
          <w:szCs w:val="22"/>
          <w:rtl/>
        </w:rPr>
      </w:pPr>
      <w:r w:rsidRPr="00AF53C3">
        <w:rPr>
          <w:rStyle w:val="Appelnotedebasdep"/>
          <w:rFonts w:ascii="Simplified Arabic" w:hAnsi="Simplified Arabic" w:cs="Simplified Arabic" w:hint="cs"/>
          <w:b/>
          <w:bCs/>
          <w:sz w:val="22"/>
          <w:szCs w:val="22"/>
        </w:rPr>
        <w:footnoteRef/>
      </w:r>
      <w:r w:rsidRPr="00D03A2B">
        <w:rPr>
          <w:rFonts w:ascii="Simplified Arabic" w:hAnsi="Simplified Arabic" w:cs="Simplified Arabic" w:hint="cs"/>
          <w:rtl/>
        </w:rPr>
        <w:t>الشهادات العليا تشمل البكالوريا أو شهادة تقني أو تقني متخصص وشهادات التعليم العالي(الكليات والمدارس والمعاهد الكبرى)</w:t>
      </w:r>
    </w:p>
  </w:footnote>
  <w:footnote w:id="3">
    <w:p w:rsidR="00D03A2B" w:rsidRPr="00D03A2B" w:rsidRDefault="00D03A2B" w:rsidP="00AF53C3">
      <w:pPr>
        <w:pStyle w:val="Notedebasdepage"/>
        <w:bidi/>
        <w:jc w:val="both"/>
        <w:rPr>
          <w:rFonts w:ascii="Simplified Arabic" w:hAnsi="Simplified Arabic" w:cs="Simplified Arabic"/>
          <w:sz w:val="22"/>
          <w:szCs w:val="22"/>
          <w:rtl/>
        </w:rPr>
      </w:pPr>
      <w:r w:rsidRPr="00D03A2B">
        <w:rPr>
          <w:rStyle w:val="Appelnotedebasdep"/>
          <w:rFonts w:ascii="Simplified Arabic" w:hAnsi="Simplified Arabic" w:cs="Simplified Arabic" w:hint="cs"/>
          <w:sz w:val="22"/>
          <w:szCs w:val="22"/>
        </w:rPr>
        <w:footnoteRef/>
      </w:r>
      <w:r w:rsidRPr="00D03A2B">
        <w:rPr>
          <w:rFonts w:ascii="Simplified Arabic" w:hAnsi="Simplified Arabic" w:cs="Simplified Arabic" w:hint="cs"/>
          <w:color w:val="333333"/>
          <w:sz w:val="18"/>
          <w:szCs w:val="18"/>
          <w:rtl/>
        </w:rPr>
        <w:t>باعتبار الشغل بدوام كامل يوافق العمل لمدة 48 ساعة في الأسبوع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2EED" w:rsidRDefault="00812EED" w:rsidP="00F32AE7">
    <w:pPr>
      <w:pStyle w:val="En-tte"/>
      <w:jc w:val="center"/>
    </w:pPr>
    <w:r w:rsidRPr="00812EED">
      <w:drawing>
        <wp:inline distT="0" distB="0" distL="0" distR="0">
          <wp:extent cx="1449705" cy="1261745"/>
          <wp:effectExtent l="19050" t="0" r="0" b="0"/>
          <wp:docPr id="12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15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xmlns:lc="http://schemas.openxmlformats.org/drawingml/2006/lockedCanvas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640F"/>
    <w:rsid w:val="000322D0"/>
    <w:rsid w:val="000673A8"/>
    <w:rsid w:val="00074166"/>
    <w:rsid w:val="000A0038"/>
    <w:rsid w:val="000B1701"/>
    <w:rsid w:val="000D2AE8"/>
    <w:rsid w:val="0013367D"/>
    <w:rsid w:val="00181A8C"/>
    <w:rsid w:val="00194038"/>
    <w:rsid w:val="002204F2"/>
    <w:rsid w:val="002B2FFF"/>
    <w:rsid w:val="00316F12"/>
    <w:rsid w:val="003365F3"/>
    <w:rsid w:val="003707FB"/>
    <w:rsid w:val="003F267E"/>
    <w:rsid w:val="00432512"/>
    <w:rsid w:val="00625645"/>
    <w:rsid w:val="00643AF9"/>
    <w:rsid w:val="006974BD"/>
    <w:rsid w:val="006B65A4"/>
    <w:rsid w:val="006C0330"/>
    <w:rsid w:val="006C3ED6"/>
    <w:rsid w:val="006D5FDF"/>
    <w:rsid w:val="006F3DDB"/>
    <w:rsid w:val="007004B7"/>
    <w:rsid w:val="00713091"/>
    <w:rsid w:val="00755419"/>
    <w:rsid w:val="007732B6"/>
    <w:rsid w:val="007978D0"/>
    <w:rsid w:val="007E17AB"/>
    <w:rsid w:val="00812EED"/>
    <w:rsid w:val="00822B27"/>
    <w:rsid w:val="008540A4"/>
    <w:rsid w:val="00862859"/>
    <w:rsid w:val="008660E6"/>
    <w:rsid w:val="008A6588"/>
    <w:rsid w:val="008D2D31"/>
    <w:rsid w:val="00927BDF"/>
    <w:rsid w:val="009370F1"/>
    <w:rsid w:val="00946422"/>
    <w:rsid w:val="00AA03B5"/>
    <w:rsid w:val="00AF53C3"/>
    <w:rsid w:val="00B11AED"/>
    <w:rsid w:val="00B13F4F"/>
    <w:rsid w:val="00B7640F"/>
    <w:rsid w:val="00BF1288"/>
    <w:rsid w:val="00C14AFB"/>
    <w:rsid w:val="00C25FBE"/>
    <w:rsid w:val="00C55681"/>
    <w:rsid w:val="00CC530F"/>
    <w:rsid w:val="00D03A2B"/>
    <w:rsid w:val="00D05762"/>
    <w:rsid w:val="00D1066E"/>
    <w:rsid w:val="00D115CE"/>
    <w:rsid w:val="00D27CE3"/>
    <w:rsid w:val="00D338EC"/>
    <w:rsid w:val="00D47DB7"/>
    <w:rsid w:val="00D644D4"/>
    <w:rsid w:val="00E134AB"/>
    <w:rsid w:val="00EA47D3"/>
    <w:rsid w:val="00EA4A18"/>
    <w:rsid w:val="00F32AE7"/>
    <w:rsid w:val="00F51665"/>
    <w:rsid w:val="00F62E1A"/>
    <w:rsid w:val="00F777CC"/>
    <w:rsid w:val="00F834F7"/>
    <w:rsid w:val="00FF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53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annexe">
    <w:name w:val="tableau annexe"/>
    <w:basedOn w:val="Normal"/>
    <w:qFormat/>
    <w:rsid w:val="002204F2"/>
    <w:pPr>
      <w:bidi/>
      <w:spacing w:before="240" w:after="200" w:line="276" w:lineRule="auto"/>
      <w:contextualSpacing/>
      <w:jc w:val="center"/>
    </w:pPr>
    <w:rPr>
      <w:rFonts w:asciiTheme="majorBidi" w:hAnsiTheme="majorBidi" w:cstheme="majorBidi"/>
      <w:b/>
      <w:bCs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rsid w:val="00181A8C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81A8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rsid w:val="00181A8C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0D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2AE8"/>
  </w:style>
  <w:style w:type="paragraph" w:styleId="Pieddepage">
    <w:name w:val="footer"/>
    <w:basedOn w:val="Normal"/>
    <w:link w:val="PieddepageCar"/>
    <w:uiPriority w:val="99"/>
    <w:unhideWhenUsed/>
    <w:rsid w:val="000D2A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2AE8"/>
  </w:style>
  <w:style w:type="paragraph" w:styleId="Textedebulles">
    <w:name w:val="Balloon Text"/>
    <w:basedOn w:val="Normal"/>
    <w:link w:val="TextedebullesCar"/>
    <w:uiPriority w:val="99"/>
    <w:semiHidden/>
    <w:unhideWhenUsed/>
    <w:rsid w:val="00B11A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1A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chart" Target="charts/chart9.xml"/><Relationship Id="rId10" Type="http://schemas.openxmlformats.org/officeDocument/2006/relationships/chart" Target="charts/chart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chart" Target="charts/chart8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iques_AO_Note2020_120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iques_AO_Note2020_1202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2019-2020%20-%20Note%20sur%20les%20chiffres%20cl&#233;s%20-%20Tabulation%20%232%20-19012021%20(2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wnloads\Graphiques_AO_Note2020_1202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O_Note2020_1202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O_Note2020_1202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Kamel\ENE\NoteMarcheTravail\2020\Annuelle\Graphiques_ActiviteEmploi_Note2020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Graphiques_AR!$A$52</c:f>
              <c:strCache>
                <c:ptCount val="1"/>
                <c:pt idx="0">
                  <c:v>التغيير المطلق 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Graphiques_AR!$B$51:$E$51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Graphiques_AR!$B$52:$E$52</c:f>
              <c:numCache>
                <c:formatCode>General</c:formatCode>
                <c:ptCount val="4"/>
                <c:pt idx="0">
                  <c:v>86000</c:v>
                </c:pt>
                <c:pt idx="1">
                  <c:v>111000</c:v>
                </c:pt>
                <c:pt idx="2">
                  <c:v>165000</c:v>
                </c:pt>
                <c:pt idx="3">
                  <c:v>-432000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04-4DB7-8A0B-C7D4BFEA55E7}"/>
            </c:ext>
          </c:extLst>
        </c:ser>
        <c:gapWidth val="219"/>
        <c:axId val="80591488"/>
        <c:axId val="80510336"/>
      </c:barChart>
      <c:lineChart>
        <c:grouping val="standard"/>
        <c:ser>
          <c:idx val="1"/>
          <c:order val="1"/>
          <c:tx>
            <c:strRef>
              <c:f>Graphiques_AR!$A$53</c:f>
              <c:strCache>
                <c:ptCount val="1"/>
                <c:pt idx="0">
                  <c:v>التغيير النسبي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Graphiques_AR!$B$51:$E$51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Graphiques_AR!$B$53:$E$53</c:f>
              <c:numCache>
                <c:formatCode>0.0</c:formatCode>
                <c:ptCount val="4"/>
                <c:pt idx="0">
                  <c:v>0.8</c:v>
                </c:pt>
                <c:pt idx="1">
                  <c:v>1.0468268062435742</c:v>
                </c:pt>
                <c:pt idx="2">
                  <c:v>1.5263644773357998</c:v>
                </c:pt>
                <c:pt idx="3">
                  <c:v>-3.9453302961275662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04-4DB7-8A0B-C7D4BFEA55E7}"/>
            </c:ext>
          </c:extLst>
        </c:ser>
        <c:marker val="1"/>
        <c:axId val="86963328"/>
        <c:axId val="85450752"/>
      </c:lineChart>
      <c:valAx>
        <c:axId val="80510336"/>
        <c:scaling>
          <c:orientation val="minMax"/>
        </c:scaling>
        <c:axPos val="r"/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591488"/>
        <c:crosses val="max"/>
        <c:crossBetween val="between"/>
      </c:valAx>
      <c:catAx>
        <c:axId val="80591488"/>
        <c:scaling>
          <c:orientation val="minMax"/>
        </c:scaling>
        <c:axPos val="b"/>
        <c:numFmt formatCode="General" sourceLinked="1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0510336"/>
        <c:crosses val="autoZero"/>
        <c:auto val="1"/>
        <c:lblAlgn val="ctr"/>
        <c:lblOffset val="100"/>
      </c:catAx>
      <c:valAx>
        <c:axId val="85450752"/>
        <c:scaling>
          <c:orientation val="minMax"/>
        </c:scaling>
        <c:axPos val="l"/>
        <c:numFmt formatCode="0.0" sourceLinked="1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86963328"/>
        <c:crosses val="autoZero"/>
        <c:crossBetween val="between"/>
      </c:valAx>
      <c:catAx>
        <c:axId val="86963328"/>
        <c:scaling>
          <c:orientation val="minMax"/>
        </c:scaling>
        <c:delete val="1"/>
        <c:axPos val="b"/>
        <c:numFmt formatCode="General" sourceLinked="1"/>
        <c:tickLblPos val="none"/>
        <c:crossAx val="85450752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0.93888888888888999"/>
          <c:h val="0.74772797890158005"/>
        </c:manualLayout>
      </c:layout>
      <c:lineChart>
        <c:grouping val="standard"/>
        <c:ser>
          <c:idx val="0"/>
          <c:order val="0"/>
          <c:tx>
            <c:strRef>
              <c:f>Feuil1!$H$3</c:f>
              <c:strCache>
                <c:ptCount val="1"/>
                <c:pt idx="0">
                  <c:v>حضري</c:v>
                </c:pt>
              </c:strCache>
            </c:strRef>
          </c:tx>
          <c:spPr>
            <a:ln w="19050" cap="rnd" cmpd="sng" algn="ctr">
              <a:solidFill>
                <a:schemeClr val="accent1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Feuil1!$I$2:$L$2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Feuil1!$I$3:$L$3</c:f>
              <c:numCache>
                <c:formatCode>General</c:formatCode>
                <c:ptCount val="4"/>
                <c:pt idx="0">
                  <c:v>36.1</c:v>
                </c:pt>
                <c:pt idx="1">
                  <c:v>36.200000000000003</c:v>
                </c:pt>
                <c:pt idx="2">
                  <c:v>36.9</c:v>
                </c:pt>
                <c:pt idx="3">
                  <c:v>35.300000000000004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776-492F-8495-11D3E1ACE82D}"/>
            </c:ext>
          </c:extLst>
        </c:ser>
        <c:ser>
          <c:idx val="1"/>
          <c:order val="1"/>
          <c:tx>
            <c:strRef>
              <c:f>Feuil1!$H$4</c:f>
              <c:strCache>
                <c:ptCount val="1"/>
                <c:pt idx="0">
                  <c:v>قروي</c:v>
                </c:pt>
              </c:strCache>
            </c:strRef>
          </c:tx>
          <c:spPr>
            <a:ln w="19050" cap="rnd" cmpd="sng" algn="ctr">
              <a:solidFill>
                <a:schemeClr val="accent2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Feuil1!$I$2:$L$2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Feuil1!$I$4:$L$4</c:f>
              <c:numCache>
                <c:formatCode>General</c:formatCode>
                <c:ptCount val="4"/>
                <c:pt idx="0">
                  <c:v>52</c:v>
                </c:pt>
                <c:pt idx="1">
                  <c:v>51.3</c:v>
                </c:pt>
                <c:pt idx="2">
                  <c:v>50.3</c:v>
                </c:pt>
                <c:pt idx="3">
                  <c:v>47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776-492F-8495-11D3E1ACE82D}"/>
            </c:ext>
          </c:extLst>
        </c:ser>
        <c:ser>
          <c:idx val="2"/>
          <c:order val="2"/>
          <c:tx>
            <c:strRef>
              <c:f>Feuil1!$H$5</c:f>
              <c:strCache>
                <c:ptCount val="1"/>
                <c:pt idx="0">
                  <c:v>وطني</c:v>
                </c:pt>
              </c:strCache>
            </c:strRef>
          </c:tx>
          <c:spPr>
            <a:ln w="19050" cap="rnd" cmpd="sng" algn="ctr">
              <a:solidFill>
                <a:schemeClr val="accent3">
                  <a:shade val="95000"/>
                  <a:satMod val="105000"/>
                </a:schemeClr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l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accent3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ctr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Feuil1!$I$2:$L$2</c:f>
              <c:numCache>
                <c:formatCode>General</c:formatCode>
                <c:ptCount val="4"/>
                <c:pt idx="0">
                  <c:v>2017</c:v>
                </c:pt>
                <c:pt idx="1">
                  <c:v>2018</c:v>
                </c:pt>
                <c:pt idx="2">
                  <c:v>2019</c:v>
                </c:pt>
                <c:pt idx="3">
                  <c:v>2020</c:v>
                </c:pt>
              </c:numCache>
            </c:numRef>
          </c:cat>
          <c:val>
            <c:numRef>
              <c:f>Feuil1!$I$5:$L$5</c:f>
              <c:numCache>
                <c:formatCode>General</c:formatCode>
                <c:ptCount val="4"/>
                <c:pt idx="0">
                  <c:v>41.9</c:v>
                </c:pt>
                <c:pt idx="1">
                  <c:v>41.7</c:v>
                </c:pt>
                <c:pt idx="2">
                  <c:v>41.6</c:v>
                </c:pt>
                <c:pt idx="3">
                  <c:v>39.4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776-492F-8495-11D3E1ACE82D}"/>
            </c:ext>
          </c:extLst>
        </c:ser>
        <c:dLbls>
          <c:showVal val="1"/>
        </c:dLbls>
        <c:marker val="1"/>
        <c:axId val="94602752"/>
        <c:axId val="94604672"/>
      </c:lineChart>
      <c:catAx>
        <c:axId val="9460275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94604672"/>
        <c:crosses val="autoZero"/>
        <c:auto val="1"/>
        <c:lblAlgn val="ctr"/>
        <c:lblOffset val="100"/>
      </c:catAx>
      <c:valAx>
        <c:axId val="94604672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946027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3172083262199331"/>
          <c:y val="0.87215819613457635"/>
          <c:w val="0.32386647068376218"/>
          <c:h val="0.1278418038654262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Graphiques!$A$37</c:f>
              <c:strCache>
                <c:ptCount val="1"/>
                <c:pt idx="0">
                  <c:v>15-29 سنة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Graphiques!$B$36:$D$36</c:f>
              <c:strCache>
                <c:ptCount val="3"/>
                <c:pt idx="0">
                  <c:v>حضري </c:v>
                </c:pt>
                <c:pt idx="1">
                  <c:v>قروي </c:v>
                </c:pt>
                <c:pt idx="2">
                  <c:v>المجموع</c:v>
                </c:pt>
              </c:strCache>
            </c:strRef>
          </c:cat>
          <c:val>
            <c:numRef>
              <c:f>Graphiques!$B$37:$D$37</c:f>
              <c:numCache>
                <c:formatCode>###0.0</c:formatCode>
                <c:ptCount val="3"/>
                <c:pt idx="0">
                  <c:v>21.57591536065723</c:v>
                </c:pt>
                <c:pt idx="1">
                  <c:v>31.752039491717323</c:v>
                </c:pt>
                <c:pt idx="2">
                  <c:v>25.401812609861224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FD3-4D48-8A4E-3CF6E3C9FB24}"/>
            </c:ext>
          </c:extLst>
        </c:ser>
        <c:ser>
          <c:idx val="1"/>
          <c:order val="1"/>
          <c:tx>
            <c:strRef>
              <c:f>Graphiques!$A$38</c:f>
              <c:strCache>
                <c:ptCount val="1"/>
                <c:pt idx="0">
                  <c:v>30-44 سنة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Graphiques!$B$36:$D$36</c:f>
              <c:strCache>
                <c:ptCount val="3"/>
                <c:pt idx="0">
                  <c:v>حضري </c:v>
                </c:pt>
                <c:pt idx="1">
                  <c:v>قروي </c:v>
                </c:pt>
                <c:pt idx="2">
                  <c:v>المجموع</c:v>
                </c:pt>
              </c:strCache>
            </c:strRef>
          </c:cat>
          <c:val>
            <c:numRef>
              <c:f>Graphiques!$B$38:$D$38</c:f>
              <c:numCache>
                <c:formatCode>###0.0</c:formatCode>
                <c:ptCount val="3"/>
                <c:pt idx="0">
                  <c:v>50.998024266664324</c:v>
                </c:pt>
                <c:pt idx="1">
                  <c:v>61.355879013009975</c:v>
                </c:pt>
                <c:pt idx="2">
                  <c:v>54.445407577693537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FD3-4D48-8A4E-3CF6E3C9FB24}"/>
            </c:ext>
          </c:extLst>
        </c:ser>
        <c:ser>
          <c:idx val="2"/>
          <c:order val="2"/>
          <c:tx>
            <c:strRef>
              <c:f>Graphiques!$A$39</c:f>
              <c:strCache>
                <c:ptCount val="1"/>
                <c:pt idx="0">
                  <c:v>45 سنة أو أكثر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Graphiques!$B$36:$D$36</c:f>
              <c:strCache>
                <c:ptCount val="3"/>
                <c:pt idx="0">
                  <c:v>حضري </c:v>
                </c:pt>
                <c:pt idx="1">
                  <c:v>قروي </c:v>
                </c:pt>
                <c:pt idx="2">
                  <c:v>المجموع</c:v>
                </c:pt>
              </c:strCache>
            </c:strRef>
          </c:cat>
          <c:val>
            <c:numRef>
              <c:f>Graphiques!$B$39:$D$39</c:f>
              <c:numCache>
                <c:formatCode>###0.0</c:formatCode>
                <c:ptCount val="3"/>
                <c:pt idx="0">
                  <c:v>34.358660574393227</c:v>
                </c:pt>
                <c:pt idx="1">
                  <c:v>50.937175683462975</c:v>
                </c:pt>
                <c:pt idx="2">
                  <c:v>40.000002442309132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FD3-4D48-8A4E-3CF6E3C9FB24}"/>
            </c:ext>
          </c:extLst>
        </c:ser>
        <c:gapWidth val="219"/>
        <c:overlap val="-27"/>
        <c:axId val="104766848"/>
        <c:axId val="104803712"/>
      </c:barChart>
      <c:catAx>
        <c:axId val="10476684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4803712"/>
        <c:crosses val="autoZero"/>
        <c:auto val="1"/>
        <c:lblAlgn val="ctr"/>
        <c:lblOffset val="100"/>
      </c:catAx>
      <c:valAx>
        <c:axId val="104803712"/>
        <c:scaling>
          <c:orientation val="minMax"/>
        </c:scaling>
        <c:delete val="1"/>
        <c:axPos val="l"/>
        <c:numFmt formatCode="###0.0" sourceLinked="1"/>
        <c:majorTickMark val="none"/>
        <c:tickLblPos val="none"/>
        <c:crossAx val="1047668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doughnutChart>
        <c:varyColors val="1"/>
        <c:ser>
          <c:idx val="0"/>
          <c:order val="0"/>
          <c:dPt>
            <c:idx val="0"/>
            <c:spPr>
              <a:gradFill>
                <a:gsLst>
                  <a:gs pos="100000">
                    <a:schemeClr val="accent1">
                      <a:lumMod val="60000"/>
                      <a:lumOff val="40000"/>
                    </a:schemeClr>
                  </a:gs>
                  <a:gs pos="0">
                    <a:schemeClr val="accent1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EA-41E0-B6F6-6EAEABABE927}"/>
              </c:ext>
            </c:extLst>
          </c:dPt>
          <c:dPt>
            <c:idx val="1"/>
            <c:spPr>
              <a:gradFill>
                <a:gsLst>
                  <a:gs pos="100000">
                    <a:schemeClr val="accent2">
                      <a:lumMod val="60000"/>
                      <a:lumOff val="40000"/>
                    </a:schemeClr>
                  </a:gs>
                  <a:gs pos="0">
                    <a:schemeClr val="accent2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EA-41E0-B6F6-6EAEABABE927}"/>
              </c:ext>
            </c:extLst>
          </c:dPt>
          <c:dPt>
            <c:idx val="2"/>
            <c:spPr>
              <a:gradFill>
                <a:gsLst>
                  <a:gs pos="100000">
                    <a:schemeClr val="accent3">
                      <a:lumMod val="60000"/>
                      <a:lumOff val="40000"/>
                    </a:schemeClr>
                  </a:gs>
                  <a:gs pos="0">
                    <a:schemeClr val="accent3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EA-41E0-B6F6-6EAEABABE927}"/>
              </c:ext>
            </c:extLst>
          </c:dPt>
          <c:dPt>
            <c:idx val="3"/>
            <c:spPr>
              <a:gradFill>
                <a:gsLst>
                  <a:gs pos="100000">
                    <a:schemeClr val="accent4">
                      <a:lumMod val="60000"/>
                      <a:lumOff val="40000"/>
                    </a:schemeClr>
                  </a:gs>
                  <a:gs pos="0">
                    <a:schemeClr val="accent4"/>
                  </a:gs>
                </a:gsLst>
                <a:lin ang="5400000" scaled="0"/>
              </a:gra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EA-41E0-B6F6-6EAEABABE927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dk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Feuil1!$F$5:$F$8</c:f>
              <c:strCache>
                <c:ptCount val="4"/>
                <c:pt idx="0">
                  <c:v>الفلاحة الغابات والصيد </c:v>
                </c:pt>
                <c:pt idx="1">
                  <c:v>الصناعة بما فيها الصناعة التقليدية </c:v>
                </c:pt>
                <c:pt idx="2">
                  <c:v>البناء والأشغال العمومية </c:v>
                </c:pt>
                <c:pt idx="3">
                  <c:v>الخدمات</c:v>
                </c:pt>
              </c:strCache>
            </c:strRef>
          </c:cat>
          <c:val>
            <c:numRef>
              <c:f>Feuil1!$D$5:$D$8</c:f>
              <c:numCache>
                <c:formatCode>General</c:formatCode>
                <c:ptCount val="4"/>
                <c:pt idx="0">
                  <c:v>31.3</c:v>
                </c:pt>
                <c:pt idx="1">
                  <c:v>12.1</c:v>
                </c:pt>
                <c:pt idx="2">
                  <c:v>10.8</c:v>
                </c:pt>
                <c:pt idx="3">
                  <c:v>45.7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7EA-41E0-B6F6-6EAEABABE927}"/>
            </c:ext>
          </c:extLst>
        </c:ser>
        <c:dLbls>
          <c:showPercent val="1"/>
        </c:dLbls>
        <c:firstSliceAng val="0"/>
        <c:holeSize val="70"/>
      </c:doughnutChart>
      <c:spPr>
        <a:noFill/>
        <a:ln>
          <a:noFill/>
        </a:ln>
        <a:effectLst/>
      </c:spPr>
    </c:plotArea>
    <c:legend>
      <c:legendPos val="r"/>
      <c:spPr>
        <a:solidFill>
          <a:schemeClr val="lt1">
            <a:alpha val="50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zero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Graphiques!$A$54</c:f>
              <c:strCache>
                <c:ptCount val="1"/>
                <c:pt idx="0">
                  <c:v>شهادة عليا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Graphiques!$B$53:$D$53</c:f>
              <c:strCache>
                <c:ptCount val="3"/>
                <c:pt idx="0">
                  <c:v>حضري </c:v>
                </c:pt>
                <c:pt idx="1">
                  <c:v>قروي</c:v>
                </c:pt>
                <c:pt idx="2">
                  <c:v>وطني </c:v>
                </c:pt>
              </c:strCache>
            </c:strRef>
          </c:cat>
          <c:val>
            <c:numRef>
              <c:f>Graphiques!$B$54:$D$54</c:f>
              <c:numCache>
                <c:formatCode>General</c:formatCode>
                <c:ptCount val="3"/>
                <c:pt idx="0">
                  <c:v>24.2</c:v>
                </c:pt>
                <c:pt idx="1">
                  <c:v>2.6</c:v>
                </c:pt>
                <c:pt idx="2" formatCode="#\ ##0.0">
                  <c:v>15.192151697943077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A7-48A1-94F2-F8459FBA92FE}"/>
            </c:ext>
          </c:extLst>
        </c:ser>
        <c:ser>
          <c:idx val="1"/>
          <c:order val="1"/>
          <c:tx>
            <c:strRef>
              <c:f>Graphiques!$A$55</c:f>
              <c:strCache>
                <c:ptCount val="1"/>
                <c:pt idx="0">
                  <c:v>شهاددة متوسطة </c:v>
                </c:pt>
              </c:strCache>
            </c:strRef>
          </c:tx>
          <c:spPr>
            <a:solidFill>
              <a:schemeClr val="tx2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Graphiques!$B$53:$D$53</c:f>
              <c:strCache>
                <c:ptCount val="3"/>
                <c:pt idx="0">
                  <c:v>حضري </c:v>
                </c:pt>
                <c:pt idx="1">
                  <c:v>قروي</c:v>
                </c:pt>
                <c:pt idx="2">
                  <c:v>وطني </c:v>
                </c:pt>
              </c:strCache>
            </c:strRef>
          </c:cat>
          <c:val>
            <c:numRef>
              <c:f>Graphiques!$B$55:$D$55</c:f>
              <c:numCache>
                <c:formatCode>General</c:formatCode>
                <c:ptCount val="3"/>
                <c:pt idx="0">
                  <c:v>36.6</c:v>
                </c:pt>
                <c:pt idx="1">
                  <c:v>22</c:v>
                </c:pt>
                <c:pt idx="2" formatCode="#\ ##0.0">
                  <c:v>30.525117709273029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A7-48A1-94F2-F8459FBA92FE}"/>
            </c:ext>
          </c:extLst>
        </c:ser>
        <c:ser>
          <c:idx val="2"/>
          <c:order val="2"/>
          <c:tx>
            <c:strRef>
              <c:f>Graphiques!$A$56</c:f>
              <c:strCache>
                <c:ptCount val="1"/>
                <c:pt idx="0">
                  <c:v>بدون شهادة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Graphiques!$B$53:$D$53</c:f>
              <c:strCache>
                <c:ptCount val="3"/>
                <c:pt idx="0">
                  <c:v>حضري </c:v>
                </c:pt>
                <c:pt idx="1">
                  <c:v>قروي</c:v>
                </c:pt>
                <c:pt idx="2">
                  <c:v>وطني </c:v>
                </c:pt>
              </c:strCache>
            </c:strRef>
          </c:cat>
          <c:val>
            <c:numRef>
              <c:f>Graphiques!$B$56:$D$56</c:f>
              <c:numCache>
                <c:formatCode>General</c:formatCode>
                <c:ptCount val="3"/>
                <c:pt idx="0">
                  <c:v>39.1</c:v>
                </c:pt>
                <c:pt idx="1">
                  <c:v>75.400000000000006</c:v>
                </c:pt>
                <c:pt idx="2" formatCode="#\ ##0.0">
                  <c:v>54.282730592783231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E9A7-48A1-94F2-F8459FBA92FE}"/>
            </c:ext>
          </c:extLst>
        </c:ser>
        <c:gapWidth val="100"/>
        <c:overlap val="-24"/>
        <c:axId val="116451584"/>
        <c:axId val="116453376"/>
      </c:barChart>
      <c:catAx>
        <c:axId val="11645158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16453376"/>
        <c:crosses val="autoZero"/>
        <c:auto val="1"/>
        <c:lblAlgn val="ctr"/>
        <c:lblOffset val="100"/>
      </c:catAx>
      <c:valAx>
        <c:axId val="116453376"/>
        <c:scaling>
          <c:orientation val="minMax"/>
        </c:scaling>
        <c:delete val="1"/>
        <c:axPos val="l"/>
        <c:numFmt formatCode="General" sourceLinked="1"/>
        <c:majorTickMark val="none"/>
        <c:tickLblPos val="none"/>
        <c:crossAx val="116451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Graphiques!$B$68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Graphiques!$A$69:$A$73</c:f>
              <c:strCache>
                <c:ptCount val="5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وطني</c:v>
                </c:pt>
              </c:strCache>
            </c:strRef>
          </c:cat>
          <c:val>
            <c:numRef>
              <c:f>Graphiques!$B$69:$B$73</c:f>
              <c:numCache>
                <c:formatCode>#,##0.0</c:formatCode>
                <c:ptCount val="5"/>
                <c:pt idx="0">
                  <c:v>36.359777731022291</c:v>
                </c:pt>
                <c:pt idx="1">
                  <c:v>7.7791481469213606</c:v>
                </c:pt>
                <c:pt idx="2" formatCode="General">
                  <c:v>23.7</c:v>
                </c:pt>
                <c:pt idx="3" formatCode="General">
                  <c:v>25.5</c:v>
                </c:pt>
                <c:pt idx="4">
                  <c:v>24.115239833696929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43-4055-B6CF-CEE3525A3BB6}"/>
            </c:ext>
          </c:extLst>
        </c:ser>
        <c:ser>
          <c:idx val="1"/>
          <c:order val="1"/>
          <c:tx>
            <c:strRef>
              <c:f>Graphiques!$C$68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bg1">
                <a:lumMod val="65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Graphiques!$A$69:$A$73</c:f>
              <c:strCache>
                <c:ptCount val="5"/>
                <c:pt idx="0">
                  <c:v>حضري</c:v>
                </c:pt>
                <c:pt idx="1">
                  <c:v>قروي</c:v>
                </c:pt>
                <c:pt idx="2">
                  <c:v>رجال</c:v>
                </c:pt>
                <c:pt idx="3">
                  <c:v>نساء</c:v>
                </c:pt>
                <c:pt idx="4">
                  <c:v>وطني</c:v>
                </c:pt>
              </c:strCache>
            </c:strRef>
          </c:cat>
          <c:val>
            <c:numRef>
              <c:f>Graphiques!$C$69:$C$73</c:f>
              <c:numCache>
                <c:formatCode>#,##0.0</c:formatCode>
                <c:ptCount val="5"/>
                <c:pt idx="0">
                  <c:v>36.556600591229397</c:v>
                </c:pt>
                <c:pt idx="1">
                  <c:v>8.156659533670215</c:v>
                </c:pt>
                <c:pt idx="2" formatCode="General">
                  <c:v>23.9</c:v>
                </c:pt>
                <c:pt idx="3" formatCode="General">
                  <c:v>27.6</c:v>
                </c:pt>
                <c:pt idx="4">
                  <c:v>24.68703285279538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43-4055-B6CF-CEE3525A3BB6}"/>
            </c:ext>
          </c:extLst>
        </c:ser>
        <c:gapWidth val="219"/>
        <c:overlap val="-27"/>
        <c:axId val="104940288"/>
        <c:axId val="104941824"/>
      </c:barChart>
      <c:catAx>
        <c:axId val="104940288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4941824"/>
        <c:crosses val="autoZero"/>
        <c:auto val="1"/>
        <c:lblAlgn val="ctr"/>
        <c:lblOffset val="100"/>
      </c:catAx>
      <c:valAx>
        <c:axId val="104941824"/>
        <c:scaling>
          <c:orientation val="minMax"/>
        </c:scaling>
        <c:delete val="1"/>
        <c:axPos val="l"/>
        <c:numFmt formatCode="#,##0.0" sourceLinked="1"/>
        <c:majorTickMark val="none"/>
        <c:tickLblPos val="none"/>
        <c:crossAx val="1049402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bar"/>
        <c:grouping val="stacked"/>
        <c:ser>
          <c:idx val="0"/>
          <c:order val="0"/>
          <c:tx>
            <c:strRef>
              <c:f>Graphiques!$A$86</c:f>
              <c:strCache>
                <c:ptCount val="1"/>
                <c:pt idx="0">
                  <c:v>عقدة ذات مدة غير محدودة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Graphiques!$B$85:$E$85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Graphiques!$B$86:$E$86</c:f>
              <c:numCache>
                <c:formatCode>#,##0.0</c:formatCode>
                <c:ptCount val="4"/>
                <c:pt idx="0">
                  <c:v>57.850135324382443</c:v>
                </c:pt>
                <c:pt idx="1">
                  <c:v>22.590550062436915</c:v>
                </c:pt>
                <c:pt idx="2">
                  <c:v>11.04140144054313</c:v>
                </c:pt>
                <c:pt idx="3">
                  <c:v>26.4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550-47D1-89B1-01E1F1F4D199}"/>
            </c:ext>
          </c:extLst>
        </c:ser>
        <c:ser>
          <c:idx val="1"/>
          <c:order val="1"/>
          <c:tx>
            <c:strRef>
              <c:f>Graphiques!$A$87</c:f>
              <c:strCache>
                <c:ptCount val="1"/>
                <c:pt idx="0">
                  <c:v>عقدة ذات مدة محدودة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Graphiques!$B$85:$E$85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Graphiques!$B$87:$E$87</c:f>
              <c:numCache>
                <c:formatCode>#,##0.0</c:formatCode>
                <c:ptCount val="4"/>
                <c:pt idx="0">
                  <c:v>18.629695069422691</c:v>
                </c:pt>
                <c:pt idx="1">
                  <c:v>13.275453493431023</c:v>
                </c:pt>
                <c:pt idx="2">
                  <c:v>7.6208866232774319</c:v>
                </c:pt>
                <c:pt idx="3">
                  <c:v>12.2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550-47D1-89B1-01E1F1F4D199}"/>
            </c:ext>
          </c:extLst>
        </c:ser>
        <c:ser>
          <c:idx val="2"/>
          <c:order val="2"/>
          <c:tx>
            <c:strRef>
              <c:f>Graphiques!$A$88</c:f>
              <c:strCache>
                <c:ptCount val="1"/>
                <c:pt idx="0">
                  <c:v>عقد شفوي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Graphiques!$B$85:$E$85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Graphiques!$B$88:$E$88</c:f>
              <c:numCache>
                <c:formatCode>#,##0.0</c:formatCode>
                <c:ptCount val="4"/>
                <c:pt idx="0">
                  <c:v>3.5482786548072007</c:v>
                </c:pt>
                <c:pt idx="1">
                  <c:v>7.179996654967467</c:v>
                </c:pt>
                <c:pt idx="2">
                  <c:v>6.9604883677487743</c:v>
                </c:pt>
                <c:pt idx="3">
                  <c:v>6.2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9550-47D1-89B1-01E1F1F4D199}"/>
            </c:ext>
          </c:extLst>
        </c:ser>
        <c:ser>
          <c:idx val="3"/>
          <c:order val="3"/>
          <c:tx>
            <c:strRef>
              <c:f>Graphiques!$A$89</c:f>
              <c:strCache>
                <c:ptCount val="1"/>
                <c:pt idx="0">
                  <c:v>لا يتوفرون على عقدة عمل 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Graphiques!$B$85:$E$85</c:f>
              <c:strCache>
                <c:ptCount val="4"/>
                <c:pt idx="0">
                  <c:v>مستوى عال</c:v>
                </c:pt>
                <c:pt idx="1">
                  <c:v>مستوى متوسط</c:v>
                </c:pt>
                <c:pt idx="2">
                  <c:v>بدون شهادة</c:v>
                </c:pt>
                <c:pt idx="3">
                  <c:v>المجموع</c:v>
                </c:pt>
              </c:strCache>
            </c:strRef>
          </c:cat>
          <c:val>
            <c:numRef>
              <c:f>Graphiques!$B$89:$E$89</c:f>
              <c:numCache>
                <c:formatCode>#,##0.0</c:formatCode>
                <c:ptCount val="4"/>
                <c:pt idx="0">
                  <c:v>19.971890951388836</c:v>
                </c:pt>
                <c:pt idx="1">
                  <c:v>56.953999789165486</c:v>
                </c:pt>
                <c:pt idx="2">
                  <c:v>74.377223568430097</c:v>
                </c:pt>
                <c:pt idx="3">
                  <c:v>55.2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9550-47D1-89B1-01E1F1F4D199}"/>
            </c:ext>
          </c:extLst>
        </c:ser>
        <c:gapWidth val="219"/>
        <c:overlap val="100"/>
        <c:axId val="104975360"/>
        <c:axId val="104981248"/>
      </c:barChart>
      <c:catAx>
        <c:axId val="1049753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04981248"/>
        <c:crosses val="autoZero"/>
        <c:auto val="1"/>
        <c:lblAlgn val="ctr"/>
        <c:lblOffset val="100"/>
      </c:catAx>
      <c:valAx>
        <c:axId val="104981248"/>
        <c:scaling>
          <c:orientation val="minMax"/>
        </c:scaling>
        <c:delete val="1"/>
        <c:axPos val="b"/>
        <c:numFmt formatCode="#,##0.0" sourceLinked="1"/>
        <c:majorTickMark val="none"/>
        <c:tickLblPos val="none"/>
        <c:crossAx val="104975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fr-FR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Graphiques_AR!$B$35</c:f>
              <c:strCache>
                <c:ptCount val="1"/>
                <c:pt idx="0">
                  <c:v>حضري</c:v>
                </c:pt>
              </c:strCache>
            </c:strRef>
          </c:tx>
          <c:spPr>
            <a:solidFill>
              <a:schemeClr val="accent2">
                <a:lumMod val="40000"/>
                <a:lumOff val="60000"/>
              </a:schemeClr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Graphiques_AR!$A$36:$A$39</c:f>
              <c:strCache>
                <c:ptCount val="4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Graphiques_AR!$B$36:$B$39</c:f>
              <c:numCache>
                <c:formatCode>0.0</c:formatCode>
                <c:ptCount val="4"/>
                <c:pt idx="0">
                  <c:v>-13.630165893849721</c:v>
                </c:pt>
                <c:pt idx="1">
                  <c:v>-22.172876408740837</c:v>
                </c:pt>
                <c:pt idx="2">
                  <c:v>-26.06944106932141</c:v>
                </c:pt>
                <c:pt idx="3">
                  <c:v>-20.375218171937533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12E-4358-AF67-EAF317397BDF}"/>
            </c:ext>
          </c:extLst>
        </c:ser>
        <c:ser>
          <c:idx val="1"/>
          <c:order val="1"/>
          <c:tx>
            <c:strRef>
              <c:f>Graphiques_AR!$C$35</c:f>
              <c:strCache>
                <c:ptCount val="1"/>
                <c:pt idx="0">
                  <c:v>قروي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Graphiques_AR!$A$36:$A$39</c:f>
              <c:strCache>
                <c:ptCount val="4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Graphiques_AR!$C$36:$C$39</c:f>
              <c:numCache>
                <c:formatCode>0.0</c:formatCode>
                <c:ptCount val="4"/>
                <c:pt idx="0">
                  <c:v>-17.394809672132652</c:v>
                </c:pt>
                <c:pt idx="1">
                  <c:v>-22.658226267295749</c:v>
                </c:pt>
                <c:pt idx="2">
                  <c:v>-24.223137650946278</c:v>
                </c:pt>
                <c:pt idx="3">
                  <c:v>-20.45791560313609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12E-4358-AF67-EAF317397BDF}"/>
            </c:ext>
          </c:extLst>
        </c:ser>
        <c:ser>
          <c:idx val="2"/>
          <c:order val="2"/>
          <c:tx>
            <c:strRef>
              <c:f>Graphiques_AR!$D$35</c:f>
              <c:strCache>
                <c:ptCount val="1"/>
                <c:pt idx="0">
                  <c:v>وطني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Graphiques_AR!$A$36:$A$39</c:f>
              <c:strCache>
                <c:ptCount val="4"/>
                <c:pt idx="0">
                  <c:v>الفلاحة، الغابات و الصيد</c:v>
                </c:pt>
                <c:pt idx="1">
                  <c:v>الصناعة(بما فيها الصناعة التقليدية)</c:v>
                </c:pt>
                <c:pt idx="2">
                  <c:v>البناء والأشغال العمومية</c:v>
                </c:pt>
                <c:pt idx="3">
                  <c:v>الخدمات</c:v>
                </c:pt>
              </c:strCache>
            </c:strRef>
          </c:cat>
          <c:val>
            <c:numRef>
              <c:f>Graphiques_AR!$D$36:$D$39</c:f>
              <c:numCache>
                <c:formatCode>0.0</c:formatCode>
                <c:ptCount val="4"/>
                <c:pt idx="0">
                  <c:v>-17.021235227103787</c:v>
                </c:pt>
                <c:pt idx="1">
                  <c:v>-22.251523998766334</c:v>
                </c:pt>
                <c:pt idx="2">
                  <c:v>-25.416503651012746</c:v>
                </c:pt>
                <c:pt idx="3">
                  <c:v>-20.389185235027181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12E-4358-AF67-EAF317397BDF}"/>
            </c:ext>
          </c:extLst>
        </c:ser>
        <c:gapWidth val="219"/>
        <c:overlap val="-27"/>
        <c:axId val="79937536"/>
        <c:axId val="79939072"/>
      </c:barChart>
      <c:catAx>
        <c:axId val="79937536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9939072"/>
        <c:crosses val="autoZero"/>
        <c:auto val="1"/>
        <c:lblAlgn val="ctr"/>
        <c:lblOffset val="100"/>
      </c:catAx>
      <c:valAx>
        <c:axId val="79939072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99375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autoTitleDeleted val="1"/>
    <c:plotArea>
      <c:layout/>
      <c:barChart>
        <c:barDir val="col"/>
        <c:grouping val="clustered"/>
        <c:ser>
          <c:idx val="0"/>
          <c:order val="0"/>
          <c:spPr>
            <a:solidFill>
              <a:srgbClr val="FFC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Graphiques_AR!$A$22:$A$26</c:f>
              <c:strCache>
                <c:ptCount val="5"/>
                <c:pt idx="0">
                  <c:v>15-24 سنة</c:v>
                </c:pt>
                <c:pt idx="1">
                  <c:v>25-34 سنة</c:v>
                </c:pt>
                <c:pt idx="2">
                  <c:v>35-44 سنة</c:v>
                </c:pt>
                <c:pt idx="3">
                  <c:v>45سنة فما فوق</c:v>
                </c:pt>
                <c:pt idx="4">
                  <c:v>المجموع</c:v>
                </c:pt>
              </c:strCache>
            </c:strRef>
          </c:cat>
          <c:val>
            <c:numRef>
              <c:f>Graphiques_AR!$B$22:$B$26</c:f>
              <c:numCache>
                <c:formatCode>0.0</c:formatCode>
                <c:ptCount val="5"/>
                <c:pt idx="0">
                  <c:v>-28.969429934659871</c:v>
                </c:pt>
                <c:pt idx="1">
                  <c:v>-21.883668067029962</c:v>
                </c:pt>
                <c:pt idx="2">
                  <c:v>-18.961920699369873</c:v>
                </c:pt>
                <c:pt idx="3">
                  <c:v>-17.683340044947091</c:v>
                </c:pt>
                <c:pt idx="4">
                  <c:v>-20.273619820250609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A98-419C-A474-E1E325C1950F}"/>
            </c:ext>
          </c:extLst>
        </c:ser>
        <c:gapWidth val="219"/>
        <c:overlap val="-27"/>
        <c:axId val="79959552"/>
        <c:axId val="79961088"/>
      </c:barChart>
      <c:catAx>
        <c:axId val="79959552"/>
        <c:scaling>
          <c:orientation val="minMax"/>
        </c:scaling>
        <c:axPos val="b"/>
        <c:numFmt formatCode="General" sourceLinked="1"/>
        <c:maj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79961088"/>
        <c:crosses val="autoZero"/>
        <c:auto val="1"/>
        <c:lblAlgn val="ctr"/>
        <c:lblOffset val="100"/>
      </c:catAx>
      <c:valAx>
        <c:axId val="79961088"/>
        <c:scaling>
          <c:orientation val="minMax"/>
        </c:scaling>
        <c:delete val="1"/>
        <c:axPos val="l"/>
        <c:numFmt formatCode="0.0" sourceLinked="1"/>
        <c:majorTickMark val="none"/>
        <c:tickLblPos val="none"/>
        <c:crossAx val="799595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D7180-3A24-4231-854B-E2645F5C5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1067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8</cp:revision>
  <cp:lastPrinted>2021-02-16T15:11:00Z</cp:lastPrinted>
  <dcterms:created xsi:type="dcterms:W3CDTF">2021-02-16T18:05:00Z</dcterms:created>
  <dcterms:modified xsi:type="dcterms:W3CDTF">2021-02-17T08:02:00Z</dcterms:modified>
</cp:coreProperties>
</file>