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371" w:rsidRDefault="00850669" w:rsidP="0054373C">
      <w:pPr>
        <w:spacing w:before="240" w:after="240" w:line="312" w:lineRule="auto"/>
        <w:ind w:left="-180"/>
        <w:jc w:val="center"/>
        <w:rPr>
          <w:rFonts w:ascii="Book Antiqua" w:eastAsia="Book Antiqua" w:hAnsi="Book Antiqua" w:cs="Book Antiqua"/>
          <w:b/>
          <w:color w:val="4472C4"/>
          <w:sz w:val="28"/>
          <w:szCs w:val="28"/>
        </w:rPr>
      </w:pPr>
      <w:r>
        <w:rPr>
          <w:rFonts w:ascii="Book Antiqua" w:eastAsia="Book Antiqua" w:hAnsi="Book Antiqua" w:cs="Book Antiqua"/>
          <w:b/>
          <w:color w:val="4472C4"/>
          <w:sz w:val="28"/>
          <w:szCs w:val="28"/>
        </w:rPr>
        <w:t xml:space="preserve">             </w:t>
      </w:r>
      <w:r w:rsidR="00673F2C">
        <w:rPr>
          <w:rFonts w:ascii="Book Antiqua" w:eastAsia="Book Antiqua" w:hAnsi="Book Antiqua" w:cs="Book Antiqua"/>
          <w:b/>
          <w:color w:val="4472C4"/>
          <w:sz w:val="28"/>
          <w:szCs w:val="28"/>
        </w:rPr>
        <w:t xml:space="preserve">      </w:t>
      </w:r>
    </w:p>
    <w:p w:rsidR="00490D10" w:rsidRPr="003D03B0" w:rsidRDefault="00490D10" w:rsidP="0054373C">
      <w:pPr>
        <w:spacing w:before="240" w:after="240" w:line="312" w:lineRule="auto"/>
        <w:ind w:left="-180"/>
        <w:jc w:val="center"/>
        <w:rPr>
          <w:rFonts w:ascii="Book Antiqua" w:eastAsia="Book Antiqua" w:hAnsi="Book Antiqua" w:cs="Book Antiqua"/>
          <w:b/>
          <w:color w:val="0070C0"/>
          <w:sz w:val="28"/>
          <w:szCs w:val="28"/>
        </w:rPr>
      </w:pPr>
    </w:p>
    <w:p w:rsidR="00AD230E" w:rsidRPr="003D03B0" w:rsidRDefault="00E537B1" w:rsidP="0054373C">
      <w:pPr>
        <w:spacing w:before="240" w:after="240" w:line="312" w:lineRule="auto"/>
        <w:ind w:left="-180"/>
        <w:jc w:val="center"/>
        <w:rPr>
          <w:rFonts w:ascii="Book Antiqua" w:eastAsia="Book Antiqua" w:hAnsi="Book Antiqua" w:cs="Book Antiqua"/>
          <w:b/>
          <w:color w:val="0070C0"/>
          <w:sz w:val="28"/>
          <w:szCs w:val="28"/>
        </w:rPr>
      </w:pPr>
      <w:r w:rsidRPr="003D03B0">
        <w:rPr>
          <w:rFonts w:ascii="Book Antiqua" w:eastAsia="Book Antiqua" w:hAnsi="Book Antiqua" w:cs="Book Antiqua"/>
          <w:b/>
          <w:color w:val="0070C0"/>
          <w:sz w:val="28"/>
          <w:szCs w:val="28"/>
        </w:rPr>
        <w:t xml:space="preserve">NOTE D’INFORMATION DU HAUT-COMMISSARIAT AU PLAN RELATIVE A LA SITUATION DU MARCHÉ DU TRAVAIL AU </w:t>
      </w:r>
      <w:r w:rsidR="00F27B5B" w:rsidRPr="003D03B0">
        <w:rPr>
          <w:rFonts w:ascii="Book Antiqua" w:eastAsia="Book Antiqua" w:hAnsi="Book Antiqua" w:cs="Book Antiqua"/>
          <w:b/>
          <w:color w:val="0070C0"/>
          <w:sz w:val="28"/>
          <w:szCs w:val="28"/>
        </w:rPr>
        <w:t>TROIS</w:t>
      </w:r>
      <w:r w:rsidRPr="003D03B0">
        <w:rPr>
          <w:rFonts w:ascii="Book Antiqua" w:eastAsia="Book Antiqua" w:hAnsi="Book Antiqua" w:cs="Book Antiqua"/>
          <w:b/>
          <w:color w:val="0070C0"/>
          <w:sz w:val="28"/>
          <w:szCs w:val="28"/>
        </w:rPr>
        <w:t>IÈME TRIMESTRE DE 2020</w:t>
      </w:r>
    </w:p>
    <w:p w:rsidR="00034A6E" w:rsidRPr="00873E0F" w:rsidRDefault="00034A6E" w:rsidP="0054373C">
      <w:pPr>
        <w:spacing w:before="240" w:after="240" w:line="312" w:lineRule="auto"/>
        <w:ind w:left="-180"/>
        <w:jc w:val="center"/>
        <w:rPr>
          <w:rFonts w:ascii="Book Antiqua" w:eastAsia="Book Antiqua" w:hAnsi="Book Antiqua" w:cs="Book Antiqua"/>
          <w:b/>
          <w:color w:val="4472C4"/>
          <w:sz w:val="28"/>
          <w:szCs w:val="28"/>
        </w:rPr>
      </w:pPr>
    </w:p>
    <w:p w:rsidR="00AD230E" w:rsidRPr="00BC5A28" w:rsidRDefault="00E537B1" w:rsidP="00034A6E">
      <w:pPr>
        <w:pBdr>
          <w:top w:val="nil"/>
          <w:left w:val="nil"/>
          <w:bottom w:val="nil"/>
          <w:right w:val="nil"/>
          <w:between w:val="nil"/>
        </w:pBdr>
        <w:spacing w:before="240" w:after="240" w:line="312" w:lineRule="auto"/>
        <w:jc w:val="both"/>
        <w:rPr>
          <w:rFonts w:ascii="Book Antiqua" w:eastAsia="Book Antiqua" w:hAnsi="Book Antiqua" w:cs="Book Antiqua"/>
          <w:b/>
          <w:bCs/>
          <w:color w:val="0070C0"/>
          <w:sz w:val="26"/>
          <w:szCs w:val="26"/>
        </w:rPr>
      </w:pPr>
      <w:r w:rsidRPr="00BC5A28">
        <w:rPr>
          <w:rFonts w:ascii="Book Antiqua" w:eastAsia="Book Antiqua" w:hAnsi="Book Antiqua" w:cs="Book Antiqua"/>
          <w:b/>
          <w:bCs/>
          <w:color w:val="0070C0"/>
          <w:sz w:val="26"/>
          <w:szCs w:val="26"/>
        </w:rPr>
        <w:t>Entre le troisième trimestre de 2</w:t>
      </w:r>
      <w:r w:rsidR="00904609">
        <w:rPr>
          <w:rFonts w:ascii="Book Antiqua" w:eastAsia="Book Antiqua" w:hAnsi="Book Antiqua" w:cs="Book Antiqua"/>
          <w:b/>
          <w:bCs/>
          <w:color w:val="0070C0"/>
          <w:sz w:val="26"/>
          <w:szCs w:val="26"/>
        </w:rPr>
        <w:t xml:space="preserve">019 et la même période de 2020, </w:t>
      </w:r>
      <w:r w:rsidRPr="00BC5A28">
        <w:rPr>
          <w:rFonts w:ascii="Book Antiqua" w:eastAsia="Book Antiqua" w:hAnsi="Book Antiqua" w:cs="Book Antiqua"/>
          <w:b/>
          <w:bCs/>
          <w:color w:val="0070C0"/>
          <w:sz w:val="26"/>
          <w:szCs w:val="26"/>
        </w:rPr>
        <w:t xml:space="preserve">l’économie </w:t>
      </w:r>
      <w:r w:rsidR="003D1D48">
        <w:rPr>
          <w:rFonts w:ascii="Book Antiqua" w:eastAsia="Book Antiqua" w:hAnsi="Book Antiqua" w:cs="Book Antiqua"/>
          <w:b/>
          <w:bCs/>
          <w:color w:val="0070C0"/>
          <w:sz w:val="26"/>
          <w:szCs w:val="26"/>
        </w:rPr>
        <w:t>nationale</w:t>
      </w:r>
      <w:r w:rsidRPr="00BC5A28">
        <w:rPr>
          <w:rFonts w:ascii="Book Antiqua" w:eastAsia="Book Antiqua" w:hAnsi="Book Antiqua" w:cs="Book Antiqua"/>
          <w:b/>
          <w:bCs/>
          <w:color w:val="0070C0"/>
          <w:sz w:val="26"/>
          <w:szCs w:val="26"/>
        </w:rPr>
        <w:t xml:space="preserve"> a perdu 237.000 postes en milieu urbain et 344.000 en milieu rural, </w:t>
      </w:r>
      <w:r w:rsidR="007E563F" w:rsidRPr="00BC5A28">
        <w:rPr>
          <w:rFonts w:ascii="Book Antiqua" w:eastAsia="Book Antiqua" w:hAnsi="Book Antiqua" w:cs="Book Antiqua"/>
          <w:b/>
          <w:bCs/>
          <w:color w:val="0070C0"/>
          <w:sz w:val="26"/>
          <w:szCs w:val="26"/>
        </w:rPr>
        <w:t>ce qui correspond à</w:t>
      </w:r>
      <w:r w:rsidRPr="00BC5A28">
        <w:rPr>
          <w:rFonts w:ascii="Book Antiqua" w:eastAsia="Book Antiqua" w:hAnsi="Book Antiqua" w:cs="Book Antiqua"/>
          <w:b/>
          <w:bCs/>
          <w:color w:val="0070C0"/>
          <w:sz w:val="26"/>
          <w:szCs w:val="26"/>
        </w:rPr>
        <w:t xml:space="preserve"> une perte de 581.000 postes d’emploi. Une année auparavant, entre le troisième trimestre de 2018 et la même période de 2019, l'économie </w:t>
      </w:r>
      <w:r w:rsidR="00034A6E">
        <w:rPr>
          <w:rFonts w:ascii="Book Antiqua" w:eastAsia="Book Antiqua" w:hAnsi="Book Antiqua" w:cs="Book Antiqua"/>
          <w:b/>
          <w:bCs/>
          <w:color w:val="0070C0"/>
          <w:sz w:val="26"/>
          <w:szCs w:val="26"/>
        </w:rPr>
        <w:t>nationale</w:t>
      </w:r>
      <w:r w:rsidRPr="00BC5A28">
        <w:rPr>
          <w:rFonts w:ascii="Book Antiqua" w:eastAsia="Book Antiqua" w:hAnsi="Book Antiqua" w:cs="Book Antiqua"/>
          <w:b/>
          <w:bCs/>
          <w:color w:val="0070C0"/>
          <w:sz w:val="26"/>
          <w:szCs w:val="26"/>
        </w:rPr>
        <w:t xml:space="preserve"> avait créé 143.000 postes d'emploi.</w:t>
      </w:r>
    </w:p>
    <w:p w:rsidR="00AD230E" w:rsidRPr="00BC5A28" w:rsidRDefault="00E537B1" w:rsidP="00BC5A28">
      <w:pPr>
        <w:spacing w:before="240" w:after="240" w:line="312" w:lineRule="auto"/>
        <w:jc w:val="both"/>
        <w:rPr>
          <w:rFonts w:ascii="Book Antiqua" w:eastAsia="Book Antiqua" w:hAnsi="Book Antiqua" w:cs="Book Antiqua"/>
          <w:b/>
          <w:bCs/>
          <w:color w:val="0070C0"/>
          <w:sz w:val="26"/>
          <w:szCs w:val="26"/>
        </w:rPr>
      </w:pPr>
      <w:r w:rsidRPr="00BC5A28">
        <w:rPr>
          <w:rFonts w:ascii="Book Antiqua" w:eastAsia="Book Antiqua" w:hAnsi="Book Antiqua" w:cs="Book Antiqua"/>
          <w:b/>
          <w:bCs/>
          <w:color w:val="0070C0"/>
          <w:sz w:val="26"/>
          <w:szCs w:val="26"/>
        </w:rPr>
        <w:t xml:space="preserve">Le secteur des </w:t>
      </w:r>
      <w:r w:rsidR="007E563F" w:rsidRPr="00BC5A28">
        <w:rPr>
          <w:rFonts w:ascii="Book Antiqua" w:eastAsia="Book Antiqua" w:hAnsi="Book Antiqua" w:cs="Book Antiqua"/>
          <w:b/>
          <w:bCs/>
          <w:color w:val="0070C0"/>
          <w:sz w:val="26"/>
          <w:szCs w:val="26"/>
        </w:rPr>
        <w:t>services a perdu 260.000 postes, c</w:t>
      </w:r>
      <w:r w:rsidRPr="00BC5A28">
        <w:rPr>
          <w:rFonts w:ascii="Book Antiqua" w:eastAsia="Book Antiqua" w:hAnsi="Book Antiqua" w:cs="Book Antiqua"/>
          <w:b/>
          <w:bCs/>
          <w:color w:val="0070C0"/>
          <w:sz w:val="26"/>
          <w:szCs w:val="26"/>
        </w:rPr>
        <w:t>elui de l’"agriculture, forêt et pêche</w:t>
      </w:r>
      <w:r w:rsidR="003B0CC2" w:rsidRPr="00BC5A28">
        <w:rPr>
          <w:rFonts w:ascii="Book Antiqua" w:eastAsia="Book Antiqua" w:hAnsi="Book Antiqua" w:cs="Book Antiqua"/>
          <w:b/>
          <w:bCs/>
          <w:color w:val="0070C0"/>
          <w:sz w:val="26"/>
          <w:szCs w:val="26"/>
        </w:rPr>
        <w:t>" 258.000</w:t>
      </w:r>
      <w:r w:rsidR="007E563F" w:rsidRPr="00BC5A28">
        <w:rPr>
          <w:rFonts w:ascii="Book Antiqua" w:eastAsia="Book Antiqua" w:hAnsi="Book Antiqua" w:cs="Book Antiqua"/>
          <w:b/>
          <w:bCs/>
          <w:color w:val="0070C0"/>
          <w:sz w:val="26"/>
          <w:szCs w:val="26"/>
        </w:rPr>
        <w:t>, l</w:t>
      </w:r>
      <w:r w:rsidR="00BC5A28" w:rsidRPr="00BC5A28">
        <w:rPr>
          <w:rFonts w:ascii="Book Antiqua" w:eastAsia="Book Antiqua" w:hAnsi="Book Antiqua" w:cs="Book Antiqua"/>
          <w:b/>
          <w:bCs/>
          <w:color w:val="0070C0"/>
          <w:sz w:val="26"/>
          <w:szCs w:val="26"/>
        </w:rPr>
        <w:t>’</w:t>
      </w:r>
      <w:r w:rsidRPr="00BC5A28">
        <w:rPr>
          <w:rFonts w:ascii="Book Antiqua" w:eastAsia="Book Antiqua" w:hAnsi="Book Antiqua" w:cs="Book Antiqua"/>
          <w:b/>
          <w:bCs/>
          <w:color w:val="0070C0"/>
          <w:sz w:val="26"/>
          <w:szCs w:val="26"/>
        </w:rPr>
        <w:t>“industrie y compris l'artisanat" 61.000, alors que le</w:t>
      </w:r>
      <w:r w:rsidR="00BE14B6">
        <w:rPr>
          <w:rFonts w:ascii="Book Antiqua" w:eastAsia="Book Antiqua" w:hAnsi="Book Antiqua" w:cs="Book Antiqua"/>
          <w:b/>
          <w:bCs/>
          <w:color w:val="0070C0"/>
          <w:sz w:val="26"/>
          <w:szCs w:val="26"/>
        </w:rPr>
        <w:t xml:space="preserve"> secteur des</w:t>
      </w:r>
      <w:r w:rsidRPr="00BC5A28">
        <w:rPr>
          <w:rFonts w:ascii="Book Antiqua" w:eastAsia="Book Antiqua" w:hAnsi="Book Antiqua" w:cs="Book Antiqua"/>
          <w:b/>
          <w:bCs/>
          <w:color w:val="0070C0"/>
          <w:sz w:val="26"/>
          <w:szCs w:val="26"/>
        </w:rPr>
        <w:t xml:space="preserve"> BTP en a </w:t>
      </w:r>
      <w:r w:rsidR="00293055" w:rsidRPr="00BC5A28">
        <w:rPr>
          <w:rFonts w:ascii="Book Antiqua" w:eastAsia="Book Antiqua" w:hAnsi="Book Antiqua" w:cs="Book Antiqua"/>
          <w:b/>
          <w:bCs/>
          <w:color w:val="0070C0"/>
          <w:sz w:val="26"/>
          <w:szCs w:val="26"/>
        </w:rPr>
        <w:t>créé</w:t>
      </w:r>
      <w:r w:rsidRPr="00BC5A28">
        <w:rPr>
          <w:rFonts w:ascii="Book Antiqua" w:eastAsia="Book Antiqua" w:hAnsi="Book Antiqua" w:cs="Book Antiqua"/>
          <w:b/>
          <w:bCs/>
          <w:color w:val="0070C0"/>
          <w:sz w:val="26"/>
          <w:szCs w:val="26"/>
        </w:rPr>
        <w:t xml:space="preserve"> 1.000. </w:t>
      </w:r>
    </w:p>
    <w:p w:rsidR="003B0CC2" w:rsidRPr="00BC5A28" w:rsidRDefault="00490D10" w:rsidP="00BC5A28">
      <w:pPr>
        <w:pBdr>
          <w:top w:val="nil"/>
          <w:left w:val="nil"/>
          <w:bottom w:val="nil"/>
          <w:right w:val="nil"/>
          <w:between w:val="nil"/>
        </w:pBdr>
        <w:spacing w:before="240" w:after="240" w:line="312" w:lineRule="auto"/>
        <w:jc w:val="both"/>
        <w:rPr>
          <w:rFonts w:ascii="Book Antiqua" w:eastAsia="Book Antiqua" w:hAnsi="Book Antiqua" w:cs="Book Antiqua"/>
          <w:b/>
          <w:bCs/>
          <w:color w:val="0070C0"/>
          <w:sz w:val="26"/>
          <w:szCs w:val="26"/>
        </w:rPr>
      </w:pPr>
      <w:r w:rsidRPr="00BC5A28">
        <w:rPr>
          <w:rFonts w:ascii="Book Antiqua" w:eastAsia="Book Antiqua" w:hAnsi="Book Antiqua" w:cs="Book Antiqua"/>
          <w:b/>
          <w:bCs/>
          <w:color w:val="0070C0"/>
          <w:sz w:val="26"/>
          <w:szCs w:val="26"/>
        </w:rPr>
        <w:t>A</w:t>
      </w:r>
      <w:r w:rsidR="007233C1" w:rsidRPr="00BC5A28">
        <w:rPr>
          <w:rFonts w:ascii="Book Antiqua" w:eastAsia="Book Antiqua" w:hAnsi="Book Antiqua" w:cs="Book Antiqua"/>
          <w:b/>
          <w:bCs/>
          <w:color w:val="0070C0"/>
          <w:sz w:val="26"/>
          <w:szCs w:val="26"/>
        </w:rPr>
        <w:t>vec une hausse de</w:t>
      </w:r>
      <w:r w:rsidR="003D6A78">
        <w:rPr>
          <w:rFonts w:ascii="Book Antiqua" w:eastAsia="Book Antiqua" w:hAnsi="Book Antiqua" w:cs="Book Antiqua"/>
          <w:b/>
          <w:bCs/>
          <w:color w:val="0070C0"/>
          <w:sz w:val="26"/>
          <w:szCs w:val="26"/>
        </w:rPr>
        <w:t xml:space="preserve"> </w:t>
      </w:r>
      <w:r w:rsidR="003B0CC2" w:rsidRPr="00BC5A28">
        <w:rPr>
          <w:rFonts w:ascii="Book Antiqua" w:eastAsia="Book Antiqua" w:hAnsi="Book Antiqua" w:cs="Book Antiqua"/>
          <w:b/>
          <w:bCs/>
          <w:color w:val="0070C0"/>
          <w:sz w:val="26"/>
          <w:szCs w:val="26"/>
        </w:rPr>
        <w:t>368.000, dont 276.000 en milieu ur</w:t>
      </w:r>
      <w:r w:rsidR="007E563F" w:rsidRPr="00BC5A28">
        <w:rPr>
          <w:rFonts w:ascii="Book Antiqua" w:eastAsia="Book Antiqua" w:hAnsi="Book Antiqua" w:cs="Book Antiqua"/>
          <w:b/>
          <w:bCs/>
          <w:color w:val="0070C0"/>
          <w:sz w:val="26"/>
          <w:szCs w:val="26"/>
        </w:rPr>
        <w:t>bain et 9</w:t>
      </w:r>
      <w:r w:rsidR="00BC5A28" w:rsidRPr="00BC5A28">
        <w:rPr>
          <w:rFonts w:ascii="Book Antiqua" w:eastAsia="Book Antiqua" w:hAnsi="Book Antiqua" w:cs="Book Antiqua"/>
          <w:b/>
          <w:bCs/>
          <w:color w:val="0070C0"/>
          <w:sz w:val="26"/>
          <w:szCs w:val="26"/>
        </w:rPr>
        <w:t>2</w:t>
      </w:r>
      <w:r w:rsidR="007E563F" w:rsidRPr="00BC5A28">
        <w:rPr>
          <w:rFonts w:ascii="Book Antiqua" w:eastAsia="Book Antiqua" w:hAnsi="Book Antiqua" w:cs="Book Antiqua"/>
          <w:b/>
          <w:bCs/>
          <w:color w:val="0070C0"/>
          <w:sz w:val="26"/>
          <w:szCs w:val="26"/>
        </w:rPr>
        <w:t>.000 en milieu rural, l</w:t>
      </w:r>
      <w:r w:rsidR="003B0CC2" w:rsidRPr="00BC5A28">
        <w:rPr>
          <w:rFonts w:ascii="Book Antiqua" w:eastAsia="Book Antiqua" w:hAnsi="Book Antiqua" w:cs="Book Antiqua"/>
          <w:b/>
          <w:bCs/>
          <w:color w:val="0070C0"/>
          <w:sz w:val="26"/>
          <w:szCs w:val="26"/>
        </w:rPr>
        <w:t>e volume global du chômage a atteint 1.482.000 personnes au niveau national.</w:t>
      </w:r>
    </w:p>
    <w:p w:rsidR="006D72D4" w:rsidRPr="00BC5A28" w:rsidRDefault="00034A6E" w:rsidP="003D1D48">
      <w:pPr>
        <w:spacing w:before="240" w:after="240" w:line="312" w:lineRule="auto"/>
        <w:jc w:val="both"/>
        <w:rPr>
          <w:rFonts w:ascii="Book Antiqua" w:eastAsia="Book Antiqua" w:hAnsi="Book Antiqua" w:cs="Book Antiqua"/>
          <w:b/>
          <w:bCs/>
          <w:color w:val="0070C0"/>
          <w:sz w:val="26"/>
          <w:szCs w:val="26"/>
        </w:rPr>
      </w:pPr>
      <w:r>
        <w:rPr>
          <w:rFonts w:ascii="Book Antiqua" w:eastAsia="Book Antiqua" w:hAnsi="Book Antiqua" w:cs="Book Antiqua"/>
          <w:b/>
          <w:bCs/>
          <w:color w:val="0070C0"/>
          <w:sz w:val="26"/>
          <w:szCs w:val="26"/>
        </w:rPr>
        <w:t>L</w:t>
      </w:r>
      <w:r w:rsidR="003B0CC2" w:rsidRPr="00BC5A28">
        <w:rPr>
          <w:rFonts w:ascii="Book Antiqua" w:eastAsia="Book Antiqua" w:hAnsi="Book Antiqua" w:cs="Book Antiqua"/>
          <w:b/>
          <w:bCs/>
          <w:color w:val="0070C0"/>
          <w:sz w:val="26"/>
          <w:szCs w:val="26"/>
        </w:rPr>
        <w:t xml:space="preserve">e taux de chômage est ainsi passé de 9,4% à 12,7% au niveau national, de 12,7% à 16,5% en milieu urbain et de 4,5% à 6,8% </w:t>
      </w:r>
      <w:r w:rsidR="006D72D4" w:rsidRPr="00BC5A28">
        <w:rPr>
          <w:rFonts w:ascii="Book Antiqua" w:eastAsia="Book Antiqua" w:hAnsi="Book Antiqua" w:cs="Book Antiqua"/>
          <w:b/>
          <w:bCs/>
          <w:color w:val="0070C0"/>
          <w:sz w:val="26"/>
          <w:szCs w:val="26"/>
        </w:rPr>
        <w:t>en milieu rural.</w:t>
      </w:r>
      <w:r w:rsidR="00D56E96">
        <w:rPr>
          <w:rFonts w:ascii="Book Antiqua" w:eastAsia="Book Antiqua" w:hAnsi="Book Antiqua" w:cs="Book Antiqua"/>
          <w:b/>
          <w:bCs/>
          <w:color w:val="0070C0"/>
          <w:sz w:val="26"/>
          <w:szCs w:val="26"/>
        </w:rPr>
        <w:t xml:space="preserve"> </w:t>
      </w:r>
      <w:r w:rsidR="003D1D48" w:rsidRPr="003D1D48">
        <w:rPr>
          <w:rFonts w:ascii="Book Antiqua" w:eastAsia="Book Antiqua" w:hAnsi="Book Antiqua" w:cs="Book Antiqua"/>
          <w:b/>
          <w:bCs/>
          <w:color w:val="0070C0"/>
          <w:sz w:val="26"/>
          <w:szCs w:val="26"/>
        </w:rPr>
        <w:t>Il a enregistré une forte hausse parmi les femmes, de 13,9% à 17,6%</w:t>
      </w:r>
      <w:r w:rsidR="003D1D48">
        <w:rPr>
          <w:rFonts w:ascii="Book Antiqua" w:eastAsia="Book Antiqua" w:hAnsi="Book Antiqua" w:cs="Book Antiqua"/>
          <w:b/>
          <w:bCs/>
          <w:color w:val="0070C0"/>
          <w:sz w:val="26"/>
          <w:szCs w:val="26"/>
        </w:rPr>
        <w:t xml:space="preserve">, </w:t>
      </w:r>
      <w:r w:rsidR="003D1D48" w:rsidRPr="003D1D48">
        <w:rPr>
          <w:rFonts w:ascii="Book Antiqua" w:eastAsia="Book Antiqua" w:hAnsi="Book Antiqua" w:cs="Book Antiqua"/>
          <w:b/>
          <w:bCs/>
          <w:color w:val="0070C0"/>
          <w:sz w:val="26"/>
          <w:szCs w:val="26"/>
        </w:rPr>
        <w:t>parmi les hommes, de 8,0% à 11,4%</w:t>
      </w:r>
      <w:r w:rsidR="003D1D48">
        <w:rPr>
          <w:rFonts w:ascii="Book Antiqua" w:eastAsia="Book Antiqua" w:hAnsi="Book Antiqua" w:cs="Book Antiqua"/>
          <w:b/>
          <w:bCs/>
          <w:color w:val="0070C0"/>
          <w:sz w:val="26"/>
          <w:szCs w:val="26"/>
        </w:rPr>
        <w:t xml:space="preserve"> et </w:t>
      </w:r>
      <w:r w:rsidR="003D1D48" w:rsidRPr="003D1D48">
        <w:rPr>
          <w:rFonts w:ascii="Book Antiqua" w:eastAsia="Book Antiqua" w:hAnsi="Book Antiqua" w:cs="Book Antiqua"/>
          <w:b/>
          <w:bCs/>
          <w:color w:val="0070C0"/>
          <w:sz w:val="26"/>
          <w:szCs w:val="26"/>
        </w:rPr>
        <w:t>parmi le</w:t>
      </w:r>
      <w:r w:rsidR="003D1D48">
        <w:rPr>
          <w:rFonts w:ascii="Book Antiqua" w:eastAsia="Book Antiqua" w:hAnsi="Book Antiqua" w:cs="Book Antiqua"/>
          <w:b/>
          <w:bCs/>
          <w:color w:val="0070C0"/>
          <w:sz w:val="26"/>
          <w:szCs w:val="26"/>
        </w:rPr>
        <w:t>s jeunes âgés de 15 à 24 ans</w:t>
      </w:r>
      <w:r w:rsidR="003D1D48" w:rsidRPr="003D1D48">
        <w:rPr>
          <w:rFonts w:ascii="Book Antiqua" w:eastAsia="Book Antiqua" w:hAnsi="Book Antiqua" w:cs="Book Antiqua"/>
          <w:b/>
          <w:bCs/>
          <w:color w:val="0070C0"/>
          <w:sz w:val="26"/>
          <w:szCs w:val="26"/>
        </w:rPr>
        <w:t>, de 26,7% à 32,3%.</w:t>
      </w:r>
    </w:p>
    <w:p w:rsidR="003D1D48" w:rsidRDefault="00E537B1" w:rsidP="009B678A">
      <w:pPr>
        <w:spacing w:before="240" w:after="240" w:line="312" w:lineRule="auto"/>
        <w:jc w:val="both"/>
        <w:rPr>
          <w:rFonts w:ascii="Book Antiqua" w:eastAsia="Book Antiqua" w:hAnsi="Book Antiqua" w:cs="Book Antiqua"/>
          <w:b/>
          <w:bCs/>
          <w:color w:val="0070C0"/>
          <w:sz w:val="26"/>
          <w:szCs w:val="26"/>
        </w:rPr>
      </w:pPr>
      <w:r w:rsidRPr="00BC5A28">
        <w:rPr>
          <w:rFonts w:ascii="Book Antiqua" w:eastAsia="Book Antiqua" w:hAnsi="Book Antiqua" w:cs="Book Antiqua"/>
          <w:b/>
          <w:bCs/>
          <w:color w:val="0070C0"/>
          <w:sz w:val="26"/>
          <w:szCs w:val="26"/>
        </w:rPr>
        <w:t>La population active occupée en situation de sous-emploi a atteint 1</w:t>
      </w:r>
      <w:r w:rsidR="0054373C" w:rsidRPr="00BC5A28">
        <w:rPr>
          <w:rFonts w:ascii="Book Antiqua" w:eastAsia="Book Antiqua" w:hAnsi="Book Antiqua" w:cs="Book Antiqua"/>
          <w:b/>
          <w:bCs/>
          <w:color w:val="0070C0"/>
          <w:sz w:val="26"/>
          <w:szCs w:val="26"/>
        </w:rPr>
        <w:t>.</w:t>
      </w:r>
      <w:r w:rsidRPr="00BC5A28">
        <w:rPr>
          <w:rFonts w:ascii="Book Antiqua" w:eastAsia="Book Antiqua" w:hAnsi="Book Antiqua" w:cs="Book Antiqua"/>
          <w:b/>
          <w:bCs/>
          <w:color w:val="0070C0"/>
          <w:sz w:val="26"/>
          <w:szCs w:val="26"/>
        </w:rPr>
        <w:t>182.000personnes. Le taux de sous-emploi est passé de 9,1% à 11,6%, au niveau national, de 7,8% à 10,5%en milieu urbain et de 10,8% à 13,3% en milieu rural.</w:t>
      </w:r>
    </w:p>
    <w:p w:rsidR="003D1D48" w:rsidRDefault="003D1D48">
      <w:pPr>
        <w:rPr>
          <w:rFonts w:ascii="Book Antiqua" w:eastAsia="Book Antiqua" w:hAnsi="Book Antiqua" w:cs="Book Antiqua"/>
          <w:b/>
          <w:bCs/>
          <w:color w:val="0070C0"/>
          <w:sz w:val="26"/>
          <w:szCs w:val="26"/>
        </w:rPr>
      </w:pPr>
      <w:r>
        <w:rPr>
          <w:rFonts w:ascii="Book Antiqua" w:eastAsia="Book Antiqua" w:hAnsi="Book Antiqua" w:cs="Book Antiqua"/>
          <w:b/>
          <w:bCs/>
          <w:color w:val="0070C0"/>
          <w:sz w:val="26"/>
          <w:szCs w:val="26"/>
        </w:rPr>
        <w:br w:type="page"/>
      </w:r>
    </w:p>
    <w:p w:rsidR="00882371" w:rsidRPr="003D03B0" w:rsidRDefault="00882371" w:rsidP="00882371">
      <w:pPr>
        <w:pStyle w:val="Paragraphedeliste"/>
        <w:numPr>
          <w:ilvl w:val="0"/>
          <w:numId w:val="6"/>
        </w:numPr>
        <w:spacing w:before="240" w:after="240" w:line="312" w:lineRule="auto"/>
        <w:rPr>
          <w:rFonts w:ascii="Book Antiqua" w:eastAsia="Book Antiqua" w:hAnsi="Book Antiqua" w:cs="Book Antiqua"/>
          <w:b/>
          <w:bCs/>
          <w:color w:val="0070C0"/>
          <w:sz w:val="26"/>
          <w:szCs w:val="26"/>
        </w:rPr>
      </w:pPr>
      <w:r w:rsidRPr="003D03B0">
        <w:rPr>
          <w:rFonts w:ascii="Book Antiqua" w:eastAsia="Book Antiqua" w:hAnsi="Book Antiqua" w:cs="Book Antiqua"/>
          <w:b/>
          <w:bCs/>
          <w:color w:val="0070C0"/>
          <w:sz w:val="26"/>
          <w:szCs w:val="26"/>
        </w:rPr>
        <w:lastRenderedPageBreak/>
        <w:t>Activité et emploi</w:t>
      </w:r>
    </w:p>
    <w:p w:rsidR="00AD230E" w:rsidRPr="003D03B0" w:rsidRDefault="00E537B1" w:rsidP="00882371">
      <w:pPr>
        <w:spacing w:before="240" w:after="240" w:line="312" w:lineRule="auto"/>
        <w:rPr>
          <w:rFonts w:ascii="Book Antiqua" w:eastAsia="Book Antiqua" w:hAnsi="Book Antiqua" w:cs="Book Antiqua"/>
          <w:b/>
          <w:bCs/>
          <w:i/>
          <w:iCs/>
          <w:color w:val="0070C0"/>
          <w:sz w:val="26"/>
          <w:szCs w:val="26"/>
        </w:rPr>
      </w:pPr>
      <w:r w:rsidRPr="003D03B0">
        <w:rPr>
          <w:rFonts w:ascii="Book Antiqua" w:eastAsia="Book Antiqua" w:hAnsi="Book Antiqua" w:cs="Book Antiqua"/>
          <w:b/>
          <w:bCs/>
          <w:i/>
          <w:iCs/>
          <w:color w:val="0070C0"/>
          <w:sz w:val="26"/>
          <w:szCs w:val="26"/>
        </w:rPr>
        <w:t>Baisse d</w:t>
      </w:r>
      <w:r w:rsidR="0054373C" w:rsidRPr="003D03B0">
        <w:rPr>
          <w:rFonts w:ascii="Book Antiqua" w:eastAsia="Book Antiqua" w:hAnsi="Book Antiqua" w:cs="Book Antiqua"/>
          <w:b/>
          <w:bCs/>
          <w:i/>
          <w:iCs/>
          <w:color w:val="0070C0"/>
          <w:sz w:val="26"/>
          <w:szCs w:val="26"/>
        </w:rPr>
        <w:t>e</w:t>
      </w:r>
      <w:r w:rsidR="00D56E96">
        <w:rPr>
          <w:rFonts w:ascii="Book Antiqua" w:eastAsia="Book Antiqua" w:hAnsi="Book Antiqua" w:cs="Book Antiqua"/>
          <w:b/>
          <w:bCs/>
          <w:i/>
          <w:iCs/>
          <w:color w:val="0070C0"/>
          <w:sz w:val="26"/>
          <w:szCs w:val="26"/>
        </w:rPr>
        <w:t xml:space="preserve"> </w:t>
      </w:r>
      <w:r w:rsidR="0054373C" w:rsidRPr="003D03B0">
        <w:rPr>
          <w:rFonts w:ascii="Book Antiqua" w:eastAsia="Book Antiqua" w:hAnsi="Book Antiqua" w:cs="Book Antiqua"/>
          <w:b/>
          <w:bCs/>
          <w:i/>
          <w:iCs/>
          <w:color w:val="0070C0"/>
          <w:sz w:val="26"/>
          <w:szCs w:val="26"/>
        </w:rPr>
        <w:t>l</w:t>
      </w:r>
      <w:r w:rsidRPr="003D03B0">
        <w:rPr>
          <w:rFonts w:ascii="Book Antiqua" w:eastAsia="Book Antiqua" w:hAnsi="Book Antiqua" w:cs="Book Antiqua"/>
          <w:b/>
          <w:bCs/>
          <w:i/>
          <w:iCs/>
          <w:color w:val="0070C0"/>
          <w:sz w:val="26"/>
          <w:szCs w:val="26"/>
        </w:rPr>
        <w:t xml:space="preserve">’activité et </w:t>
      </w:r>
      <w:r w:rsidR="00E276F1" w:rsidRPr="003D03B0">
        <w:rPr>
          <w:rFonts w:ascii="Book Antiqua" w:eastAsia="Book Antiqua" w:hAnsi="Book Antiqua" w:cs="Book Antiqua"/>
          <w:b/>
          <w:bCs/>
          <w:i/>
          <w:iCs/>
          <w:color w:val="0070C0"/>
          <w:sz w:val="26"/>
          <w:szCs w:val="26"/>
        </w:rPr>
        <w:t>de l’emploi</w:t>
      </w:r>
    </w:p>
    <w:p w:rsidR="00AD230E" w:rsidRPr="00A821C8" w:rsidRDefault="00E537B1" w:rsidP="0054373C">
      <w:pPr>
        <w:spacing w:before="240" w:after="240" w:line="312" w:lineRule="auto"/>
        <w:jc w:val="both"/>
        <w:rPr>
          <w:rFonts w:ascii="Book Antiqua" w:eastAsia="Book Antiqua" w:hAnsi="Book Antiqua" w:cs="Book Antiqua"/>
          <w:sz w:val="24"/>
          <w:szCs w:val="24"/>
        </w:rPr>
      </w:pPr>
      <w:r w:rsidRPr="00A821C8">
        <w:rPr>
          <w:rFonts w:ascii="Book Antiqua" w:eastAsia="Book Antiqua" w:hAnsi="Book Antiqua" w:cs="Book Antiqua"/>
          <w:sz w:val="24"/>
          <w:szCs w:val="24"/>
        </w:rPr>
        <w:t>Entre le troisième trimestre de 2019 et la même période de 2020, le taux d’activité a baissé, au niveau national, de 44,9% à 43,5%. Il a baissé de 50,8% à 48,0% en milieu rural et de 41,7% à 41,0% en milieu urbain. L’écart entre hommes et femmes a atteint 52,1 points, avec des taux d’activité respectifs de 69,9% et de 17,8%.</w:t>
      </w:r>
    </w:p>
    <w:p w:rsidR="00AD230E" w:rsidRPr="00A821C8" w:rsidRDefault="00E537B1" w:rsidP="0054373C">
      <w:pPr>
        <w:spacing w:before="240" w:after="240" w:line="312" w:lineRule="auto"/>
        <w:jc w:val="both"/>
        <w:rPr>
          <w:rFonts w:ascii="Book Antiqua" w:eastAsia="Book Antiqua" w:hAnsi="Book Antiqua" w:cs="Book Antiqua"/>
          <w:sz w:val="24"/>
          <w:szCs w:val="24"/>
        </w:rPr>
      </w:pPr>
      <w:r w:rsidRPr="00A821C8">
        <w:rPr>
          <w:rFonts w:ascii="Book Antiqua" w:eastAsia="Book Antiqua" w:hAnsi="Book Antiqua" w:cs="Book Antiqua"/>
          <w:sz w:val="24"/>
          <w:szCs w:val="24"/>
        </w:rPr>
        <w:t>De son côté, le taux d’emploi a baissé de 40,7% à 37,9% au niveau national. Ce taux a connu une baisse de 2,1 point</w:t>
      </w:r>
      <w:r w:rsidR="007E563F" w:rsidRPr="00A821C8">
        <w:rPr>
          <w:rFonts w:ascii="Book Antiqua" w:eastAsia="Book Antiqua" w:hAnsi="Book Antiqua" w:cs="Book Antiqua"/>
          <w:sz w:val="24"/>
          <w:szCs w:val="24"/>
        </w:rPr>
        <w:t>s</w:t>
      </w:r>
      <w:r w:rsidRPr="00A821C8">
        <w:rPr>
          <w:rFonts w:ascii="Book Antiqua" w:eastAsia="Book Antiqua" w:hAnsi="Book Antiqua" w:cs="Book Antiqua"/>
          <w:sz w:val="24"/>
          <w:szCs w:val="24"/>
        </w:rPr>
        <w:t xml:space="preserve"> en milieu urbain et de 3,7 point</w:t>
      </w:r>
      <w:r w:rsidR="007E563F" w:rsidRPr="00A821C8">
        <w:rPr>
          <w:rFonts w:ascii="Book Antiqua" w:eastAsia="Book Antiqua" w:hAnsi="Book Antiqua" w:cs="Book Antiqua"/>
          <w:sz w:val="24"/>
          <w:szCs w:val="24"/>
        </w:rPr>
        <w:t>s</w:t>
      </w:r>
      <w:r w:rsidRPr="00A821C8">
        <w:rPr>
          <w:rFonts w:ascii="Book Antiqua" w:eastAsia="Book Antiqua" w:hAnsi="Book Antiqua" w:cs="Book Antiqua"/>
          <w:sz w:val="24"/>
          <w:szCs w:val="24"/>
        </w:rPr>
        <w:t xml:space="preserve"> en milieu rural. L'écart entre hommes et femmes a atteint 47,2 points avec des taux d'emploi respectifs de 61,9% et de 14,7%.</w:t>
      </w:r>
    </w:p>
    <w:p w:rsidR="00AD230E" w:rsidRPr="00A821C8" w:rsidRDefault="00E537B1" w:rsidP="00E017C9">
      <w:pPr>
        <w:spacing w:before="240" w:after="240" w:line="312" w:lineRule="auto"/>
        <w:jc w:val="both"/>
        <w:rPr>
          <w:rFonts w:ascii="Book Antiqua" w:eastAsia="Book Antiqua" w:hAnsi="Book Antiqua" w:cs="Book Antiqua"/>
          <w:sz w:val="24"/>
          <w:szCs w:val="24"/>
        </w:rPr>
      </w:pPr>
      <w:r w:rsidRPr="00A821C8">
        <w:rPr>
          <w:rFonts w:ascii="Book Antiqua" w:eastAsia="Book Antiqua" w:hAnsi="Book Antiqua" w:cs="Book Antiqua"/>
          <w:sz w:val="24"/>
          <w:szCs w:val="24"/>
        </w:rPr>
        <w:t>Le volume de l’emploi a baissé de 581.000</w:t>
      </w:r>
      <w:r w:rsidR="00444563">
        <w:rPr>
          <w:rFonts w:ascii="Book Antiqua" w:eastAsia="Book Antiqua" w:hAnsi="Book Antiqua" w:cs="Book Antiqua"/>
          <w:sz w:val="24"/>
          <w:szCs w:val="24"/>
        </w:rPr>
        <w:t xml:space="preserve"> </w:t>
      </w:r>
      <w:r w:rsidRPr="00A821C8">
        <w:rPr>
          <w:rFonts w:ascii="Book Antiqua" w:eastAsia="Book Antiqua" w:hAnsi="Book Antiqua" w:cs="Book Antiqua"/>
          <w:sz w:val="24"/>
          <w:szCs w:val="24"/>
        </w:rPr>
        <w:t>postes, suite à une perte de 237.000 postes en milieu urbain et une perte de 344.000 en milieu rural. Par type d’emploi, 421.000 emplois rémunérés ont été perdus, résultat d’une perte de 226.000 en milieu urbain et de 195.000 en milie</w:t>
      </w:r>
      <w:r w:rsidR="00E017C9" w:rsidRPr="00A821C8">
        <w:rPr>
          <w:rFonts w:ascii="Book Antiqua" w:eastAsia="Book Antiqua" w:hAnsi="Book Antiqua" w:cs="Book Antiqua"/>
          <w:sz w:val="24"/>
          <w:szCs w:val="24"/>
        </w:rPr>
        <w:t xml:space="preserve">u rural. L’emploi non rémunéré </w:t>
      </w:r>
      <w:r w:rsidRPr="00A821C8">
        <w:rPr>
          <w:rFonts w:ascii="Book Antiqua" w:eastAsia="Book Antiqua" w:hAnsi="Book Antiqua" w:cs="Book Antiqua"/>
          <w:sz w:val="24"/>
          <w:szCs w:val="24"/>
        </w:rPr>
        <w:t>a régressé de 160.000 postes, conséquence d'une perte de 149.000 en zones rurales et de 11.000 emplois en zones urbaines.</w:t>
      </w:r>
    </w:p>
    <w:p w:rsidR="00AD230E" w:rsidRPr="003D1D48" w:rsidRDefault="009126FC" w:rsidP="0054373C">
      <w:pPr>
        <w:spacing w:before="240" w:after="240" w:line="312" w:lineRule="auto"/>
        <w:jc w:val="both"/>
        <w:rPr>
          <w:rFonts w:ascii="Book Antiqua" w:eastAsia="Book Antiqua" w:hAnsi="Book Antiqua" w:cs="Book Antiqua"/>
          <w:b/>
          <w:color w:val="0070C0"/>
          <w:sz w:val="20"/>
          <w:szCs w:val="20"/>
        </w:rPr>
      </w:pPr>
      <w:r w:rsidRPr="003D1D48">
        <w:rPr>
          <w:rFonts w:ascii="Book Antiqua" w:eastAsia="Book Antiqua" w:hAnsi="Book Antiqua" w:cs="Book Antiqua"/>
          <w:b/>
          <w:color w:val="0070C0"/>
          <w:sz w:val="20"/>
          <w:szCs w:val="20"/>
        </w:rPr>
        <w:t>Figure 1 : Variation</w:t>
      </w:r>
      <w:r w:rsidR="00E537B1" w:rsidRPr="003D1D48">
        <w:rPr>
          <w:rFonts w:ascii="Book Antiqua" w:eastAsia="Book Antiqua" w:hAnsi="Book Antiqua" w:cs="Book Antiqua"/>
          <w:b/>
          <w:color w:val="0070C0"/>
          <w:sz w:val="20"/>
          <w:szCs w:val="20"/>
        </w:rPr>
        <w:t xml:space="preserve"> nette d’emploi entre le troisième trimestre de 2019 et celui de 2020 selon le milieu de résidence</w:t>
      </w:r>
    </w:p>
    <w:p w:rsidR="00AD230E" w:rsidRPr="00873E0F" w:rsidRDefault="009D3A84" w:rsidP="0054373C">
      <w:pPr>
        <w:spacing w:before="240" w:after="240" w:line="312" w:lineRule="auto"/>
        <w:jc w:val="center"/>
        <w:rPr>
          <w:rFonts w:ascii="Book Antiqua" w:eastAsia="Book Antiqua" w:hAnsi="Book Antiqua" w:cs="Book Antiqua"/>
          <w:color w:val="0070C0"/>
          <w:sz w:val="24"/>
          <w:szCs w:val="24"/>
        </w:rPr>
      </w:pPr>
      <w:r w:rsidRPr="00873E0F">
        <w:rPr>
          <w:rFonts w:ascii="Book Antiqua" w:eastAsia="Book Antiqua" w:hAnsi="Book Antiqua" w:cs="Book Antiqua"/>
          <w:noProof/>
          <w:color w:val="0070C0"/>
          <w:sz w:val="24"/>
          <w:szCs w:val="24"/>
        </w:rPr>
        <w:drawing>
          <wp:inline distT="0" distB="0" distL="0" distR="0">
            <wp:extent cx="5334000" cy="2209800"/>
            <wp:effectExtent l="0" t="0" r="0" b="0"/>
            <wp:docPr id="1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D3A84" w:rsidRPr="00873E0F" w:rsidRDefault="009D3A84" w:rsidP="0054373C">
      <w:pPr>
        <w:spacing w:before="240" w:after="240" w:line="312" w:lineRule="auto"/>
        <w:rPr>
          <w:rFonts w:ascii="Book Antiqua" w:eastAsia="Book Antiqua" w:hAnsi="Book Antiqua" w:cs="Book Antiqua"/>
          <w:b/>
          <w:color w:val="0070C0"/>
          <w:sz w:val="24"/>
          <w:szCs w:val="24"/>
        </w:rPr>
      </w:pPr>
      <w:r w:rsidRPr="00873E0F">
        <w:rPr>
          <w:rFonts w:ascii="Book Antiqua" w:eastAsia="Book Antiqua" w:hAnsi="Book Antiqua" w:cs="Book Antiqua"/>
          <w:b/>
          <w:color w:val="0070C0"/>
          <w:sz w:val="24"/>
          <w:szCs w:val="24"/>
        </w:rPr>
        <w:br w:type="page"/>
      </w:r>
    </w:p>
    <w:p w:rsidR="0054373C" w:rsidRPr="00DA2A9E" w:rsidRDefault="0054373C" w:rsidP="005826CA">
      <w:pPr>
        <w:spacing w:before="240" w:after="240" w:line="312" w:lineRule="auto"/>
        <w:rPr>
          <w:rFonts w:ascii="Book Antiqua" w:eastAsia="Book Antiqua" w:hAnsi="Book Antiqua" w:cs="Book Antiqua"/>
          <w:b/>
          <w:bCs/>
          <w:i/>
          <w:iCs/>
          <w:color w:val="0070C0"/>
          <w:sz w:val="26"/>
          <w:szCs w:val="26"/>
        </w:rPr>
      </w:pPr>
      <w:r w:rsidRPr="003D03B0">
        <w:rPr>
          <w:rFonts w:ascii="Book Antiqua" w:eastAsia="Book Antiqua" w:hAnsi="Book Antiqua" w:cs="Book Antiqua"/>
          <w:b/>
          <w:bCs/>
          <w:i/>
          <w:iCs/>
          <w:color w:val="0070C0"/>
          <w:sz w:val="26"/>
          <w:szCs w:val="26"/>
        </w:rPr>
        <w:lastRenderedPageBreak/>
        <w:t>Perte d</w:t>
      </w:r>
      <w:r w:rsidR="003D03B0">
        <w:rPr>
          <w:rFonts w:ascii="Book Antiqua" w:eastAsia="Book Antiqua" w:hAnsi="Book Antiqua" w:cs="Book Antiqua"/>
          <w:b/>
          <w:bCs/>
          <w:i/>
          <w:iCs/>
          <w:color w:val="0070C0"/>
          <w:sz w:val="26"/>
          <w:szCs w:val="26"/>
        </w:rPr>
        <w:t>e l</w:t>
      </w:r>
      <w:r w:rsidRPr="003D03B0">
        <w:rPr>
          <w:rFonts w:ascii="Book Antiqua" w:eastAsia="Book Antiqua" w:hAnsi="Book Antiqua" w:cs="Book Antiqua"/>
          <w:b/>
          <w:bCs/>
          <w:i/>
          <w:iCs/>
          <w:color w:val="0070C0"/>
          <w:sz w:val="26"/>
          <w:szCs w:val="26"/>
        </w:rPr>
        <w:t xml:space="preserve">’emploi dans </w:t>
      </w:r>
      <w:r w:rsidR="005826CA" w:rsidRPr="003D03B0">
        <w:rPr>
          <w:rFonts w:ascii="Book Antiqua" w:eastAsia="Book Antiqua" w:hAnsi="Book Antiqua" w:cs="Book Antiqua"/>
          <w:b/>
          <w:bCs/>
          <w:i/>
          <w:iCs/>
          <w:color w:val="0070C0"/>
          <w:sz w:val="26"/>
          <w:szCs w:val="26"/>
        </w:rPr>
        <w:t>tous les secteurs</w:t>
      </w:r>
      <w:r w:rsidR="00DA2A9E">
        <w:rPr>
          <w:rFonts w:ascii="Book Antiqua" w:eastAsia="Book Antiqua" w:hAnsi="Book Antiqua" w:cs="Book Antiqua"/>
          <w:b/>
          <w:bCs/>
          <w:i/>
          <w:iCs/>
          <w:color w:val="0070C0"/>
          <w:sz w:val="26"/>
          <w:szCs w:val="26"/>
        </w:rPr>
        <w:t xml:space="preserve"> et </w:t>
      </w:r>
      <w:r w:rsidR="00DA2A9E" w:rsidRPr="00DA2A9E">
        <w:rPr>
          <w:rFonts w:ascii="Book Antiqua" w:eastAsia="Book Antiqua" w:hAnsi="Book Antiqua" w:cs="Book Antiqua"/>
          <w:b/>
          <w:bCs/>
          <w:i/>
          <w:iCs/>
          <w:color w:val="0070C0"/>
          <w:sz w:val="26"/>
          <w:szCs w:val="26"/>
        </w:rPr>
        <w:t>stagnation dans les BTP</w:t>
      </w:r>
      <w:r w:rsidR="00DA2A9E">
        <w:rPr>
          <w:rFonts w:ascii="Book Antiqua" w:eastAsia="Book Antiqua" w:hAnsi="Book Antiqua" w:cs="Book Antiqua"/>
          <w:b/>
          <w:bCs/>
          <w:i/>
          <w:iCs/>
          <w:color w:val="0070C0"/>
          <w:sz w:val="26"/>
          <w:szCs w:val="26"/>
        </w:rPr>
        <w:t xml:space="preserve"> </w:t>
      </w:r>
    </w:p>
    <w:p w:rsidR="00695586" w:rsidRPr="00A821C8" w:rsidRDefault="00E537B1" w:rsidP="0054373C">
      <w:pPr>
        <w:spacing w:before="240" w:after="240" w:line="312" w:lineRule="auto"/>
        <w:jc w:val="both"/>
        <w:rPr>
          <w:rFonts w:ascii="Book Antiqua" w:eastAsia="Book Antiqua" w:hAnsi="Book Antiqua" w:cs="Book Antiqua"/>
          <w:sz w:val="24"/>
          <w:szCs w:val="24"/>
        </w:rPr>
      </w:pPr>
      <w:r w:rsidRPr="00A821C8">
        <w:rPr>
          <w:rFonts w:ascii="Book Antiqua" w:eastAsia="Book Antiqua" w:hAnsi="Book Antiqua" w:cs="Book Antiqua"/>
          <w:sz w:val="24"/>
          <w:szCs w:val="24"/>
        </w:rPr>
        <w:t xml:space="preserve">Entre le troisième trimestre de 2019 et celui de 2020, le secteur des "services" a perdu 260.000 postes d’emploi au niveau national (196.000 en milieu urbain et 64.000 en milieu rural), enregistrant une baisse de 5,2% de l’emploi dans ce secteur. </w:t>
      </w:r>
    </w:p>
    <w:p w:rsidR="00AD230E" w:rsidRPr="00A821C8" w:rsidRDefault="00E537B1" w:rsidP="0054373C">
      <w:pPr>
        <w:spacing w:before="240" w:after="240" w:line="312" w:lineRule="auto"/>
        <w:jc w:val="both"/>
        <w:rPr>
          <w:rFonts w:ascii="Book Antiqua" w:eastAsia="Book Antiqua" w:hAnsi="Book Antiqua" w:cs="Book Antiqua"/>
          <w:sz w:val="24"/>
          <w:szCs w:val="24"/>
        </w:rPr>
      </w:pPr>
      <w:r w:rsidRPr="00A821C8">
        <w:rPr>
          <w:rFonts w:ascii="Book Antiqua" w:eastAsia="Book Antiqua" w:hAnsi="Book Antiqua" w:cs="Book Antiqua"/>
          <w:sz w:val="24"/>
          <w:szCs w:val="24"/>
        </w:rPr>
        <w:t>Le secteur de l’</w:t>
      </w:r>
      <w:r w:rsidR="00BE14B6" w:rsidRPr="00A821C8">
        <w:rPr>
          <w:rFonts w:ascii="Book Antiqua" w:eastAsia="Book Antiqua" w:hAnsi="Book Antiqua" w:cs="Book Antiqua"/>
          <w:sz w:val="24"/>
          <w:szCs w:val="24"/>
        </w:rPr>
        <w:t>"</w:t>
      </w:r>
      <w:r w:rsidRPr="00A821C8">
        <w:rPr>
          <w:rFonts w:ascii="Book Antiqua" w:eastAsia="Book Antiqua" w:hAnsi="Book Antiqua" w:cs="Book Antiqua"/>
          <w:sz w:val="24"/>
          <w:szCs w:val="24"/>
        </w:rPr>
        <w:t>agriculture forêt et pêche" a perdu 258.000 postes d'emploi, résultat d’une perte de 260.000 en milieu rural et d’une création de 2.000 en milieu urbain.</w:t>
      </w:r>
    </w:p>
    <w:p w:rsidR="009D3A84" w:rsidRPr="00A821C8" w:rsidRDefault="00E537B1" w:rsidP="005C72EA">
      <w:pPr>
        <w:spacing w:before="240" w:after="240" w:line="312" w:lineRule="auto"/>
        <w:jc w:val="both"/>
        <w:rPr>
          <w:rFonts w:ascii="Book Antiqua" w:eastAsia="Book Antiqua" w:hAnsi="Book Antiqua" w:cs="Book Antiqua"/>
          <w:sz w:val="24"/>
          <w:szCs w:val="24"/>
        </w:rPr>
      </w:pPr>
      <w:r w:rsidRPr="00A821C8">
        <w:rPr>
          <w:rFonts w:ascii="Book Antiqua" w:eastAsia="Book Antiqua" w:hAnsi="Book Antiqua" w:cs="Book Antiqua"/>
          <w:sz w:val="24"/>
          <w:szCs w:val="24"/>
        </w:rPr>
        <w:t>Le secteur de</w:t>
      </w:r>
      <w:r w:rsidR="00975FF2">
        <w:rPr>
          <w:rFonts w:ascii="Book Antiqua" w:eastAsia="Book Antiqua" w:hAnsi="Book Antiqua" w:cs="Book Antiqua"/>
          <w:sz w:val="24"/>
          <w:szCs w:val="24"/>
        </w:rPr>
        <w:t xml:space="preserve"> </w:t>
      </w:r>
      <w:r w:rsidRPr="00A821C8">
        <w:rPr>
          <w:rFonts w:ascii="Book Antiqua" w:eastAsia="Book Antiqua" w:hAnsi="Book Antiqua" w:cs="Book Antiqua"/>
          <w:sz w:val="24"/>
          <w:szCs w:val="24"/>
        </w:rPr>
        <w:t>l</w:t>
      </w:r>
      <w:r w:rsidR="00BE14B6" w:rsidRPr="00A821C8">
        <w:rPr>
          <w:rFonts w:ascii="Book Antiqua" w:eastAsia="Book Antiqua" w:hAnsi="Book Antiqua" w:cs="Book Antiqua"/>
          <w:sz w:val="24"/>
          <w:szCs w:val="24"/>
        </w:rPr>
        <w:t>’"</w:t>
      </w:r>
      <w:r w:rsidRPr="00A821C8">
        <w:rPr>
          <w:rFonts w:ascii="Book Antiqua" w:eastAsia="Book Antiqua" w:hAnsi="Book Antiqua" w:cs="Book Antiqua"/>
          <w:sz w:val="24"/>
          <w:szCs w:val="24"/>
        </w:rPr>
        <w:t>industrie y compris l’artisanat" a perdu 61.000 postes, 44.000 en milieu urbain et 17.000 en milieu rural, ce qui correspond à une baisse de 4,8% du volume de l'emploi dans ce secteur.</w:t>
      </w:r>
    </w:p>
    <w:p w:rsidR="00E017C9" w:rsidRPr="00A821C8" w:rsidRDefault="00E017C9" w:rsidP="007E563F">
      <w:pPr>
        <w:spacing w:before="240" w:after="240" w:line="312" w:lineRule="auto"/>
        <w:jc w:val="both"/>
        <w:rPr>
          <w:rFonts w:ascii="Book Antiqua" w:eastAsia="Book Antiqua" w:hAnsi="Book Antiqua" w:cs="Book Antiqua"/>
          <w:sz w:val="24"/>
          <w:szCs w:val="24"/>
        </w:rPr>
      </w:pPr>
      <w:r w:rsidRPr="00A821C8">
        <w:rPr>
          <w:rFonts w:ascii="Book Antiqua" w:eastAsia="Book Antiqua" w:hAnsi="Book Antiqua" w:cs="Book Antiqua"/>
          <w:sz w:val="24"/>
          <w:szCs w:val="24"/>
        </w:rPr>
        <w:t xml:space="preserve">Le secteur des BTP a créé 1.000 postes d’emploi, résultat d’une création de 2.000 postes en milieu urbain et </w:t>
      </w:r>
      <w:r w:rsidR="007E563F" w:rsidRPr="00A821C8">
        <w:rPr>
          <w:rFonts w:ascii="Book Antiqua" w:eastAsia="Book Antiqua" w:hAnsi="Book Antiqua" w:cs="Book Antiqua"/>
          <w:sz w:val="24"/>
          <w:szCs w:val="24"/>
        </w:rPr>
        <w:t xml:space="preserve">d’une </w:t>
      </w:r>
      <w:r w:rsidRPr="00A821C8">
        <w:rPr>
          <w:rFonts w:ascii="Book Antiqua" w:eastAsia="Book Antiqua" w:hAnsi="Book Antiqua" w:cs="Book Antiqua"/>
          <w:sz w:val="24"/>
          <w:szCs w:val="24"/>
        </w:rPr>
        <w:t>perte de 1.000 en milieu rural, enregistrant une stagnation du volume d’emploi dans ce secteur.</w:t>
      </w:r>
    </w:p>
    <w:p w:rsidR="00AD230E" w:rsidRPr="003D1D48" w:rsidRDefault="009D3A84" w:rsidP="009126FC">
      <w:pPr>
        <w:spacing w:before="240" w:after="240" w:line="312" w:lineRule="auto"/>
        <w:rPr>
          <w:rFonts w:ascii="Book Antiqua" w:eastAsia="Book Antiqua" w:hAnsi="Book Antiqua" w:cs="Book Antiqua"/>
          <w:b/>
          <w:color w:val="0070C0"/>
          <w:sz w:val="20"/>
          <w:szCs w:val="20"/>
        </w:rPr>
      </w:pPr>
      <w:r w:rsidRPr="003D1D48">
        <w:rPr>
          <w:rFonts w:ascii="Book Antiqua" w:eastAsia="Book Antiqua" w:hAnsi="Book Antiqua" w:cs="Book Antiqua"/>
          <w:b/>
          <w:color w:val="0070C0"/>
          <w:sz w:val="20"/>
          <w:szCs w:val="20"/>
        </w:rPr>
        <w:t>Figure</w:t>
      </w:r>
      <w:r w:rsidR="00E537B1" w:rsidRPr="003D1D48">
        <w:rPr>
          <w:rFonts w:ascii="Book Antiqua" w:eastAsia="Book Antiqua" w:hAnsi="Book Antiqua" w:cs="Book Antiqua"/>
          <w:b/>
          <w:color w:val="0070C0"/>
          <w:sz w:val="20"/>
          <w:szCs w:val="20"/>
        </w:rPr>
        <w:t xml:space="preserve"> 2</w:t>
      </w:r>
      <w:r w:rsidR="006D72D4" w:rsidRPr="003D1D48">
        <w:rPr>
          <w:rFonts w:ascii="Book Antiqua" w:eastAsia="Book Antiqua" w:hAnsi="Book Antiqua" w:cs="Book Antiqua"/>
          <w:b/>
          <w:color w:val="0070C0"/>
          <w:sz w:val="20"/>
          <w:szCs w:val="20"/>
        </w:rPr>
        <w:t xml:space="preserve"> : </w:t>
      </w:r>
      <w:r w:rsidR="009126FC" w:rsidRPr="003D1D48">
        <w:rPr>
          <w:rFonts w:ascii="Book Antiqua" w:eastAsia="Book Antiqua" w:hAnsi="Book Antiqua" w:cs="Book Antiqua"/>
          <w:b/>
          <w:color w:val="0070C0"/>
          <w:sz w:val="20"/>
          <w:szCs w:val="20"/>
        </w:rPr>
        <w:t>Variation</w:t>
      </w:r>
      <w:r w:rsidR="00E537B1" w:rsidRPr="003D1D48">
        <w:rPr>
          <w:rFonts w:ascii="Book Antiqua" w:eastAsia="Book Antiqua" w:hAnsi="Book Antiqua" w:cs="Book Antiqua"/>
          <w:b/>
          <w:color w:val="0070C0"/>
          <w:sz w:val="20"/>
          <w:szCs w:val="20"/>
        </w:rPr>
        <w:t xml:space="preserve"> nette d’emploi entre le troisième trimestre de 2019 et celui de 2020 par secteur d’activité économique et milieu de résidence</w:t>
      </w:r>
      <w:r w:rsidR="00097E88" w:rsidRPr="003D1D48">
        <w:rPr>
          <w:rStyle w:val="Appelnotedebasdep"/>
          <w:rFonts w:ascii="Book Antiqua" w:eastAsia="Book Antiqua" w:hAnsi="Book Antiqua" w:cs="Book Antiqua"/>
          <w:b/>
          <w:color w:val="0070C0"/>
          <w:sz w:val="20"/>
          <w:szCs w:val="20"/>
        </w:rPr>
        <w:footnoteReference w:id="1"/>
      </w:r>
    </w:p>
    <w:p w:rsidR="00882371" w:rsidRDefault="00904E9B" w:rsidP="0054373C">
      <w:pPr>
        <w:spacing w:before="240" w:after="240" w:line="312" w:lineRule="auto"/>
        <w:rPr>
          <w:rFonts w:ascii="Book Antiqua" w:eastAsia="Book Antiqua" w:hAnsi="Book Antiqua" w:cs="Book Antiqua"/>
          <w:b/>
          <w:color w:val="0070C0"/>
          <w:sz w:val="24"/>
          <w:szCs w:val="24"/>
        </w:rPr>
      </w:pPr>
      <w:r>
        <w:rPr>
          <w:noProof/>
        </w:rPr>
        <w:drawing>
          <wp:inline distT="0" distB="0" distL="0" distR="0">
            <wp:extent cx="5733415" cy="2800350"/>
            <wp:effectExtent l="0" t="0" r="0" b="0"/>
            <wp:docPr id="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82371" w:rsidRDefault="00882371">
      <w:pPr>
        <w:rPr>
          <w:rFonts w:ascii="Book Antiqua" w:eastAsia="Book Antiqua" w:hAnsi="Book Antiqua" w:cs="Book Antiqua"/>
          <w:b/>
          <w:color w:val="0070C0"/>
          <w:sz w:val="24"/>
          <w:szCs w:val="24"/>
        </w:rPr>
      </w:pPr>
      <w:r>
        <w:rPr>
          <w:rFonts w:ascii="Book Antiqua" w:eastAsia="Book Antiqua" w:hAnsi="Book Antiqua" w:cs="Book Antiqua"/>
          <w:b/>
          <w:color w:val="0070C0"/>
          <w:sz w:val="24"/>
          <w:szCs w:val="24"/>
        </w:rPr>
        <w:br w:type="page"/>
      </w:r>
    </w:p>
    <w:p w:rsidR="00CF600A" w:rsidRPr="003D03B0" w:rsidRDefault="00CF600A" w:rsidP="003D03B0">
      <w:pPr>
        <w:pStyle w:val="Paragraphedeliste"/>
        <w:numPr>
          <w:ilvl w:val="0"/>
          <w:numId w:val="6"/>
        </w:numPr>
        <w:spacing w:before="240" w:after="240" w:line="312" w:lineRule="auto"/>
        <w:rPr>
          <w:rFonts w:ascii="Book Antiqua" w:eastAsia="Book Antiqua" w:hAnsi="Book Antiqua" w:cs="Book Antiqua"/>
          <w:b/>
          <w:bCs/>
          <w:color w:val="0070C0"/>
          <w:sz w:val="26"/>
          <w:szCs w:val="26"/>
        </w:rPr>
      </w:pPr>
      <w:r w:rsidRPr="003D03B0">
        <w:rPr>
          <w:rFonts w:ascii="Book Antiqua" w:eastAsia="Book Antiqua" w:hAnsi="Book Antiqua" w:cs="Book Antiqua"/>
          <w:b/>
          <w:bCs/>
          <w:color w:val="0070C0"/>
          <w:sz w:val="26"/>
          <w:szCs w:val="26"/>
        </w:rPr>
        <w:lastRenderedPageBreak/>
        <w:t>Chômage et sous-emploi</w:t>
      </w:r>
    </w:p>
    <w:p w:rsidR="00695586" w:rsidRPr="003D03B0" w:rsidRDefault="00DB3BCC" w:rsidP="003D03B0">
      <w:pPr>
        <w:spacing w:before="240" w:after="240" w:line="312" w:lineRule="auto"/>
        <w:rPr>
          <w:rFonts w:ascii="Book Antiqua" w:eastAsia="Book Antiqua" w:hAnsi="Book Antiqua" w:cs="Book Antiqua"/>
          <w:b/>
          <w:bCs/>
          <w:i/>
          <w:iCs/>
          <w:color w:val="0070C0"/>
          <w:sz w:val="26"/>
          <w:szCs w:val="26"/>
        </w:rPr>
      </w:pPr>
      <w:r w:rsidRPr="003D03B0">
        <w:rPr>
          <w:rFonts w:ascii="Book Antiqua" w:eastAsia="Book Antiqua" w:hAnsi="Book Antiqua" w:cs="Book Antiqua"/>
          <w:b/>
          <w:bCs/>
          <w:i/>
          <w:iCs/>
          <w:color w:val="0070C0"/>
          <w:sz w:val="26"/>
          <w:szCs w:val="26"/>
        </w:rPr>
        <w:t>Hausse du chômage</w:t>
      </w:r>
      <w:r w:rsidR="00695586" w:rsidRPr="003D03B0">
        <w:rPr>
          <w:rFonts w:ascii="Book Antiqua" w:eastAsia="Book Antiqua" w:hAnsi="Book Antiqua" w:cs="Book Antiqua"/>
          <w:b/>
          <w:bCs/>
          <w:i/>
          <w:iCs/>
          <w:color w:val="0070C0"/>
          <w:sz w:val="26"/>
          <w:szCs w:val="26"/>
        </w:rPr>
        <w:t xml:space="preserve"> et du sous-emploi </w:t>
      </w:r>
    </w:p>
    <w:p w:rsidR="00DB3BCC" w:rsidRPr="00A821C8" w:rsidRDefault="00DB3BCC" w:rsidP="00DD6F1F">
      <w:pPr>
        <w:spacing w:before="240" w:after="240" w:line="312" w:lineRule="auto"/>
        <w:jc w:val="both"/>
        <w:rPr>
          <w:rFonts w:ascii="Book Antiqua" w:hAnsi="Book Antiqua" w:cs="Times New Roman"/>
          <w:sz w:val="24"/>
          <w:szCs w:val="24"/>
        </w:rPr>
      </w:pPr>
      <w:r w:rsidRPr="00A821C8">
        <w:rPr>
          <w:rFonts w:ascii="Book Antiqua" w:hAnsi="Book Antiqua" w:cs="Times New Roman"/>
          <w:sz w:val="24"/>
          <w:szCs w:val="24"/>
        </w:rPr>
        <w:t>Le nombre de chômeurs a augmenté de 368.000 personnes entre le troisième trimestre de l’année 2019 et celui de 2020, passant de 1.114.000 à 1.482.000 chômeurs, ce qui correspond à une augmentation de 33</w:t>
      </w:r>
      <w:r w:rsidR="00EF27A3" w:rsidRPr="00A821C8">
        <w:rPr>
          <w:rFonts w:ascii="Book Antiqua" w:hAnsi="Book Antiqua" w:cs="Times New Roman"/>
          <w:sz w:val="24"/>
          <w:szCs w:val="24"/>
        </w:rPr>
        <w:t>%. C</w:t>
      </w:r>
      <w:r w:rsidRPr="00A821C8">
        <w:rPr>
          <w:rFonts w:ascii="Book Antiqua" w:hAnsi="Book Antiqua" w:cs="Times New Roman"/>
          <w:sz w:val="24"/>
          <w:szCs w:val="24"/>
        </w:rPr>
        <w:t>ette hausse étant le résultat d’une augmentation de 276.000 chômeurs en milieu urbain et de 9</w:t>
      </w:r>
      <w:r w:rsidR="00DD6F1F">
        <w:rPr>
          <w:rFonts w:ascii="Book Antiqua" w:hAnsi="Book Antiqua" w:cs="Times New Roman"/>
          <w:sz w:val="24"/>
          <w:szCs w:val="24"/>
        </w:rPr>
        <w:t>2</w:t>
      </w:r>
      <w:r w:rsidRPr="00A821C8">
        <w:rPr>
          <w:rFonts w:ascii="Book Antiqua" w:hAnsi="Book Antiqua" w:cs="Times New Roman"/>
          <w:sz w:val="24"/>
          <w:szCs w:val="24"/>
        </w:rPr>
        <w:t>.000 en milieu rural.</w:t>
      </w:r>
    </w:p>
    <w:p w:rsidR="00DB3BCC" w:rsidRPr="00A821C8" w:rsidRDefault="00DB3BCC" w:rsidP="00DD6F1F">
      <w:pPr>
        <w:spacing w:before="240" w:after="240" w:line="312" w:lineRule="auto"/>
        <w:jc w:val="both"/>
        <w:rPr>
          <w:rFonts w:ascii="Book Antiqua" w:hAnsi="Book Antiqua" w:cs="Times New Roman"/>
          <w:sz w:val="24"/>
          <w:szCs w:val="24"/>
        </w:rPr>
      </w:pPr>
      <w:r w:rsidRPr="00A821C8">
        <w:rPr>
          <w:rFonts w:ascii="Book Antiqua" w:hAnsi="Book Antiqua" w:cs="Times New Roman"/>
          <w:sz w:val="24"/>
          <w:szCs w:val="24"/>
        </w:rPr>
        <w:t>Le taux de chômage s’est accru de 3,3 points entre les troisièmes trimestres de 2019 et de 2020, passant de 9,4% à 12,7%. Il a enregistré une forte hausse aussi bien en milieu rural qu'en milieu urbain, passant respectivement de 4,5% à 6,8% et de 12,7% à 16,5%. Il a également enregistré une forte hausse parmi les femmes, de 13,9% à 17,6%</w:t>
      </w:r>
      <w:r w:rsidR="00EF27A3" w:rsidRPr="00A821C8">
        <w:rPr>
          <w:rFonts w:ascii="Book Antiqua" w:hAnsi="Book Antiqua" w:cs="Times New Roman"/>
          <w:sz w:val="24"/>
          <w:szCs w:val="24"/>
        </w:rPr>
        <w:t xml:space="preserve"> et parmi</w:t>
      </w:r>
      <w:r w:rsidRPr="00A821C8">
        <w:rPr>
          <w:rFonts w:ascii="Book Antiqua" w:hAnsi="Book Antiqua" w:cs="Times New Roman"/>
          <w:sz w:val="24"/>
          <w:szCs w:val="24"/>
        </w:rPr>
        <w:t> </w:t>
      </w:r>
      <w:r w:rsidR="00EF27A3" w:rsidRPr="00A821C8">
        <w:rPr>
          <w:rFonts w:ascii="Book Antiqua" w:hAnsi="Book Antiqua" w:cs="Times New Roman"/>
          <w:sz w:val="24"/>
          <w:szCs w:val="24"/>
        </w:rPr>
        <w:t>les hommes, de 8,0% à 11,4%</w:t>
      </w:r>
      <w:r w:rsidR="00750998">
        <w:rPr>
          <w:rFonts w:ascii="Book Antiqua" w:hAnsi="Book Antiqua" w:cs="Times New Roman"/>
          <w:sz w:val="24"/>
          <w:szCs w:val="24"/>
        </w:rPr>
        <w:t>.</w:t>
      </w:r>
      <w:r w:rsidR="00EF27A3" w:rsidRPr="00A821C8">
        <w:rPr>
          <w:rFonts w:ascii="Book Antiqua" w:hAnsi="Book Antiqua" w:cs="Times New Roman"/>
          <w:sz w:val="24"/>
          <w:szCs w:val="24"/>
        </w:rPr>
        <w:t xml:space="preserve"> Il a</w:t>
      </w:r>
      <w:r w:rsidRPr="00A821C8">
        <w:rPr>
          <w:rFonts w:ascii="Book Antiqua" w:hAnsi="Book Antiqua" w:cs="Times New Roman"/>
          <w:sz w:val="24"/>
          <w:szCs w:val="24"/>
        </w:rPr>
        <w:t xml:space="preserve"> connu une </w:t>
      </w:r>
      <w:r w:rsidR="00DD6F1F">
        <w:rPr>
          <w:rFonts w:ascii="Book Antiqua" w:hAnsi="Book Antiqua" w:cs="Times New Roman"/>
          <w:sz w:val="24"/>
          <w:szCs w:val="24"/>
        </w:rPr>
        <w:t>forte augmentation</w:t>
      </w:r>
      <w:r w:rsidR="00D56E96">
        <w:rPr>
          <w:rFonts w:ascii="Book Antiqua" w:hAnsi="Book Antiqua" w:cs="Times New Roman"/>
          <w:sz w:val="24"/>
          <w:szCs w:val="24"/>
        </w:rPr>
        <w:t xml:space="preserve"> </w:t>
      </w:r>
      <w:r w:rsidR="00DD6F1F" w:rsidRPr="00A821C8">
        <w:rPr>
          <w:rFonts w:ascii="Book Antiqua" w:hAnsi="Book Antiqua" w:cs="Times New Roman"/>
          <w:sz w:val="24"/>
          <w:szCs w:val="24"/>
        </w:rPr>
        <w:t xml:space="preserve">parmi les jeunes âgés de 15 à 24 ans </w:t>
      </w:r>
      <w:r w:rsidR="00DD6F1F">
        <w:rPr>
          <w:rFonts w:ascii="Book Antiqua" w:hAnsi="Book Antiqua" w:cs="Times New Roman"/>
          <w:sz w:val="24"/>
          <w:szCs w:val="24"/>
        </w:rPr>
        <w:t>(</w:t>
      </w:r>
      <w:r w:rsidRPr="00A821C8">
        <w:rPr>
          <w:rFonts w:ascii="Book Antiqua" w:hAnsi="Book Antiqua" w:cs="Times New Roman"/>
          <w:sz w:val="24"/>
          <w:szCs w:val="24"/>
        </w:rPr>
        <w:t>5,7 points</w:t>
      </w:r>
      <w:r w:rsidR="00DD6F1F">
        <w:rPr>
          <w:rFonts w:ascii="Book Antiqua" w:hAnsi="Book Antiqua" w:cs="Times New Roman"/>
          <w:sz w:val="24"/>
          <w:szCs w:val="24"/>
        </w:rPr>
        <w:t>)</w:t>
      </w:r>
      <w:r w:rsidRPr="00A821C8">
        <w:rPr>
          <w:rFonts w:ascii="Book Antiqua" w:hAnsi="Book Antiqua" w:cs="Times New Roman"/>
          <w:sz w:val="24"/>
          <w:szCs w:val="24"/>
        </w:rPr>
        <w:t>, passant de 26,7% à 32,3%.</w:t>
      </w:r>
    </w:p>
    <w:p w:rsidR="00BD5FDC" w:rsidRPr="00A821C8" w:rsidRDefault="00BD5FDC" w:rsidP="0054373C">
      <w:pPr>
        <w:autoSpaceDE w:val="0"/>
        <w:autoSpaceDN w:val="0"/>
        <w:adjustRightInd w:val="0"/>
        <w:spacing w:before="240" w:after="240" w:line="312" w:lineRule="auto"/>
        <w:jc w:val="both"/>
        <w:rPr>
          <w:rFonts w:ascii="Book Antiqua" w:hAnsi="Book Antiqua" w:cs="Times New Roman"/>
          <w:sz w:val="24"/>
          <w:szCs w:val="24"/>
        </w:rPr>
      </w:pPr>
      <w:r w:rsidRPr="00A821C8">
        <w:rPr>
          <w:rFonts w:ascii="Book Antiqua" w:hAnsi="Book Antiqua" w:cs="Times New Roman"/>
          <w:sz w:val="24"/>
          <w:szCs w:val="24"/>
        </w:rPr>
        <w:t xml:space="preserve">Le taux de chômage des diplômés a, de son côté, enregistré une hausse de 3,2 points, passant de 15,5% à 18,7%. </w:t>
      </w:r>
    </w:p>
    <w:p w:rsidR="00DB3BCC" w:rsidRPr="003D1D48" w:rsidRDefault="006D72D4" w:rsidP="001E3D7A">
      <w:pPr>
        <w:spacing w:before="240" w:after="240" w:line="312" w:lineRule="auto"/>
        <w:jc w:val="both"/>
        <w:rPr>
          <w:rFonts w:ascii="Book Antiqua" w:eastAsia="Book Antiqua" w:hAnsi="Book Antiqua" w:cs="Book Antiqua"/>
          <w:b/>
          <w:color w:val="0070C0"/>
          <w:sz w:val="20"/>
          <w:szCs w:val="20"/>
        </w:rPr>
      </w:pPr>
      <w:r w:rsidRPr="003D1D48">
        <w:rPr>
          <w:rFonts w:ascii="Book Antiqua" w:eastAsia="Book Antiqua" w:hAnsi="Book Antiqua" w:cs="Book Antiqua"/>
          <w:b/>
          <w:color w:val="0070C0"/>
          <w:sz w:val="20"/>
          <w:szCs w:val="20"/>
        </w:rPr>
        <w:t>Figure 3</w:t>
      </w:r>
      <w:r w:rsidR="00882371" w:rsidRPr="003D1D48">
        <w:rPr>
          <w:rFonts w:ascii="Book Antiqua" w:eastAsia="Book Antiqua" w:hAnsi="Book Antiqua" w:cs="Book Antiqua"/>
          <w:b/>
          <w:color w:val="0070C0"/>
          <w:sz w:val="20"/>
          <w:szCs w:val="20"/>
        </w:rPr>
        <w:t> :</w:t>
      </w:r>
      <w:r w:rsidR="00DB3BCC" w:rsidRPr="003D1D48">
        <w:rPr>
          <w:rFonts w:ascii="Book Antiqua" w:eastAsia="Book Antiqua" w:hAnsi="Book Antiqua" w:cs="Book Antiqua"/>
          <w:b/>
          <w:color w:val="0070C0"/>
          <w:sz w:val="20"/>
          <w:szCs w:val="20"/>
        </w:rPr>
        <w:t xml:space="preserve"> Evolution du taux de chômage entre les troisièmes trimestres de 2019 et de 2020 pour certaines catégories de la population (en %)</w:t>
      </w:r>
    </w:p>
    <w:p w:rsidR="00DB3BCC" w:rsidRDefault="00DB3BCC" w:rsidP="0054373C">
      <w:pPr>
        <w:spacing w:before="240" w:after="240" w:line="312" w:lineRule="auto"/>
        <w:jc w:val="center"/>
        <w:rPr>
          <w:rFonts w:ascii="Book Antiqua" w:hAnsi="Book Antiqua" w:cs="Times New Roman"/>
          <w:b/>
          <w:bCs/>
          <w:sz w:val="20"/>
          <w:szCs w:val="20"/>
        </w:rPr>
      </w:pPr>
      <w:r>
        <w:rPr>
          <w:rFonts w:ascii="Book Antiqua" w:hAnsi="Book Antiqua" w:cs="Times New Roman"/>
          <w:b/>
          <w:noProof/>
          <w:sz w:val="20"/>
          <w:szCs w:val="20"/>
        </w:rPr>
        <w:drawing>
          <wp:inline distT="0" distB="0" distL="0" distR="0">
            <wp:extent cx="5758962" cy="3244362"/>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D230E" w:rsidRPr="00A821C8" w:rsidRDefault="00695586" w:rsidP="001E3D7A">
      <w:pPr>
        <w:pStyle w:val="MMTopic2"/>
        <w:numPr>
          <w:ilvl w:val="0"/>
          <w:numId w:val="0"/>
        </w:numPr>
        <w:spacing w:before="240" w:after="240" w:line="312" w:lineRule="auto"/>
        <w:jc w:val="both"/>
        <w:rPr>
          <w:rFonts w:ascii="Book Antiqua" w:eastAsia="Book Antiqua" w:hAnsi="Book Antiqua" w:cs="Book Antiqua"/>
          <w:color w:val="auto"/>
          <w:sz w:val="24"/>
          <w:szCs w:val="24"/>
          <w:lang w:eastAsia="fr-FR"/>
        </w:rPr>
      </w:pPr>
      <w:r w:rsidRPr="00A821C8">
        <w:rPr>
          <w:rFonts w:ascii="Book Antiqua" w:eastAsia="Book Antiqua" w:hAnsi="Book Antiqua" w:cs="Book Antiqua"/>
          <w:color w:val="auto"/>
          <w:sz w:val="24"/>
          <w:szCs w:val="24"/>
          <w:lang w:eastAsia="fr-FR"/>
        </w:rPr>
        <w:lastRenderedPageBreak/>
        <w:t xml:space="preserve">Par ailleurs, </w:t>
      </w:r>
      <w:r w:rsidR="00BC5A28">
        <w:rPr>
          <w:rFonts w:ascii="Book Antiqua" w:eastAsia="Book Antiqua" w:hAnsi="Book Antiqua" w:cs="Book Antiqua"/>
          <w:color w:val="auto"/>
          <w:sz w:val="24"/>
          <w:szCs w:val="24"/>
          <w:lang w:eastAsia="fr-FR"/>
        </w:rPr>
        <w:t>l</w:t>
      </w:r>
      <w:r w:rsidR="00E537B1" w:rsidRPr="00A821C8">
        <w:rPr>
          <w:rFonts w:ascii="Book Antiqua" w:eastAsia="Book Antiqua" w:hAnsi="Book Antiqua" w:cs="Book Antiqua"/>
          <w:color w:val="auto"/>
          <w:sz w:val="24"/>
          <w:szCs w:val="24"/>
          <w:lang w:eastAsia="fr-FR"/>
        </w:rPr>
        <w:t>e volume du sous-emploi, dans ses deux composantes</w:t>
      </w:r>
      <w:r w:rsidR="00316D51" w:rsidRPr="00A821C8">
        <w:rPr>
          <w:rStyle w:val="Appelnotedebasdep"/>
          <w:rFonts w:ascii="Book Antiqua" w:eastAsia="Book Antiqua" w:hAnsi="Book Antiqua" w:cs="Book Antiqua"/>
          <w:color w:val="auto"/>
          <w:sz w:val="24"/>
          <w:szCs w:val="24"/>
          <w:lang w:eastAsia="fr-FR"/>
        </w:rPr>
        <w:footnoteReference w:id="2"/>
      </w:r>
      <w:r w:rsidR="00E537B1" w:rsidRPr="00A821C8">
        <w:rPr>
          <w:rFonts w:ascii="Book Antiqua" w:eastAsia="Book Antiqua" w:hAnsi="Book Antiqua" w:cs="Book Antiqua"/>
          <w:color w:val="auto"/>
          <w:sz w:val="24"/>
          <w:szCs w:val="24"/>
          <w:lang w:eastAsia="fr-FR"/>
        </w:rPr>
        <w:t>, est passé, durant la période, de 969.000 personnes à 1</w:t>
      </w:r>
      <w:r w:rsidR="001E3D7A" w:rsidRPr="00A821C8">
        <w:rPr>
          <w:rFonts w:ascii="Book Antiqua" w:eastAsia="Book Antiqua" w:hAnsi="Book Antiqua" w:cs="Book Antiqua"/>
          <w:color w:val="auto"/>
          <w:sz w:val="24"/>
          <w:szCs w:val="24"/>
          <w:lang w:eastAsia="fr-FR"/>
        </w:rPr>
        <w:t>.</w:t>
      </w:r>
      <w:r w:rsidR="00E537B1" w:rsidRPr="00A821C8">
        <w:rPr>
          <w:rFonts w:ascii="Book Antiqua" w:eastAsia="Book Antiqua" w:hAnsi="Book Antiqua" w:cs="Book Antiqua"/>
          <w:color w:val="auto"/>
          <w:sz w:val="24"/>
          <w:szCs w:val="24"/>
          <w:lang w:eastAsia="fr-FR"/>
        </w:rPr>
        <w:t>182.000, de 481.000 à 627.000 dans les villes et de 488.000 à 556.000 à la campagne. Le taux de sous-emploi est ainsi passé de 9,1% à 11,6%, au niveau national, de 7,8% à 10,5% en milieu urbain et de 10,8% à 13,3% en milieu rural.</w:t>
      </w:r>
    </w:p>
    <w:p w:rsidR="00AD230E" w:rsidRPr="00A821C8" w:rsidRDefault="00E537B1" w:rsidP="0054373C">
      <w:pPr>
        <w:spacing w:before="240" w:after="240" w:line="312" w:lineRule="auto"/>
        <w:jc w:val="both"/>
        <w:rPr>
          <w:rFonts w:ascii="Book Antiqua" w:eastAsia="Book Antiqua" w:hAnsi="Book Antiqua" w:cs="Book Antiqua"/>
          <w:sz w:val="24"/>
          <w:szCs w:val="24"/>
        </w:rPr>
      </w:pPr>
      <w:r w:rsidRPr="00A821C8">
        <w:rPr>
          <w:rFonts w:ascii="Book Antiqua" w:eastAsia="Book Antiqua" w:hAnsi="Book Antiqua" w:cs="Book Antiqua"/>
          <w:sz w:val="24"/>
          <w:szCs w:val="24"/>
        </w:rPr>
        <w:t>Le taux de sous-emploi des hommes (13%) est deux fois plus élevé que celui des femmes (6,3%). Il est de 10,7% en milieu urbain (contre 9,4% pour les femmes) alors qu’en milieu rural, il est presque 6 fois plus élevé parmi les hommes avec 16,3% que parmi les femmes (2,5%).</w:t>
      </w:r>
    </w:p>
    <w:p w:rsidR="00490D10" w:rsidRDefault="00E537B1" w:rsidP="00BC5A28">
      <w:pPr>
        <w:spacing w:before="240" w:after="240" w:line="312" w:lineRule="auto"/>
        <w:rPr>
          <w:rFonts w:ascii="Book Antiqua" w:hAnsi="Book Antiqua" w:cstheme="majorHAnsi"/>
          <w:b/>
          <w:bCs/>
          <w:i/>
          <w:iCs/>
          <w:color w:val="31849B" w:themeColor="accent5" w:themeShade="BF"/>
          <w:spacing w:val="-10"/>
          <w:kern w:val="28"/>
          <w:sz w:val="28"/>
          <w:szCs w:val="28"/>
        </w:rPr>
      </w:pPr>
      <w:r w:rsidRPr="003D1D48">
        <w:rPr>
          <w:rFonts w:ascii="Book Antiqua" w:eastAsia="Book Antiqua" w:hAnsi="Book Antiqua" w:cs="Book Antiqua"/>
          <w:b/>
          <w:color w:val="0070C0"/>
          <w:sz w:val="20"/>
          <w:szCs w:val="20"/>
        </w:rPr>
        <w:t xml:space="preserve">Figure </w:t>
      </w:r>
      <w:r w:rsidR="00882371" w:rsidRPr="003D1D48">
        <w:rPr>
          <w:rFonts w:ascii="Book Antiqua" w:eastAsia="Book Antiqua" w:hAnsi="Book Antiqua" w:cs="Book Antiqua"/>
          <w:b/>
          <w:color w:val="0070C0"/>
          <w:sz w:val="20"/>
          <w:szCs w:val="20"/>
        </w:rPr>
        <w:t>4</w:t>
      </w:r>
      <w:r w:rsidR="00BC5A28" w:rsidRPr="003D1D48">
        <w:rPr>
          <w:rFonts w:ascii="Book Antiqua" w:eastAsia="Book Antiqua" w:hAnsi="Book Antiqua" w:cs="Book Antiqua"/>
          <w:b/>
          <w:color w:val="0070C0"/>
          <w:sz w:val="20"/>
          <w:szCs w:val="20"/>
        </w:rPr>
        <w:t> : Évolution</w:t>
      </w:r>
      <w:r w:rsidRPr="003D1D48">
        <w:rPr>
          <w:rFonts w:ascii="Book Antiqua" w:eastAsia="Book Antiqua" w:hAnsi="Book Antiqua" w:cs="Book Antiqua"/>
          <w:b/>
          <w:color w:val="0070C0"/>
          <w:sz w:val="20"/>
          <w:szCs w:val="20"/>
        </w:rPr>
        <w:t xml:space="preserve"> du taux de sous-emploi entre le troisième trimestre de 2019 et celui de 2020 parmi certaines catégories de la population (en %)</w:t>
      </w:r>
      <w:r w:rsidR="00097E88" w:rsidRPr="00097E88">
        <w:rPr>
          <w:rFonts w:ascii="Book Antiqua" w:hAnsi="Book Antiqua" w:cstheme="majorHAnsi"/>
          <w:b/>
          <w:bCs/>
          <w:i/>
          <w:iCs/>
          <w:noProof/>
          <w:color w:val="31849B" w:themeColor="accent5" w:themeShade="BF"/>
          <w:spacing w:val="-10"/>
          <w:kern w:val="28"/>
          <w:sz w:val="28"/>
          <w:szCs w:val="28"/>
        </w:rPr>
        <w:drawing>
          <wp:inline distT="0" distB="0" distL="0" distR="0">
            <wp:extent cx="5457825" cy="3333750"/>
            <wp:effectExtent l="0" t="0" r="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7064B" w:rsidRPr="00F7064B" w:rsidRDefault="003D1D48" w:rsidP="00F7064B">
      <w:pPr>
        <w:rPr>
          <w:rFonts w:ascii="Book Antiqua" w:hAnsi="Book Antiqua" w:cstheme="majorHAnsi"/>
          <w:b/>
          <w:bCs/>
          <w:i/>
          <w:iCs/>
          <w:color w:val="31849B" w:themeColor="accent5" w:themeShade="BF"/>
          <w:spacing w:val="-10"/>
          <w:kern w:val="28"/>
          <w:sz w:val="28"/>
          <w:szCs w:val="28"/>
        </w:rPr>
      </w:pPr>
      <w:r>
        <w:rPr>
          <w:rFonts w:ascii="Book Antiqua" w:hAnsi="Book Antiqua" w:cstheme="majorHAnsi"/>
          <w:b/>
          <w:bCs/>
          <w:i/>
          <w:iCs/>
          <w:color w:val="31849B" w:themeColor="accent5" w:themeShade="BF"/>
          <w:spacing w:val="-10"/>
          <w:kern w:val="28"/>
          <w:sz w:val="28"/>
          <w:szCs w:val="28"/>
        </w:rPr>
        <w:br w:type="page"/>
      </w:r>
    </w:p>
    <w:p w:rsidR="007A0E16" w:rsidRPr="007A0E16" w:rsidRDefault="007A0E16" w:rsidP="007A0E16">
      <w:pPr>
        <w:pStyle w:val="Paragraphedeliste"/>
        <w:numPr>
          <w:ilvl w:val="0"/>
          <w:numId w:val="6"/>
        </w:numPr>
        <w:spacing w:before="240" w:after="240" w:line="312" w:lineRule="auto"/>
        <w:rPr>
          <w:rFonts w:ascii="Book Antiqua" w:hAnsi="Book Antiqua" w:cstheme="majorHAnsi"/>
          <w:b/>
          <w:bCs/>
          <w:i/>
          <w:iCs/>
          <w:color w:val="31849B" w:themeColor="accent5" w:themeShade="BF"/>
          <w:spacing w:val="-10"/>
          <w:kern w:val="28"/>
          <w:sz w:val="28"/>
          <w:szCs w:val="28"/>
        </w:rPr>
      </w:pPr>
      <w:r w:rsidRPr="007A0E16">
        <w:rPr>
          <w:rFonts w:ascii="Book Antiqua" w:eastAsia="Book Antiqua" w:hAnsi="Book Antiqua" w:cs="Book Antiqua"/>
          <w:b/>
          <w:bCs/>
          <w:color w:val="0070C0"/>
          <w:sz w:val="26"/>
          <w:szCs w:val="26"/>
        </w:rPr>
        <w:lastRenderedPageBreak/>
        <w:t>Situation régionale du marché du travail</w:t>
      </w:r>
    </w:p>
    <w:p w:rsidR="007A0E16" w:rsidRPr="00A821C8" w:rsidRDefault="007A0E16" w:rsidP="007A0E16">
      <w:pPr>
        <w:spacing w:before="240" w:after="240" w:line="312" w:lineRule="auto"/>
        <w:jc w:val="both"/>
        <w:rPr>
          <w:rFonts w:ascii="Book Antiqua" w:eastAsia="Book Antiqua" w:hAnsi="Book Antiqua" w:cs="Book Antiqua"/>
          <w:sz w:val="24"/>
          <w:szCs w:val="24"/>
        </w:rPr>
      </w:pPr>
      <w:r w:rsidRPr="00A821C8">
        <w:rPr>
          <w:rFonts w:ascii="Book Antiqua" w:eastAsia="Book Antiqua" w:hAnsi="Book Antiqua" w:cs="Book Antiqua"/>
          <w:sz w:val="24"/>
          <w:szCs w:val="24"/>
        </w:rPr>
        <w:t>Cinq régions abritent 72% de l’ensemble des actifs âgés de 15 ans et plus. La région de Casablanca-Settat vient en première position avec 22,4% d’actifs, suivie de Marrakech-Safi (13,5%), de Rabat-Salé-Kénitra (13,4%), de Fès-Meknès (11,7%) et de Tanger-Tétouan-Al Hoceima (11%).</w:t>
      </w:r>
    </w:p>
    <w:p w:rsidR="007A0E16" w:rsidRPr="00A821C8" w:rsidRDefault="007A0E16" w:rsidP="007A0E16">
      <w:pPr>
        <w:spacing w:before="240" w:after="240" w:line="312" w:lineRule="auto"/>
        <w:jc w:val="both"/>
        <w:rPr>
          <w:rFonts w:ascii="Book Antiqua" w:eastAsia="Book Antiqua" w:hAnsi="Book Antiqua" w:cs="Book Antiqua"/>
          <w:sz w:val="24"/>
          <w:szCs w:val="24"/>
        </w:rPr>
      </w:pPr>
      <w:r w:rsidRPr="00A821C8">
        <w:rPr>
          <w:rFonts w:ascii="Book Antiqua" w:eastAsia="Book Antiqua" w:hAnsi="Book Antiqua" w:cs="Book Antiqua"/>
          <w:sz w:val="24"/>
          <w:szCs w:val="24"/>
        </w:rPr>
        <w:t>Quatre régions affichent des taux d’activité plus élevés que la moyenne nationale (43,5%); Tanger-Tétouan-Al Hoceima avec 45,2%, Casablanca-Settat (46,3%), Marrakech-Safi (45,6%) et Béni Mellal-Khénifra (44%). En revanche, les taux les plus bas sont enregistrés dans les régions de Drâa-Tafilalet avec 37,7%, de Souss-Massa (40%) et de l’Oriental (41%).</w:t>
      </w:r>
    </w:p>
    <w:p w:rsidR="007A0E16" w:rsidRPr="003D1D48" w:rsidRDefault="007A0E16" w:rsidP="007A0E16">
      <w:pPr>
        <w:spacing w:before="240" w:after="240" w:line="312" w:lineRule="auto"/>
        <w:jc w:val="center"/>
        <w:rPr>
          <w:rFonts w:ascii="Book Antiqua" w:eastAsia="Book Antiqua" w:hAnsi="Book Antiqua" w:cs="Book Antiqua"/>
          <w:b/>
          <w:color w:val="0070C0"/>
          <w:sz w:val="20"/>
          <w:szCs w:val="20"/>
        </w:rPr>
      </w:pPr>
      <w:r w:rsidRPr="003D1D48">
        <w:rPr>
          <w:rFonts w:ascii="Book Antiqua" w:eastAsia="Book Antiqua" w:hAnsi="Book Antiqua" w:cs="Book Antiqua"/>
          <w:b/>
          <w:color w:val="0070C0"/>
          <w:sz w:val="20"/>
          <w:szCs w:val="20"/>
        </w:rPr>
        <w:t>Figure 5 : Taux d’activité selon les régions au troisième trimestre de 2020 (en%).</w:t>
      </w:r>
    </w:p>
    <w:p w:rsidR="007A0E16" w:rsidRPr="00873E0F" w:rsidRDefault="007A0E16" w:rsidP="007A0E16">
      <w:pPr>
        <w:spacing w:before="240" w:after="240" w:line="312" w:lineRule="auto"/>
        <w:jc w:val="center"/>
        <w:rPr>
          <w:rFonts w:ascii="Book Antiqua" w:eastAsia="Book Antiqua" w:hAnsi="Book Antiqua" w:cs="Book Antiqua"/>
          <w:sz w:val="24"/>
          <w:szCs w:val="24"/>
        </w:rPr>
      </w:pPr>
      <w:r w:rsidRPr="00AB3511">
        <w:rPr>
          <w:rFonts w:ascii="Book Antiqua" w:eastAsia="Book Antiqua" w:hAnsi="Book Antiqua" w:cs="Book Antiqua"/>
          <w:noProof/>
          <w:sz w:val="24"/>
          <w:szCs w:val="24"/>
        </w:rPr>
        <w:drawing>
          <wp:inline distT="0" distB="0" distL="0" distR="0">
            <wp:extent cx="5029200" cy="3105150"/>
            <wp:effectExtent l="0" t="0" r="0" b="0"/>
            <wp:docPr id="2"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A0E16" w:rsidRPr="00A821C8" w:rsidRDefault="003D6A78" w:rsidP="003D6A78">
      <w:pPr>
        <w:jc w:val="both"/>
        <w:rPr>
          <w:rFonts w:ascii="Book Antiqua" w:eastAsia="Book Antiqua" w:hAnsi="Book Antiqua" w:cs="Book Antiqua"/>
          <w:sz w:val="24"/>
          <w:szCs w:val="24"/>
        </w:rPr>
      </w:pPr>
      <w:r>
        <w:rPr>
          <w:rFonts w:ascii="Book Antiqua" w:eastAsia="Book Antiqua" w:hAnsi="Book Antiqua" w:cs="Book Antiqua"/>
          <w:sz w:val="24"/>
          <w:szCs w:val="24"/>
        </w:rPr>
        <w:t>Presque</w:t>
      </w:r>
      <w:r w:rsidR="007A0E16" w:rsidRPr="00A821C8">
        <w:rPr>
          <w:rFonts w:ascii="Book Antiqua" w:eastAsia="Book Antiqua" w:hAnsi="Book Antiqua" w:cs="Book Antiqua"/>
          <w:sz w:val="24"/>
          <w:szCs w:val="24"/>
        </w:rPr>
        <w:t xml:space="preserve"> trois quarts des chômeurs (72,6%) sont concentrés dans cinq </w:t>
      </w:r>
      <w:r w:rsidR="009167A6" w:rsidRPr="00A821C8">
        <w:rPr>
          <w:rFonts w:ascii="Book Antiqua" w:eastAsia="Book Antiqua" w:hAnsi="Book Antiqua" w:cs="Book Antiqua"/>
          <w:sz w:val="24"/>
          <w:szCs w:val="24"/>
        </w:rPr>
        <w:t>régions ;</w:t>
      </w:r>
      <w:r w:rsidR="007A0E16" w:rsidRPr="00A821C8">
        <w:rPr>
          <w:rFonts w:ascii="Book Antiqua" w:eastAsia="Book Antiqua" w:hAnsi="Book Antiqua" w:cs="Book Antiqua"/>
          <w:sz w:val="24"/>
          <w:szCs w:val="24"/>
        </w:rPr>
        <w:t xml:space="preserve"> Casablanca-Settat vient en première position avec 25,8% de chômeurs, suivie de Rabat-Salé-Kénitra (13,3%), de Fès-Meknès (11,9%), de l’Oriental (11%) et de Tanger-Tétouan-Al Hoceima (10,6%).</w:t>
      </w:r>
    </w:p>
    <w:p w:rsidR="007A0E16" w:rsidRDefault="007A0E16" w:rsidP="007A0E16">
      <w:pPr>
        <w:jc w:val="both"/>
        <w:rPr>
          <w:rFonts w:ascii="Book Antiqua" w:eastAsia="Book Antiqua" w:hAnsi="Book Antiqua" w:cs="Book Antiqua"/>
          <w:sz w:val="24"/>
          <w:szCs w:val="24"/>
        </w:rPr>
      </w:pPr>
    </w:p>
    <w:p w:rsidR="007A0E16" w:rsidRPr="00A821C8" w:rsidRDefault="007A0E16" w:rsidP="007A0E16">
      <w:pPr>
        <w:jc w:val="both"/>
        <w:rPr>
          <w:rFonts w:ascii="Book Antiqua" w:eastAsia="Book Antiqua" w:hAnsi="Book Antiqua" w:cs="Book Antiqua"/>
          <w:b/>
          <w:sz w:val="24"/>
          <w:szCs w:val="24"/>
        </w:rPr>
      </w:pPr>
      <w:r w:rsidRPr="00A821C8">
        <w:rPr>
          <w:rFonts w:ascii="Book Antiqua" w:eastAsia="Book Antiqua" w:hAnsi="Book Antiqua" w:cs="Book Antiqua"/>
          <w:sz w:val="24"/>
          <w:szCs w:val="24"/>
        </w:rPr>
        <w:t xml:space="preserve">Les taux de chômage les plus élevés sont observés dans la région de l’Oriental (21,2%) et des régions du Sud (19,6%). Avec moins d’acuité, trois autres régions dépassent la moyenne nationale (12,7%) à savoir Casablanca-Settat (14,7%), Drâa-Tafilalet (14%) et Fès-Meknès (12,9%). En revanche, les régions de Béni Mellal- </w:t>
      </w:r>
      <w:r w:rsidRPr="00A821C8">
        <w:rPr>
          <w:rFonts w:ascii="Book Antiqua" w:eastAsia="Book Antiqua" w:hAnsi="Book Antiqua" w:cs="Book Antiqua"/>
          <w:sz w:val="24"/>
          <w:szCs w:val="24"/>
        </w:rPr>
        <w:lastRenderedPageBreak/>
        <w:t xml:space="preserve">Khénifra et de Marrakech-Safi enregistrent les taux les plus bas avec respectivement 5,9% et 7,8%. </w:t>
      </w:r>
    </w:p>
    <w:p w:rsidR="007A0E16" w:rsidRPr="00873E0F" w:rsidRDefault="007A0E16" w:rsidP="007A0E16">
      <w:pPr>
        <w:spacing w:before="240" w:after="240" w:line="312" w:lineRule="auto"/>
        <w:jc w:val="center"/>
        <w:rPr>
          <w:rFonts w:ascii="Book Antiqua" w:eastAsia="Book Antiqua" w:hAnsi="Book Antiqua" w:cs="Book Antiqua"/>
          <w:sz w:val="24"/>
          <w:szCs w:val="24"/>
        </w:rPr>
      </w:pPr>
      <w:r w:rsidRPr="003D1D48">
        <w:rPr>
          <w:rFonts w:ascii="Book Antiqua" w:eastAsia="Book Antiqua" w:hAnsi="Book Antiqua" w:cs="Book Antiqua"/>
          <w:b/>
          <w:color w:val="0070C0"/>
          <w:sz w:val="20"/>
          <w:szCs w:val="20"/>
        </w:rPr>
        <w:t>Figure 6 : Taux de chômage selon les régions au troisième trimestre de 2020 (en%)</w:t>
      </w:r>
      <w:r w:rsidRPr="00873E0F">
        <w:rPr>
          <w:rFonts w:ascii="Book Antiqua" w:eastAsia="Book Antiqua" w:hAnsi="Book Antiqua" w:cs="Book Antiqua"/>
          <w:noProof/>
          <w:sz w:val="24"/>
          <w:szCs w:val="24"/>
        </w:rPr>
        <w:drawing>
          <wp:inline distT="0" distB="0" distL="0" distR="0">
            <wp:extent cx="4572000" cy="2257425"/>
            <wp:effectExtent l="0" t="0" r="0" b="0"/>
            <wp:docPr id="14"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A0E16" w:rsidRPr="00873E0F" w:rsidRDefault="007A0E16" w:rsidP="007A0E16">
      <w:pPr>
        <w:spacing w:before="240" w:after="240" w:line="312" w:lineRule="auto"/>
        <w:ind w:right="-280"/>
        <w:jc w:val="both"/>
        <w:rPr>
          <w:rFonts w:ascii="Book Antiqua" w:eastAsia="Book Antiqua" w:hAnsi="Book Antiqua" w:cs="Book Antiqua"/>
          <w:sz w:val="24"/>
          <w:szCs w:val="24"/>
        </w:rPr>
      </w:pPr>
    </w:p>
    <w:p w:rsidR="007A0E16" w:rsidRPr="00873E0F" w:rsidRDefault="007A0E16" w:rsidP="007A0E16">
      <w:pPr>
        <w:spacing w:before="240" w:after="240" w:line="312" w:lineRule="auto"/>
        <w:ind w:right="-280"/>
        <w:jc w:val="both"/>
        <w:rPr>
          <w:rFonts w:ascii="Book Antiqua" w:eastAsia="Book Antiqua" w:hAnsi="Book Antiqua" w:cs="Book Antiqua"/>
          <w:sz w:val="24"/>
          <w:szCs w:val="24"/>
        </w:rPr>
      </w:pPr>
    </w:p>
    <w:p w:rsidR="007A0E16" w:rsidRDefault="007A0E16" w:rsidP="007A0E16">
      <w:pPr>
        <w:spacing w:line="240" w:lineRule="auto"/>
        <w:rPr>
          <w:rFonts w:ascii="Book Antiqua" w:eastAsia="Book Antiqua" w:hAnsi="Book Antiqua" w:cs="Book Antiqua"/>
          <w:b/>
          <w:color w:val="0070C0"/>
          <w:sz w:val="20"/>
          <w:szCs w:val="20"/>
        </w:rPr>
      </w:pPr>
      <w:r>
        <w:rPr>
          <w:rFonts w:ascii="Book Antiqua" w:eastAsia="Book Antiqua" w:hAnsi="Book Antiqua" w:cs="Book Antiqua"/>
        </w:rPr>
        <w:br w:type="page"/>
      </w:r>
    </w:p>
    <w:p w:rsidR="007A0E16" w:rsidRDefault="007A0E16" w:rsidP="00E017C9">
      <w:pPr>
        <w:spacing w:line="240" w:lineRule="auto"/>
        <w:rPr>
          <w:rFonts w:ascii="Book Antiqua" w:eastAsia="Book Antiqua" w:hAnsi="Book Antiqua" w:cs="Book Antiqua"/>
          <w:b/>
          <w:color w:val="0070C0"/>
          <w:sz w:val="20"/>
          <w:szCs w:val="20"/>
        </w:rPr>
      </w:pPr>
    </w:p>
    <w:p w:rsidR="00E017C9" w:rsidRPr="003D03B0" w:rsidRDefault="00E017C9" w:rsidP="00E017C9">
      <w:pPr>
        <w:spacing w:line="240" w:lineRule="auto"/>
        <w:rPr>
          <w:rFonts w:ascii="Book Antiqua" w:eastAsia="Book Antiqua" w:hAnsi="Book Antiqua" w:cs="Book Antiqua"/>
          <w:b/>
          <w:color w:val="0070C0"/>
          <w:sz w:val="20"/>
          <w:szCs w:val="20"/>
        </w:rPr>
      </w:pPr>
      <w:r w:rsidRPr="003D03B0">
        <w:rPr>
          <w:rFonts w:ascii="Book Antiqua" w:eastAsia="Book Antiqua" w:hAnsi="Book Antiqua" w:cs="Book Antiqua"/>
          <w:b/>
          <w:color w:val="0070C0"/>
          <w:sz w:val="20"/>
          <w:szCs w:val="20"/>
        </w:rPr>
        <w:t xml:space="preserve">Tableau 1 : Indicateurs trimestriels d'activité, d’emploi et de chômage par milieu de résidence </w:t>
      </w:r>
      <w:r w:rsidRPr="00D56E96">
        <w:rPr>
          <w:rFonts w:ascii="Book Antiqua" w:eastAsia="Book Antiqua" w:hAnsi="Book Antiqua" w:cs="Book Antiqua"/>
          <w:b/>
          <w:color w:val="0070C0"/>
          <w:sz w:val="20"/>
          <w:szCs w:val="20"/>
          <w:vertAlign w:val="superscript"/>
        </w:rPr>
        <w:t>(1)</w:t>
      </w:r>
    </w:p>
    <w:p w:rsidR="00E017C9" w:rsidRPr="001D45AF" w:rsidRDefault="00E017C9" w:rsidP="00E017C9">
      <w:pPr>
        <w:spacing w:line="240" w:lineRule="auto"/>
        <w:rPr>
          <w:rFonts w:ascii="Book Antiqua" w:hAnsi="Book Antiqua"/>
          <w:b/>
          <w:bCs/>
          <w:color w:val="4F81BD" w:themeColor="accent1"/>
          <w:sz w:val="20"/>
          <w:szCs w:val="20"/>
        </w:rPr>
      </w:pPr>
    </w:p>
    <w:tbl>
      <w:tblPr>
        <w:tblW w:w="5000" w:type="pct"/>
        <w:tblLayout w:type="fixed"/>
        <w:tblCellMar>
          <w:left w:w="70" w:type="dxa"/>
          <w:right w:w="70" w:type="dxa"/>
        </w:tblCellMar>
        <w:tblLook w:val="04A0"/>
      </w:tblPr>
      <w:tblGrid>
        <w:gridCol w:w="4318"/>
        <w:gridCol w:w="721"/>
        <w:gridCol w:w="719"/>
        <w:gridCol w:w="1012"/>
        <w:gridCol w:w="719"/>
        <w:gridCol w:w="721"/>
        <w:gridCol w:w="959"/>
      </w:tblGrid>
      <w:tr w:rsidR="00E017C9" w:rsidRPr="004602A5" w:rsidTr="00362716">
        <w:trPr>
          <w:trHeight w:val="315"/>
        </w:trPr>
        <w:tc>
          <w:tcPr>
            <w:tcW w:w="2355"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17C9" w:rsidRPr="004602A5" w:rsidRDefault="00E017C9" w:rsidP="00490D10">
            <w:pPr>
              <w:bidi/>
              <w:spacing w:line="240" w:lineRule="auto"/>
              <w:rPr>
                <w:rFonts w:ascii="Garamond" w:eastAsia="Times New Roman" w:hAnsi="Garamond" w:cs="Times New Roman"/>
                <w:b/>
                <w:bCs/>
                <w:color w:val="000000"/>
                <w:sz w:val="18"/>
                <w:szCs w:val="18"/>
              </w:rPr>
            </w:pPr>
            <w:r w:rsidRPr="004602A5">
              <w:rPr>
                <w:rFonts w:ascii="Garamond" w:eastAsia="Times New Roman" w:hAnsi="Garamond" w:cs="Times New Roman"/>
                <w:b/>
                <w:bCs/>
                <w:color w:val="000000"/>
                <w:sz w:val="18"/>
                <w:szCs w:val="18"/>
                <w:rtl/>
              </w:rPr>
              <w:t> </w:t>
            </w:r>
          </w:p>
        </w:tc>
        <w:tc>
          <w:tcPr>
            <w:tcW w:w="1337" w:type="pct"/>
            <w:gridSpan w:val="3"/>
            <w:tcBorders>
              <w:top w:val="single" w:sz="4" w:space="0" w:color="auto"/>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jc w:val="center"/>
              <w:rPr>
                <w:rFonts w:ascii="Garamond" w:eastAsia="Times New Roman" w:hAnsi="Garamond" w:cs="Times New Roman"/>
                <w:b/>
                <w:bCs/>
                <w:color w:val="000000"/>
                <w:sz w:val="18"/>
                <w:szCs w:val="18"/>
                <w:rtl/>
              </w:rPr>
            </w:pPr>
            <w:r w:rsidRPr="004602A5">
              <w:rPr>
                <w:rFonts w:ascii="Garamond" w:eastAsia="Times New Roman" w:hAnsi="Garamond" w:cs="Times New Roman"/>
                <w:b/>
                <w:bCs/>
                <w:color w:val="000000"/>
                <w:sz w:val="18"/>
                <w:szCs w:val="18"/>
              </w:rPr>
              <w:t>3</w:t>
            </w:r>
            <w:r w:rsidRPr="004602A5">
              <w:rPr>
                <w:rFonts w:ascii="Garamond" w:eastAsia="Times New Roman" w:hAnsi="Garamond" w:cs="Times New Roman"/>
                <w:b/>
                <w:bCs/>
                <w:color w:val="000000"/>
                <w:sz w:val="18"/>
                <w:szCs w:val="18"/>
                <w:vertAlign w:val="superscript"/>
              </w:rPr>
              <w:t xml:space="preserve">ème </w:t>
            </w:r>
            <w:r w:rsidRPr="004602A5">
              <w:rPr>
                <w:rFonts w:ascii="Garamond" w:eastAsia="Times New Roman" w:hAnsi="Garamond" w:cs="Times New Roman"/>
                <w:b/>
                <w:bCs/>
                <w:color w:val="000000"/>
                <w:sz w:val="18"/>
                <w:szCs w:val="18"/>
              </w:rPr>
              <w:t xml:space="preserve">trimestre </w:t>
            </w:r>
            <w:r w:rsidR="00097E88">
              <w:rPr>
                <w:rFonts w:ascii="Garamond" w:eastAsia="Times New Roman" w:hAnsi="Garamond" w:cs="Times New Roman"/>
                <w:b/>
                <w:bCs/>
                <w:color w:val="000000"/>
                <w:sz w:val="18"/>
                <w:szCs w:val="18"/>
              </w:rPr>
              <w:t xml:space="preserve">de </w:t>
            </w:r>
            <w:r w:rsidRPr="004602A5">
              <w:rPr>
                <w:rFonts w:ascii="Garamond" w:eastAsia="Times New Roman" w:hAnsi="Garamond" w:cs="Times New Roman"/>
                <w:b/>
                <w:bCs/>
                <w:color w:val="000000"/>
                <w:sz w:val="18"/>
                <w:szCs w:val="18"/>
              </w:rPr>
              <w:t>2019</w:t>
            </w:r>
          </w:p>
        </w:tc>
        <w:tc>
          <w:tcPr>
            <w:tcW w:w="1308" w:type="pct"/>
            <w:gridSpan w:val="3"/>
            <w:tcBorders>
              <w:top w:val="single" w:sz="4" w:space="0" w:color="auto"/>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jc w:val="center"/>
              <w:rPr>
                <w:rFonts w:ascii="Garamond" w:eastAsia="Times New Roman" w:hAnsi="Garamond" w:cs="Times New Roman"/>
                <w:b/>
                <w:bCs/>
                <w:color w:val="000000"/>
                <w:sz w:val="18"/>
                <w:szCs w:val="18"/>
              </w:rPr>
            </w:pPr>
            <w:r w:rsidRPr="004602A5">
              <w:rPr>
                <w:rFonts w:ascii="Garamond" w:eastAsia="Times New Roman" w:hAnsi="Garamond" w:cs="Times New Roman"/>
                <w:b/>
                <w:bCs/>
                <w:color w:val="000000"/>
                <w:sz w:val="18"/>
                <w:szCs w:val="18"/>
              </w:rPr>
              <w:t>3</w:t>
            </w:r>
            <w:r w:rsidRPr="004602A5">
              <w:rPr>
                <w:rFonts w:ascii="Garamond" w:eastAsia="Times New Roman" w:hAnsi="Garamond" w:cs="Times New Roman"/>
                <w:b/>
                <w:bCs/>
                <w:color w:val="000000"/>
                <w:sz w:val="18"/>
                <w:szCs w:val="18"/>
                <w:vertAlign w:val="superscript"/>
              </w:rPr>
              <w:t>ème</w:t>
            </w:r>
            <w:r w:rsidRPr="004602A5">
              <w:rPr>
                <w:rFonts w:ascii="Garamond" w:eastAsia="Times New Roman" w:hAnsi="Garamond" w:cs="Times New Roman"/>
                <w:b/>
                <w:bCs/>
                <w:color w:val="000000"/>
                <w:sz w:val="18"/>
                <w:szCs w:val="18"/>
              </w:rPr>
              <w:t xml:space="preserve"> trimestre </w:t>
            </w:r>
            <w:r w:rsidR="00097E88">
              <w:rPr>
                <w:rFonts w:ascii="Garamond" w:eastAsia="Times New Roman" w:hAnsi="Garamond" w:cs="Times New Roman"/>
                <w:b/>
                <w:bCs/>
                <w:color w:val="000000"/>
                <w:sz w:val="18"/>
                <w:szCs w:val="18"/>
              </w:rPr>
              <w:t xml:space="preserve">de </w:t>
            </w:r>
            <w:r w:rsidRPr="004602A5">
              <w:rPr>
                <w:rFonts w:ascii="Garamond" w:eastAsia="Times New Roman" w:hAnsi="Garamond" w:cs="Times New Roman"/>
                <w:b/>
                <w:bCs/>
                <w:color w:val="000000"/>
                <w:sz w:val="18"/>
                <w:szCs w:val="18"/>
              </w:rPr>
              <w:t>2020</w:t>
            </w:r>
          </w:p>
        </w:tc>
      </w:tr>
      <w:tr w:rsidR="000B69AD" w:rsidRPr="004602A5" w:rsidTr="00362716">
        <w:trPr>
          <w:trHeight w:val="315"/>
        </w:trPr>
        <w:tc>
          <w:tcPr>
            <w:tcW w:w="2355" w:type="pct"/>
            <w:vMerge/>
            <w:tcBorders>
              <w:top w:val="single" w:sz="4" w:space="0" w:color="auto"/>
              <w:left w:val="single" w:sz="4" w:space="0" w:color="auto"/>
              <w:bottom w:val="single" w:sz="4" w:space="0" w:color="auto"/>
              <w:right w:val="single" w:sz="4" w:space="0" w:color="auto"/>
            </w:tcBorders>
            <w:vAlign w:val="center"/>
            <w:hideMark/>
          </w:tcPr>
          <w:p w:rsidR="00E017C9" w:rsidRPr="004602A5" w:rsidRDefault="00E017C9" w:rsidP="00490D10">
            <w:pPr>
              <w:spacing w:line="240" w:lineRule="auto"/>
              <w:rPr>
                <w:rFonts w:ascii="Garamond" w:eastAsia="Times New Roman" w:hAnsi="Garamond" w:cs="Times New Roman"/>
                <w:b/>
                <w:bCs/>
                <w:color w:val="000000"/>
                <w:sz w:val="18"/>
                <w:szCs w:val="18"/>
              </w:rPr>
            </w:pPr>
          </w:p>
        </w:tc>
        <w:tc>
          <w:tcPr>
            <w:tcW w:w="393" w:type="pct"/>
            <w:tcBorders>
              <w:top w:val="nil"/>
              <w:left w:val="nil"/>
              <w:bottom w:val="single" w:sz="4" w:space="0" w:color="auto"/>
              <w:right w:val="single" w:sz="4" w:space="0" w:color="auto"/>
            </w:tcBorders>
            <w:shd w:val="clear" w:color="auto" w:fill="auto"/>
            <w:hideMark/>
          </w:tcPr>
          <w:p w:rsidR="00E017C9" w:rsidRPr="004602A5" w:rsidRDefault="00E017C9" w:rsidP="00490D10">
            <w:pPr>
              <w:bidi/>
              <w:spacing w:line="240" w:lineRule="auto"/>
              <w:jc w:val="center"/>
              <w:rPr>
                <w:rFonts w:ascii="Garamond" w:eastAsia="Times New Roman" w:hAnsi="Garamond" w:cs="Times New Roman"/>
                <w:b/>
                <w:bCs/>
                <w:color w:val="000000"/>
                <w:sz w:val="18"/>
                <w:szCs w:val="18"/>
              </w:rPr>
            </w:pPr>
            <w:r w:rsidRPr="004602A5">
              <w:rPr>
                <w:rFonts w:ascii="Garamond" w:eastAsia="Times New Roman" w:hAnsi="Garamond" w:cs="Times New Roman"/>
                <w:b/>
                <w:bCs/>
                <w:color w:val="000000"/>
                <w:sz w:val="18"/>
                <w:szCs w:val="18"/>
              </w:rPr>
              <w:t>Urbain</w:t>
            </w:r>
          </w:p>
        </w:tc>
        <w:tc>
          <w:tcPr>
            <w:tcW w:w="392" w:type="pct"/>
            <w:tcBorders>
              <w:top w:val="nil"/>
              <w:left w:val="nil"/>
              <w:bottom w:val="single" w:sz="4" w:space="0" w:color="auto"/>
              <w:right w:val="single" w:sz="4" w:space="0" w:color="auto"/>
            </w:tcBorders>
            <w:shd w:val="clear" w:color="auto" w:fill="auto"/>
            <w:hideMark/>
          </w:tcPr>
          <w:p w:rsidR="00E017C9" w:rsidRPr="004602A5" w:rsidRDefault="00E017C9" w:rsidP="00490D10">
            <w:pPr>
              <w:bidi/>
              <w:spacing w:line="240" w:lineRule="auto"/>
              <w:jc w:val="center"/>
              <w:rPr>
                <w:rFonts w:ascii="Garamond" w:eastAsia="Times New Roman" w:hAnsi="Garamond" w:cs="Times New Roman"/>
                <w:b/>
                <w:bCs/>
                <w:color w:val="000000"/>
                <w:sz w:val="18"/>
                <w:szCs w:val="18"/>
                <w:rtl/>
              </w:rPr>
            </w:pPr>
            <w:r w:rsidRPr="004602A5">
              <w:rPr>
                <w:rFonts w:ascii="Garamond" w:eastAsia="Times New Roman" w:hAnsi="Garamond" w:cs="Times New Roman"/>
                <w:b/>
                <w:bCs/>
                <w:color w:val="000000"/>
                <w:sz w:val="18"/>
                <w:szCs w:val="18"/>
              </w:rPr>
              <w:t>Rural</w:t>
            </w:r>
          </w:p>
        </w:tc>
        <w:tc>
          <w:tcPr>
            <w:tcW w:w="552" w:type="pct"/>
            <w:tcBorders>
              <w:top w:val="nil"/>
              <w:left w:val="nil"/>
              <w:bottom w:val="single" w:sz="4" w:space="0" w:color="auto"/>
              <w:right w:val="single" w:sz="4" w:space="0" w:color="auto"/>
            </w:tcBorders>
            <w:shd w:val="clear" w:color="auto" w:fill="auto"/>
            <w:hideMark/>
          </w:tcPr>
          <w:p w:rsidR="00E017C9" w:rsidRPr="004602A5" w:rsidRDefault="00E017C9" w:rsidP="00490D10">
            <w:pPr>
              <w:bidi/>
              <w:spacing w:line="240" w:lineRule="auto"/>
              <w:jc w:val="center"/>
              <w:rPr>
                <w:rFonts w:ascii="Garamond" w:eastAsia="Times New Roman" w:hAnsi="Garamond" w:cs="Times New Roman"/>
                <w:b/>
                <w:bCs/>
                <w:color w:val="000000"/>
                <w:sz w:val="18"/>
                <w:szCs w:val="18"/>
                <w:rtl/>
              </w:rPr>
            </w:pPr>
            <w:r w:rsidRPr="004602A5">
              <w:rPr>
                <w:rFonts w:ascii="Garamond" w:eastAsia="Times New Roman" w:hAnsi="Garamond" w:cs="Times New Roman"/>
                <w:b/>
                <w:bCs/>
                <w:color w:val="000000"/>
                <w:sz w:val="18"/>
                <w:szCs w:val="18"/>
              </w:rPr>
              <w:t>Ensemble</w:t>
            </w:r>
          </w:p>
        </w:tc>
        <w:tc>
          <w:tcPr>
            <w:tcW w:w="392" w:type="pct"/>
            <w:tcBorders>
              <w:top w:val="nil"/>
              <w:left w:val="nil"/>
              <w:bottom w:val="single" w:sz="4" w:space="0" w:color="auto"/>
              <w:right w:val="single" w:sz="4" w:space="0" w:color="auto"/>
            </w:tcBorders>
            <w:shd w:val="clear" w:color="auto" w:fill="auto"/>
            <w:hideMark/>
          </w:tcPr>
          <w:p w:rsidR="00E017C9" w:rsidRPr="004602A5" w:rsidRDefault="00E017C9" w:rsidP="00490D10">
            <w:pPr>
              <w:bidi/>
              <w:spacing w:line="240" w:lineRule="auto"/>
              <w:jc w:val="center"/>
              <w:rPr>
                <w:rFonts w:ascii="Garamond" w:eastAsia="Times New Roman" w:hAnsi="Garamond" w:cs="Times New Roman"/>
                <w:b/>
                <w:bCs/>
                <w:color w:val="000000"/>
                <w:sz w:val="18"/>
                <w:szCs w:val="18"/>
                <w:rtl/>
              </w:rPr>
            </w:pPr>
            <w:r w:rsidRPr="004602A5">
              <w:rPr>
                <w:rFonts w:ascii="Garamond" w:eastAsia="Times New Roman" w:hAnsi="Garamond" w:cs="Times New Roman"/>
                <w:b/>
                <w:bCs/>
                <w:color w:val="000000"/>
                <w:sz w:val="18"/>
                <w:szCs w:val="18"/>
              </w:rPr>
              <w:t>Urbain</w:t>
            </w:r>
          </w:p>
        </w:tc>
        <w:tc>
          <w:tcPr>
            <w:tcW w:w="393" w:type="pct"/>
            <w:tcBorders>
              <w:top w:val="nil"/>
              <w:left w:val="nil"/>
              <w:bottom w:val="single" w:sz="4" w:space="0" w:color="auto"/>
              <w:right w:val="single" w:sz="4" w:space="0" w:color="auto"/>
            </w:tcBorders>
            <w:shd w:val="clear" w:color="auto" w:fill="auto"/>
            <w:hideMark/>
          </w:tcPr>
          <w:p w:rsidR="00E017C9" w:rsidRPr="004602A5" w:rsidRDefault="00E017C9" w:rsidP="00490D10">
            <w:pPr>
              <w:bidi/>
              <w:spacing w:line="240" w:lineRule="auto"/>
              <w:jc w:val="center"/>
              <w:rPr>
                <w:rFonts w:ascii="Garamond" w:eastAsia="Times New Roman" w:hAnsi="Garamond" w:cs="Times New Roman"/>
                <w:b/>
                <w:bCs/>
                <w:color w:val="000000"/>
                <w:sz w:val="18"/>
                <w:szCs w:val="18"/>
                <w:rtl/>
              </w:rPr>
            </w:pPr>
            <w:r w:rsidRPr="004602A5">
              <w:rPr>
                <w:rFonts w:ascii="Garamond" w:eastAsia="Times New Roman" w:hAnsi="Garamond" w:cs="Times New Roman"/>
                <w:b/>
                <w:bCs/>
                <w:color w:val="000000"/>
                <w:sz w:val="18"/>
                <w:szCs w:val="18"/>
              </w:rPr>
              <w:t>Rural</w:t>
            </w:r>
          </w:p>
        </w:tc>
        <w:tc>
          <w:tcPr>
            <w:tcW w:w="523" w:type="pct"/>
            <w:tcBorders>
              <w:top w:val="nil"/>
              <w:left w:val="nil"/>
              <w:bottom w:val="single" w:sz="4" w:space="0" w:color="auto"/>
              <w:right w:val="single" w:sz="4" w:space="0" w:color="auto"/>
            </w:tcBorders>
            <w:shd w:val="clear" w:color="auto" w:fill="auto"/>
            <w:hideMark/>
          </w:tcPr>
          <w:p w:rsidR="00E017C9" w:rsidRPr="004602A5" w:rsidRDefault="00E017C9" w:rsidP="00490D10">
            <w:pPr>
              <w:bidi/>
              <w:spacing w:line="240" w:lineRule="auto"/>
              <w:jc w:val="center"/>
              <w:rPr>
                <w:rFonts w:ascii="Garamond" w:eastAsia="Times New Roman" w:hAnsi="Garamond" w:cs="Times New Roman"/>
                <w:b/>
                <w:bCs/>
                <w:color w:val="000000"/>
                <w:sz w:val="18"/>
                <w:szCs w:val="18"/>
                <w:rtl/>
              </w:rPr>
            </w:pPr>
            <w:r w:rsidRPr="004602A5">
              <w:rPr>
                <w:rFonts w:ascii="Garamond" w:eastAsia="Times New Roman" w:hAnsi="Garamond" w:cs="Times New Roman"/>
                <w:b/>
                <w:bCs/>
                <w:color w:val="000000"/>
                <w:sz w:val="18"/>
                <w:szCs w:val="18"/>
              </w:rPr>
              <w:t>Ensemble</w:t>
            </w:r>
          </w:p>
        </w:tc>
      </w:tr>
      <w:tr w:rsidR="00E017C9" w:rsidRPr="004602A5" w:rsidTr="000B69AD">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rsidR="00E017C9" w:rsidRPr="004602A5" w:rsidRDefault="00E017C9" w:rsidP="00483427">
            <w:pPr>
              <w:spacing w:line="240" w:lineRule="auto"/>
              <w:rPr>
                <w:rFonts w:ascii="Garamond" w:eastAsia="Times New Roman" w:hAnsi="Garamond" w:cs="Times New Roman"/>
                <w:b/>
                <w:bCs/>
                <w:color w:val="1F497D"/>
                <w:sz w:val="18"/>
                <w:szCs w:val="18"/>
                <w:rtl/>
              </w:rPr>
            </w:pPr>
            <w:r w:rsidRPr="003D03B0">
              <w:rPr>
                <w:rFonts w:ascii="Garamond" w:eastAsia="Times New Roman" w:hAnsi="Garamond" w:cs="Times New Roman"/>
                <w:b/>
                <w:bCs/>
                <w:color w:val="0070C0"/>
                <w:sz w:val="18"/>
                <w:szCs w:val="18"/>
              </w:rPr>
              <w:t>Activité (des 15 ans</w:t>
            </w:r>
            <w:r w:rsidR="00483427" w:rsidRPr="003D03B0">
              <w:rPr>
                <w:rFonts w:ascii="Garamond" w:eastAsia="Times New Roman" w:hAnsi="Garamond" w:cs="Times New Roman"/>
                <w:b/>
                <w:bCs/>
                <w:color w:val="0070C0"/>
                <w:sz w:val="18"/>
                <w:szCs w:val="18"/>
              </w:rPr>
              <w:t xml:space="preserve"> ou</w:t>
            </w:r>
            <w:r w:rsidRPr="003D03B0">
              <w:rPr>
                <w:rFonts w:ascii="Garamond" w:eastAsia="Times New Roman" w:hAnsi="Garamond" w:cs="Times New Roman"/>
                <w:b/>
                <w:bCs/>
                <w:color w:val="0070C0"/>
                <w:sz w:val="18"/>
                <w:szCs w:val="18"/>
              </w:rPr>
              <w:t xml:space="preserve"> plus)</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1"/>
              <w:rPr>
                <w:rFonts w:ascii="Garamond" w:eastAsia="Times New Roman" w:hAnsi="Garamond" w:cs="Times New Roman"/>
                <w:b/>
                <w:bCs/>
                <w:color w:val="000000"/>
                <w:sz w:val="18"/>
                <w:szCs w:val="18"/>
              </w:rPr>
            </w:pPr>
            <w:r w:rsidRPr="004602A5">
              <w:rPr>
                <w:rFonts w:ascii="Garamond" w:eastAsia="Times New Roman" w:hAnsi="Garamond" w:cs="Times New Roman"/>
                <w:b/>
                <w:bCs/>
                <w:color w:val="000000"/>
                <w:sz w:val="18"/>
                <w:szCs w:val="18"/>
              </w:rPr>
              <w:t>Population active</w:t>
            </w:r>
            <w:r w:rsidR="00483427">
              <w:rPr>
                <w:rFonts w:ascii="Garamond" w:eastAsia="Times New Roman" w:hAnsi="Garamond" w:cs="Times New Roman"/>
                <w:b/>
                <w:bCs/>
                <w:color w:val="000000"/>
                <w:sz w:val="18"/>
                <w:szCs w:val="18"/>
              </w:rPr>
              <w:t xml:space="preserve"> (en milliers)</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1"/>
              <w:jc w:val="right"/>
              <w:rPr>
                <w:rFonts w:ascii="Garamond" w:eastAsia="Times New Roman" w:hAnsi="Garamond" w:cs="Times New Roman"/>
                <w:b/>
                <w:bCs/>
                <w:color w:val="010205"/>
                <w:sz w:val="18"/>
                <w:szCs w:val="18"/>
              </w:rPr>
            </w:pPr>
            <w:r w:rsidRPr="004602A5">
              <w:rPr>
                <w:rFonts w:ascii="Garamond" w:eastAsia="Times New Roman" w:hAnsi="Garamond" w:cs="Times New Roman"/>
                <w:b/>
                <w:bCs/>
                <w:color w:val="010205"/>
                <w:sz w:val="18"/>
                <w:szCs w:val="18"/>
              </w:rPr>
              <w:t>7 115</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1"/>
              <w:jc w:val="right"/>
              <w:rPr>
                <w:rFonts w:ascii="Garamond" w:eastAsia="Times New Roman" w:hAnsi="Garamond" w:cs="Times New Roman"/>
                <w:b/>
                <w:bCs/>
                <w:color w:val="010205"/>
                <w:sz w:val="18"/>
                <w:szCs w:val="18"/>
              </w:rPr>
            </w:pPr>
            <w:r w:rsidRPr="004602A5">
              <w:rPr>
                <w:rFonts w:ascii="Garamond" w:eastAsia="Times New Roman" w:hAnsi="Garamond" w:cs="Times New Roman"/>
                <w:b/>
                <w:bCs/>
                <w:color w:val="010205"/>
                <w:sz w:val="18"/>
                <w:szCs w:val="18"/>
              </w:rPr>
              <w:t>4 746</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1"/>
              <w:jc w:val="right"/>
              <w:rPr>
                <w:rFonts w:ascii="Garamond" w:eastAsia="Times New Roman" w:hAnsi="Garamond" w:cs="Times New Roman"/>
                <w:b/>
                <w:bCs/>
                <w:color w:val="010205"/>
                <w:sz w:val="18"/>
                <w:szCs w:val="18"/>
              </w:rPr>
            </w:pPr>
            <w:r w:rsidRPr="004602A5">
              <w:rPr>
                <w:rFonts w:ascii="Garamond" w:eastAsia="Times New Roman" w:hAnsi="Garamond" w:cs="Times New Roman"/>
                <w:b/>
                <w:bCs/>
                <w:color w:val="010205"/>
                <w:sz w:val="18"/>
                <w:szCs w:val="18"/>
              </w:rPr>
              <w:t>11 862</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1"/>
              <w:jc w:val="right"/>
              <w:rPr>
                <w:rFonts w:ascii="Garamond" w:eastAsia="Times New Roman" w:hAnsi="Garamond" w:cs="Times New Roman"/>
                <w:b/>
                <w:bCs/>
                <w:color w:val="010205"/>
                <w:sz w:val="18"/>
                <w:szCs w:val="18"/>
              </w:rPr>
            </w:pPr>
            <w:r w:rsidRPr="004602A5">
              <w:rPr>
                <w:rFonts w:ascii="Garamond" w:eastAsia="Times New Roman" w:hAnsi="Garamond" w:cs="Times New Roman"/>
                <w:b/>
                <w:bCs/>
                <w:color w:val="010205"/>
                <w:sz w:val="18"/>
                <w:szCs w:val="18"/>
              </w:rPr>
              <w:t>7 154</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1"/>
              <w:jc w:val="right"/>
              <w:rPr>
                <w:rFonts w:ascii="Garamond" w:eastAsia="Times New Roman" w:hAnsi="Garamond" w:cs="Times New Roman"/>
                <w:b/>
                <w:bCs/>
                <w:color w:val="010205"/>
                <w:sz w:val="18"/>
                <w:szCs w:val="18"/>
              </w:rPr>
            </w:pPr>
            <w:r w:rsidRPr="004602A5">
              <w:rPr>
                <w:rFonts w:ascii="Garamond" w:eastAsia="Times New Roman" w:hAnsi="Garamond" w:cs="Times New Roman"/>
                <w:b/>
                <w:bCs/>
                <w:color w:val="010205"/>
                <w:sz w:val="18"/>
                <w:szCs w:val="18"/>
              </w:rPr>
              <w:t>4 494</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1"/>
              <w:jc w:val="right"/>
              <w:rPr>
                <w:rFonts w:ascii="Garamond" w:eastAsia="Times New Roman" w:hAnsi="Garamond" w:cs="Times New Roman"/>
                <w:b/>
                <w:bCs/>
                <w:color w:val="010205"/>
                <w:sz w:val="18"/>
                <w:szCs w:val="18"/>
              </w:rPr>
            </w:pPr>
            <w:r w:rsidRPr="004602A5">
              <w:rPr>
                <w:rFonts w:ascii="Garamond" w:eastAsia="Times New Roman" w:hAnsi="Garamond" w:cs="Times New Roman"/>
                <w:b/>
                <w:bCs/>
                <w:color w:val="010205"/>
                <w:sz w:val="18"/>
                <w:szCs w:val="18"/>
              </w:rPr>
              <w:t>11 648</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Taux de féminisation de la population active</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22,2</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24,9</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23,2</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20,5</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21,4</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20,8</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Taux d'activité</w:t>
            </w:r>
            <w:r w:rsidR="00097E88">
              <w:rPr>
                <w:rFonts w:ascii="Garamond" w:eastAsia="Times New Roman" w:hAnsi="Garamond" w:cs="Times New Roman"/>
                <w:color w:val="000000"/>
                <w:sz w:val="18"/>
                <w:szCs w:val="18"/>
              </w:rPr>
              <w:t xml:space="preserve"> (en%)</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41,7</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50,8</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44,9</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41,0</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48,0</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43,5</w:t>
            </w:r>
          </w:p>
        </w:tc>
      </w:tr>
      <w:tr w:rsidR="00E017C9" w:rsidRPr="004602A5" w:rsidTr="000B69AD">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200" w:firstLine="360"/>
              <w:rPr>
                <w:rFonts w:ascii="Garamond" w:eastAsia="Times New Roman" w:hAnsi="Garamond" w:cs="Times New Roman"/>
                <w:i/>
                <w:iCs/>
                <w:color w:val="000000"/>
                <w:sz w:val="18"/>
                <w:szCs w:val="18"/>
              </w:rPr>
            </w:pPr>
            <w:r w:rsidRPr="004602A5">
              <w:rPr>
                <w:rFonts w:ascii="Garamond" w:eastAsia="Times New Roman" w:hAnsi="Garamond" w:cs="Times New Roman"/>
                <w:i/>
                <w:iCs/>
                <w:color w:val="000000"/>
                <w:sz w:val="18"/>
                <w:szCs w:val="18"/>
              </w:rPr>
              <w:t>• Selon le sexe</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400" w:firstLine="72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Hommes</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66,9</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75,8</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70,1</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67,2</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74,8</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69,9</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400" w:firstLine="72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Femmes</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18,0</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25,4</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20,5</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16,3</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20,7</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17,8</w:t>
            </w:r>
          </w:p>
        </w:tc>
      </w:tr>
      <w:tr w:rsidR="00E017C9" w:rsidRPr="004602A5" w:rsidTr="000B69AD">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200" w:firstLine="360"/>
              <w:rPr>
                <w:rFonts w:ascii="Garamond" w:eastAsia="Times New Roman" w:hAnsi="Garamond" w:cs="Times New Roman"/>
                <w:i/>
                <w:iCs/>
                <w:color w:val="000000"/>
                <w:sz w:val="18"/>
                <w:szCs w:val="18"/>
              </w:rPr>
            </w:pPr>
            <w:r w:rsidRPr="004602A5">
              <w:rPr>
                <w:rFonts w:ascii="Garamond" w:eastAsia="Times New Roman" w:hAnsi="Garamond" w:cs="Times New Roman"/>
                <w:i/>
                <w:iCs/>
                <w:color w:val="000000"/>
                <w:sz w:val="18"/>
                <w:szCs w:val="18"/>
              </w:rPr>
              <w:t>• Selon l'âge</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400" w:firstLine="72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15-24 ans</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21,0</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30,2</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24,7</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19,3</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26,7</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22,3</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400" w:firstLine="72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25-34 ans</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58,3</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60,5</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59,0</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56,9</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58,3</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57,3</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400" w:firstLine="72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35-44 ans</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57,6</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65,9</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60,4</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57,0</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63,4</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59,1</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400" w:firstLine="72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45 ans et plus</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35,3</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52,4</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41,2</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35,4</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49,7</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40,3</w:t>
            </w:r>
          </w:p>
        </w:tc>
      </w:tr>
      <w:tr w:rsidR="00E017C9" w:rsidRPr="004602A5" w:rsidTr="000B69AD">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rsidR="00E017C9" w:rsidRPr="004602A5" w:rsidRDefault="00E017C9" w:rsidP="00490D10">
            <w:pPr>
              <w:spacing w:line="240" w:lineRule="auto"/>
              <w:ind w:firstLineChars="200" w:firstLine="360"/>
              <w:rPr>
                <w:rFonts w:ascii="Garamond" w:eastAsia="Times New Roman" w:hAnsi="Garamond" w:cs="Times New Roman"/>
                <w:i/>
                <w:iCs/>
                <w:color w:val="000000"/>
                <w:sz w:val="18"/>
                <w:szCs w:val="18"/>
              </w:rPr>
            </w:pPr>
            <w:r w:rsidRPr="004602A5">
              <w:rPr>
                <w:rFonts w:ascii="Garamond" w:eastAsia="Times New Roman" w:hAnsi="Garamond" w:cs="Times New Roman"/>
                <w:i/>
                <w:iCs/>
                <w:color w:val="000000"/>
                <w:sz w:val="18"/>
                <w:szCs w:val="18"/>
              </w:rPr>
              <w:t>• Selon le diplôme</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400" w:firstLine="72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Non diplômés</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35,7</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53,4</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44,0</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34,9</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50,4</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42,1</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400" w:firstLine="72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Diplômés</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46,3</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44,6</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45,9</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45,7</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42,8</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45,0</w:t>
            </w:r>
          </w:p>
        </w:tc>
      </w:tr>
      <w:tr w:rsidR="00E017C9" w:rsidRPr="004602A5" w:rsidTr="000B69AD">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rsidR="00E017C9" w:rsidRPr="004602A5" w:rsidRDefault="00E017C9" w:rsidP="00483427">
            <w:pPr>
              <w:spacing w:line="240" w:lineRule="auto"/>
              <w:rPr>
                <w:rFonts w:ascii="Garamond" w:eastAsia="Times New Roman" w:hAnsi="Garamond" w:cs="Times New Roman"/>
                <w:b/>
                <w:bCs/>
                <w:color w:val="1F497D"/>
                <w:sz w:val="18"/>
                <w:szCs w:val="18"/>
              </w:rPr>
            </w:pPr>
            <w:r w:rsidRPr="003D03B0">
              <w:rPr>
                <w:rFonts w:ascii="Garamond" w:eastAsia="Times New Roman" w:hAnsi="Garamond" w:cs="Times New Roman"/>
                <w:b/>
                <w:bCs/>
                <w:color w:val="0070C0"/>
                <w:sz w:val="18"/>
                <w:szCs w:val="18"/>
              </w:rPr>
              <w:t xml:space="preserve">Emploi (des 15 ans </w:t>
            </w:r>
            <w:r w:rsidR="00483427" w:rsidRPr="003D03B0">
              <w:rPr>
                <w:rFonts w:ascii="Garamond" w:eastAsia="Times New Roman" w:hAnsi="Garamond" w:cs="Times New Roman"/>
                <w:b/>
                <w:bCs/>
                <w:color w:val="0070C0"/>
                <w:sz w:val="18"/>
                <w:szCs w:val="18"/>
              </w:rPr>
              <w:t>ou</w:t>
            </w:r>
            <w:r w:rsidRPr="003D03B0">
              <w:rPr>
                <w:rFonts w:ascii="Garamond" w:eastAsia="Times New Roman" w:hAnsi="Garamond" w:cs="Times New Roman"/>
                <w:b/>
                <w:bCs/>
                <w:color w:val="0070C0"/>
                <w:sz w:val="18"/>
                <w:szCs w:val="18"/>
              </w:rPr>
              <w:t xml:space="preserve"> plus)</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1"/>
              <w:rPr>
                <w:rFonts w:ascii="Garamond" w:eastAsia="Times New Roman" w:hAnsi="Garamond" w:cs="Times New Roman"/>
                <w:b/>
                <w:bCs/>
                <w:color w:val="000000"/>
                <w:sz w:val="18"/>
                <w:szCs w:val="18"/>
              </w:rPr>
            </w:pPr>
            <w:r w:rsidRPr="004602A5">
              <w:rPr>
                <w:rFonts w:ascii="Garamond" w:eastAsia="Times New Roman" w:hAnsi="Garamond" w:cs="Times New Roman"/>
                <w:b/>
                <w:bCs/>
                <w:color w:val="000000"/>
                <w:sz w:val="18"/>
                <w:szCs w:val="18"/>
              </w:rPr>
              <w:t>Population active occupée</w:t>
            </w:r>
            <w:r w:rsidR="00483427">
              <w:rPr>
                <w:rFonts w:ascii="Garamond" w:eastAsia="Times New Roman" w:hAnsi="Garamond" w:cs="Times New Roman"/>
                <w:b/>
                <w:bCs/>
                <w:color w:val="000000"/>
                <w:sz w:val="18"/>
                <w:szCs w:val="18"/>
              </w:rPr>
              <w:t xml:space="preserve"> (en milliers)</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1"/>
              <w:jc w:val="right"/>
              <w:rPr>
                <w:rFonts w:ascii="Garamond" w:eastAsia="Times New Roman" w:hAnsi="Garamond" w:cs="Times New Roman"/>
                <w:b/>
                <w:bCs/>
                <w:color w:val="010205"/>
                <w:sz w:val="18"/>
                <w:szCs w:val="18"/>
              </w:rPr>
            </w:pPr>
            <w:r w:rsidRPr="004602A5">
              <w:rPr>
                <w:rFonts w:ascii="Garamond" w:eastAsia="Times New Roman" w:hAnsi="Garamond" w:cs="Times New Roman"/>
                <w:b/>
                <w:bCs/>
                <w:color w:val="010205"/>
                <w:sz w:val="18"/>
                <w:szCs w:val="18"/>
              </w:rPr>
              <w:t>6 213</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1"/>
              <w:jc w:val="right"/>
              <w:rPr>
                <w:rFonts w:ascii="Garamond" w:eastAsia="Times New Roman" w:hAnsi="Garamond" w:cs="Times New Roman"/>
                <w:b/>
                <w:bCs/>
                <w:color w:val="010205"/>
                <w:sz w:val="18"/>
                <w:szCs w:val="18"/>
              </w:rPr>
            </w:pPr>
            <w:r w:rsidRPr="004602A5">
              <w:rPr>
                <w:rFonts w:ascii="Garamond" w:eastAsia="Times New Roman" w:hAnsi="Garamond" w:cs="Times New Roman"/>
                <w:b/>
                <w:bCs/>
                <w:color w:val="010205"/>
                <w:sz w:val="18"/>
                <w:szCs w:val="18"/>
              </w:rPr>
              <w:t>4 534</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1"/>
              <w:jc w:val="right"/>
              <w:rPr>
                <w:rFonts w:ascii="Garamond" w:eastAsia="Times New Roman" w:hAnsi="Garamond" w:cs="Times New Roman"/>
                <w:b/>
                <w:bCs/>
                <w:color w:val="010205"/>
                <w:sz w:val="18"/>
                <w:szCs w:val="18"/>
              </w:rPr>
            </w:pPr>
            <w:r w:rsidRPr="004602A5">
              <w:rPr>
                <w:rFonts w:ascii="Garamond" w:eastAsia="Times New Roman" w:hAnsi="Garamond" w:cs="Times New Roman"/>
                <w:b/>
                <w:bCs/>
                <w:color w:val="010205"/>
                <w:sz w:val="18"/>
                <w:szCs w:val="18"/>
              </w:rPr>
              <w:t>10 747</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1"/>
              <w:jc w:val="right"/>
              <w:rPr>
                <w:rFonts w:ascii="Garamond" w:eastAsia="Times New Roman" w:hAnsi="Garamond" w:cs="Times New Roman"/>
                <w:b/>
                <w:bCs/>
                <w:color w:val="010205"/>
                <w:sz w:val="18"/>
                <w:szCs w:val="18"/>
              </w:rPr>
            </w:pPr>
            <w:r w:rsidRPr="004602A5">
              <w:rPr>
                <w:rFonts w:ascii="Garamond" w:eastAsia="Times New Roman" w:hAnsi="Garamond" w:cs="Times New Roman"/>
                <w:b/>
                <w:bCs/>
                <w:color w:val="010205"/>
                <w:sz w:val="18"/>
                <w:szCs w:val="18"/>
              </w:rPr>
              <w:t>5 975</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1"/>
              <w:jc w:val="right"/>
              <w:rPr>
                <w:rFonts w:ascii="Garamond" w:eastAsia="Times New Roman" w:hAnsi="Garamond" w:cs="Times New Roman"/>
                <w:b/>
                <w:bCs/>
                <w:color w:val="010205"/>
                <w:sz w:val="18"/>
                <w:szCs w:val="18"/>
              </w:rPr>
            </w:pPr>
            <w:r w:rsidRPr="004602A5">
              <w:rPr>
                <w:rFonts w:ascii="Garamond" w:eastAsia="Times New Roman" w:hAnsi="Garamond" w:cs="Times New Roman"/>
                <w:b/>
                <w:bCs/>
                <w:color w:val="010205"/>
                <w:sz w:val="18"/>
                <w:szCs w:val="18"/>
              </w:rPr>
              <w:t>4 190</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1"/>
              <w:jc w:val="right"/>
              <w:rPr>
                <w:rFonts w:ascii="Garamond" w:eastAsia="Times New Roman" w:hAnsi="Garamond" w:cs="Times New Roman"/>
                <w:b/>
                <w:bCs/>
                <w:color w:val="010205"/>
                <w:sz w:val="18"/>
                <w:szCs w:val="18"/>
              </w:rPr>
            </w:pPr>
            <w:r w:rsidRPr="004602A5">
              <w:rPr>
                <w:rFonts w:ascii="Garamond" w:eastAsia="Times New Roman" w:hAnsi="Garamond" w:cs="Times New Roman"/>
                <w:b/>
                <w:bCs/>
                <w:color w:val="010205"/>
                <w:sz w:val="18"/>
                <w:szCs w:val="18"/>
              </w:rPr>
              <w:t>10 166</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Taux d'emploi</w:t>
            </w:r>
            <w:r w:rsidR="00097E88">
              <w:rPr>
                <w:rFonts w:ascii="Garamond" w:eastAsia="Times New Roman" w:hAnsi="Garamond" w:cs="Times New Roman"/>
                <w:color w:val="000000"/>
                <w:sz w:val="18"/>
                <w:szCs w:val="18"/>
              </w:rPr>
              <w:t xml:space="preserve"> (en %)</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36,4</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48,5</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40,7</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34,3</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44,8</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37,9</w:t>
            </w:r>
          </w:p>
        </w:tc>
      </w:tr>
      <w:tr w:rsidR="00E017C9" w:rsidRPr="004602A5" w:rsidTr="000B69AD">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rsidR="00E017C9" w:rsidRPr="004602A5" w:rsidRDefault="00E017C9" w:rsidP="00490D10">
            <w:pPr>
              <w:spacing w:line="240" w:lineRule="auto"/>
              <w:ind w:firstLineChars="200" w:firstLine="360"/>
              <w:rPr>
                <w:rFonts w:ascii="Garamond" w:eastAsia="Times New Roman" w:hAnsi="Garamond" w:cs="Times New Roman"/>
                <w:i/>
                <w:iCs/>
                <w:color w:val="000000"/>
                <w:sz w:val="18"/>
                <w:szCs w:val="18"/>
              </w:rPr>
            </w:pPr>
            <w:r w:rsidRPr="004602A5">
              <w:rPr>
                <w:rFonts w:ascii="Garamond" w:eastAsia="Times New Roman" w:hAnsi="Garamond" w:cs="Times New Roman"/>
                <w:i/>
                <w:iCs/>
                <w:color w:val="000000"/>
                <w:sz w:val="18"/>
                <w:szCs w:val="18"/>
              </w:rPr>
              <w:t>• Selon le sexe</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400" w:firstLine="72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Hommes</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60,2</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72,0</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64,5</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57,9</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69,2</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61,9</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400" w:firstLine="72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Femmes</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14,0</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24,7</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17,7</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12,1</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19,8</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14,7</w:t>
            </w:r>
          </w:p>
        </w:tc>
      </w:tr>
      <w:tr w:rsidR="00E017C9" w:rsidRPr="004602A5" w:rsidTr="000B69AD">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rsidR="00E017C9" w:rsidRPr="004602A5" w:rsidRDefault="00E017C9" w:rsidP="00490D10">
            <w:pPr>
              <w:spacing w:line="240" w:lineRule="auto"/>
              <w:ind w:firstLineChars="100" w:firstLine="18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Structure de l'emploi selon les secteurs d'activité économique</w:t>
            </w:r>
            <w:r w:rsidR="00097E88">
              <w:rPr>
                <w:rFonts w:ascii="Garamond" w:eastAsia="Times New Roman" w:hAnsi="Garamond" w:cs="Times New Roman"/>
                <w:color w:val="000000"/>
                <w:sz w:val="18"/>
                <w:szCs w:val="18"/>
              </w:rPr>
              <w:t xml:space="preserve"> (en%)</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83427">
            <w:pPr>
              <w:spacing w:line="240" w:lineRule="auto"/>
              <w:ind w:firstLineChars="200" w:firstLine="36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 xml:space="preserve">Agriculture, </w:t>
            </w:r>
            <w:r w:rsidR="00483427">
              <w:rPr>
                <w:rFonts w:ascii="Garamond" w:eastAsia="Times New Roman" w:hAnsi="Garamond" w:cs="Times New Roman"/>
                <w:color w:val="000000"/>
                <w:sz w:val="18"/>
                <w:szCs w:val="18"/>
              </w:rPr>
              <w:t>forêt</w:t>
            </w:r>
            <w:r w:rsidRPr="004602A5">
              <w:rPr>
                <w:rFonts w:ascii="Garamond" w:eastAsia="Times New Roman" w:hAnsi="Garamond" w:cs="Times New Roman"/>
                <w:color w:val="000000"/>
                <w:sz w:val="18"/>
                <w:szCs w:val="18"/>
              </w:rPr>
              <w:t xml:space="preserve"> et pêche</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4,6</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66,7</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30,8</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4,9</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66,0</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30,0</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200" w:firstLine="36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Industrie (y compris artisanat)</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17,1</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4,4</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11,7</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17,0</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4,4</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11,8</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200" w:firstLine="36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BTP</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11,7</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9,7</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10,9</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12,2</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10,5</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11,5</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200" w:firstLine="36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Services</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66,4</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19,1</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46,5</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65,8</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19,2</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46,6</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200" w:firstLine="36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Activités non déterminées</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0,1</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0,0</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0,1</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0,1</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0,0</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0,1</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 xml:space="preserve">Part </w:t>
            </w:r>
            <w:r w:rsidR="00067D07">
              <w:rPr>
                <w:rFonts w:ascii="Garamond" w:eastAsia="Times New Roman" w:hAnsi="Garamond" w:cs="Times New Roman"/>
                <w:color w:val="000000"/>
                <w:sz w:val="18"/>
                <w:szCs w:val="18"/>
              </w:rPr>
              <w:t xml:space="preserve">(en%) </w:t>
            </w:r>
            <w:r w:rsidRPr="004602A5">
              <w:rPr>
                <w:rFonts w:ascii="Garamond" w:eastAsia="Times New Roman" w:hAnsi="Garamond" w:cs="Times New Roman"/>
                <w:color w:val="000000"/>
                <w:sz w:val="18"/>
                <w:szCs w:val="18"/>
              </w:rPr>
              <w:t>de l'emploi rémunéré dans l'emploi total, dont :</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96,8</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70,1</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85,5</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96,9</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71,2</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86,3</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200" w:firstLine="36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Salariés</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66,8</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44,4</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59,1</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66,8</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47,2</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60,1</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200" w:firstLine="36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Auto-employés</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33,2</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55,6</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40,9</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33,2</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52,8</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39,9</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1"/>
              <w:rPr>
                <w:rFonts w:ascii="Garamond" w:eastAsia="Times New Roman" w:hAnsi="Garamond" w:cs="Times New Roman"/>
                <w:b/>
                <w:bCs/>
                <w:color w:val="000000"/>
                <w:sz w:val="18"/>
                <w:szCs w:val="18"/>
              </w:rPr>
            </w:pPr>
            <w:r w:rsidRPr="004602A5">
              <w:rPr>
                <w:rFonts w:ascii="Garamond" w:eastAsia="Times New Roman" w:hAnsi="Garamond" w:cs="Times New Roman"/>
                <w:b/>
                <w:bCs/>
                <w:color w:val="000000"/>
                <w:sz w:val="18"/>
                <w:szCs w:val="18"/>
              </w:rPr>
              <w:t>Population active occupée en sous-emploi</w:t>
            </w:r>
            <w:r w:rsidR="00483427">
              <w:rPr>
                <w:rFonts w:ascii="Garamond" w:eastAsia="Times New Roman" w:hAnsi="Garamond" w:cs="Times New Roman"/>
                <w:b/>
                <w:bCs/>
                <w:color w:val="000000"/>
                <w:sz w:val="18"/>
                <w:szCs w:val="18"/>
              </w:rPr>
              <w:t xml:space="preserve"> (en milliers)</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1"/>
              <w:jc w:val="right"/>
              <w:rPr>
                <w:rFonts w:ascii="Garamond" w:eastAsia="Times New Roman" w:hAnsi="Garamond" w:cs="Times New Roman"/>
                <w:b/>
                <w:bCs/>
                <w:color w:val="010205"/>
                <w:sz w:val="18"/>
                <w:szCs w:val="18"/>
              </w:rPr>
            </w:pPr>
            <w:r w:rsidRPr="004602A5">
              <w:rPr>
                <w:rFonts w:ascii="Garamond" w:eastAsia="Times New Roman" w:hAnsi="Garamond" w:cs="Times New Roman"/>
                <w:b/>
                <w:bCs/>
                <w:color w:val="010205"/>
                <w:sz w:val="18"/>
                <w:szCs w:val="18"/>
              </w:rPr>
              <w:t>481</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1"/>
              <w:jc w:val="right"/>
              <w:rPr>
                <w:rFonts w:ascii="Garamond" w:eastAsia="Times New Roman" w:hAnsi="Garamond" w:cs="Times New Roman"/>
                <w:b/>
                <w:bCs/>
                <w:color w:val="010205"/>
                <w:sz w:val="18"/>
                <w:szCs w:val="18"/>
              </w:rPr>
            </w:pPr>
            <w:r w:rsidRPr="004602A5">
              <w:rPr>
                <w:rFonts w:ascii="Garamond" w:eastAsia="Times New Roman" w:hAnsi="Garamond" w:cs="Times New Roman"/>
                <w:b/>
                <w:bCs/>
                <w:color w:val="010205"/>
                <w:sz w:val="18"/>
                <w:szCs w:val="18"/>
              </w:rPr>
              <w:t>488</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1E3D7A">
            <w:pPr>
              <w:spacing w:line="240" w:lineRule="auto"/>
              <w:ind w:firstLineChars="100" w:firstLine="181"/>
              <w:jc w:val="right"/>
              <w:rPr>
                <w:rFonts w:ascii="Garamond" w:eastAsia="Times New Roman" w:hAnsi="Garamond" w:cs="Times New Roman"/>
                <w:b/>
                <w:bCs/>
                <w:color w:val="010205"/>
                <w:sz w:val="18"/>
                <w:szCs w:val="18"/>
              </w:rPr>
            </w:pPr>
            <w:r w:rsidRPr="004602A5">
              <w:rPr>
                <w:rFonts w:ascii="Garamond" w:eastAsia="Times New Roman" w:hAnsi="Garamond" w:cs="Times New Roman"/>
                <w:b/>
                <w:bCs/>
                <w:color w:val="010205"/>
                <w:sz w:val="18"/>
                <w:szCs w:val="18"/>
              </w:rPr>
              <w:t>96</w:t>
            </w:r>
            <w:r w:rsidR="001E3D7A">
              <w:rPr>
                <w:rFonts w:ascii="Garamond" w:eastAsia="Times New Roman" w:hAnsi="Garamond" w:cs="Times New Roman"/>
                <w:b/>
                <w:bCs/>
                <w:color w:val="010205"/>
                <w:sz w:val="18"/>
                <w:szCs w:val="18"/>
              </w:rPr>
              <w:t>9</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1"/>
              <w:jc w:val="right"/>
              <w:rPr>
                <w:rFonts w:ascii="Garamond" w:eastAsia="Times New Roman" w:hAnsi="Garamond" w:cs="Times New Roman"/>
                <w:b/>
                <w:bCs/>
                <w:color w:val="010205"/>
                <w:sz w:val="18"/>
                <w:szCs w:val="18"/>
              </w:rPr>
            </w:pPr>
            <w:r w:rsidRPr="004602A5">
              <w:rPr>
                <w:rFonts w:ascii="Garamond" w:eastAsia="Times New Roman" w:hAnsi="Garamond" w:cs="Times New Roman"/>
                <w:b/>
                <w:bCs/>
                <w:color w:val="010205"/>
                <w:sz w:val="18"/>
                <w:szCs w:val="18"/>
              </w:rPr>
              <w:t>627</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1"/>
              <w:jc w:val="right"/>
              <w:rPr>
                <w:rFonts w:ascii="Garamond" w:eastAsia="Times New Roman" w:hAnsi="Garamond" w:cs="Times New Roman"/>
                <w:b/>
                <w:bCs/>
                <w:color w:val="010205"/>
                <w:sz w:val="18"/>
                <w:szCs w:val="18"/>
              </w:rPr>
            </w:pPr>
            <w:r w:rsidRPr="004602A5">
              <w:rPr>
                <w:rFonts w:ascii="Garamond" w:eastAsia="Times New Roman" w:hAnsi="Garamond" w:cs="Times New Roman"/>
                <w:b/>
                <w:bCs/>
                <w:color w:val="010205"/>
                <w:sz w:val="18"/>
                <w:szCs w:val="18"/>
              </w:rPr>
              <w:t>556</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1"/>
              <w:jc w:val="right"/>
              <w:rPr>
                <w:rFonts w:ascii="Garamond" w:eastAsia="Times New Roman" w:hAnsi="Garamond" w:cs="Times New Roman"/>
                <w:b/>
                <w:bCs/>
                <w:color w:val="010205"/>
                <w:sz w:val="18"/>
                <w:szCs w:val="18"/>
              </w:rPr>
            </w:pPr>
            <w:r w:rsidRPr="004602A5">
              <w:rPr>
                <w:rFonts w:ascii="Garamond" w:eastAsia="Times New Roman" w:hAnsi="Garamond" w:cs="Times New Roman"/>
                <w:b/>
                <w:bCs/>
                <w:color w:val="010205"/>
                <w:sz w:val="18"/>
                <w:szCs w:val="18"/>
              </w:rPr>
              <w:t>1 182</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Taux de sous-emploi</w:t>
            </w:r>
            <w:r w:rsidR="00067D07">
              <w:rPr>
                <w:rFonts w:ascii="Garamond" w:eastAsia="Times New Roman" w:hAnsi="Garamond" w:cs="Times New Roman"/>
                <w:color w:val="000000"/>
                <w:sz w:val="18"/>
                <w:szCs w:val="18"/>
              </w:rPr>
              <w:t xml:space="preserve"> (en%)</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7,8</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10,8</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9,1</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10,5</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13,3</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11,6</w:t>
            </w:r>
          </w:p>
        </w:tc>
      </w:tr>
      <w:tr w:rsidR="00E017C9" w:rsidRPr="004602A5" w:rsidTr="000B69AD">
        <w:trPr>
          <w:trHeight w:val="315"/>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hideMark/>
          </w:tcPr>
          <w:p w:rsidR="00E017C9" w:rsidRPr="004602A5" w:rsidRDefault="00E017C9" w:rsidP="00490D10">
            <w:pPr>
              <w:spacing w:line="240" w:lineRule="auto"/>
              <w:ind w:firstLineChars="200" w:firstLine="360"/>
              <w:rPr>
                <w:rFonts w:ascii="Garamond" w:eastAsia="Times New Roman" w:hAnsi="Garamond" w:cs="Times New Roman"/>
                <w:i/>
                <w:iCs/>
                <w:color w:val="000000"/>
                <w:sz w:val="18"/>
                <w:szCs w:val="18"/>
              </w:rPr>
            </w:pPr>
            <w:r w:rsidRPr="004602A5">
              <w:rPr>
                <w:rFonts w:ascii="Garamond" w:eastAsia="Times New Roman" w:hAnsi="Garamond" w:cs="Times New Roman"/>
                <w:i/>
                <w:iCs/>
                <w:color w:val="000000"/>
                <w:sz w:val="18"/>
                <w:szCs w:val="18"/>
              </w:rPr>
              <w:t>• Selon la forme de sous-emploi</w:t>
            </w:r>
          </w:p>
        </w:tc>
      </w:tr>
      <w:tr w:rsidR="000B69AD" w:rsidRPr="004602A5" w:rsidTr="00362716">
        <w:trPr>
          <w:trHeight w:val="315"/>
        </w:trPr>
        <w:tc>
          <w:tcPr>
            <w:tcW w:w="2355" w:type="pct"/>
            <w:tcBorders>
              <w:top w:val="nil"/>
              <w:left w:val="single" w:sz="4" w:space="0" w:color="auto"/>
              <w:bottom w:val="single" w:sz="4" w:space="0" w:color="auto"/>
              <w:right w:val="single" w:sz="4" w:space="0" w:color="auto"/>
            </w:tcBorders>
            <w:shd w:val="clear" w:color="auto" w:fill="auto"/>
            <w:noWrap/>
            <w:hideMark/>
          </w:tcPr>
          <w:p w:rsidR="00E017C9" w:rsidRPr="004602A5" w:rsidRDefault="00E017C9" w:rsidP="00097E88">
            <w:pPr>
              <w:spacing w:line="240" w:lineRule="auto"/>
              <w:rPr>
                <w:rFonts w:ascii="Garamond" w:eastAsia="Times New Roman" w:hAnsi="Garamond" w:cs="Times New Roman"/>
                <w:color w:val="000000"/>
                <w:sz w:val="18"/>
                <w:szCs w:val="18"/>
              </w:rPr>
            </w:pPr>
            <w:r w:rsidRPr="004602A5">
              <w:rPr>
                <w:rFonts w:ascii="Garamond" w:eastAsia="Times New Roman" w:hAnsi="Garamond" w:cs="Times New Roman"/>
                <w:color w:val="000000"/>
                <w:sz w:val="18"/>
                <w:szCs w:val="18"/>
              </w:rPr>
              <w:t>Sous-emploi</w:t>
            </w:r>
            <w:r w:rsidR="00D56E96">
              <w:rPr>
                <w:rFonts w:ascii="Garamond" w:eastAsia="Times New Roman" w:hAnsi="Garamond" w:cs="Times New Roman"/>
                <w:color w:val="000000"/>
                <w:sz w:val="18"/>
                <w:szCs w:val="18"/>
              </w:rPr>
              <w:t xml:space="preserve"> </w:t>
            </w:r>
            <w:r w:rsidRPr="004602A5">
              <w:rPr>
                <w:rFonts w:ascii="Garamond" w:eastAsia="Times New Roman" w:hAnsi="Garamond" w:cs="Times New Roman"/>
                <w:color w:val="000000"/>
                <w:sz w:val="18"/>
                <w:szCs w:val="18"/>
              </w:rPr>
              <w:t xml:space="preserve">lié </w:t>
            </w:r>
            <w:r w:rsidR="00004631" w:rsidRPr="00A821C8">
              <w:rPr>
                <w:rFonts w:ascii="Book Antiqua" w:eastAsia="Book Antiqua" w:hAnsi="Book Antiqua" w:cs="Book Antiqua"/>
                <w:sz w:val="16"/>
                <w:szCs w:val="16"/>
              </w:rPr>
              <w:t>au nombre d’heures travaillées</w:t>
            </w:r>
            <w:r w:rsidRPr="004602A5">
              <w:rPr>
                <w:rFonts w:ascii="Garamond" w:eastAsia="Times New Roman" w:hAnsi="Garamond" w:cs="Times New Roman"/>
                <w:color w:val="000000"/>
                <w:sz w:val="18"/>
                <w:szCs w:val="18"/>
              </w:rPr>
              <w:t>)</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2,8</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4,6</w:t>
            </w:r>
          </w:p>
        </w:tc>
        <w:tc>
          <w:tcPr>
            <w:tcW w:w="55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3,6</w:t>
            </w:r>
          </w:p>
        </w:tc>
        <w:tc>
          <w:tcPr>
            <w:tcW w:w="392"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5,9</w:t>
            </w:r>
          </w:p>
        </w:tc>
        <w:tc>
          <w:tcPr>
            <w:tcW w:w="39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8,0</w:t>
            </w:r>
          </w:p>
        </w:tc>
        <w:tc>
          <w:tcPr>
            <w:tcW w:w="523" w:type="pct"/>
            <w:tcBorders>
              <w:top w:val="nil"/>
              <w:left w:val="nil"/>
              <w:bottom w:val="single" w:sz="4" w:space="0" w:color="auto"/>
              <w:right w:val="single" w:sz="4" w:space="0" w:color="auto"/>
            </w:tcBorders>
            <w:shd w:val="clear" w:color="auto" w:fill="auto"/>
            <w:noWrap/>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6,8</w:t>
            </w:r>
          </w:p>
        </w:tc>
      </w:tr>
      <w:tr w:rsidR="000B69AD" w:rsidRPr="004602A5" w:rsidTr="00362716">
        <w:trPr>
          <w:trHeight w:val="480"/>
        </w:trPr>
        <w:tc>
          <w:tcPr>
            <w:tcW w:w="2355" w:type="pct"/>
            <w:tcBorders>
              <w:top w:val="nil"/>
              <w:left w:val="single" w:sz="4" w:space="0" w:color="auto"/>
              <w:bottom w:val="single" w:sz="4" w:space="0" w:color="auto"/>
              <w:right w:val="single" w:sz="4" w:space="0" w:color="auto"/>
            </w:tcBorders>
            <w:shd w:val="clear" w:color="auto" w:fill="auto"/>
            <w:hideMark/>
          </w:tcPr>
          <w:p w:rsidR="00E017C9" w:rsidRPr="004602A5" w:rsidRDefault="00097E88" w:rsidP="00097E88">
            <w:pPr>
              <w:spacing w:line="240" w:lineRule="auto"/>
              <w:rPr>
                <w:rFonts w:ascii="Garamond" w:eastAsia="Times New Roman" w:hAnsi="Garamond" w:cs="Times New Roman"/>
                <w:color w:val="000000"/>
                <w:sz w:val="18"/>
                <w:szCs w:val="18"/>
              </w:rPr>
            </w:pPr>
            <w:r>
              <w:rPr>
                <w:rFonts w:ascii="Garamond" w:eastAsia="Times New Roman" w:hAnsi="Garamond" w:cs="Times New Roman"/>
                <w:color w:val="000000"/>
                <w:sz w:val="18"/>
                <w:szCs w:val="18"/>
              </w:rPr>
              <w:t xml:space="preserve">Sous-emploi </w:t>
            </w:r>
            <w:r w:rsidR="00E017C9" w:rsidRPr="004602A5">
              <w:rPr>
                <w:rFonts w:ascii="Garamond" w:eastAsia="Times New Roman" w:hAnsi="Garamond" w:cs="Times New Roman"/>
                <w:color w:val="000000"/>
                <w:sz w:val="18"/>
                <w:szCs w:val="18"/>
              </w:rPr>
              <w:t xml:space="preserve">lié </w:t>
            </w:r>
            <w:r w:rsidR="00004631" w:rsidRPr="00A821C8">
              <w:rPr>
                <w:rFonts w:ascii="Book Antiqua" w:eastAsia="Book Antiqua" w:hAnsi="Book Antiqua" w:cs="Book Antiqua"/>
                <w:sz w:val="16"/>
                <w:szCs w:val="16"/>
              </w:rPr>
              <w:t>à l’insuffisance du revenu ou à l’inadéquation entre la formation et l’emploi exercé</w:t>
            </w:r>
          </w:p>
        </w:tc>
        <w:tc>
          <w:tcPr>
            <w:tcW w:w="393" w:type="pct"/>
            <w:tcBorders>
              <w:top w:val="nil"/>
              <w:left w:val="nil"/>
              <w:bottom w:val="single" w:sz="4" w:space="0" w:color="auto"/>
              <w:right w:val="single" w:sz="4" w:space="0" w:color="auto"/>
            </w:tcBorders>
            <w:shd w:val="clear" w:color="auto" w:fill="auto"/>
            <w:noWrap/>
            <w:vAlign w:val="bottom"/>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5,0</w:t>
            </w:r>
          </w:p>
        </w:tc>
        <w:tc>
          <w:tcPr>
            <w:tcW w:w="392" w:type="pct"/>
            <w:tcBorders>
              <w:top w:val="nil"/>
              <w:left w:val="nil"/>
              <w:bottom w:val="single" w:sz="4" w:space="0" w:color="auto"/>
              <w:right w:val="single" w:sz="4" w:space="0" w:color="auto"/>
            </w:tcBorders>
            <w:shd w:val="clear" w:color="auto" w:fill="auto"/>
            <w:noWrap/>
            <w:vAlign w:val="bottom"/>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6,2</w:t>
            </w:r>
          </w:p>
        </w:tc>
        <w:tc>
          <w:tcPr>
            <w:tcW w:w="552" w:type="pct"/>
            <w:tcBorders>
              <w:top w:val="nil"/>
              <w:left w:val="nil"/>
              <w:bottom w:val="single" w:sz="4" w:space="0" w:color="auto"/>
              <w:right w:val="single" w:sz="4" w:space="0" w:color="auto"/>
            </w:tcBorders>
            <w:shd w:val="clear" w:color="auto" w:fill="auto"/>
            <w:noWrap/>
            <w:vAlign w:val="bottom"/>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5,5</w:t>
            </w:r>
          </w:p>
        </w:tc>
        <w:tc>
          <w:tcPr>
            <w:tcW w:w="392" w:type="pct"/>
            <w:tcBorders>
              <w:top w:val="nil"/>
              <w:left w:val="nil"/>
              <w:bottom w:val="single" w:sz="4" w:space="0" w:color="auto"/>
              <w:right w:val="single" w:sz="4" w:space="0" w:color="auto"/>
            </w:tcBorders>
            <w:shd w:val="clear" w:color="auto" w:fill="auto"/>
            <w:noWrap/>
            <w:vAlign w:val="bottom"/>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4,6</w:t>
            </w:r>
          </w:p>
        </w:tc>
        <w:tc>
          <w:tcPr>
            <w:tcW w:w="393" w:type="pct"/>
            <w:tcBorders>
              <w:top w:val="nil"/>
              <w:left w:val="nil"/>
              <w:bottom w:val="single" w:sz="4" w:space="0" w:color="auto"/>
              <w:right w:val="single" w:sz="4" w:space="0" w:color="auto"/>
            </w:tcBorders>
            <w:shd w:val="clear" w:color="auto" w:fill="auto"/>
            <w:noWrap/>
            <w:vAlign w:val="bottom"/>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5,2</w:t>
            </w:r>
          </w:p>
        </w:tc>
        <w:tc>
          <w:tcPr>
            <w:tcW w:w="523" w:type="pct"/>
            <w:tcBorders>
              <w:top w:val="nil"/>
              <w:left w:val="nil"/>
              <w:bottom w:val="single" w:sz="4" w:space="0" w:color="auto"/>
              <w:right w:val="single" w:sz="4" w:space="0" w:color="auto"/>
            </w:tcBorders>
            <w:shd w:val="clear" w:color="auto" w:fill="auto"/>
            <w:noWrap/>
            <w:vAlign w:val="bottom"/>
            <w:hideMark/>
          </w:tcPr>
          <w:p w:rsidR="00E017C9" w:rsidRPr="004602A5" w:rsidRDefault="00E017C9" w:rsidP="00490D10">
            <w:pPr>
              <w:spacing w:line="240" w:lineRule="auto"/>
              <w:ind w:firstLineChars="100" w:firstLine="180"/>
              <w:jc w:val="right"/>
              <w:rPr>
                <w:rFonts w:ascii="Garamond" w:eastAsia="Times New Roman" w:hAnsi="Garamond" w:cs="Times New Roman"/>
                <w:color w:val="010205"/>
                <w:sz w:val="18"/>
                <w:szCs w:val="18"/>
              </w:rPr>
            </w:pPr>
            <w:r w:rsidRPr="004602A5">
              <w:rPr>
                <w:rFonts w:ascii="Garamond" w:eastAsia="Times New Roman" w:hAnsi="Garamond" w:cs="Times New Roman"/>
                <w:color w:val="010205"/>
                <w:sz w:val="18"/>
                <w:szCs w:val="18"/>
              </w:rPr>
              <w:t>4,9</w:t>
            </w:r>
          </w:p>
        </w:tc>
      </w:tr>
    </w:tbl>
    <w:p w:rsidR="00E017C9" w:rsidRDefault="00E017C9" w:rsidP="00E017C9">
      <w:pPr>
        <w:jc w:val="both"/>
        <w:rPr>
          <w:rFonts w:ascii="Book Antiqua" w:eastAsia="Book Antiqua" w:hAnsi="Book Antiqua" w:cs="Book Antiqua"/>
        </w:rPr>
      </w:pPr>
    </w:p>
    <w:tbl>
      <w:tblPr>
        <w:tblW w:w="5000" w:type="pct"/>
        <w:jc w:val="center"/>
        <w:tblCellMar>
          <w:left w:w="70" w:type="dxa"/>
          <w:right w:w="70" w:type="dxa"/>
        </w:tblCellMar>
        <w:tblLook w:val="04A0"/>
      </w:tblPr>
      <w:tblGrid>
        <w:gridCol w:w="9169"/>
      </w:tblGrid>
      <w:tr w:rsidR="00E017C9" w:rsidRPr="00D63663" w:rsidTr="00490D10">
        <w:trPr>
          <w:trHeight w:val="558"/>
          <w:jc w:val="center"/>
        </w:trPr>
        <w:tc>
          <w:tcPr>
            <w:tcW w:w="5000" w:type="pct"/>
            <w:shd w:val="clear" w:color="auto" w:fill="auto"/>
          </w:tcPr>
          <w:tbl>
            <w:tblPr>
              <w:tblW w:w="14100" w:type="dxa"/>
              <w:tblCellMar>
                <w:left w:w="0" w:type="dxa"/>
                <w:right w:w="0" w:type="dxa"/>
              </w:tblCellMar>
              <w:tblLook w:val="04A0"/>
            </w:tblPr>
            <w:tblGrid>
              <w:gridCol w:w="3317"/>
              <w:gridCol w:w="712"/>
              <w:gridCol w:w="1000"/>
              <w:gridCol w:w="1000"/>
              <w:gridCol w:w="1000"/>
              <w:gridCol w:w="1000"/>
              <w:gridCol w:w="1000"/>
            </w:tblGrid>
            <w:tr w:rsidR="00E017C9" w:rsidRPr="00907A93" w:rsidTr="00490D10">
              <w:trPr>
                <w:trHeight w:val="552"/>
              </w:trPr>
              <w:tc>
                <w:tcPr>
                  <w:tcW w:w="14100" w:type="dxa"/>
                  <w:gridSpan w:val="7"/>
                  <w:tcBorders>
                    <w:top w:val="nil"/>
                    <w:left w:val="nil"/>
                    <w:bottom w:val="single" w:sz="4" w:space="0" w:color="auto"/>
                    <w:right w:val="nil"/>
                  </w:tcBorders>
                  <w:shd w:val="clear" w:color="auto" w:fill="auto"/>
                  <w:noWrap/>
                  <w:tcMar>
                    <w:top w:w="15" w:type="dxa"/>
                    <w:left w:w="15" w:type="dxa"/>
                    <w:bottom w:w="0" w:type="dxa"/>
                    <w:right w:w="15" w:type="dxa"/>
                  </w:tcMar>
                  <w:hideMark/>
                </w:tcPr>
                <w:p w:rsidR="00E017C9" w:rsidRPr="00907A93" w:rsidRDefault="00E017C9" w:rsidP="00490D10">
                  <w:pPr>
                    <w:spacing w:line="240" w:lineRule="auto"/>
                    <w:rPr>
                      <w:rFonts w:ascii="Garamond" w:hAnsi="Garamond"/>
                      <w:color w:val="000000"/>
                    </w:rPr>
                  </w:pPr>
                  <w:r>
                    <w:rPr>
                      <w:rFonts w:ascii="Book Antiqua" w:eastAsia="Book Antiqua" w:hAnsi="Book Antiqua" w:cs="Book Antiqua"/>
                    </w:rPr>
                    <w:lastRenderedPageBreak/>
                    <w:br w:type="page"/>
                  </w:r>
                  <w:r w:rsidRPr="003D03B0">
                    <w:rPr>
                      <w:rFonts w:ascii="Book Antiqua" w:eastAsia="Book Antiqua" w:hAnsi="Book Antiqua" w:cs="Book Antiqua"/>
                      <w:b/>
                      <w:color w:val="0070C0"/>
                      <w:sz w:val="20"/>
                      <w:szCs w:val="20"/>
                    </w:rPr>
                    <w:t>Tableau 1 : Indicateurs trimestriels d'activité, d’emploi et de chômage par milieu de résidence (suite)</w:t>
                  </w:r>
                </w:p>
              </w:tc>
            </w:tr>
            <w:tr w:rsidR="00E017C9" w:rsidRPr="00907A93" w:rsidTr="00490D10">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017C9" w:rsidRPr="00907A93" w:rsidRDefault="00E017C9" w:rsidP="00490D10">
                  <w:pPr>
                    <w:bidi/>
                    <w:jc w:val="right"/>
                    <w:rPr>
                      <w:rFonts w:ascii="Garamond" w:hAnsi="Garamond"/>
                      <w:b/>
                      <w:bCs/>
                      <w:color w:val="000000"/>
                      <w:sz w:val="18"/>
                      <w:szCs w:val="18"/>
                    </w:rPr>
                  </w:pP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E017C9" w:rsidRPr="00907A93" w:rsidRDefault="00E017C9" w:rsidP="00490D10">
                  <w:pPr>
                    <w:jc w:val="center"/>
                    <w:rPr>
                      <w:rFonts w:ascii="Garamond" w:hAnsi="Garamond"/>
                      <w:b/>
                      <w:bCs/>
                      <w:color w:val="000000"/>
                      <w:sz w:val="18"/>
                      <w:szCs w:val="18"/>
                      <w:rtl/>
                    </w:rPr>
                  </w:pPr>
                  <w:r w:rsidRPr="004602A5">
                    <w:rPr>
                      <w:rFonts w:ascii="Garamond" w:eastAsia="Times New Roman" w:hAnsi="Garamond" w:cs="Times New Roman"/>
                      <w:b/>
                      <w:bCs/>
                      <w:color w:val="000000"/>
                      <w:sz w:val="18"/>
                      <w:szCs w:val="18"/>
                    </w:rPr>
                    <w:t>3</w:t>
                  </w:r>
                  <w:r w:rsidRPr="004602A5">
                    <w:rPr>
                      <w:rFonts w:ascii="Garamond" w:eastAsia="Times New Roman" w:hAnsi="Garamond" w:cs="Times New Roman"/>
                      <w:b/>
                      <w:bCs/>
                      <w:color w:val="000000"/>
                      <w:sz w:val="18"/>
                      <w:szCs w:val="18"/>
                      <w:vertAlign w:val="superscript"/>
                    </w:rPr>
                    <w:t>ème</w:t>
                  </w:r>
                  <w:r w:rsidRPr="00907A93">
                    <w:rPr>
                      <w:rFonts w:ascii="Garamond" w:hAnsi="Garamond"/>
                      <w:b/>
                      <w:bCs/>
                      <w:color w:val="000000"/>
                      <w:sz w:val="18"/>
                      <w:szCs w:val="18"/>
                    </w:rPr>
                    <w:t xml:space="preserve"> trimestre </w:t>
                  </w:r>
                  <w:r w:rsidR="00097E88">
                    <w:rPr>
                      <w:rFonts w:ascii="Garamond" w:hAnsi="Garamond"/>
                      <w:b/>
                      <w:bCs/>
                      <w:color w:val="000000"/>
                      <w:sz w:val="18"/>
                      <w:szCs w:val="18"/>
                    </w:rPr>
                    <w:t xml:space="preserve">de </w:t>
                  </w:r>
                  <w:r w:rsidRPr="00907A93">
                    <w:rPr>
                      <w:rFonts w:ascii="Garamond" w:hAnsi="Garamond"/>
                      <w:b/>
                      <w:bCs/>
                      <w:color w:val="000000"/>
                      <w:sz w:val="18"/>
                      <w:szCs w:val="18"/>
                    </w:rPr>
                    <w:t>2019</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E017C9" w:rsidRPr="00907A93" w:rsidRDefault="00E017C9" w:rsidP="00490D10">
                  <w:pPr>
                    <w:jc w:val="center"/>
                    <w:rPr>
                      <w:rFonts w:ascii="Garamond" w:hAnsi="Garamond"/>
                      <w:b/>
                      <w:bCs/>
                      <w:color w:val="000000"/>
                      <w:sz w:val="18"/>
                      <w:szCs w:val="18"/>
                    </w:rPr>
                  </w:pPr>
                  <w:r w:rsidRPr="004602A5">
                    <w:rPr>
                      <w:rFonts w:ascii="Garamond" w:eastAsia="Times New Roman" w:hAnsi="Garamond" w:cs="Times New Roman"/>
                      <w:b/>
                      <w:bCs/>
                      <w:color w:val="000000"/>
                      <w:sz w:val="18"/>
                      <w:szCs w:val="18"/>
                    </w:rPr>
                    <w:t>3</w:t>
                  </w:r>
                  <w:r w:rsidRPr="004602A5">
                    <w:rPr>
                      <w:rFonts w:ascii="Garamond" w:eastAsia="Times New Roman" w:hAnsi="Garamond" w:cs="Times New Roman"/>
                      <w:b/>
                      <w:bCs/>
                      <w:color w:val="000000"/>
                      <w:sz w:val="18"/>
                      <w:szCs w:val="18"/>
                      <w:vertAlign w:val="superscript"/>
                    </w:rPr>
                    <w:t>ème</w:t>
                  </w:r>
                  <w:r w:rsidRPr="00907A93">
                    <w:rPr>
                      <w:rFonts w:ascii="Garamond" w:hAnsi="Garamond"/>
                      <w:b/>
                      <w:bCs/>
                      <w:color w:val="000000"/>
                      <w:sz w:val="18"/>
                      <w:szCs w:val="18"/>
                    </w:rPr>
                    <w:t xml:space="preserve">trimestre </w:t>
                  </w:r>
                  <w:r w:rsidR="00097E88">
                    <w:rPr>
                      <w:rFonts w:ascii="Garamond" w:hAnsi="Garamond"/>
                      <w:b/>
                      <w:bCs/>
                      <w:color w:val="000000"/>
                      <w:sz w:val="18"/>
                      <w:szCs w:val="18"/>
                    </w:rPr>
                    <w:t xml:space="preserve">de </w:t>
                  </w:r>
                  <w:r w:rsidRPr="00907A93">
                    <w:rPr>
                      <w:rFonts w:ascii="Garamond" w:hAnsi="Garamond"/>
                      <w:b/>
                      <w:bCs/>
                      <w:color w:val="000000"/>
                      <w:sz w:val="18"/>
                      <w:szCs w:val="18"/>
                    </w:rPr>
                    <w:t>2020</w:t>
                  </w:r>
                </w:p>
              </w:tc>
            </w:tr>
            <w:tr w:rsidR="00E017C9" w:rsidRPr="00907A93" w:rsidTr="00490D10">
              <w:trPr>
                <w:trHeight w:val="315"/>
              </w:trPr>
              <w:tc>
                <w:tcPr>
                  <w:tcW w:w="0" w:type="auto"/>
                  <w:vMerge/>
                  <w:tcBorders>
                    <w:top w:val="nil"/>
                    <w:left w:val="single" w:sz="4" w:space="0" w:color="auto"/>
                    <w:bottom w:val="single" w:sz="4" w:space="0" w:color="auto"/>
                    <w:right w:val="single" w:sz="4" w:space="0" w:color="auto"/>
                  </w:tcBorders>
                  <w:vAlign w:val="center"/>
                  <w:hideMark/>
                </w:tcPr>
                <w:p w:rsidR="00E017C9" w:rsidRPr="00907A93" w:rsidRDefault="00E017C9" w:rsidP="00490D10">
                  <w:pPr>
                    <w:rPr>
                      <w:rFonts w:ascii="Garamond" w:hAnsi="Garamond"/>
                      <w:b/>
                      <w:bCs/>
                      <w:color w:val="000000"/>
                      <w:sz w:val="18"/>
                      <w:szCs w:val="18"/>
                    </w:rPr>
                  </w:pP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E017C9" w:rsidRPr="00907A93" w:rsidRDefault="00E017C9" w:rsidP="00490D10">
                  <w:pPr>
                    <w:bidi/>
                    <w:jc w:val="center"/>
                    <w:rPr>
                      <w:rFonts w:ascii="Garamond" w:hAnsi="Garamond"/>
                      <w:b/>
                      <w:bCs/>
                      <w:color w:val="000000"/>
                      <w:sz w:val="18"/>
                      <w:szCs w:val="18"/>
                    </w:rPr>
                  </w:pPr>
                  <w:r w:rsidRPr="00907A93">
                    <w:rPr>
                      <w:rFonts w:ascii="Garamond" w:hAnsi="Garamond"/>
                      <w:b/>
                      <w:bCs/>
                      <w:color w:val="000000"/>
                      <w:sz w:val="18"/>
                      <w:szCs w:val="18"/>
                    </w:rPr>
                    <w:t>Urbain</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E017C9" w:rsidRPr="00907A93" w:rsidRDefault="00E017C9" w:rsidP="00490D10">
                  <w:pPr>
                    <w:bidi/>
                    <w:jc w:val="center"/>
                    <w:rPr>
                      <w:rFonts w:ascii="Garamond" w:hAnsi="Garamond"/>
                      <w:b/>
                      <w:bCs/>
                      <w:color w:val="000000"/>
                      <w:sz w:val="18"/>
                      <w:szCs w:val="18"/>
                      <w:rtl/>
                    </w:rPr>
                  </w:pPr>
                  <w:r w:rsidRPr="00907A93">
                    <w:rPr>
                      <w:rFonts w:ascii="Garamond" w:hAnsi="Garamond"/>
                      <w:b/>
                      <w:bCs/>
                      <w:color w:val="000000"/>
                      <w:sz w:val="18"/>
                      <w:szCs w:val="18"/>
                    </w:rPr>
                    <w:t>Rural</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E017C9" w:rsidRPr="00907A93" w:rsidRDefault="00E017C9" w:rsidP="00490D10">
                  <w:pPr>
                    <w:bidi/>
                    <w:jc w:val="center"/>
                    <w:rPr>
                      <w:rFonts w:ascii="Garamond" w:hAnsi="Garamond"/>
                      <w:b/>
                      <w:bCs/>
                      <w:color w:val="000000"/>
                      <w:sz w:val="18"/>
                      <w:szCs w:val="18"/>
                      <w:rtl/>
                    </w:rPr>
                  </w:pPr>
                  <w:r w:rsidRPr="00907A93">
                    <w:rPr>
                      <w:rFonts w:ascii="Garamond" w:hAnsi="Garamond"/>
                      <w:b/>
                      <w:bCs/>
                      <w:color w:val="000000"/>
                      <w:sz w:val="18"/>
                      <w:szCs w:val="18"/>
                    </w:rPr>
                    <w:t>Ensemble</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E017C9" w:rsidRPr="00907A93" w:rsidRDefault="00E017C9" w:rsidP="00490D10">
                  <w:pPr>
                    <w:bidi/>
                    <w:jc w:val="center"/>
                    <w:rPr>
                      <w:rFonts w:ascii="Garamond" w:hAnsi="Garamond"/>
                      <w:b/>
                      <w:bCs/>
                      <w:color w:val="000000"/>
                      <w:sz w:val="18"/>
                      <w:szCs w:val="18"/>
                      <w:rtl/>
                    </w:rPr>
                  </w:pPr>
                  <w:r w:rsidRPr="00907A93">
                    <w:rPr>
                      <w:rFonts w:ascii="Garamond" w:hAnsi="Garamond"/>
                      <w:b/>
                      <w:bCs/>
                      <w:color w:val="000000"/>
                      <w:sz w:val="18"/>
                      <w:szCs w:val="18"/>
                    </w:rPr>
                    <w:t>Urbain</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E017C9" w:rsidRPr="00907A93" w:rsidRDefault="00E017C9" w:rsidP="00490D10">
                  <w:pPr>
                    <w:bidi/>
                    <w:jc w:val="center"/>
                    <w:rPr>
                      <w:rFonts w:ascii="Garamond" w:hAnsi="Garamond"/>
                      <w:b/>
                      <w:bCs/>
                      <w:color w:val="000000"/>
                      <w:sz w:val="18"/>
                      <w:szCs w:val="18"/>
                      <w:rtl/>
                    </w:rPr>
                  </w:pPr>
                  <w:r w:rsidRPr="00907A93">
                    <w:rPr>
                      <w:rFonts w:ascii="Garamond" w:hAnsi="Garamond"/>
                      <w:b/>
                      <w:bCs/>
                      <w:color w:val="000000"/>
                      <w:sz w:val="18"/>
                      <w:szCs w:val="18"/>
                    </w:rPr>
                    <w:t>Rural</w:t>
                  </w:r>
                </w:p>
              </w:tc>
              <w:tc>
                <w:tcPr>
                  <w:tcW w:w="13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E017C9" w:rsidRPr="00907A93" w:rsidRDefault="00E017C9" w:rsidP="00490D10">
                  <w:pPr>
                    <w:bidi/>
                    <w:jc w:val="center"/>
                    <w:rPr>
                      <w:rFonts w:ascii="Garamond" w:hAnsi="Garamond"/>
                      <w:b/>
                      <w:bCs/>
                      <w:color w:val="000000"/>
                      <w:sz w:val="18"/>
                      <w:szCs w:val="18"/>
                      <w:rtl/>
                    </w:rPr>
                  </w:pPr>
                  <w:r w:rsidRPr="00907A93">
                    <w:rPr>
                      <w:rFonts w:ascii="Garamond" w:hAnsi="Garamond"/>
                      <w:b/>
                      <w:bCs/>
                      <w:color w:val="000000"/>
                      <w:sz w:val="18"/>
                      <w:szCs w:val="18"/>
                    </w:rPr>
                    <w:t>Ensemble</w:t>
                  </w:r>
                </w:p>
              </w:tc>
            </w:tr>
            <w:tr w:rsidR="00E017C9" w:rsidRPr="00907A93" w:rsidTr="00490D10">
              <w:trPr>
                <w:trHeight w:val="315"/>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hideMark/>
                </w:tcPr>
                <w:p w:rsidR="00E017C9" w:rsidRPr="00907A93" w:rsidRDefault="00E017C9" w:rsidP="00490D10">
                  <w:pPr>
                    <w:rPr>
                      <w:rFonts w:ascii="Garamond" w:hAnsi="Garamond"/>
                      <w:b/>
                      <w:bCs/>
                      <w:color w:val="1F497D"/>
                      <w:sz w:val="18"/>
                      <w:szCs w:val="18"/>
                      <w:rtl/>
                    </w:rPr>
                  </w:pPr>
                  <w:r w:rsidRPr="003D03B0">
                    <w:rPr>
                      <w:rFonts w:ascii="Garamond" w:hAnsi="Garamond"/>
                      <w:b/>
                      <w:bCs/>
                      <w:color w:val="0070C0"/>
                      <w:sz w:val="18"/>
                      <w:szCs w:val="18"/>
                    </w:rPr>
                    <w:t>Chômage</w:t>
                  </w:r>
                </w:p>
              </w:tc>
            </w:tr>
            <w:tr w:rsidR="00E017C9" w:rsidRPr="00907A93" w:rsidTr="00067D07">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hideMark/>
                </w:tcPr>
                <w:p w:rsidR="00E017C9" w:rsidRPr="00907A93" w:rsidRDefault="00E017C9" w:rsidP="00490D10">
                  <w:pPr>
                    <w:ind w:firstLineChars="100" w:firstLine="181"/>
                    <w:rPr>
                      <w:rFonts w:ascii="Garamond" w:hAnsi="Garamond"/>
                      <w:b/>
                      <w:bCs/>
                      <w:color w:val="000000"/>
                      <w:sz w:val="18"/>
                      <w:szCs w:val="18"/>
                    </w:rPr>
                  </w:pPr>
                  <w:r w:rsidRPr="00907A93">
                    <w:rPr>
                      <w:rFonts w:ascii="Garamond" w:hAnsi="Garamond"/>
                      <w:b/>
                      <w:bCs/>
                      <w:color w:val="000000"/>
                      <w:sz w:val="18"/>
                      <w:szCs w:val="18"/>
                    </w:rPr>
                    <w:t>Population active en chômage</w:t>
                  </w:r>
                  <w:r w:rsidR="009167A6">
                    <w:rPr>
                      <w:rFonts w:ascii="Garamond" w:hAnsi="Garamond"/>
                      <w:b/>
                      <w:bCs/>
                      <w:color w:val="000000"/>
                      <w:sz w:val="18"/>
                      <w:szCs w:val="18"/>
                    </w:rPr>
                    <w:t xml:space="preserve"> </w:t>
                  </w:r>
                  <w:r w:rsidR="00353C4E">
                    <w:rPr>
                      <w:rFonts w:ascii="Garamond" w:eastAsia="Times New Roman" w:hAnsi="Garamond" w:cs="Times New Roman"/>
                      <w:b/>
                      <w:bCs/>
                      <w:color w:val="000000"/>
                      <w:sz w:val="18"/>
                      <w:szCs w:val="18"/>
                    </w:rPr>
                    <w:t>(en milliers)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35" w:type="dxa"/>
                  </w:tcMar>
                  <w:vAlign w:val="center"/>
                  <w:hideMark/>
                </w:tcPr>
                <w:p w:rsidR="00E017C9" w:rsidRPr="00907A93" w:rsidRDefault="00E017C9" w:rsidP="00067D07">
                  <w:pPr>
                    <w:ind w:firstLineChars="100" w:firstLine="181"/>
                    <w:jc w:val="center"/>
                    <w:rPr>
                      <w:rFonts w:ascii="Garamond" w:hAnsi="Garamond"/>
                      <w:b/>
                      <w:bCs/>
                      <w:color w:val="010205"/>
                      <w:sz w:val="18"/>
                      <w:szCs w:val="18"/>
                    </w:rPr>
                  </w:pPr>
                  <w:r w:rsidRPr="00907A93">
                    <w:rPr>
                      <w:rFonts w:ascii="Garamond" w:hAnsi="Garamond"/>
                      <w:b/>
                      <w:bCs/>
                      <w:color w:val="010205"/>
                      <w:sz w:val="18"/>
                      <w:szCs w:val="18"/>
                    </w:rPr>
                    <w:t>902</w:t>
                  </w:r>
                </w:p>
              </w:tc>
              <w:tc>
                <w:tcPr>
                  <w:tcW w:w="0" w:type="auto"/>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rsidR="00E017C9" w:rsidRPr="00907A93" w:rsidRDefault="00E017C9" w:rsidP="00067D07">
                  <w:pPr>
                    <w:ind w:firstLineChars="100" w:firstLine="181"/>
                    <w:jc w:val="center"/>
                    <w:rPr>
                      <w:rFonts w:ascii="Garamond" w:hAnsi="Garamond"/>
                      <w:b/>
                      <w:bCs/>
                      <w:color w:val="010205"/>
                      <w:sz w:val="18"/>
                      <w:szCs w:val="18"/>
                    </w:rPr>
                  </w:pPr>
                  <w:r w:rsidRPr="00907A93">
                    <w:rPr>
                      <w:rFonts w:ascii="Garamond" w:hAnsi="Garamond"/>
                      <w:b/>
                      <w:bCs/>
                      <w:color w:val="010205"/>
                      <w:sz w:val="18"/>
                      <w:szCs w:val="18"/>
                    </w:rPr>
                    <w:t>212</w:t>
                  </w:r>
                </w:p>
              </w:tc>
              <w:tc>
                <w:tcPr>
                  <w:tcW w:w="0" w:type="auto"/>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rsidR="00E017C9" w:rsidRPr="00907A93" w:rsidRDefault="00E017C9" w:rsidP="00067D07">
                  <w:pPr>
                    <w:ind w:firstLineChars="100" w:firstLine="181"/>
                    <w:jc w:val="center"/>
                    <w:rPr>
                      <w:rFonts w:ascii="Garamond" w:hAnsi="Garamond"/>
                      <w:b/>
                      <w:bCs/>
                      <w:color w:val="010205"/>
                      <w:sz w:val="18"/>
                      <w:szCs w:val="18"/>
                    </w:rPr>
                  </w:pPr>
                  <w:r w:rsidRPr="00907A93">
                    <w:rPr>
                      <w:rFonts w:ascii="Garamond" w:hAnsi="Garamond"/>
                      <w:b/>
                      <w:bCs/>
                      <w:color w:val="010205"/>
                      <w:sz w:val="18"/>
                      <w:szCs w:val="18"/>
                    </w:rPr>
                    <w:t>1 114</w:t>
                  </w:r>
                </w:p>
              </w:tc>
              <w:tc>
                <w:tcPr>
                  <w:tcW w:w="0" w:type="auto"/>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rsidR="00E017C9" w:rsidRPr="00907A93" w:rsidRDefault="00E017C9" w:rsidP="00067D07">
                  <w:pPr>
                    <w:ind w:firstLineChars="100" w:firstLine="181"/>
                    <w:jc w:val="center"/>
                    <w:rPr>
                      <w:rFonts w:ascii="Garamond" w:hAnsi="Garamond"/>
                      <w:b/>
                      <w:bCs/>
                      <w:color w:val="010205"/>
                      <w:sz w:val="18"/>
                      <w:szCs w:val="18"/>
                    </w:rPr>
                  </w:pPr>
                  <w:r w:rsidRPr="00907A93">
                    <w:rPr>
                      <w:rFonts w:ascii="Garamond" w:hAnsi="Garamond"/>
                      <w:b/>
                      <w:bCs/>
                      <w:color w:val="010205"/>
                      <w:sz w:val="18"/>
                      <w:szCs w:val="18"/>
                    </w:rPr>
                    <w:t>1 178</w:t>
                  </w:r>
                </w:p>
              </w:tc>
              <w:tc>
                <w:tcPr>
                  <w:tcW w:w="0" w:type="auto"/>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rsidR="00E017C9" w:rsidRPr="00907A93" w:rsidRDefault="00E017C9" w:rsidP="00067D07">
                  <w:pPr>
                    <w:ind w:firstLineChars="100" w:firstLine="181"/>
                    <w:jc w:val="center"/>
                    <w:rPr>
                      <w:rFonts w:ascii="Garamond" w:hAnsi="Garamond"/>
                      <w:b/>
                      <w:bCs/>
                      <w:color w:val="010205"/>
                      <w:sz w:val="18"/>
                      <w:szCs w:val="18"/>
                    </w:rPr>
                  </w:pPr>
                  <w:r w:rsidRPr="00907A93">
                    <w:rPr>
                      <w:rFonts w:ascii="Garamond" w:hAnsi="Garamond"/>
                      <w:b/>
                      <w:bCs/>
                      <w:color w:val="010205"/>
                      <w:sz w:val="18"/>
                      <w:szCs w:val="18"/>
                    </w:rPr>
                    <w:t>304</w:t>
                  </w:r>
                </w:p>
              </w:tc>
              <w:tc>
                <w:tcPr>
                  <w:tcW w:w="0" w:type="auto"/>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rsidR="00E017C9" w:rsidRPr="00907A93" w:rsidRDefault="00E017C9" w:rsidP="00067D07">
                  <w:pPr>
                    <w:ind w:firstLineChars="100" w:firstLine="181"/>
                    <w:jc w:val="center"/>
                    <w:rPr>
                      <w:rFonts w:ascii="Garamond" w:hAnsi="Garamond"/>
                      <w:b/>
                      <w:bCs/>
                      <w:color w:val="010205"/>
                      <w:sz w:val="18"/>
                      <w:szCs w:val="18"/>
                    </w:rPr>
                  </w:pPr>
                  <w:r w:rsidRPr="00907A93">
                    <w:rPr>
                      <w:rFonts w:ascii="Garamond" w:hAnsi="Garamond"/>
                      <w:b/>
                      <w:bCs/>
                      <w:color w:val="010205"/>
                      <w:sz w:val="18"/>
                      <w:szCs w:val="18"/>
                    </w:rPr>
                    <w:t>1 482</w:t>
                  </w:r>
                </w:p>
              </w:tc>
            </w:tr>
            <w:tr w:rsidR="00E017C9" w:rsidRPr="00907A93" w:rsidTr="00067D07">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hideMark/>
                </w:tcPr>
                <w:p w:rsidR="00E017C9" w:rsidRPr="00907A93" w:rsidRDefault="00E017C9" w:rsidP="00490D10">
                  <w:pPr>
                    <w:ind w:firstLineChars="100" w:firstLine="180"/>
                    <w:rPr>
                      <w:rFonts w:ascii="Garamond" w:hAnsi="Garamond"/>
                      <w:color w:val="000000"/>
                      <w:sz w:val="18"/>
                      <w:szCs w:val="18"/>
                    </w:rPr>
                  </w:pPr>
                  <w:r w:rsidRPr="00907A93">
                    <w:rPr>
                      <w:rFonts w:ascii="Garamond" w:hAnsi="Garamond"/>
                      <w:color w:val="000000"/>
                      <w:sz w:val="18"/>
                      <w:szCs w:val="18"/>
                    </w:rPr>
                    <w:t>Taux de féminisation de la population active en chômage</w:t>
                  </w:r>
                  <w:r w:rsidR="00067D07">
                    <w:rPr>
                      <w:rFonts w:ascii="Garamond" w:hAnsi="Garamond"/>
                      <w:color w:val="000000"/>
                      <w:sz w:val="18"/>
                      <w:szCs w:val="18"/>
                    </w:rPr>
                    <w:t xml:space="preserve"> (en%)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35" w:type="dxa"/>
                  </w:tcMar>
                  <w:vAlign w:val="center"/>
                  <w:hideMark/>
                </w:tcPr>
                <w:p w:rsidR="00E017C9" w:rsidRPr="00067D07" w:rsidRDefault="00E017C9" w:rsidP="00067D07">
                  <w:pPr>
                    <w:spacing w:line="240" w:lineRule="auto"/>
                    <w:ind w:firstLineChars="100" w:firstLine="180"/>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38,8</w:t>
                  </w:r>
                </w:p>
              </w:tc>
              <w:tc>
                <w:tcPr>
                  <w:tcW w:w="0" w:type="auto"/>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rsidR="00E017C9" w:rsidRPr="00067D07" w:rsidRDefault="00E017C9" w:rsidP="00067D07">
                  <w:pPr>
                    <w:spacing w:line="240" w:lineRule="auto"/>
                    <w:ind w:firstLineChars="100" w:firstLine="180"/>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15,5</w:t>
                  </w:r>
                </w:p>
              </w:tc>
              <w:tc>
                <w:tcPr>
                  <w:tcW w:w="0" w:type="auto"/>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rsidR="00E017C9" w:rsidRPr="00067D07" w:rsidRDefault="00E017C9" w:rsidP="00067D07">
                  <w:pPr>
                    <w:spacing w:line="240" w:lineRule="auto"/>
                    <w:ind w:firstLineChars="100" w:firstLine="180"/>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34,4</w:t>
                  </w:r>
                </w:p>
              </w:tc>
              <w:tc>
                <w:tcPr>
                  <w:tcW w:w="0" w:type="auto"/>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rsidR="00E017C9" w:rsidRPr="00067D07" w:rsidRDefault="00E017C9" w:rsidP="00067D07">
                  <w:pPr>
                    <w:spacing w:line="240" w:lineRule="auto"/>
                    <w:ind w:firstLineChars="100" w:firstLine="180"/>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32,7</w:t>
                  </w:r>
                </w:p>
              </w:tc>
              <w:tc>
                <w:tcPr>
                  <w:tcW w:w="0" w:type="auto"/>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rsidR="00E017C9" w:rsidRPr="00067D07" w:rsidRDefault="00E017C9" w:rsidP="00067D07">
                  <w:pPr>
                    <w:spacing w:line="240" w:lineRule="auto"/>
                    <w:ind w:firstLineChars="100" w:firstLine="180"/>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13,6</w:t>
                  </w:r>
                </w:p>
              </w:tc>
              <w:tc>
                <w:tcPr>
                  <w:tcW w:w="0" w:type="auto"/>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rsidR="00E017C9" w:rsidRPr="00067D07" w:rsidRDefault="00E017C9" w:rsidP="00067D07">
                  <w:pPr>
                    <w:spacing w:line="240" w:lineRule="auto"/>
                    <w:ind w:firstLineChars="100" w:firstLine="180"/>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28,8</w:t>
                  </w:r>
                </w:p>
              </w:tc>
            </w:tr>
            <w:tr w:rsidR="00E017C9" w:rsidRPr="00907A93" w:rsidTr="00067D07">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35" w:type="dxa"/>
                    <w:bottom w:w="0" w:type="dxa"/>
                    <w:right w:w="15" w:type="dxa"/>
                  </w:tcMar>
                  <w:hideMark/>
                </w:tcPr>
                <w:p w:rsidR="00E017C9" w:rsidRPr="00907A93" w:rsidRDefault="00E017C9" w:rsidP="00490D10">
                  <w:pPr>
                    <w:ind w:firstLineChars="100" w:firstLine="180"/>
                    <w:rPr>
                      <w:rFonts w:ascii="Garamond" w:hAnsi="Garamond"/>
                      <w:color w:val="000000"/>
                      <w:sz w:val="18"/>
                      <w:szCs w:val="18"/>
                    </w:rPr>
                  </w:pPr>
                  <w:r w:rsidRPr="00907A93">
                    <w:rPr>
                      <w:rFonts w:ascii="Garamond" w:hAnsi="Garamond"/>
                      <w:color w:val="000000"/>
                      <w:sz w:val="18"/>
                      <w:szCs w:val="18"/>
                    </w:rPr>
                    <w:t>Taux de chômage</w:t>
                  </w:r>
                  <w:r w:rsidR="00067D07">
                    <w:rPr>
                      <w:rFonts w:ascii="Garamond" w:hAnsi="Garamond"/>
                      <w:color w:val="000000"/>
                      <w:sz w:val="18"/>
                      <w:szCs w:val="18"/>
                    </w:rPr>
                    <w:t xml:space="preserve"> (en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35" w:type="dxa"/>
                  </w:tcMar>
                  <w:vAlign w:val="center"/>
                  <w:hideMark/>
                </w:tcPr>
                <w:p w:rsidR="00E017C9" w:rsidRPr="00067D07" w:rsidRDefault="00E017C9" w:rsidP="00067D07">
                  <w:pPr>
                    <w:spacing w:line="240" w:lineRule="auto"/>
                    <w:ind w:firstLineChars="100" w:firstLine="180"/>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12,7</w:t>
                  </w:r>
                </w:p>
              </w:tc>
              <w:tc>
                <w:tcPr>
                  <w:tcW w:w="0" w:type="auto"/>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rsidR="00E017C9" w:rsidRPr="00067D07" w:rsidRDefault="00E017C9" w:rsidP="00067D07">
                  <w:pPr>
                    <w:spacing w:line="240" w:lineRule="auto"/>
                    <w:ind w:firstLineChars="100" w:firstLine="180"/>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4,5</w:t>
                  </w:r>
                </w:p>
              </w:tc>
              <w:tc>
                <w:tcPr>
                  <w:tcW w:w="0" w:type="auto"/>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rsidR="00E017C9" w:rsidRPr="00067D07" w:rsidRDefault="00E017C9" w:rsidP="00067D07">
                  <w:pPr>
                    <w:spacing w:line="240" w:lineRule="auto"/>
                    <w:ind w:firstLineChars="100" w:firstLine="180"/>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9,4</w:t>
                  </w:r>
                </w:p>
              </w:tc>
              <w:tc>
                <w:tcPr>
                  <w:tcW w:w="0" w:type="auto"/>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rsidR="00E017C9" w:rsidRPr="00067D07" w:rsidRDefault="00E017C9" w:rsidP="00067D07">
                  <w:pPr>
                    <w:spacing w:line="240" w:lineRule="auto"/>
                    <w:ind w:firstLineChars="100" w:firstLine="180"/>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16,5</w:t>
                  </w:r>
                </w:p>
              </w:tc>
              <w:tc>
                <w:tcPr>
                  <w:tcW w:w="0" w:type="auto"/>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rsidR="00E017C9" w:rsidRPr="00067D07" w:rsidRDefault="00E017C9" w:rsidP="00067D07">
                  <w:pPr>
                    <w:spacing w:line="240" w:lineRule="auto"/>
                    <w:ind w:firstLineChars="100" w:firstLine="180"/>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6,8</w:t>
                  </w:r>
                </w:p>
              </w:tc>
              <w:tc>
                <w:tcPr>
                  <w:tcW w:w="0" w:type="auto"/>
                  <w:tcBorders>
                    <w:top w:val="nil"/>
                    <w:left w:val="nil"/>
                    <w:bottom w:val="single" w:sz="4" w:space="0" w:color="auto"/>
                    <w:right w:val="single" w:sz="4" w:space="0" w:color="auto"/>
                  </w:tcBorders>
                  <w:shd w:val="clear" w:color="auto" w:fill="auto"/>
                  <w:noWrap/>
                  <w:tcMar>
                    <w:top w:w="15" w:type="dxa"/>
                    <w:left w:w="135" w:type="dxa"/>
                    <w:bottom w:w="0" w:type="dxa"/>
                    <w:right w:w="15" w:type="dxa"/>
                  </w:tcMar>
                  <w:vAlign w:val="center"/>
                  <w:hideMark/>
                </w:tcPr>
                <w:p w:rsidR="00E017C9" w:rsidRPr="00067D07" w:rsidRDefault="00E017C9" w:rsidP="00067D07">
                  <w:pPr>
                    <w:spacing w:line="240" w:lineRule="auto"/>
                    <w:ind w:firstLineChars="100" w:firstLine="180"/>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12,7</w:t>
                  </w:r>
                </w:p>
              </w:tc>
            </w:tr>
            <w:tr w:rsidR="00E017C9" w:rsidRPr="00907A93" w:rsidTr="00067D07">
              <w:trPr>
                <w:trHeight w:val="315"/>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tcMar>
                    <w:top w:w="15" w:type="dxa"/>
                    <w:left w:w="270" w:type="dxa"/>
                    <w:bottom w:w="0" w:type="dxa"/>
                    <w:right w:w="15" w:type="dxa"/>
                  </w:tcMar>
                  <w:vAlign w:val="center"/>
                  <w:hideMark/>
                </w:tcPr>
                <w:p w:rsidR="00E017C9" w:rsidRPr="00907A93" w:rsidRDefault="00E017C9" w:rsidP="00067D07">
                  <w:pPr>
                    <w:ind w:firstLineChars="200" w:firstLine="360"/>
                    <w:rPr>
                      <w:rFonts w:ascii="Garamond" w:hAnsi="Garamond"/>
                      <w:i/>
                      <w:iCs/>
                      <w:color w:val="000000"/>
                      <w:sz w:val="18"/>
                      <w:szCs w:val="18"/>
                    </w:rPr>
                  </w:pPr>
                  <w:r w:rsidRPr="00907A93">
                    <w:rPr>
                      <w:rFonts w:ascii="Garamond" w:hAnsi="Garamond"/>
                      <w:i/>
                      <w:iCs/>
                      <w:color w:val="000000"/>
                      <w:sz w:val="18"/>
                      <w:szCs w:val="18"/>
                    </w:rPr>
                    <w:t>• Selon le sexe</w:t>
                  </w:r>
                </w:p>
              </w:tc>
            </w:tr>
            <w:tr w:rsidR="00E017C9" w:rsidRPr="00907A93" w:rsidTr="00067D07">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hideMark/>
                </w:tcPr>
                <w:p w:rsidR="00E017C9" w:rsidRPr="00907A93" w:rsidRDefault="00E017C9" w:rsidP="00490D10">
                  <w:pPr>
                    <w:ind w:firstLineChars="400" w:firstLine="720"/>
                    <w:rPr>
                      <w:rFonts w:ascii="Garamond" w:hAnsi="Garamond"/>
                      <w:color w:val="000000"/>
                      <w:sz w:val="18"/>
                      <w:szCs w:val="18"/>
                    </w:rPr>
                  </w:pPr>
                  <w:r w:rsidRPr="00907A93">
                    <w:rPr>
                      <w:rFonts w:ascii="Garamond" w:hAnsi="Garamond"/>
                      <w:color w:val="000000"/>
                      <w:sz w:val="18"/>
                      <w:szCs w:val="18"/>
                    </w:rPr>
                    <w:t>Hommes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35" w:type="dxa"/>
                  </w:tcMar>
                  <w:vAlign w:val="center"/>
                  <w:hideMark/>
                </w:tcPr>
                <w:p w:rsidR="00E017C9" w:rsidRPr="00067D07" w:rsidRDefault="00E017C9" w:rsidP="00067D07">
                  <w:pPr>
                    <w:spacing w:line="240" w:lineRule="auto"/>
                    <w:ind w:firstLineChars="100" w:firstLine="180"/>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10,0</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067D07" w:rsidRDefault="00E017C9" w:rsidP="00067D07">
                  <w:pPr>
                    <w:spacing w:line="240" w:lineRule="auto"/>
                    <w:ind w:firstLineChars="100" w:firstLine="180"/>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5,0</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067D07" w:rsidRDefault="00E017C9" w:rsidP="00067D07">
                  <w:pPr>
                    <w:spacing w:line="240" w:lineRule="auto"/>
                    <w:ind w:firstLineChars="100" w:firstLine="180"/>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8,0</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067D07" w:rsidRDefault="00067D07" w:rsidP="00067D07">
                  <w:pPr>
                    <w:bidi/>
                    <w:spacing w:line="240" w:lineRule="auto"/>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13,9</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067D07" w:rsidRDefault="00E017C9" w:rsidP="00067D07">
                  <w:pPr>
                    <w:spacing w:line="240" w:lineRule="auto"/>
                    <w:ind w:firstLineChars="100" w:firstLine="180"/>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7,4</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067D07" w:rsidRDefault="00E017C9" w:rsidP="00067D07">
                  <w:pPr>
                    <w:spacing w:line="240" w:lineRule="auto"/>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11,4</w:t>
                  </w:r>
                </w:p>
              </w:tc>
            </w:tr>
            <w:tr w:rsidR="00E017C9" w:rsidRPr="00907A93" w:rsidTr="00067D07">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hideMark/>
                </w:tcPr>
                <w:p w:rsidR="00E017C9" w:rsidRPr="00907A93" w:rsidRDefault="00E017C9" w:rsidP="00490D10">
                  <w:pPr>
                    <w:ind w:firstLineChars="400" w:firstLine="720"/>
                    <w:rPr>
                      <w:rFonts w:ascii="Garamond" w:hAnsi="Garamond"/>
                      <w:color w:val="000000"/>
                      <w:sz w:val="18"/>
                      <w:szCs w:val="18"/>
                    </w:rPr>
                  </w:pPr>
                  <w:r w:rsidRPr="00907A93">
                    <w:rPr>
                      <w:rFonts w:ascii="Garamond" w:hAnsi="Garamond"/>
                      <w:color w:val="000000"/>
                      <w:sz w:val="18"/>
                      <w:szCs w:val="18"/>
                    </w:rPr>
                    <w:t>Femmes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35" w:type="dxa"/>
                  </w:tcMar>
                  <w:vAlign w:val="center"/>
                  <w:hideMark/>
                </w:tcPr>
                <w:p w:rsidR="00E017C9" w:rsidRPr="00067D07" w:rsidRDefault="00E017C9" w:rsidP="00067D07">
                  <w:pPr>
                    <w:spacing w:line="240" w:lineRule="auto"/>
                    <w:ind w:firstLineChars="100" w:firstLine="180"/>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22,2</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067D07" w:rsidRDefault="00E017C9" w:rsidP="00067D07">
                  <w:pPr>
                    <w:spacing w:line="240" w:lineRule="auto"/>
                    <w:ind w:firstLineChars="100" w:firstLine="180"/>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2,8</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067D07" w:rsidRDefault="00E017C9" w:rsidP="00067D07">
                  <w:pPr>
                    <w:spacing w:line="240" w:lineRule="auto"/>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13,9</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067D07" w:rsidRDefault="00E017C9" w:rsidP="00067D07">
                  <w:pPr>
                    <w:spacing w:line="240" w:lineRule="auto"/>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26,3</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067D07" w:rsidRDefault="00E017C9" w:rsidP="00067D07">
                  <w:pPr>
                    <w:spacing w:line="240" w:lineRule="auto"/>
                    <w:ind w:firstLineChars="100" w:firstLine="180"/>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4,3</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067D07" w:rsidRDefault="00E017C9" w:rsidP="00067D07">
                  <w:pPr>
                    <w:spacing w:line="240" w:lineRule="auto"/>
                    <w:jc w:val="center"/>
                    <w:rPr>
                      <w:rFonts w:ascii="Garamond" w:eastAsia="Times New Roman" w:hAnsi="Garamond" w:cs="Times New Roman"/>
                      <w:color w:val="010205"/>
                      <w:sz w:val="18"/>
                      <w:szCs w:val="18"/>
                    </w:rPr>
                  </w:pPr>
                  <w:r w:rsidRPr="00067D07">
                    <w:rPr>
                      <w:rFonts w:ascii="Garamond" w:eastAsia="Times New Roman" w:hAnsi="Garamond" w:cs="Times New Roman"/>
                      <w:color w:val="010205"/>
                      <w:sz w:val="18"/>
                      <w:szCs w:val="18"/>
                    </w:rPr>
                    <w:t>17,6</w:t>
                  </w:r>
                </w:p>
              </w:tc>
            </w:tr>
            <w:tr w:rsidR="00E017C9" w:rsidRPr="00907A93" w:rsidTr="00067D07">
              <w:trPr>
                <w:trHeight w:val="315"/>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tcMar>
                    <w:top w:w="15" w:type="dxa"/>
                    <w:left w:w="270" w:type="dxa"/>
                    <w:bottom w:w="0" w:type="dxa"/>
                    <w:right w:w="15" w:type="dxa"/>
                  </w:tcMar>
                  <w:vAlign w:val="center"/>
                  <w:hideMark/>
                </w:tcPr>
                <w:p w:rsidR="00E017C9" w:rsidRPr="00907A93" w:rsidRDefault="00E017C9" w:rsidP="00067D07">
                  <w:pPr>
                    <w:ind w:firstLineChars="200" w:firstLine="360"/>
                    <w:rPr>
                      <w:rFonts w:ascii="Garamond" w:hAnsi="Garamond"/>
                      <w:i/>
                      <w:iCs/>
                      <w:color w:val="000000"/>
                      <w:sz w:val="18"/>
                      <w:szCs w:val="18"/>
                    </w:rPr>
                  </w:pPr>
                  <w:r w:rsidRPr="00907A93">
                    <w:rPr>
                      <w:rFonts w:ascii="Garamond" w:hAnsi="Garamond"/>
                      <w:i/>
                      <w:iCs/>
                      <w:color w:val="000000"/>
                      <w:sz w:val="18"/>
                      <w:szCs w:val="18"/>
                    </w:rPr>
                    <w:t>• Selon l'âge</w:t>
                  </w:r>
                </w:p>
              </w:tc>
            </w:tr>
            <w:tr w:rsidR="00E017C9" w:rsidRPr="00907A93" w:rsidTr="00067D07">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hideMark/>
                </w:tcPr>
                <w:p w:rsidR="00E017C9" w:rsidRPr="00907A93" w:rsidRDefault="00E017C9" w:rsidP="00490D10">
                  <w:pPr>
                    <w:ind w:firstLineChars="400" w:firstLine="720"/>
                    <w:rPr>
                      <w:rFonts w:ascii="Garamond" w:hAnsi="Garamond"/>
                      <w:color w:val="000000"/>
                      <w:sz w:val="18"/>
                      <w:szCs w:val="18"/>
                    </w:rPr>
                  </w:pPr>
                  <w:r w:rsidRPr="00907A93">
                    <w:rPr>
                      <w:rFonts w:ascii="Garamond" w:hAnsi="Garamond"/>
                      <w:color w:val="000000"/>
                      <w:sz w:val="18"/>
                      <w:szCs w:val="18"/>
                    </w:rPr>
                    <w:t>15-24 ans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35" w:type="dxa"/>
                  </w:tcMar>
                  <w:vAlign w:val="center"/>
                  <w:hideMark/>
                </w:tcPr>
                <w:p w:rsidR="00E017C9" w:rsidRPr="00907A93" w:rsidRDefault="00E017C9" w:rsidP="00067D07">
                  <w:pPr>
                    <w:ind w:firstLineChars="100" w:firstLine="180"/>
                    <w:rPr>
                      <w:rFonts w:ascii="Garamond" w:hAnsi="Garamond"/>
                      <w:color w:val="010205"/>
                      <w:sz w:val="18"/>
                      <w:szCs w:val="18"/>
                    </w:rPr>
                  </w:pPr>
                  <w:r w:rsidRPr="00907A93">
                    <w:rPr>
                      <w:rFonts w:ascii="Garamond" w:hAnsi="Garamond"/>
                      <w:color w:val="010205"/>
                      <w:sz w:val="18"/>
                      <w:szCs w:val="18"/>
                    </w:rPr>
                    <w:t>39,9</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rPr>
                      <w:rFonts w:ascii="Garamond" w:hAnsi="Garamond"/>
                      <w:color w:val="010205"/>
                      <w:sz w:val="18"/>
                      <w:szCs w:val="18"/>
                    </w:rPr>
                  </w:pPr>
                  <w:r w:rsidRPr="00907A93">
                    <w:rPr>
                      <w:rFonts w:ascii="Garamond" w:hAnsi="Garamond"/>
                      <w:color w:val="010205"/>
                      <w:sz w:val="18"/>
                      <w:szCs w:val="18"/>
                    </w:rPr>
                    <w:t>13,0</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rPr>
                      <w:rFonts w:ascii="Garamond" w:hAnsi="Garamond"/>
                      <w:color w:val="010205"/>
                      <w:sz w:val="18"/>
                      <w:szCs w:val="18"/>
                    </w:rPr>
                  </w:pPr>
                  <w:r w:rsidRPr="00907A93">
                    <w:rPr>
                      <w:rFonts w:ascii="Garamond" w:hAnsi="Garamond"/>
                      <w:color w:val="010205"/>
                      <w:sz w:val="18"/>
                      <w:szCs w:val="18"/>
                    </w:rPr>
                    <w:t>26,7</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rPr>
                      <w:rFonts w:ascii="Garamond" w:hAnsi="Garamond"/>
                      <w:color w:val="010205"/>
                      <w:sz w:val="18"/>
                      <w:szCs w:val="18"/>
                    </w:rPr>
                  </w:pPr>
                  <w:r w:rsidRPr="00907A93">
                    <w:rPr>
                      <w:rFonts w:ascii="Garamond" w:hAnsi="Garamond"/>
                      <w:color w:val="010205"/>
                      <w:sz w:val="18"/>
                      <w:szCs w:val="18"/>
                    </w:rPr>
                    <w:t>46,7</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rPr>
                      <w:rFonts w:ascii="Garamond" w:hAnsi="Garamond"/>
                      <w:color w:val="010205"/>
                      <w:sz w:val="18"/>
                      <w:szCs w:val="18"/>
                    </w:rPr>
                  </w:pPr>
                  <w:r w:rsidRPr="00907A93">
                    <w:rPr>
                      <w:rFonts w:ascii="Garamond" w:hAnsi="Garamond"/>
                      <w:color w:val="010205"/>
                      <w:sz w:val="18"/>
                      <w:szCs w:val="18"/>
                    </w:rPr>
                    <w:t>16,8</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rPr>
                      <w:rFonts w:ascii="Garamond" w:hAnsi="Garamond"/>
                      <w:color w:val="010205"/>
                      <w:sz w:val="18"/>
                      <w:szCs w:val="18"/>
                    </w:rPr>
                  </w:pPr>
                  <w:r w:rsidRPr="00907A93">
                    <w:rPr>
                      <w:rFonts w:ascii="Garamond" w:hAnsi="Garamond"/>
                      <w:color w:val="010205"/>
                      <w:sz w:val="18"/>
                      <w:szCs w:val="18"/>
                    </w:rPr>
                    <w:t>32,3</w:t>
                  </w:r>
                </w:p>
              </w:tc>
            </w:tr>
            <w:tr w:rsidR="00E017C9" w:rsidRPr="00907A93" w:rsidTr="00067D07">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hideMark/>
                </w:tcPr>
                <w:p w:rsidR="00E017C9" w:rsidRPr="00907A93" w:rsidRDefault="00E017C9" w:rsidP="00490D10">
                  <w:pPr>
                    <w:ind w:firstLineChars="400" w:firstLine="720"/>
                    <w:rPr>
                      <w:rFonts w:ascii="Garamond" w:hAnsi="Garamond"/>
                      <w:color w:val="000000"/>
                      <w:sz w:val="18"/>
                      <w:szCs w:val="18"/>
                    </w:rPr>
                  </w:pPr>
                  <w:r w:rsidRPr="00907A93">
                    <w:rPr>
                      <w:rFonts w:ascii="Garamond" w:hAnsi="Garamond"/>
                      <w:color w:val="000000"/>
                      <w:sz w:val="18"/>
                      <w:szCs w:val="18"/>
                    </w:rPr>
                    <w:t>25-34 ans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35" w:type="dxa"/>
                  </w:tcMar>
                  <w:vAlign w:val="center"/>
                  <w:hideMark/>
                </w:tcPr>
                <w:p w:rsidR="00E017C9" w:rsidRPr="00907A93" w:rsidRDefault="00E017C9" w:rsidP="00067D07">
                  <w:pPr>
                    <w:ind w:firstLineChars="100" w:firstLine="180"/>
                    <w:rPr>
                      <w:rFonts w:ascii="Garamond" w:hAnsi="Garamond"/>
                      <w:color w:val="010205"/>
                      <w:sz w:val="18"/>
                      <w:szCs w:val="18"/>
                    </w:rPr>
                  </w:pPr>
                  <w:r w:rsidRPr="00907A93">
                    <w:rPr>
                      <w:rFonts w:ascii="Garamond" w:hAnsi="Garamond"/>
                      <w:color w:val="010205"/>
                      <w:sz w:val="18"/>
                      <w:szCs w:val="18"/>
                    </w:rPr>
                    <w:t>19,4</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ind w:firstLineChars="100" w:firstLine="180"/>
                    <w:rPr>
                      <w:rFonts w:ascii="Garamond" w:hAnsi="Garamond"/>
                      <w:color w:val="010205"/>
                      <w:sz w:val="18"/>
                      <w:szCs w:val="18"/>
                    </w:rPr>
                  </w:pPr>
                  <w:r w:rsidRPr="00907A93">
                    <w:rPr>
                      <w:rFonts w:ascii="Garamond" w:hAnsi="Garamond"/>
                      <w:color w:val="010205"/>
                      <w:sz w:val="18"/>
                      <w:szCs w:val="18"/>
                    </w:rPr>
                    <w:t>6,6</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rPr>
                      <w:rFonts w:ascii="Garamond" w:hAnsi="Garamond"/>
                      <w:color w:val="010205"/>
                      <w:sz w:val="18"/>
                      <w:szCs w:val="18"/>
                    </w:rPr>
                  </w:pPr>
                  <w:r w:rsidRPr="00907A93">
                    <w:rPr>
                      <w:rFonts w:ascii="Garamond" w:hAnsi="Garamond"/>
                      <w:color w:val="010205"/>
                      <w:sz w:val="18"/>
                      <w:szCs w:val="18"/>
                    </w:rPr>
                    <w:t>15,0</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rPr>
                      <w:rFonts w:ascii="Garamond" w:hAnsi="Garamond"/>
                      <w:color w:val="010205"/>
                      <w:sz w:val="18"/>
                      <w:szCs w:val="18"/>
                    </w:rPr>
                  </w:pPr>
                  <w:r w:rsidRPr="00907A93">
                    <w:rPr>
                      <w:rFonts w:ascii="Garamond" w:hAnsi="Garamond"/>
                      <w:color w:val="010205"/>
                      <w:sz w:val="18"/>
                      <w:szCs w:val="18"/>
                    </w:rPr>
                    <w:t>24,7</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ind w:firstLineChars="100" w:firstLine="180"/>
                    <w:rPr>
                      <w:rFonts w:ascii="Garamond" w:hAnsi="Garamond"/>
                      <w:color w:val="010205"/>
                      <w:sz w:val="18"/>
                      <w:szCs w:val="18"/>
                    </w:rPr>
                  </w:pPr>
                  <w:r w:rsidRPr="00907A93">
                    <w:rPr>
                      <w:rFonts w:ascii="Garamond" w:hAnsi="Garamond"/>
                      <w:color w:val="010205"/>
                      <w:sz w:val="18"/>
                      <w:szCs w:val="18"/>
                    </w:rPr>
                    <w:t>9,1</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rPr>
                      <w:rFonts w:ascii="Garamond" w:hAnsi="Garamond"/>
                      <w:color w:val="010205"/>
                      <w:sz w:val="18"/>
                      <w:szCs w:val="18"/>
                    </w:rPr>
                  </w:pPr>
                  <w:r w:rsidRPr="00907A93">
                    <w:rPr>
                      <w:rFonts w:ascii="Garamond" w:hAnsi="Garamond"/>
                      <w:color w:val="010205"/>
                      <w:sz w:val="18"/>
                      <w:szCs w:val="18"/>
                    </w:rPr>
                    <w:t>19,5</w:t>
                  </w:r>
                </w:p>
              </w:tc>
            </w:tr>
            <w:tr w:rsidR="00E017C9" w:rsidRPr="00907A93" w:rsidTr="00067D07">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hideMark/>
                </w:tcPr>
                <w:p w:rsidR="00E017C9" w:rsidRPr="00907A93" w:rsidRDefault="00E017C9" w:rsidP="00490D10">
                  <w:pPr>
                    <w:ind w:firstLineChars="400" w:firstLine="720"/>
                    <w:rPr>
                      <w:rFonts w:ascii="Garamond" w:hAnsi="Garamond"/>
                      <w:color w:val="000000"/>
                      <w:sz w:val="18"/>
                      <w:szCs w:val="18"/>
                    </w:rPr>
                  </w:pPr>
                  <w:r w:rsidRPr="00907A93">
                    <w:rPr>
                      <w:rFonts w:ascii="Garamond" w:hAnsi="Garamond"/>
                      <w:color w:val="000000"/>
                      <w:sz w:val="18"/>
                      <w:szCs w:val="18"/>
                    </w:rPr>
                    <w:t>35-44 ans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35" w:type="dxa"/>
                  </w:tcMar>
                  <w:vAlign w:val="center"/>
                  <w:hideMark/>
                </w:tcPr>
                <w:p w:rsidR="00E017C9" w:rsidRPr="00907A93" w:rsidRDefault="00E017C9" w:rsidP="00067D07">
                  <w:pPr>
                    <w:ind w:firstLineChars="100" w:firstLine="180"/>
                    <w:rPr>
                      <w:rFonts w:ascii="Garamond" w:hAnsi="Garamond"/>
                      <w:color w:val="010205"/>
                      <w:sz w:val="18"/>
                      <w:szCs w:val="18"/>
                    </w:rPr>
                  </w:pPr>
                  <w:r w:rsidRPr="00907A93">
                    <w:rPr>
                      <w:rFonts w:ascii="Garamond" w:hAnsi="Garamond"/>
                      <w:color w:val="010205"/>
                      <w:sz w:val="18"/>
                      <w:szCs w:val="18"/>
                    </w:rPr>
                    <w:t>5,9</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ind w:firstLineChars="100" w:firstLine="180"/>
                    <w:rPr>
                      <w:rFonts w:ascii="Garamond" w:hAnsi="Garamond"/>
                      <w:color w:val="010205"/>
                      <w:sz w:val="18"/>
                      <w:szCs w:val="18"/>
                    </w:rPr>
                  </w:pPr>
                  <w:r w:rsidRPr="00907A93">
                    <w:rPr>
                      <w:rFonts w:ascii="Garamond" w:hAnsi="Garamond"/>
                      <w:color w:val="010205"/>
                      <w:sz w:val="18"/>
                      <w:szCs w:val="18"/>
                    </w:rPr>
                    <w:t>2,3</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ind w:firstLineChars="100" w:firstLine="180"/>
                    <w:rPr>
                      <w:rFonts w:ascii="Garamond" w:hAnsi="Garamond"/>
                      <w:color w:val="010205"/>
                      <w:sz w:val="18"/>
                      <w:szCs w:val="18"/>
                    </w:rPr>
                  </w:pPr>
                  <w:r w:rsidRPr="00907A93">
                    <w:rPr>
                      <w:rFonts w:ascii="Garamond" w:hAnsi="Garamond"/>
                      <w:color w:val="010205"/>
                      <w:sz w:val="18"/>
                      <w:szCs w:val="18"/>
                    </w:rPr>
                    <w:t>4,6</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ind w:firstLineChars="100" w:firstLine="180"/>
                    <w:rPr>
                      <w:rFonts w:ascii="Garamond" w:hAnsi="Garamond"/>
                      <w:color w:val="010205"/>
                      <w:sz w:val="18"/>
                      <w:szCs w:val="18"/>
                    </w:rPr>
                  </w:pPr>
                  <w:r w:rsidRPr="00907A93">
                    <w:rPr>
                      <w:rFonts w:ascii="Garamond" w:hAnsi="Garamond"/>
                      <w:color w:val="010205"/>
                      <w:sz w:val="18"/>
                      <w:szCs w:val="18"/>
                    </w:rPr>
                    <w:t>9,7</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ind w:firstLineChars="100" w:firstLine="180"/>
                    <w:rPr>
                      <w:rFonts w:ascii="Garamond" w:hAnsi="Garamond"/>
                      <w:color w:val="010205"/>
                      <w:sz w:val="18"/>
                      <w:szCs w:val="18"/>
                    </w:rPr>
                  </w:pPr>
                  <w:r w:rsidRPr="00907A93">
                    <w:rPr>
                      <w:rFonts w:ascii="Garamond" w:hAnsi="Garamond"/>
                      <w:color w:val="010205"/>
                      <w:sz w:val="18"/>
                      <w:szCs w:val="18"/>
                    </w:rPr>
                    <w:t>4,9</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rPr>
                      <w:rFonts w:ascii="Garamond" w:hAnsi="Garamond"/>
                      <w:color w:val="010205"/>
                      <w:sz w:val="18"/>
                      <w:szCs w:val="18"/>
                    </w:rPr>
                  </w:pPr>
                  <w:r w:rsidRPr="00907A93">
                    <w:rPr>
                      <w:rFonts w:ascii="Garamond" w:hAnsi="Garamond"/>
                      <w:color w:val="010205"/>
                      <w:sz w:val="18"/>
                      <w:szCs w:val="18"/>
                    </w:rPr>
                    <w:t>8,0</w:t>
                  </w:r>
                </w:p>
              </w:tc>
            </w:tr>
            <w:tr w:rsidR="00E017C9" w:rsidRPr="00907A93" w:rsidTr="00067D07">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hideMark/>
                </w:tcPr>
                <w:p w:rsidR="00E017C9" w:rsidRPr="00907A93" w:rsidRDefault="00E017C9" w:rsidP="00490D10">
                  <w:pPr>
                    <w:ind w:firstLineChars="400" w:firstLine="720"/>
                    <w:rPr>
                      <w:rFonts w:ascii="Garamond" w:hAnsi="Garamond"/>
                      <w:color w:val="000000"/>
                      <w:sz w:val="18"/>
                      <w:szCs w:val="18"/>
                    </w:rPr>
                  </w:pPr>
                  <w:r w:rsidRPr="00907A93">
                    <w:rPr>
                      <w:rFonts w:ascii="Garamond" w:hAnsi="Garamond"/>
                      <w:color w:val="000000"/>
                      <w:sz w:val="18"/>
                      <w:szCs w:val="18"/>
                    </w:rPr>
                    <w:t>45 ans et plus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35" w:type="dxa"/>
                  </w:tcMar>
                  <w:vAlign w:val="center"/>
                  <w:hideMark/>
                </w:tcPr>
                <w:p w:rsidR="00E017C9" w:rsidRPr="00907A93" w:rsidRDefault="00E017C9" w:rsidP="00067D07">
                  <w:pPr>
                    <w:ind w:firstLineChars="100" w:firstLine="180"/>
                    <w:rPr>
                      <w:rFonts w:ascii="Garamond" w:hAnsi="Garamond"/>
                      <w:color w:val="010205"/>
                      <w:sz w:val="18"/>
                      <w:szCs w:val="18"/>
                    </w:rPr>
                  </w:pPr>
                  <w:r w:rsidRPr="00907A93">
                    <w:rPr>
                      <w:rFonts w:ascii="Garamond" w:hAnsi="Garamond"/>
                      <w:color w:val="010205"/>
                      <w:sz w:val="18"/>
                      <w:szCs w:val="18"/>
                    </w:rPr>
                    <w:t>3,0</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ind w:firstLineChars="100" w:firstLine="180"/>
                    <w:rPr>
                      <w:rFonts w:ascii="Garamond" w:hAnsi="Garamond"/>
                      <w:color w:val="010205"/>
                      <w:sz w:val="18"/>
                      <w:szCs w:val="18"/>
                    </w:rPr>
                  </w:pPr>
                  <w:r w:rsidRPr="00907A93">
                    <w:rPr>
                      <w:rFonts w:ascii="Garamond" w:hAnsi="Garamond"/>
                      <w:color w:val="010205"/>
                      <w:sz w:val="18"/>
                      <w:szCs w:val="18"/>
                    </w:rPr>
                    <w:t>1,0</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ind w:firstLineChars="100" w:firstLine="180"/>
                    <w:rPr>
                      <w:rFonts w:ascii="Garamond" w:hAnsi="Garamond"/>
                      <w:color w:val="010205"/>
                      <w:sz w:val="18"/>
                      <w:szCs w:val="18"/>
                    </w:rPr>
                  </w:pPr>
                  <w:r w:rsidRPr="00907A93">
                    <w:rPr>
                      <w:rFonts w:ascii="Garamond" w:hAnsi="Garamond"/>
                      <w:color w:val="010205"/>
                      <w:sz w:val="18"/>
                      <w:szCs w:val="18"/>
                    </w:rPr>
                    <w:t>2,1</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ind w:firstLineChars="100" w:firstLine="180"/>
                    <w:rPr>
                      <w:rFonts w:ascii="Garamond" w:hAnsi="Garamond"/>
                      <w:color w:val="010205"/>
                      <w:sz w:val="18"/>
                      <w:szCs w:val="18"/>
                    </w:rPr>
                  </w:pPr>
                  <w:r w:rsidRPr="00907A93">
                    <w:rPr>
                      <w:rFonts w:ascii="Garamond" w:hAnsi="Garamond"/>
                      <w:color w:val="010205"/>
                      <w:sz w:val="18"/>
                      <w:szCs w:val="18"/>
                    </w:rPr>
                    <w:t>5,7</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ind w:firstLineChars="100" w:firstLine="180"/>
                    <w:rPr>
                      <w:rFonts w:ascii="Garamond" w:hAnsi="Garamond"/>
                      <w:color w:val="010205"/>
                      <w:sz w:val="18"/>
                      <w:szCs w:val="18"/>
                    </w:rPr>
                  </w:pPr>
                  <w:r w:rsidRPr="00907A93">
                    <w:rPr>
                      <w:rFonts w:ascii="Garamond" w:hAnsi="Garamond"/>
                      <w:color w:val="010205"/>
                      <w:sz w:val="18"/>
                      <w:szCs w:val="18"/>
                    </w:rPr>
                    <w:t>2,7</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rPr>
                      <w:rFonts w:ascii="Garamond" w:hAnsi="Garamond"/>
                      <w:color w:val="010205"/>
                      <w:sz w:val="18"/>
                      <w:szCs w:val="18"/>
                    </w:rPr>
                  </w:pPr>
                  <w:r w:rsidRPr="00907A93">
                    <w:rPr>
                      <w:rFonts w:ascii="Garamond" w:hAnsi="Garamond"/>
                      <w:color w:val="010205"/>
                      <w:sz w:val="18"/>
                      <w:szCs w:val="18"/>
                    </w:rPr>
                    <w:t>4,4</w:t>
                  </w:r>
                </w:p>
              </w:tc>
            </w:tr>
            <w:tr w:rsidR="00E017C9" w:rsidRPr="00907A93" w:rsidTr="00067D07">
              <w:trPr>
                <w:trHeight w:val="315"/>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tcMar>
                    <w:top w:w="15" w:type="dxa"/>
                    <w:left w:w="270" w:type="dxa"/>
                    <w:bottom w:w="0" w:type="dxa"/>
                    <w:right w:w="15" w:type="dxa"/>
                  </w:tcMar>
                  <w:vAlign w:val="center"/>
                  <w:hideMark/>
                </w:tcPr>
                <w:p w:rsidR="00E017C9" w:rsidRPr="00907A93" w:rsidRDefault="00E017C9" w:rsidP="00067D07">
                  <w:pPr>
                    <w:ind w:firstLineChars="200" w:firstLine="360"/>
                    <w:rPr>
                      <w:rFonts w:ascii="Garamond" w:hAnsi="Garamond"/>
                      <w:i/>
                      <w:iCs/>
                      <w:color w:val="000000"/>
                      <w:sz w:val="18"/>
                      <w:szCs w:val="18"/>
                    </w:rPr>
                  </w:pPr>
                  <w:r w:rsidRPr="00907A93">
                    <w:rPr>
                      <w:rFonts w:ascii="Garamond" w:hAnsi="Garamond"/>
                      <w:i/>
                      <w:iCs/>
                      <w:color w:val="000000"/>
                      <w:sz w:val="18"/>
                      <w:szCs w:val="18"/>
                    </w:rPr>
                    <w:t>• Selon le diplôme</w:t>
                  </w:r>
                </w:p>
              </w:tc>
            </w:tr>
            <w:tr w:rsidR="00E017C9" w:rsidRPr="00907A93" w:rsidTr="00067D07">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hideMark/>
                </w:tcPr>
                <w:p w:rsidR="00E017C9" w:rsidRPr="00907A93" w:rsidRDefault="00E017C9" w:rsidP="00490D10">
                  <w:pPr>
                    <w:ind w:firstLineChars="400" w:firstLine="720"/>
                    <w:rPr>
                      <w:rFonts w:ascii="Garamond" w:hAnsi="Garamond"/>
                      <w:color w:val="000000"/>
                      <w:sz w:val="18"/>
                      <w:szCs w:val="18"/>
                    </w:rPr>
                  </w:pPr>
                  <w:r w:rsidRPr="00907A93">
                    <w:rPr>
                      <w:rFonts w:ascii="Garamond" w:hAnsi="Garamond"/>
                      <w:color w:val="000000"/>
                      <w:sz w:val="18"/>
                      <w:szCs w:val="18"/>
                    </w:rPr>
                    <w:t>Non diplômés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35" w:type="dxa"/>
                  </w:tcMar>
                  <w:vAlign w:val="center"/>
                  <w:hideMark/>
                </w:tcPr>
                <w:p w:rsidR="00E017C9" w:rsidRPr="00907A93" w:rsidRDefault="00E017C9" w:rsidP="00067D07">
                  <w:pPr>
                    <w:ind w:firstLineChars="100" w:firstLine="180"/>
                    <w:jc w:val="center"/>
                    <w:rPr>
                      <w:rFonts w:ascii="Garamond" w:hAnsi="Garamond"/>
                      <w:color w:val="010205"/>
                      <w:sz w:val="18"/>
                      <w:szCs w:val="18"/>
                    </w:rPr>
                  </w:pPr>
                  <w:r w:rsidRPr="00907A93">
                    <w:rPr>
                      <w:rFonts w:ascii="Garamond" w:hAnsi="Garamond"/>
                      <w:color w:val="010205"/>
                      <w:sz w:val="18"/>
                      <w:szCs w:val="18"/>
                    </w:rPr>
                    <w:t>5,9</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rPr>
                      <w:rFonts w:ascii="Garamond" w:hAnsi="Garamond"/>
                      <w:color w:val="010205"/>
                      <w:sz w:val="18"/>
                      <w:szCs w:val="18"/>
                    </w:rPr>
                  </w:pPr>
                  <w:r w:rsidRPr="00907A93">
                    <w:rPr>
                      <w:rFonts w:ascii="Garamond" w:hAnsi="Garamond"/>
                      <w:color w:val="010205"/>
                      <w:sz w:val="18"/>
                      <w:szCs w:val="18"/>
                    </w:rPr>
                    <w:t>2,1</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rPr>
                      <w:rFonts w:ascii="Garamond" w:hAnsi="Garamond"/>
                      <w:color w:val="010205"/>
                      <w:sz w:val="18"/>
                      <w:szCs w:val="18"/>
                    </w:rPr>
                  </w:pPr>
                  <w:r w:rsidRPr="00907A93">
                    <w:rPr>
                      <w:rFonts w:ascii="Garamond" w:hAnsi="Garamond"/>
                      <w:color w:val="010205"/>
                      <w:sz w:val="18"/>
                      <w:szCs w:val="18"/>
                    </w:rPr>
                    <w:t>3,7</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rPr>
                      <w:rFonts w:ascii="Garamond" w:hAnsi="Garamond"/>
                      <w:color w:val="010205"/>
                      <w:sz w:val="18"/>
                      <w:szCs w:val="18"/>
                    </w:rPr>
                  </w:pPr>
                  <w:r w:rsidRPr="00907A93">
                    <w:rPr>
                      <w:rFonts w:ascii="Garamond" w:hAnsi="Garamond"/>
                      <w:color w:val="010205"/>
                      <w:sz w:val="18"/>
                      <w:szCs w:val="18"/>
                    </w:rPr>
                    <w:t>10,4</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rPr>
                      <w:rFonts w:ascii="Garamond" w:hAnsi="Garamond"/>
                      <w:color w:val="010205"/>
                      <w:sz w:val="18"/>
                      <w:szCs w:val="18"/>
                    </w:rPr>
                  </w:pPr>
                  <w:r w:rsidRPr="00907A93">
                    <w:rPr>
                      <w:rFonts w:ascii="Garamond" w:hAnsi="Garamond"/>
                      <w:color w:val="010205"/>
                      <w:sz w:val="18"/>
                      <w:szCs w:val="18"/>
                    </w:rPr>
                    <w:t>4,1</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rPr>
                      <w:rFonts w:ascii="Garamond" w:hAnsi="Garamond"/>
                      <w:color w:val="010205"/>
                      <w:sz w:val="18"/>
                      <w:szCs w:val="18"/>
                    </w:rPr>
                  </w:pPr>
                  <w:r w:rsidRPr="00907A93">
                    <w:rPr>
                      <w:rFonts w:ascii="Garamond" w:hAnsi="Garamond"/>
                      <w:color w:val="010205"/>
                      <w:sz w:val="18"/>
                      <w:szCs w:val="18"/>
                    </w:rPr>
                    <w:t>6,9</w:t>
                  </w:r>
                </w:p>
              </w:tc>
            </w:tr>
            <w:tr w:rsidR="00E017C9" w:rsidRPr="00907A93" w:rsidTr="00067D07">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540" w:type="dxa"/>
                    <w:bottom w:w="0" w:type="dxa"/>
                    <w:right w:w="15" w:type="dxa"/>
                  </w:tcMar>
                  <w:hideMark/>
                </w:tcPr>
                <w:p w:rsidR="00E017C9" w:rsidRPr="00907A93" w:rsidRDefault="00E017C9" w:rsidP="00490D10">
                  <w:pPr>
                    <w:ind w:firstLineChars="400" w:firstLine="720"/>
                    <w:rPr>
                      <w:rFonts w:ascii="Garamond" w:hAnsi="Garamond"/>
                      <w:color w:val="000000"/>
                      <w:sz w:val="18"/>
                      <w:szCs w:val="18"/>
                    </w:rPr>
                  </w:pPr>
                  <w:r w:rsidRPr="00907A93">
                    <w:rPr>
                      <w:rFonts w:ascii="Garamond" w:hAnsi="Garamond"/>
                      <w:color w:val="000000"/>
                      <w:sz w:val="18"/>
                      <w:szCs w:val="18"/>
                    </w:rPr>
                    <w:t>Diplômés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35" w:type="dxa"/>
                  </w:tcMar>
                  <w:vAlign w:val="center"/>
                  <w:hideMark/>
                </w:tcPr>
                <w:p w:rsidR="00E017C9" w:rsidRPr="00907A93" w:rsidRDefault="00E017C9" w:rsidP="00067D07">
                  <w:pPr>
                    <w:ind w:firstLineChars="100" w:firstLine="180"/>
                    <w:jc w:val="center"/>
                    <w:rPr>
                      <w:rFonts w:ascii="Garamond" w:hAnsi="Garamond"/>
                      <w:color w:val="010205"/>
                      <w:sz w:val="18"/>
                      <w:szCs w:val="18"/>
                    </w:rPr>
                  </w:pPr>
                  <w:r w:rsidRPr="00907A93">
                    <w:rPr>
                      <w:rFonts w:ascii="Garamond" w:hAnsi="Garamond"/>
                      <w:color w:val="010205"/>
                      <w:sz w:val="18"/>
                      <w:szCs w:val="18"/>
                    </w:rPr>
                    <w:t>16,7</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rPr>
                      <w:rFonts w:ascii="Garamond" w:hAnsi="Garamond"/>
                      <w:color w:val="010205"/>
                      <w:sz w:val="18"/>
                      <w:szCs w:val="18"/>
                    </w:rPr>
                  </w:pPr>
                  <w:r w:rsidRPr="00907A93">
                    <w:rPr>
                      <w:rFonts w:ascii="Garamond" w:hAnsi="Garamond"/>
                      <w:color w:val="010205"/>
                      <w:sz w:val="18"/>
                      <w:szCs w:val="18"/>
                    </w:rPr>
                    <w:t>11,1</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rPr>
                      <w:rFonts w:ascii="Garamond" w:hAnsi="Garamond"/>
                      <w:color w:val="010205"/>
                      <w:sz w:val="18"/>
                      <w:szCs w:val="18"/>
                    </w:rPr>
                  </w:pPr>
                  <w:r w:rsidRPr="00907A93">
                    <w:rPr>
                      <w:rFonts w:ascii="Garamond" w:hAnsi="Garamond"/>
                      <w:color w:val="010205"/>
                      <w:sz w:val="18"/>
                      <w:szCs w:val="18"/>
                    </w:rPr>
                    <w:t>15,5</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rPr>
                      <w:rFonts w:ascii="Garamond" w:hAnsi="Garamond"/>
                      <w:color w:val="010205"/>
                      <w:sz w:val="18"/>
                      <w:szCs w:val="18"/>
                    </w:rPr>
                  </w:pPr>
                  <w:r w:rsidRPr="00907A93">
                    <w:rPr>
                      <w:rFonts w:ascii="Garamond" w:hAnsi="Garamond"/>
                      <w:color w:val="010205"/>
                      <w:sz w:val="18"/>
                      <w:szCs w:val="18"/>
                    </w:rPr>
                    <w:t>20,0</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rPr>
                      <w:rFonts w:ascii="Garamond" w:hAnsi="Garamond"/>
                      <w:color w:val="010205"/>
                      <w:sz w:val="18"/>
                      <w:szCs w:val="18"/>
                    </w:rPr>
                  </w:pPr>
                  <w:r w:rsidRPr="00907A93">
                    <w:rPr>
                      <w:rFonts w:ascii="Garamond" w:hAnsi="Garamond"/>
                      <w:color w:val="010205"/>
                      <w:sz w:val="18"/>
                      <w:szCs w:val="18"/>
                    </w:rPr>
                    <w:t>13,7</w:t>
                  </w:r>
                </w:p>
              </w:tc>
              <w:tc>
                <w:tcPr>
                  <w:tcW w:w="0" w:type="auto"/>
                  <w:tcBorders>
                    <w:top w:val="nil"/>
                    <w:left w:val="nil"/>
                    <w:bottom w:val="single" w:sz="4" w:space="0" w:color="auto"/>
                    <w:right w:val="single" w:sz="4" w:space="0" w:color="auto"/>
                  </w:tcBorders>
                  <w:shd w:val="clear" w:color="auto" w:fill="auto"/>
                  <w:noWrap/>
                  <w:tcMar>
                    <w:top w:w="15" w:type="dxa"/>
                    <w:left w:w="540" w:type="dxa"/>
                    <w:bottom w:w="0" w:type="dxa"/>
                    <w:right w:w="15" w:type="dxa"/>
                  </w:tcMar>
                  <w:vAlign w:val="center"/>
                  <w:hideMark/>
                </w:tcPr>
                <w:p w:rsidR="00E017C9" w:rsidRPr="00907A93" w:rsidRDefault="00E017C9" w:rsidP="00067D07">
                  <w:pPr>
                    <w:rPr>
                      <w:rFonts w:ascii="Garamond" w:hAnsi="Garamond"/>
                      <w:color w:val="010205"/>
                      <w:sz w:val="18"/>
                      <w:szCs w:val="18"/>
                    </w:rPr>
                  </w:pPr>
                  <w:r w:rsidRPr="00907A93">
                    <w:rPr>
                      <w:rFonts w:ascii="Garamond" w:hAnsi="Garamond"/>
                      <w:color w:val="010205"/>
                      <w:sz w:val="18"/>
                      <w:szCs w:val="18"/>
                    </w:rPr>
                    <w:t>18,7</w:t>
                  </w:r>
                </w:p>
              </w:tc>
            </w:tr>
          </w:tbl>
          <w:p w:rsidR="00E017C9" w:rsidRPr="00D63663" w:rsidRDefault="00E017C9" w:rsidP="00490D10">
            <w:pPr>
              <w:pStyle w:val="Titre1"/>
              <w:jc w:val="center"/>
              <w:rPr>
                <w:rFonts w:ascii="Book Antiqua" w:hAnsi="Book Antiqua" w:cs="Browallia New"/>
                <w:b/>
                <w:bCs/>
                <w:color w:val="4F81BD" w:themeColor="accent1"/>
                <w:sz w:val="18"/>
                <w:szCs w:val="18"/>
              </w:rPr>
            </w:pPr>
          </w:p>
        </w:tc>
      </w:tr>
    </w:tbl>
    <w:p w:rsidR="00E017C9" w:rsidRDefault="00E017C9" w:rsidP="00E017C9">
      <w:pPr>
        <w:rPr>
          <w:rFonts w:ascii="Book Antiqua" w:eastAsia="Book Antiqua" w:hAnsi="Book Antiqua" w:cs="Book Antiqua"/>
        </w:rPr>
      </w:pPr>
    </w:p>
    <w:p w:rsidR="00E017C9" w:rsidRPr="00D14168" w:rsidRDefault="00E017C9" w:rsidP="00E017C9">
      <w:pPr>
        <w:numPr>
          <w:ilvl w:val="0"/>
          <w:numId w:val="4"/>
        </w:num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r w:rsidRPr="00D14168">
        <w:rPr>
          <w:rFonts w:ascii="Times New Roman" w:eastAsia="Calibri" w:hAnsi="Times New Roman" w:cs="Times New Roman"/>
          <w:color w:val="222222"/>
          <w:sz w:val="20"/>
          <w:szCs w:val="20"/>
          <w:shd w:val="clear" w:color="auto" w:fill="FFFFFF"/>
          <w:lang w:eastAsia="en-US"/>
        </w:rPr>
        <w:t xml:space="preserve">Source : Enquête nationale sur l'emploi, Haut-Commissariat au Plan </w:t>
      </w:r>
    </w:p>
    <w:p w:rsidR="00E017C9" w:rsidRPr="00D14168" w:rsidRDefault="00E017C9" w:rsidP="00E017C9">
      <w:pPr>
        <w:numPr>
          <w:ilvl w:val="0"/>
          <w:numId w:val="4"/>
        </w:num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r w:rsidRPr="00D14168">
        <w:rPr>
          <w:rFonts w:ascii="Times New Roman" w:eastAsia="Calibri" w:hAnsi="Times New Roman" w:cs="Times New Roman"/>
          <w:color w:val="222222"/>
          <w:sz w:val="20"/>
          <w:szCs w:val="20"/>
          <w:shd w:val="clear" w:color="auto" w:fill="FFFFFF"/>
          <w:lang w:eastAsia="en-US"/>
        </w:rPr>
        <w:t>Pour les définitions des concepts et indicateurs utilisés, se référer au glossaire disponible sur le site web du HCP </w:t>
      </w:r>
      <w:r w:rsidRPr="00D14168">
        <w:rPr>
          <w:rFonts w:ascii="Times New Roman" w:eastAsia="Calibri" w:hAnsi="Times New Roman" w:cs="Times New Roman"/>
          <w:b/>
          <w:bCs/>
          <w:color w:val="222222"/>
          <w:sz w:val="20"/>
          <w:szCs w:val="20"/>
          <w:shd w:val="clear" w:color="auto" w:fill="FFFFFF"/>
          <w:lang w:eastAsia="en-US"/>
        </w:rPr>
        <w:t xml:space="preserve">: </w:t>
      </w:r>
      <w:hyperlink r:id="rId14" w:history="1">
        <w:r w:rsidRPr="00D14168">
          <w:rPr>
            <w:rFonts w:ascii="Times New Roman" w:eastAsia="Calibri" w:hAnsi="Times New Roman" w:cs="Times New Roman"/>
            <w:b/>
            <w:bCs/>
            <w:color w:val="222222"/>
            <w:sz w:val="20"/>
            <w:szCs w:val="20"/>
            <w:shd w:val="clear" w:color="auto" w:fill="FFFFFF"/>
            <w:lang w:eastAsia="en-US"/>
          </w:rPr>
          <w:t>http://www.hcp.ma</w:t>
        </w:r>
      </w:hyperlink>
      <w:r w:rsidRPr="00D14168">
        <w:rPr>
          <w:rFonts w:ascii="Times New Roman" w:eastAsia="Calibri" w:hAnsi="Times New Roman" w:cs="Times New Roman"/>
          <w:color w:val="222222"/>
          <w:sz w:val="20"/>
          <w:szCs w:val="20"/>
          <w:shd w:val="clear" w:color="auto" w:fill="FFFFFF"/>
          <w:lang w:eastAsia="en-US"/>
        </w:rPr>
        <w:t>.</w:t>
      </w:r>
    </w:p>
    <w:p w:rsidR="00E017C9" w:rsidRDefault="00E017C9" w:rsidP="00BE04F7">
      <w:pPr>
        <w:numPr>
          <w:ilvl w:val="0"/>
          <w:numId w:val="4"/>
        </w:num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r w:rsidRPr="00F7064B">
        <w:rPr>
          <w:rFonts w:ascii="Times New Roman" w:eastAsia="Calibri" w:hAnsi="Times New Roman" w:cs="Times New Roman"/>
          <w:color w:val="222222"/>
          <w:sz w:val="20"/>
          <w:szCs w:val="20"/>
          <w:shd w:val="clear" w:color="auto" w:fill="FFFFFF"/>
          <w:lang w:eastAsia="en-US"/>
        </w:rPr>
        <w:t>Les données chiffrées sont arrondies. Le résultat arrondi d’une combinaison de données chiffrées (qui fait intervenir leurs valeurs réelles) peut se trouver légèrement différent de celui que donnerait la combinaison de leurs valeurs arrondies.</w:t>
      </w: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tbl>
      <w:tblPr>
        <w:tblStyle w:val="Grilledutableau"/>
        <w:tblW w:w="5000" w:type="pct"/>
        <w:tblLook w:val="04A0"/>
      </w:tblPr>
      <w:tblGrid>
        <w:gridCol w:w="4628"/>
        <w:gridCol w:w="2309"/>
        <w:gridCol w:w="2308"/>
      </w:tblGrid>
      <w:tr w:rsidR="007A0E16" w:rsidRPr="002900EE" w:rsidTr="00834733">
        <w:trPr>
          <w:trHeight w:val="315"/>
        </w:trPr>
        <w:tc>
          <w:tcPr>
            <w:tcW w:w="5000" w:type="pct"/>
            <w:gridSpan w:val="3"/>
            <w:tcBorders>
              <w:top w:val="nil"/>
              <w:left w:val="nil"/>
              <w:bottom w:val="single" w:sz="4" w:space="0" w:color="auto"/>
              <w:right w:val="nil"/>
            </w:tcBorders>
            <w:noWrap/>
            <w:hideMark/>
          </w:tcPr>
          <w:p w:rsidR="007A0E16" w:rsidRPr="002900EE" w:rsidRDefault="007A0E16" w:rsidP="00834733">
            <w:pPr>
              <w:rPr>
                <w:rFonts w:ascii="Book Antiqua" w:eastAsia="Book Antiqua" w:hAnsi="Book Antiqua" w:cs="Book Antiqua"/>
                <w:b/>
                <w:bCs/>
              </w:rPr>
            </w:pPr>
            <w:r w:rsidRPr="007A0E16">
              <w:rPr>
                <w:rFonts w:ascii="Book Antiqua" w:eastAsia="Book Antiqua" w:hAnsi="Book Antiqua" w:cs="Book Antiqua"/>
                <w:b/>
                <w:color w:val="0070C0"/>
                <w:sz w:val="20"/>
                <w:szCs w:val="20"/>
              </w:rPr>
              <w:lastRenderedPageBreak/>
              <w:t>Tableau 2 : Taux d'activité, d’emploi et de chômage par région (en%)</w:t>
            </w:r>
          </w:p>
        </w:tc>
      </w:tr>
      <w:tr w:rsidR="007A0E16" w:rsidRPr="002900EE" w:rsidTr="00834733">
        <w:trPr>
          <w:trHeight w:val="315"/>
        </w:trPr>
        <w:tc>
          <w:tcPr>
            <w:tcW w:w="2503" w:type="pct"/>
            <w:tcBorders>
              <w:top w:val="single" w:sz="4" w:space="0" w:color="auto"/>
            </w:tcBorders>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 </w:t>
            </w:r>
          </w:p>
        </w:tc>
        <w:tc>
          <w:tcPr>
            <w:tcW w:w="1249" w:type="pct"/>
            <w:tcBorders>
              <w:top w:val="single" w:sz="4" w:space="0" w:color="auto"/>
            </w:tcBorders>
            <w:noWrap/>
            <w:hideMark/>
          </w:tcPr>
          <w:p w:rsidR="007A0E16" w:rsidRPr="00D14168" w:rsidRDefault="007A0E16" w:rsidP="00834733">
            <w:pPr>
              <w:jc w:val="center"/>
              <w:rPr>
                <w:rFonts w:ascii="Garamond" w:eastAsia="Book Antiqua" w:hAnsi="Garamond" w:cs="Book Antiqua"/>
                <w:b/>
                <w:bCs/>
                <w:sz w:val="18"/>
                <w:szCs w:val="18"/>
              </w:rPr>
            </w:pPr>
            <w:r w:rsidRPr="00D14168">
              <w:rPr>
                <w:rFonts w:ascii="Garamond" w:eastAsia="Book Antiqua" w:hAnsi="Garamond" w:cs="Book Antiqua"/>
                <w:b/>
                <w:bCs/>
                <w:sz w:val="18"/>
                <w:szCs w:val="18"/>
              </w:rPr>
              <w:t>3</w:t>
            </w:r>
            <w:r w:rsidRPr="00D14168">
              <w:rPr>
                <w:rFonts w:ascii="Garamond" w:eastAsia="Book Antiqua" w:hAnsi="Garamond" w:cs="Book Antiqua"/>
                <w:b/>
                <w:bCs/>
                <w:sz w:val="18"/>
                <w:szCs w:val="18"/>
                <w:vertAlign w:val="superscript"/>
              </w:rPr>
              <w:t>ème</w:t>
            </w:r>
            <w:r w:rsidRPr="00D14168">
              <w:rPr>
                <w:rFonts w:ascii="Garamond" w:eastAsia="Book Antiqua" w:hAnsi="Garamond" w:cs="Book Antiqua"/>
                <w:b/>
                <w:bCs/>
                <w:sz w:val="18"/>
                <w:szCs w:val="18"/>
              </w:rPr>
              <w:t xml:space="preserve"> trimestre </w:t>
            </w:r>
            <w:r>
              <w:rPr>
                <w:rFonts w:ascii="Garamond" w:eastAsia="Book Antiqua" w:hAnsi="Garamond" w:cs="Book Antiqua"/>
                <w:b/>
                <w:bCs/>
                <w:sz w:val="18"/>
                <w:szCs w:val="18"/>
              </w:rPr>
              <w:t xml:space="preserve">de </w:t>
            </w:r>
            <w:r w:rsidRPr="00D14168">
              <w:rPr>
                <w:rFonts w:ascii="Garamond" w:eastAsia="Book Antiqua" w:hAnsi="Garamond" w:cs="Book Antiqua"/>
                <w:b/>
                <w:bCs/>
                <w:sz w:val="18"/>
                <w:szCs w:val="18"/>
              </w:rPr>
              <w:t>2019</w:t>
            </w:r>
          </w:p>
        </w:tc>
        <w:tc>
          <w:tcPr>
            <w:tcW w:w="1248" w:type="pct"/>
            <w:tcBorders>
              <w:top w:val="single" w:sz="4" w:space="0" w:color="auto"/>
            </w:tcBorders>
            <w:noWrap/>
            <w:hideMark/>
          </w:tcPr>
          <w:p w:rsidR="007A0E16" w:rsidRPr="00D14168" w:rsidRDefault="007A0E16" w:rsidP="00834733">
            <w:pPr>
              <w:jc w:val="center"/>
              <w:rPr>
                <w:rFonts w:ascii="Garamond" w:eastAsia="Book Antiqua" w:hAnsi="Garamond" w:cs="Book Antiqua"/>
                <w:b/>
                <w:bCs/>
                <w:sz w:val="18"/>
                <w:szCs w:val="18"/>
              </w:rPr>
            </w:pPr>
            <w:r w:rsidRPr="00D14168">
              <w:rPr>
                <w:rFonts w:ascii="Garamond" w:eastAsia="Book Antiqua" w:hAnsi="Garamond" w:cs="Book Antiqua"/>
                <w:b/>
                <w:bCs/>
                <w:sz w:val="18"/>
                <w:szCs w:val="18"/>
              </w:rPr>
              <w:t>3</w:t>
            </w:r>
            <w:r w:rsidRPr="00D14168">
              <w:rPr>
                <w:rFonts w:ascii="Garamond" w:eastAsia="Book Antiqua" w:hAnsi="Garamond" w:cs="Book Antiqua"/>
                <w:b/>
                <w:bCs/>
                <w:sz w:val="18"/>
                <w:szCs w:val="18"/>
                <w:vertAlign w:val="superscript"/>
              </w:rPr>
              <w:t>ème</w:t>
            </w:r>
            <w:r>
              <w:rPr>
                <w:rFonts w:ascii="Garamond" w:eastAsia="Book Antiqua" w:hAnsi="Garamond" w:cs="Book Antiqua"/>
                <w:b/>
                <w:bCs/>
                <w:sz w:val="18"/>
                <w:szCs w:val="18"/>
              </w:rPr>
              <w:t xml:space="preserve"> trimestre de 2020</w:t>
            </w:r>
          </w:p>
        </w:tc>
      </w:tr>
      <w:tr w:rsidR="007A0E16" w:rsidRPr="002900EE" w:rsidTr="00834733">
        <w:trPr>
          <w:trHeight w:val="315"/>
        </w:trPr>
        <w:tc>
          <w:tcPr>
            <w:tcW w:w="5000" w:type="pct"/>
            <w:gridSpan w:val="3"/>
            <w:noWrap/>
            <w:hideMark/>
          </w:tcPr>
          <w:p w:rsidR="007A0E16" w:rsidRPr="007A0E16" w:rsidRDefault="007A0E16" w:rsidP="00834733">
            <w:pPr>
              <w:spacing w:line="276" w:lineRule="auto"/>
              <w:rPr>
                <w:rFonts w:ascii="Garamond" w:eastAsia="Book Antiqua" w:hAnsi="Garamond" w:cs="Book Antiqua"/>
                <w:b/>
                <w:bCs/>
                <w:color w:val="0070C0"/>
                <w:sz w:val="18"/>
                <w:szCs w:val="18"/>
              </w:rPr>
            </w:pPr>
            <w:r w:rsidRPr="007A0E16">
              <w:rPr>
                <w:rFonts w:ascii="Garamond" w:hAnsi="Garamond"/>
                <w:b/>
                <w:bCs/>
                <w:color w:val="0070C0"/>
                <w:sz w:val="18"/>
                <w:szCs w:val="18"/>
              </w:rPr>
              <w:t>Taux d'activité (des 15 ans ou plus)</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Tanger-Tétouan-Al Hoceïma</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45,0</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45,2</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Oriental</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41,7</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41,0</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Fès-Meknès</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42,2</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41,5</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Rabat-Salé-Kénitra</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43,8</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42,4</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Béni Mellal-Khénifra</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44,8</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44,0</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Casablanca-Settat</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49,2</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46,3</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Marrakech-Safi</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46,7</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45,6</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Drâa-Tafilalet</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40,4</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37,7</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Souss-Massa</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42,1</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40,0</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Régions du Sud</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45,5</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43,2</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b/>
                <w:bCs/>
                <w:sz w:val="18"/>
                <w:szCs w:val="18"/>
              </w:rPr>
            </w:pPr>
            <w:r w:rsidRPr="00D14168">
              <w:rPr>
                <w:rFonts w:ascii="Garamond" w:eastAsia="Book Antiqua" w:hAnsi="Garamond" w:cs="Book Antiqua"/>
                <w:b/>
                <w:bCs/>
                <w:sz w:val="18"/>
                <w:szCs w:val="18"/>
              </w:rPr>
              <w:t>Ensemble</w:t>
            </w:r>
          </w:p>
        </w:tc>
        <w:tc>
          <w:tcPr>
            <w:tcW w:w="1249" w:type="pct"/>
            <w:noWrap/>
            <w:hideMark/>
          </w:tcPr>
          <w:p w:rsidR="007A0E16" w:rsidRPr="00D14168" w:rsidRDefault="007A0E16" w:rsidP="00834733">
            <w:pPr>
              <w:jc w:val="center"/>
              <w:rPr>
                <w:rFonts w:ascii="Garamond" w:eastAsia="Book Antiqua" w:hAnsi="Garamond" w:cs="Book Antiqua"/>
                <w:b/>
                <w:bCs/>
                <w:sz w:val="18"/>
                <w:szCs w:val="18"/>
              </w:rPr>
            </w:pPr>
            <w:r w:rsidRPr="00D14168">
              <w:rPr>
                <w:rFonts w:ascii="Garamond" w:eastAsia="Book Antiqua" w:hAnsi="Garamond" w:cs="Book Antiqua"/>
                <w:b/>
                <w:bCs/>
                <w:sz w:val="18"/>
                <w:szCs w:val="18"/>
              </w:rPr>
              <w:t>44,9</w:t>
            </w:r>
          </w:p>
        </w:tc>
        <w:tc>
          <w:tcPr>
            <w:tcW w:w="1248" w:type="pct"/>
            <w:noWrap/>
            <w:hideMark/>
          </w:tcPr>
          <w:p w:rsidR="007A0E16" w:rsidRPr="00D14168" w:rsidRDefault="007A0E16" w:rsidP="00834733">
            <w:pPr>
              <w:jc w:val="center"/>
              <w:rPr>
                <w:rFonts w:ascii="Garamond" w:eastAsia="Book Antiqua" w:hAnsi="Garamond" w:cs="Book Antiqua"/>
                <w:b/>
                <w:bCs/>
                <w:sz w:val="18"/>
                <w:szCs w:val="18"/>
              </w:rPr>
            </w:pPr>
            <w:r w:rsidRPr="00D14168">
              <w:rPr>
                <w:rFonts w:ascii="Garamond" w:eastAsia="Book Antiqua" w:hAnsi="Garamond" w:cs="Book Antiqua"/>
                <w:b/>
                <w:bCs/>
                <w:sz w:val="18"/>
                <w:szCs w:val="18"/>
              </w:rPr>
              <w:t>43,5</w:t>
            </w:r>
          </w:p>
        </w:tc>
      </w:tr>
      <w:tr w:rsidR="007A0E16" w:rsidRPr="002900EE" w:rsidTr="00834733">
        <w:trPr>
          <w:trHeight w:val="315"/>
        </w:trPr>
        <w:tc>
          <w:tcPr>
            <w:tcW w:w="5000" w:type="pct"/>
            <w:gridSpan w:val="3"/>
            <w:noWrap/>
            <w:hideMark/>
          </w:tcPr>
          <w:p w:rsidR="007A0E16" w:rsidRPr="007A0E16" w:rsidRDefault="007A0E16" w:rsidP="00834733">
            <w:pPr>
              <w:spacing w:line="276" w:lineRule="auto"/>
              <w:rPr>
                <w:rFonts w:ascii="Garamond" w:eastAsia="Book Antiqua" w:hAnsi="Garamond" w:cs="Book Antiqua"/>
                <w:b/>
                <w:bCs/>
                <w:color w:val="0070C0"/>
                <w:sz w:val="18"/>
                <w:szCs w:val="18"/>
              </w:rPr>
            </w:pPr>
            <w:r w:rsidRPr="007A0E16">
              <w:rPr>
                <w:rFonts w:ascii="Garamond" w:hAnsi="Garamond"/>
                <w:b/>
                <w:bCs/>
                <w:color w:val="0070C0"/>
                <w:sz w:val="18"/>
                <w:szCs w:val="18"/>
              </w:rPr>
              <w:t>Taux d'emploi (des 15 ans ou plus)</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Tanger-Tétouan-Al Hoceïma</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40,0</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39,6</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Oriental</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35,8</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32,3</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Fès-Meknès</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38,9</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36,2</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Rabat-Salé-Kénitra</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39,5</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37,0</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Béni Mellal-Khénifra</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42,7</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41,4</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Casablanca-Settat</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44,4</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39,5</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Marrakech-Safi</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43,7</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42,0</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Drâa-Tafilalet</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37,0</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32,4</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Souss-Massa</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37,2</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35,2</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Régions du Sud</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38,4</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34,8</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b/>
                <w:bCs/>
                <w:sz w:val="18"/>
                <w:szCs w:val="18"/>
              </w:rPr>
            </w:pPr>
            <w:r w:rsidRPr="00D14168">
              <w:rPr>
                <w:rFonts w:ascii="Garamond" w:eastAsia="Book Antiqua" w:hAnsi="Garamond" w:cs="Book Antiqua"/>
                <w:b/>
                <w:bCs/>
                <w:sz w:val="18"/>
                <w:szCs w:val="18"/>
              </w:rPr>
              <w:t>Ensemble</w:t>
            </w:r>
          </w:p>
        </w:tc>
        <w:tc>
          <w:tcPr>
            <w:tcW w:w="1249" w:type="pct"/>
            <w:noWrap/>
            <w:hideMark/>
          </w:tcPr>
          <w:p w:rsidR="007A0E16" w:rsidRPr="00D14168" w:rsidRDefault="007A0E16" w:rsidP="00834733">
            <w:pPr>
              <w:jc w:val="center"/>
              <w:rPr>
                <w:rFonts w:ascii="Garamond" w:eastAsia="Book Antiqua" w:hAnsi="Garamond" w:cs="Book Antiqua"/>
                <w:b/>
                <w:bCs/>
                <w:sz w:val="18"/>
                <w:szCs w:val="18"/>
              </w:rPr>
            </w:pPr>
            <w:r w:rsidRPr="00D14168">
              <w:rPr>
                <w:rFonts w:ascii="Garamond" w:eastAsia="Book Antiqua" w:hAnsi="Garamond" w:cs="Book Antiqua"/>
                <w:b/>
                <w:bCs/>
                <w:sz w:val="18"/>
                <w:szCs w:val="18"/>
              </w:rPr>
              <w:t>40,7</w:t>
            </w:r>
          </w:p>
        </w:tc>
        <w:tc>
          <w:tcPr>
            <w:tcW w:w="1248" w:type="pct"/>
            <w:noWrap/>
            <w:hideMark/>
          </w:tcPr>
          <w:p w:rsidR="007A0E16" w:rsidRPr="00D14168" w:rsidRDefault="007A0E16" w:rsidP="00834733">
            <w:pPr>
              <w:jc w:val="center"/>
              <w:rPr>
                <w:rFonts w:ascii="Garamond" w:eastAsia="Book Antiqua" w:hAnsi="Garamond" w:cs="Book Antiqua"/>
                <w:b/>
                <w:bCs/>
                <w:sz w:val="18"/>
                <w:szCs w:val="18"/>
              </w:rPr>
            </w:pPr>
            <w:r w:rsidRPr="00D14168">
              <w:rPr>
                <w:rFonts w:ascii="Garamond" w:eastAsia="Book Antiqua" w:hAnsi="Garamond" w:cs="Book Antiqua"/>
                <w:b/>
                <w:bCs/>
                <w:sz w:val="18"/>
                <w:szCs w:val="18"/>
              </w:rPr>
              <w:t>37,9</w:t>
            </w:r>
          </w:p>
        </w:tc>
      </w:tr>
      <w:tr w:rsidR="007A0E16" w:rsidRPr="002900EE" w:rsidTr="00834733">
        <w:trPr>
          <w:trHeight w:val="315"/>
        </w:trPr>
        <w:tc>
          <w:tcPr>
            <w:tcW w:w="5000" w:type="pct"/>
            <w:gridSpan w:val="3"/>
            <w:noWrap/>
            <w:hideMark/>
          </w:tcPr>
          <w:p w:rsidR="007A0E16" w:rsidRPr="00D14168" w:rsidRDefault="007A0E16" w:rsidP="00834733">
            <w:pPr>
              <w:spacing w:line="276" w:lineRule="auto"/>
              <w:rPr>
                <w:rFonts w:ascii="Garamond" w:eastAsia="Book Antiqua" w:hAnsi="Garamond" w:cs="Book Antiqua"/>
                <w:b/>
                <w:bCs/>
                <w:sz w:val="18"/>
                <w:szCs w:val="18"/>
              </w:rPr>
            </w:pPr>
            <w:r w:rsidRPr="007A0E16">
              <w:rPr>
                <w:rFonts w:ascii="Garamond" w:hAnsi="Garamond"/>
                <w:b/>
                <w:bCs/>
                <w:color w:val="0070C0"/>
                <w:sz w:val="18"/>
                <w:szCs w:val="18"/>
              </w:rPr>
              <w:t>Taux de chômage</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Tanger-Tétouan-Al Hoceïma</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11,2</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12,3</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Oriental</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14,2</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21,2</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Fès-Meknès</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7,7</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12,9</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Rabat-Salé-Kénitra</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9,8</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12,7</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Béni Mellal-Khénifra</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4,7</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5,9</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Casablanca-Settat</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9,8</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14,7</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Marrakech-Safi</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6,3</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7,8</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Drâa-Tafilalet</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8,2</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14,0</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Souss-Massa</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11,7</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12,2</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sz w:val="18"/>
                <w:szCs w:val="18"/>
              </w:rPr>
            </w:pPr>
            <w:r w:rsidRPr="00D14168">
              <w:rPr>
                <w:rFonts w:ascii="Garamond" w:eastAsia="Book Antiqua" w:hAnsi="Garamond" w:cs="Book Antiqua"/>
                <w:sz w:val="18"/>
                <w:szCs w:val="18"/>
              </w:rPr>
              <w:t>Régions du Sud</w:t>
            </w:r>
          </w:p>
        </w:tc>
        <w:tc>
          <w:tcPr>
            <w:tcW w:w="1249"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15,5</w:t>
            </w:r>
          </w:p>
        </w:tc>
        <w:tc>
          <w:tcPr>
            <w:tcW w:w="1248" w:type="pct"/>
            <w:noWrap/>
            <w:hideMark/>
          </w:tcPr>
          <w:p w:rsidR="007A0E16" w:rsidRPr="00D14168" w:rsidRDefault="007A0E16" w:rsidP="00834733">
            <w:pPr>
              <w:jc w:val="center"/>
              <w:rPr>
                <w:rFonts w:ascii="Garamond" w:eastAsia="Book Antiqua" w:hAnsi="Garamond" w:cs="Book Antiqua"/>
                <w:sz w:val="18"/>
                <w:szCs w:val="18"/>
              </w:rPr>
            </w:pPr>
            <w:r w:rsidRPr="00D14168">
              <w:rPr>
                <w:rFonts w:ascii="Garamond" w:eastAsia="Book Antiqua" w:hAnsi="Garamond" w:cs="Book Antiqua"/>
                <w:sz w:val="18"/>
                <w:szCs w:val="18"/>
              </w:rPr>
              <w:t>19,6</w:t>
            </w:r>
          </w:p>
        </w:tc>
      </w:tr>
      <w:tr w:rsidR="007A0E16" w:rsidRPr="002900EE" w:rsidTr="00834733">
        <w:trPr>
          <w:trHeight w:val="315"/>
        </w:trPr>
        <w:tc>
          <w:tcPr>
            <w:tcW w:w="2503" w:type="pct"/>
            <w:noWrap/>
            <w:hideMark/>
          </w:tcPr>
          <w:p w:rsidR="007A0E16" w:rsidRPr="00D14168" w:rsidRDefault="007A0E16" w:rsidP="00834733">
            <w:pPr>
              <w:rPr>
                <w:rFonts w:ascii="Garamond" w:eastAsia="Book Antiqua" w:hAnsi="Garamond" w:cs="Book Antiqua"/>
                <w:b/>
                <w:bCs/>
                <w:sz w:val="18"/>
                <w:szCs w:val="18"/>
              </w:rPr>
            </w:pPr>
            <w:r w:rsidRPr="00D14168">
              <w:rPr>
                <w:rFonts w:ascii="Garamond" w:eastAsia="Book Antiqua" w:hAnsi="Garamond" w:cs="Book Antiqua"/>
                <w:b/>
                <w:bCs/>
                <w:sz w:val="18"/>
                <w:szCs w:val="18"/>
              </w:rPr>
              <w:t>Ensemble</w:t>
            </w:r>
          </w:p>
        </w:tc>
        <w:tc>
          <w:tcPr>
            <w:tcW w:w="1249" w:type="pct"/>
            <w:noWrap/>
            <w:hideMark/>
          </w:tcPr>
          <w:p w:rsidR="007A0E16" w:rsidRPr="00D14168" w:rsidRDefault="007A0E16" w:rsidP="00834733">
            <w:pPr>
              <w:jc w:val="center"/>
              <w:rPr>
                <w:rFonts w:ascii="Garamond" w:eastAsia="Book Antiqua" w:hAnsi="Garamond" w:cs="Book Antiqua"/>
                <w:b/>
                <w:bCs/>
                <w:sz w:val="18"/>
                <w:szCs w:val="18"/>
              </w:rPr>
            </w:pPr>
            <w:r w:rsidRPr="00D14168">
              <w:rPr>
                <w:rFonts w:ascii="Garamond" w:eastAsia="Book Antiqua" w:hAnsi="Garamond" w:cs="Book Antiqua"/>
                <w:b/>
                <w:bCs/>
                <w:sz w:val="18"/>
                <w:szCs w:val="18"/>
              </w:rPr>
              <w:t>9,4</w:t>
            </w:r>
          </w:p>
        </w:tc>
        <w:tc>
          <w:tcPr>
            <w:tcW w:w="1248" w:type="pct"/>
            <w:noWrap/>
            <w:hideMark/>
          </w:tcPr>
          <w:p w:rsidR="007A0E16" w:rsidRPr="00D14168" w:rsidRDefault="007A0E16" w:rsidP="00834733">
            <w:pPr>
              <w:jc w:val="center"/>
              <w:rPr>
                <w:rFonts w:ascii="Garamond" w:eastAsia="Book Antiqua" w:hAnsi="Garamond" w:cs="Book Antiqua"/>
                <w:b/>
                <w:bCs/>
                <w:sz w:val="18"/>
                <w:szCs w:val="18"/>
              </w:rPr>
            </w:pPr>
            <w:r w:rsidRPr="00D14168">
              <w:rPr>
                <w:rFonts w:ascii="Garamond" w:eastAsia="Book Antiqua" w:hAnsi="Garamond" w:cs="Book Antiqua"/>
                <w:b/>
                <w:bCs/>
                <w:sz w:val="18"/>
                <w:szCs w:val="18"/>
              </w:rPr>
              <w:t>12,7</w:t>
            </w:r>
          </w:p>
        </w:tc>
      </w:tr>
    </w:tbl>
    <w:p w:rsidR="007A0E16" w:rsidRDefault="007A0E16" w:rsidP="007A0E16">
      <w:pPr>
        <w:tabs>
          <w:tab w:val="left" w:pos="-720"/>
        </w:tabs>
        <w:suppressAutoHyphens/>
        <w:spacing w:after="160" w:line="259" w:lineRule="auto"/>
        <w:contextualSpacing/>
        <w:jc w:val="both"/>
        <w:rPr>
          <w:rFonts w:ascii="Times New Roman" w:eastAsia="Calibri" w:hAnsi="Times New Roman" w:cs="Times New Roman"/>
          <w:color w:val="222222"/>
          <w:sz w:val="20"/>
          <w:szCs w:val="20"/>
          <w:shd w:val="clear" w:color="auto" w:fill="FFFFFF"/>
          <w:lang w:eastAsia="en-US"/>
        </w:rPr>
      </w:pPr>
    </w:p>
    <w:sectPr w:rsidR="007A0E16" w:rsidSect="004B724C">
      <w:footerReference w:type="default" r:id="rId15"/>
      <w:pgSz w:w="11909" w:h="16834"/>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8C0" w:rsidRDefault="00D068C0">
      <w:pPr>
        <w:spacing w:line="240" w:lineRule="auto"/>
      </w:pPr>
      <w:r>
        <w:separator/>
      </w:r>
    </w:p>
  </w:endnote>
  <w:endnote w:type="continuationSeparator" w:id="0">
    <w:p w:rsidR="00D068C0" w:rsidRDefault="00D068C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rowallia New">
    <w:altName w:val="Arial Unicode MS"/>
    <w:panose1 w:val="020B06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622249"/>
      <w:docPartObj>
        <w:docPartGallery w:val="Page Numbers (Bottom of Page)"/>
        <w:docPartUnique/>
      </w:docPartObj>
    </w:sdtPr>
    <w:sdtEndPr>
      <w:rPr>
        <w:noProof/>
      </w:rPr>
    </w:sdtEndPr>
    <w:sdtContent>
      <w:p w:rsidR="00293055" w:rsidRDefault="00004A90">
        <w:pPr>
          <w:pStyle w:val="Pieddepage"/>
          <w:jc w:val="center"/>
        </w:pPr>
        <w:r>
          <w:fldChar w:fldCharType="begin"/>
        </w:r>
        <w:r w:rsidR="00293055">
          <w:instrText xml:space="preserve"> PAGE   \* MERGEFORMAT </w:instrText>
        </w:r>
        <w:r>
          <w:fldChar w:fldCharType="separate"/>
        </w:r>
        <w:r w:rsidR="00673F2C">
          <w:rPr>
            <w:noProof/>
          </w:rPr>
          <w:t>1</w:t>
        </w:r>
        <w:r>
          <w:rPr>
            <w:noProof/>
          </w:rPr>
          <w:fldChar w:fldCharType="end"/>
        </w:r>
      </w:p>
    </w:sdtContent>
  </w:sdt>
  <w:p w:rsidR="00293055" w:rsidRDefault="00293055">
    <w:pPr>
      <w:spacing w:before="240" w:after="24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8C0" w:rsidRDefault="00D068C0">
      <w:pPr>
        <w:spacing w:line="240" w:lineRule="auto"/>
      </w:pPr>
      <w:r>
        <w:separator/>
      </w:r>
    </w:p>
  </w:footnote>
  <w:footnote w:type="continuationSeparator" w:id="0">
    <w:p w:rsidR="00D068C0" w:rsidRDefault="00D068C0">
      <w:pPr>
        <w:spacing w:line="240" w:lineRule="auto"/>
      </w:pPr>
      <w:r>
        <w:continuationSeparator/>
      </w:r>
    </w:p>
  </w:footnote>
  <w:footnote w:id="1">
    <w:p w:rsidR="00293055" w:rsidRDefault="00293055">
      <w:pPr>
        <w:pStyle w:val="Notedebasdepage"/>
      </w:pPr>
      <w:r>
        <w:rPr>
          <w:rStyle w:val="Appelnotedebasdep"/>
        </w:rPr>
        <w:footnoteRef/>
      </w:r>
      <w:r w:rsidRPr="00B84F3C">
        <w:rPr>
          <w:sz w:val="14"/>
          <w:szCs w:val="14"/>
        </w:rPr>
        <w:t>L’écart entre la baisse d’emploi au niveau global et par secteurs concerne les activités mal ou non désignées</w:t>
      </w:r>
    </w:p>
  </w:footnote>
  <w:footnote w:id="2">
    <w:p w:rsidR="00293055" w:rsidRPr="00A821C8" w:rsidRDefault="00293055" w:rsidP="00316D51">
      <w:pPr>
        <w:spacing w:before="240" w:after="240"/>
        <w:jc w:val="both"/>
        <w:rPr>
          <w:rFonts w:ascii="Book Antiqua" w:eastAsia="Book Antiqua" w:hAnsi="Book Antiqua" w:cs="Book Antiqua"/>
          <w:sz w:val="16"/>
          <w:szCs w:val="16"/>
        </w:rPr>
      </w:pPr>
      <w:r>
        <w:rPr>
          <w:rStyle w:val="Appelnotedebasdep"/>
        </w:rPr>
        <w:footnoteRef/>
      </w:r>
      <w:r w:rsidRPr="00A821C8">
        <w:rPr>
          <w:rFonts w:ascii="Book Antiqua" w:eastAsia="Book Antiqua" w:hAnsi="Book Antiqua" w:cs="Book Antiqua"/>
          <w:sz w:val="16"/>
          <w:szCs w:val="16"/>
        </w:rPr>
        <w:t>Conformément aux recommandations du BIT, le sous-emploi est constitué, selon l’approche de l’Enquête nationale sur l’emploi, de deux composantes, la première liée au nombre d’heures travaillées et la deuxième à l’insuffisance du revenu ou à l’inadéquation entre la formation et l’emploi exercé.</w:t>
      </w:r>
    </w:p>
    <w:p w:rsidR="00293055" w:rsidRDefault="00293055" w:rsidP="00316D51">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B32F5"/>
    <w:multiLevelType w:val="hybridMultilevel"/>
    <w:tmpl w:val="BEE4AB88"/>
    <w:lvl w:ilvl="0" w:tplc="F6E07AF0">
      <w:start w:val="1"/>
      <w:numFmt w:val="upperRoman"/>
      <w:lvlText w:val="%1."/>
      <w:lvlJc w:val="left"/>
      <w:pPr>
        <w:ind w:left="1080" w:hanging="720"/>
      </w:pPr>
      <w:rPr>
        <w:rFonts w:hint="default"/>
        <w:color w:val="1F386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1D10B73"/>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2567B4F"/>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CC05D92"/>
    <w:multiLevelType w:val="hybridMultilevel"/>
    <w:tmpl w:val="ADBCB5E0"/>
    <w:lvl w:ilvl="0" w:tplc="DDF0E0AA">
      <w:start w:val="1"/>
      <w:numFmt w:val="upperRoman"/>
      <w:lvlText w:val="%1."/>
      <w:lvlJc w:val="left"/>
      <w:pPr>
        <w:ind w:left="720" w:hanging="720"/>
      </w:pPr>
      <w:rPr>
        <w:rFonts w:hint="default"/>
        <w:i w:val="0"/>
        <w:iCs w:val="0"/>
        <w:color w:val="0070C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6E003AE9"/>
    <w:multiLevelType w:val="hybridMultilevel"/>
    <w:tmpl w:val="5AE69128"/>
    <w:lvl w:ilvl="0" w:tplc="DB90BE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characterSpacingControl w:val="doNotCompress"/>
  <w:footnotePr>
    <w:footnote w:id="-1"/>
    <w:footnote w:id="0"/>
  </w:footnotePr>
  <w:endnotePr>
    <w:endnote w:id="-1"/>
    <w:endnote w:id="0"/>
  </w:endnotePr>
  <w:compat/>
  <w:rsids>
    <w:rsidRoot w:val="00AD230E"/>
    <w:rsid w:val="00004631"/>
    <w:rsid w:val="00004A90"/>
    <w:rsid w:val="00034A6E"/>
    <w:rsid w:val="00062590"/>
    <w:rsid w:val="00067D07"/>
    <w:rsid w:val="00077996"/>
    <w:rsid w:val="00091AF6"/>
    <w:rsid w:val="00097E88"/>
    <w:rsid w:val="000B69AD"/>
    <w:rsid w:val="00165788"/>
    <w:rsid w:val="00174E1E"/>
    <w:rsid w:val="001A300F"/>
    <w:rsid w:val="001B4F8B"/>
    <w:rsid w:val="001E3D7A"/>
    <w:rsid w:val="002234FC"/>
    <w:rsid w:val="00262399"/>
    <w:rsid w:val="00273F99"/>
    <w:rsid w:val="002900EE"/>
    <w:rsid w:val="00293055"/>
    <w:rsid w:val="00316D51"/>
    <w:rsid w:val="00337DFF"/>
    <w:rsid w:val="00353C4E"/>
    <w:rsid w:val="00362716"/>
    <w:rsid w:val="00394322"/>
    <w:rsid w:val="003A6F65"/>
    <w:rsid w:val="003B0CC2"/>
    <w:rsid w:val="003D03B0"/>
    <w:rsid w:val="003D1D48"/>
    <w:rsid w:val="003D6A78"/>
    <w:rsid w:val="0041574F"/>
    <w:rsid w:val="0041763C"/>
    <w:rsid w:val="00421AE0"/>
    <w:rsid w:val="00427434"/>
    <w:rsid w:val="00442D13"/>
    <w:rsid w:val="00444563"/>
    <w:rsid w:val="00445590"/>
    <w:rsid w:val="004602A5"/>
    <w:rsid w:val="00483427"/>
    <w:rsid w:val="00490D10"/>
    <w:rsid w:val="004B724C"/>
    <w:rsid w:val="0054373C"/>
    <w:rsid w:val="005524FF"/>
    <w:rsid w:val="00580597"/>
    <w:rsid w:val="005826CA"/>
    <w:rsid w:val="005C72EA"/>
    <w:rsid w:val="005E1071"/>
    <w:rsid w:val="00673F2C"/>
    <w:rsid w:val="0067610A"/>
    <w:rsid w:val="00693025"/>
    <w:rsid w:val="00695586"/>
    <w:rsid w:val="006B36B2"/>
    <w:rsid w:val="006B3FE2"/>
    <w:rsid w:val="006B6D64"/>
    <w:rsid w:val="006D72D4"/>
    <w:rsid w:val="0070793C"/>
    <w:rsid w:val="007233C1"/>
    <w:rsid w:val="00750998"/>
    <w:rsid w:val="007A0E16"/>
    <w:rsid w:val="007A1E65"/>
    <w:rsid w:val="007D7D10"/>
    <w:rsid w:val="007E563F"/>
    <w:rsid w:val="007E5C62"/>
    <w:rsid w:val="007F1A60"/>
    <w:rsid w:val="00850669"/>
    <w:rsid w:val="00873E0F"/>
    <w:rsid w:val="008815E5"/>
    <w:rsid w:val="00882371"/>
    <w:rsid w:val="00903A97"/>
    <w:rsid w:val="00904609"/>
    <w:rsid w:val="00904E9B"/>
    <w:rsid w:val="009126FC"/>
    <w:rsid w:val="009167A6"/>
    <w:rsid w:val="00946B87"/>
    <w:rsid w:val="00970947"/>
    <w:rsid w:val="00975FF2"/>
    <w:rsid w:val="009A518D"/>
    <w:rsid w:val="009B678A"/>
    <w:rsid w:val="009D1207"/>
    <w:rsid w:val="009D3A84"/>
    <w:rsid w:val="00A0085A"/>
    <w:rsid w:val="00A821C8"/>
    <w:rsid w:val="00AA7A86"/>
    <w:rsid w:val="00AB3511"/>
    <w:rsid w:val="00AD230E"/>
    <w:rsid w:val="00B40191"/>
    <w:rsid w:val="00BC5A28"/>
    <w:rsid w:val="00BD3FBF"/>
    <w:rsid w:val="00BD5FDC"/>
    <w:rsid w:val="00BE14B6"/>
    <w:rsid w:val="00CF600A"/>
    <w:rsid w:val="00D068C0"/>
    <w:rsid w:val="00D14168"/>
    <w:rsid w:val="00D225EC"/>
    <w:rsid w:val="00D4257D"/>
    <w:rsid w:val="00D56E96"/>
    <w:rsid w:val="00DA2A9E"/>
    <w:rsid w:val="00DB3BCC"/>
    <w:rsid w:val="00DC3749"/>
    <w:rsid w:val="00DD6F1F"/>
    <w:rsid w:val="00E017C9"/>
    <w:rsid w:val="00E1454F"/>
    <w:rsid w:val="00E276F1"/>
    <w:rsid w:val="00E537B1"/>
    <w:rsid w:val="00EA3D9C"/>
    <w:rsid w:val="00EB69A3"/>
    <w:rsid w:val="00EC3B70"/>
    <w:rsid w:val="00EF27A3"/>
    <w:rsid w:val="00F20B03"/>
    <w:rsid w:val="00F23F88"/>
    <w:rsid w:val="00F278A0"/>
    <w:rsid w:val="00F27B5B"/>
    <w:rsid w:val="00F60B2E"/>
    <w:rsid w:val="00F7064B"/>
    <w:rsid w:val="00F775EC"/>
    <w:rsid w:val="00FC2459"/>
    <w:rsid w:val="00FE24B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4C"/>
  </w:style>
  <w:style w:type="paragraph" w:styleId="Titre1">
    <w:name w:val="heading 1"/>
    <w:basedOn w:val="Normal"/>
    <w:next w:val="Normal"/>
    <w:link w:val="Titre1Car"/>
    <w:uiPriority w:val="9"/>
    <w:qFormat/>
    <w:rsid w:val="004B724C"/>
    <w:pPr>
      <w:keepNext/>
      <w:keepLines/>
      <w:spacing w:before="400" w:after="120"/>
      <w:outlineLvl w:val="0"/>
    </w:pPr>
    <w:rPr>
      <w:sz w:val="40"/>
      <w:szCs w:val="40"/>
    </w:rPr>
  </w:style>
  <w:style w:type="paragraph" w:styleId="Titre2">
    <w:name w:val="heading 2"/>
    <w:basedOn w:val="Normal"/>
    <w:next w:val="Normal"/>
    <w:uiPriority w:val="9"/>
    <w:semiHidden/>
    <w:unhideWhenUsed/>
    <w:qFormat/>
    <w:rsid w:val="004B724C"/>
    <w:pPr>
      <w:keepNext/>
      <w:keepLines/>
      <w:spacing w:before="360" w:after="120"/>
      <w:outlineLvl w:val="1"/>
    </w:pPr>
    <w:rPr>
      <w:sz w:val="32"/>
      <w:szCs w:val="32"/>
    </w:rPr>
  </w:style>
  <w:style w:type="paragraph" w:styleId="Titre3">
    <w:name w:val="heading 3"/>
    <w:basedOn w:val="Normal"/>
    <w:next w:val="Normal"/>
    <w:uiPriority w:val="9"/>
    <w:semiHidden/>
    <w:unhideWhenUsed/>
    <w:qFormat/>
    <w:rsid w:val="004B724C"/>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rsid w:val="004B724C"/>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rsid w:val="004B724C"/>
    <w:pPr>
      <w:keepNext/>
      <w:keepLines/>
      <w:spacing w:before="240" w:after="80"/>
      <w:outlineLvl w:val="4"/>
    </w:pPr>
    <w:rPr>
      <w:color w:val="666666"/>
    </w:rPr>
  </w:style>
  <w:style w:type="paragraph" w:styleId="Titre6">
    <w:name w:val="heading 6"/>
    <w:basedOn w:val="Normal"/>
    <w:next w:val="Normal"/>
    <w:uiPriority w:val="9"/>
    <w:semiHidden/>
    <w:unhideWhenUsed/>
    <w:qFormat/>
    <w:rsid w:val="004B724C"/>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rsid w:val="004B724C"/>
    <w:pPr>
      <w:keepNext/>
      <w:keepLines/>
      <w:spacing w:after="60"/>
    </w:pPr>
    <w:rPr>
      <w:sz w:val="52"/>
      <w:szCs w:val="52"/>
    </w:rPr>
  </w:style>
  <w:style w:type="paragraph" w:styleId="Sous-titre">
    <w:name w:val="Subtitle"/>
    <w:basedOn w:val="Normal"/>
    <w:next w:val="Normal"/>
    <w:uiPriority w:val="11"/>
    <w:qFormat/>
    <w:rsid w:val="004B724C"/>
    <w:pPr>
      <w:keepNext/>
      <w:keepLines/>
      <w:spacing w:after="320"/>
    </w:pPr>
    <w:rPr>
      <w:color w:val="666666"/>
      <w:sz w:val="30"/>
      <w:szCs w:val="30"/>
    </w:rPr>
  </w:style>
  <w:style w:type="paragraph" w:styleId="Textedebulles">
    <w:name w:val="Balloon Text"/>
    <w:basedOn w:val="Normal"/>
    <w:link w:val="TextedebullesCar"/>
    <w:uiPriority w:val="99"/>
    <w:semiHidden/>
    <w:unhideWhenUsed/>
    <w:rsid w:val="001B4F8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4F8B"/>
    <w:rPr>
      <w:rFonts w:ascii="Tahoma" w:hAnsi="Tahoma" w:cs="Tahoma"/>
      <w:sz w:val="16"/>
      <w:szCs w:val="16"/>
    </w:rPr>
  </w:style>
  <w:style w:type="paragraph" w:styleId="Paragraphedeliste">
    <w:name w:val="List Paragraph"/>
    <w:basedOn w:val="Normal"/>
    <w:uiPriority w:val="34"/>
    <w:qFormat/>
    <w:rsid w:val="009D3A84"/>
    <w:pPr>
      <w:ind w:left="720"/>
      <w:contextualSpacing/>
    </w:pPr>
  </w:style>
  <w:style w:type="paragraph" w:customStyle="1" w:styleId="MMTopic1">
    <w:name w:val="MM Topic 1"/>
    <w:basedOn w:val="Titre1"/>
    <w:rsid w:val="00873E0F"/>
    <w:pPr>
      <w:numPr>
        <w:numId w:val="2"/>
      </w:numPr>
      <w:spacing w:before="240" w:after="0" w:line="259" w:lineRule="auto"/>
    </w:pPr>
    <w:rPr>
      <w:rFonts w:asciiTheme="majorHAnsi" w:eastAsiaTheme="majorEastAsia" w:hAnsiTheme="majorHAnsi" w:cstheme="majorBidi"/>
      <w:color w:val="365F91" w:themeColor="accent1" w:themeShade="BF"/>
      <w:sz w:val="32"/>
      <w:szCs w:val="32"/>
      <w:lang w:eastAsia="en-US"/>
    </w:rPr>
  </w:style>
  <w:style w:type="paragraph" w:customStyle="1" w:styleId="MMTopic2">
    <w:name w:val="MM Topic 2"/>
    <w:basedOn w:val="Titre2"/>
    <w:link w:val="MMTopic2Car"/>
    <w:rsid w:val="00873E0F"/>
    <w:pPr>
      <w:numPr>
        <w:ilvl w:val="1"/>
        <w:numId w:val="2"/>
      </w:numPr>
      <w:spacing w:before="40" w:after="0" w:line="259" w:lineRule="auto"/>
    </w:pPr>
    <w:rPr>
      <w:rFonts w:asciiTheme="majorHAnsi" w:eastAsiaTheme="majorEastAsia" w:hAnsiTheme="majorHAnsi" w:cstheme="majorBidi"/>
      <w:color w:val="365F91" w:themeColor="accent1" w:themeShade="BF"/>
      <w:sz w:val="26"/>
      <w:szCs w:val="26"/>
      <w:lang w:eastAsia="en-US"/>
    </w:rPr>
  </w:style>
  <w:style w:type="character" w:customStyle="1" w:styleId="MMTopic2Car">
    <w:name w:val="MM Topic 2 Car"/>
    <w:basedOn w:val="Policepardfaut"/>
    <w:link w:val="MMTopic2"/>
    <w:rsid w:val="00873E0F"/>
    <w:rPr>
      <w:rFonts w:asciiTheme="majorHAnsi" w:eastAsiaTheme="majorEastAsia" w:hAnsiTheme="majorHAnsi" w:cstheme="majorBidi"/>
      <w:color w:val="365F91" w:themeColor="accent1" w:themeShade="BF"/>
      <w:sz w:val="26"/>
      <w:szCs w:val="26"/>
      <w:lang w:eastAsia="en-US"/>
    </w:rPr>
  </w:style>
  <w:style w:type="paragraph" w:customStyle="1" w:styleId="MMTopic3">
    <w:name w:val="MM Topic 3"/>
    <w:basedOn w:val="Titre3"/>
    <w:rsid w:val="00873E0F"/>
    <w:pPr>
      <w:numPr>
        <w:ilvl w:val="2"/>
        <w:numId w:val="2"/>
      </w:numPr>
      <w:spacing w:before="40" w:after="0" w:line="259" w:lineRule="auto"/>
      <w:ind w:left="360"/>
    </w:pPr>
    <w:rPr>
      <w:rFonts w:asciiTheme="majorHAnsi" w:eastAsiaTheme="majorEastAsia" w:hAnsiTheme="majorHAnsi" w:cstheme="majorBidi"/>
      <w:color w:val="243F60" w:themeColor="accent1" w:themeShade="7F"/>
      <w:sz w:val="24"/>
      <w:szCs w:val="24"/>
      <w:lang w:eastAsia="en-US"/>
    </w:rPr>
  </w:style>
  <w:style w:type="paragraph" w:customStyle="1" w:styleId="MMTopic4">
    <w:name w:val="MM Topic 4"/>
    <w:basedOn w:val="Titre4"/>
    <w:rsid w:val="00873E0F"/>
    <w:pPr>
      <w:numPr>
        <w:ilvl w:val="3"/>
        <w:numId w:val="2"/>
      </w:numPr>
      <w:spacing w:before="40" w:after="0" w:line="259" w:lineRule="auto"/>
      <w:ind w:left="540"/>
    </w:pPr>
    <w:rPr>
      <w:rFonts w:asciiTheme="majorHAnsi" w:eastAsiaTheme="majorEastAsia" w:hAnsiTheme="majorHAnsi" w:cstheme="majorBidi"/>
      <w:i/>
      <w:iCs/>
      <w:color w:val="365F91" w:themeColor="accent1" w:themeShade="BF"/>
      <w:sz w:val="28"/>
      <w:szCs w:val="28"/>
      <w:lang w:eastAsia="en-US"/>
    </w:rPr>
  </w:style>
  <w:style w:type="paragraph" w:customStyle="1" w:styleId="MMTopic5">
    <w:name w:val="MM Topic 5"/>
    <w:basedOn w:val="Titre5"/>
    <w:rsid w:val="00873E0F"/>
    <w:pPr>
      <w:numPr>
        <w:ilvl w:val="4"/>
        <w:numId w:val="2"/>
      </w:numPr>
      <w:spacing w:before="40" w:after="0" w:line="259" w:lineRule="auto"/>
      <w:ind w:left="720"/>
    </w:pPr>
    <w:rPr>
      <w:rFonts w:asciiTheme="majorHAnsi" w:eastAsiaTheme="majorEastAsia" w:hAnsiTheme="majorHAnsi" w:cstheme="majorBidi"/>
      <w:color w:val="365F91" w:themeColor="accent1" w:themeShade="BF"/>
      <w:sz w:val="28"/>
      <w:szCs w:val="28"/>
      <w:lang w:eastAsia="en-US"/>
    </w:rPr>
  </w:style>
  <w:style w:type="character" w:customStyle="1" w:styleId="Titre1Car">
    <w:name w:val="Titre 1 Car"/>
    <w:basedOn w:val="Policepardfaut"/>
    <w:link w:val="Titre1"/>
    <w:uiPriority w:val="9"/>
    <w:rsid w:val="00DB3BCC"/>
    <w:rPr>
      <w:sz w:val="40"/>
      <w:szCs w:val="40"/>
    </w:rPr>
  </w:style>
  <w:style w:type="paragraph" w:styleId="En-tte">
    <w:name w:val="header"/>
    <w:basedOn w:val="Normal"/>
    <w:link w:val="En-tteCar"/>
    <w:uiPriority w:val="99"/>
    <w:unhideWhenUsed/>
    <w:rsid w:val="00D4257D"/>
    <w:pPr>
      <w:tabs>
        <w:tab w:val="center" w:pos="4536"/>
        <w:tab w:val="right" w:pos="9072"/>
      </w:tabs>
      <w:spacing w:line="240" w:lineRule="auto"/>
    </w:pPr>
  </w:style>
  <w:style w:type="character" w:customStyle="1" w:styleId="En-tteCar">
    <w:name w:val="En-tête Car"/>
    <w:basedOn w:val="Policepardfaut"/>
    <w:link w:val="En-tte"/>
    <w:uiPriority w:val="99"/>
    <w:rsid w:val="00D4257D"/>
  </w:style>
  <w:style w:type="paragraph" w:styleId="Pieddepage">
    <w:name w:val="footer"/>
    <w:basedOn w:val="Normal"/>
    <w:link w:val="PieddepageCar"/>
    <w:uiPriority w:val="99"/>
    <w:unhideWhenUsed/>
    <w:rsid w:val="00D4257D"/>
    <w:pPr>
      <w:tabs>
        <w:tab w:val="center" w:pos="4536"/>
        <w:tab w:val="right" w:pos="9072"/>
      </w:tabs>
      <w:spacing w:line="240" w:lineRule="auto"/>
    </w:pPr>
  </w:style>
  <w:style w:type="character" w:customStyle="1" w:styleId="PieddepageCar">
    <w:name w:val="Pied de page Car"/>
    <w:basedOn w:val="Policepardfaut"/>
    <w:link w:val="Pieddepage"/>
    <w:uiPriority w:val="99"/>
    <w:rsid w:val="00D4257D"/>
  </w:style>
  <w:style w:type="table" w:styleId="Grilledutableau">
    <w:name w:val="Table Grid"/>
    <w:basedOn w:val="TableauNormal"/>
    <w:uiPriority w:val="39"/>
    <w:unhideWhenUsed/>
    <w:rsid w:val="002900E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EA3D9C"/>
    <w:pPr>
      <w:spacing w:line="240" w:lineRule="auto"/>
    </w:pPr>
    <w:rPr>
      <w:sz w:val="20"/>
      <w:szCs w:val="20"/>
    </w:rPr>
  </w:style>
  <w:style w:type="character" w:customStyle="1" w:styleId="NotedebasdepageCar">
    <w:name w:val="Note de bas de page Car"/>
    <w:basedOn w:val="Policepardfaut"/>
    <w:link w:val="Notedebasdepage"/>
    <w:uiPriority w:val="99"/>
    <w:semiHidden/>
    <w:rsid w:val="00EA3D9C"/>
    <w:rPr>
      <w:sz w:val="20"/>
      <w:szCs w:val="20"/>
    </w:rPr>
  </w:style>
  <w:style w:type="character" w:styleId="Appelnotedebasdep">
    <w:name w:val="footnote reference"/>
    <w:basedOn w:val="Policepardfaut"/>
    <w:uiPriority w:val="99"/>
    <w:semiHidden/>
    <w:unhideWhenUsed/>
    <w:rsid w:val="00EA3D9C"/>
    <w:rPr>
      <w:vertAlign w:val="superscript"/>
    </w:rPr>
  </w:style>
</w:styles>
</file>

<file path=word/webSettings.xml><?xml version="1.0" encoding="utf-8"?>
<w:webSettings xmlns:r="http://schemas.openxmlformats.org/officeDocument/2006/relationships" xmlns:w="http://schemas.openxmlformats.org/wordprocessingml/2006/main">
  <w:divs>
    <w:div w:id="1520128">
      <w:bodyDiv w:val="1"/>
      <w:marLeft w:val="0"/>
      <w:marRight w:val="0"/>
      <w:marTop w:val="0"/>
      <w:marBottom w:val="0"/>
      <w:divBdr>
        <w:top w:val="none" w:sz="0" w:space="0" w:color="auto"/>
        <w:left w:val="none" w:sz="0" w:space="0" w:color="auto"/>
        <w:bottom w:val="none" w:sz="0" w:space="0" w:color="auto"/>
        <w:right w:val="none" w:sz="0" w:space="0" w:color="auto"/>
      </w:divBdr>
    </w:div>
    <w:div w:id="63380221">
      <w:bodyDiv w:val="1"/>
      <w:marLeft w:val="0"/>
      <w:marRight w:val="0"/>
      <w:marTop w:val="0"/>
      <w:marBottom w:val="0"/>
      <w:divBdr>
        <w:top w:val="none" w:sz="0" w:space="0" w:color="auto"/>
        <w:left w:val="none" w:sz="0" w:space="0" w:color="auto"/>
        <w:bottom w:val="none" w:sz="0" w:space="0" w:color="auto"/>
        <w:right w:val="none" w:sz="0" w:space="0" w:color="auto"/>
      </w:divBdr>
    </w:div>
    <w:div w:id="305596746">
      <w:bodyDiv w:val="1"/>
      <w:marLeft w:val="0"/>
      <w:marRight w:val="0"/>
      <w:marTop w:val="0"/>
      <w:marBottom w:val="0"/>
      <w:divBdr>
        <w:top w:val="none" w:sz="0" w:space="0" w:color="auto"/>
        <w:left w:val="none" w:sz="0" w:space="0" w:color="auto"/>
        <w:bottom w:val="none" w:sz="0" w:space="0" w:color="auto"/>
        <w:right w:val="none" w:sz="0" w:space="0" w:color="auto"/>
      </w:divBdr>
    </w:div>
    <w:div w:id="896624294">
      <w:bodyDiv w:val="1"/>
      <w:marLeft w:val="0"/>
      <w:marRight w:val="0"/>
      <w:marTop w:val="0"/>
      <w:marBottom w:val="0"/>
      <w:divBdr>
        <w:top w:val="none" w:sz="0" w:space="0" w:color="auto"/>
        <w:left w:val="none" w:sz="0" w:space="0" w:color="auto"/>
        <w:bottom w:val="none" w:sz="0" w:space="0" w:color="auto"/>
        <w:right w:val="none" w:sz="0" w:space="0" w:color="auto"/>
      </w:divBdr>
    </w:div>
    <w:div w:id="897134008">
      <w:bodyDiv w:val="1"/>
      <w:marLeft w:val="0"/>
      <w:marRight w:val="0"/>
      <w:marTop w:val="0"/>
      <w:marBottom w:val="0"/>
      <w:divBdr>
        <w:top w:val="none" w:sz="0" w:space="0" w:color="auto"/>
        <w:left w:val="none" w:sz="0" w:space="0" w:color="auto"/>
        <w:bottom w:val="none" w:sz="0" w:space="0" w:color="auto"/>
        <w:right w:val="none" w:sz="0" w:space="0" w:color="auto"/>
      </w:divBdr>
    </w:div>
    <w:div w:id="1445231684">
      <w:bodyDiv w:val="1"/>
      <w:marLeft w:val="0"/>
      <w:marRight w:val="0"/>
      <w:marTop w:val="0"/>
      <w:marBottom w:val="0"/>
      <w:divBdr>
        <w:top w:val="none" w:sz="0" w:space="0" w:color="auto"/>
        <w:left w:val="none" w:sz="0" w:space="0" w:color="auto"/>
        <w:bottom w:val="none" w:sz="0" w:space="0" w:color="auto"/>
        <w:right w:val="none" w:sz="0" w:space="0" w:color="auto"/>
      </w:divBdr>
    </w:div>
    <w:div w:id="1575429099">
      <w:bodyDiv w:val="1"/>
      <w:marLeft w:val="0"/>
      <w:marRight w:val="0"/>
      <w:marTop w:val="0"/>
      <w:marBottom w:val="0"/>
      <w:divBdr>
        <w:top w:val="none" w:sz="0" w:space="0" w:color="auto"/>
        <w:left w:val="none" w:sz="0" w:space="0" w:color="auto"/>
        <w:bottom w:val="none" w:sz="0" w:space="0" w:color="auto"/>
        <w:right w:val="none" w:sz="0" w:space="0" w:color="auto"/>
      </w:divBdr>
    </w:div>
    <w:div w:id="1883445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hcp.m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wnloads\T32020_Graphiques_Activite_Emplo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T32020_Graphiques_Activite_Emplo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HCP\11%20service%20analyse\14%20notes%20trim\T3%202020\2019T3-2020T3%20-%20Note%20sur%20les%20chiffres%20cl&#233;s%20-%20Tabula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lasseur2"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lasseur2"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ownloads\Indicateurs%20ENE_R&#233;gion_%20T3-2020%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Feuil1!$A$2</c:f>
              <c:strCache>
                <c:ptCount val="1"/>
                <c:pt idx="0">
                  <c:v>Emploi rémunéré</c:v>
                </c:pt>
              </c:strCache>
            </c:strRef>
          </c:tx>
          <c:spPr>
            <a:solidFill>
              <a:srgbClr val="000066"/>
            </a:solidFill>
          </c:spPr>
          <c:dLbls>
            <c:spPr>
              <a:noFill/>
              <a:ln>
                <a:noFill/>
              </a:ln>
              <a:effectLst/>
            </c:spPr>
            <c:txPr>
              <a:bodyPr/>
              <a:lstStyle/>
              <a:p>
                <a:pPr>
                  <a:defRPr lang="en-US"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Feuil1!$B$1:$D$1</c:f>
              <c:strCache>
                <c:ptCount val="3"/>
                <c:pt idx="0">
                  <c:v>Urbain</c:v>
                </c:pt>
                <c:pt idx="1">
                  <c:v>Rural</c:v>
                </c:pt>
                <c:pt idx="2">
                  <c:v>National</c:v>
                </c:pt>
              </c:strCache>
            </c:strRef>
          </c:cat>
          <c:val>
            <c:numRef>
              <c:f>Feuil1!$B$2:$D$2</c:f>
              <c:numCache>
                <c:formatCode>General</c:formatCode>
                <c:ptCount val="3"/>
                <c:pt idx="0">
                  <c:v>-226000</c:v>
                </c:pt>
                <c:pt idx="1">
                  <c:v>-195000</c:v>
                </c:pt>
                <c:pt idx="2">
                  <c:v>-421000</c:v>
                </c:pt>
              </c:numCache>
            </c:numRef>
          </c:val>
          <c:extLst xmlns:c16r2="http://schemas.microsoft.com/office/drawing/2015/06/chart">
            <c:ext xmlns:c16="http://schemas.microsoft.com/office/drawing/2014/chart" uri="{C3380CC4-5D6E-409C-BE32-E72D297353CC}">
              <c16:uniqueId val="{00000000-B10A-4BCC-928C-ED53D0B2EDFC}"/>
            </c:ext>
          </c:extLst>
        </c:ser>
        <c:ser>
          <c:idx val="1"/>
          <c:order val="1"/>
          <c:tx>
            <c:strRef>
              <c:f>Feuil1!$A$3</c:f>
              <c:strCache>
                <c:ptCount val="1"/>
                <c:pt idx="0">
                  <c:v>Emploi non rémunéré</c:v>
                </c:pt>
              </c:strCache>
            </c:strRef>
          </c:tx>
          <c:spPr>
            <a:solidFill>
              <a:schemeClr val="bg1">
                <a:lumMod val="50000"/>
              </a:schemeClr>
            </a:solidFill>
          </c:spPr>
          <c:dLbls>
            <c:spPr>
              <a:noFill/>
              <a:ln>
                <a:noFill/>
              </a:ln>
              <a:effectLst/>
            </c:spPr>
            <c:txPr>
              <a:bodyPr/>
              <a:lstStyle/>
              <a:p>
                <a:pPr>
                  <a:defRPr lang="en-US"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Feuil1!$B$1:$D$1</c:f>
              <c:strCache>
                <c:ptCount val="3"/>
                <c:pt idx="0">
                  <c:v>Urbain</c:v>
                </c:pt>
                <c:pt idx="1">
                  <c:v>Rural</c:v>
                </c:pt>
                <c:pt idx="2">
                  <c:v>National</c:v>
                </c:pt>
              </c:strCache>
            </c:strRef>
          </c:cat>
          <c:val>
            <c:numRef>
              <c:f>Feuil1!$B$3:$D$3</c:f>
              <c:numCache>
                <c:formatCode>General</c:formatCode>
                <c:ptCount val="3"/>
                <c:pt idx="0">
                  <c:v>-11000</c:v>
                </c:pt>
                <c:pt idx="1">
                  <c:v>-149000</c:v>
                </c:pt>
                <c:pt idx="2">
                  <c:v>-160000</c:v>
                </c:pt>
              </c:numCache>
            </c:numRef>
          </c:val>
          <c:extLst xmlns:c16r2="http://schemas.microsoft.com/office/drawing/2015/06/chart">
            <c:ext xmlns:c16="http://schemas.microsoft.com/office/drawing/2014/chart" uri="{C3380CC4-5D6E-409C-BE32-E72D297353CC}">
              <c16:uniqueId val="{00000001-B10A-4BCC-928C-ED53D0B2EDFC}"/>
            </c:ext>
          </c:extLst>
        </c:ser>
        <c:ser>
          <c:idx val="2"/>
          <c:order val="2"/>
          <c:tx>
            <c:strRef>
              <c:f>Feuil1!$A$4</c:f>
              <c:strCache>
                <c:ptCount val="1"/>
                <c:pt idx="0">
                  <c:v>Emploi total</c:v>
                </c:pt>
              </c:strCache>
            </c:strRef>
          </c:tx>
          <c:spPr>
            <a:solidFill>
              <a:srgbClr val="FFC000"/>
            </a:solidFill>
          </c:spPr>
          <c:dLbls>
            <c:spPr>
              <a:noFill/>
              <a:ln>
                <a:noFill/>
              </a:ln>
              <a:effectLst/>
            </c:spPr>
            <c:txPr>
              <a:bodyPr/>
              <a:lstStyle/>
              <a:p>
                <a:pPr>
                  <a:defRPr lang="en-US"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Feuil1!$B$1:$D$1</c:f>
              <c:strCache>
                <c:ptCount val="3"/>
                <c:pt idx="0">
                  <c:v>Urbain</c:v>
                </c:pt>
                <c:pt idx="1">
                  <c:v>Rural</c:v>
                </c:pt>
                <c:pt idx="2">
                  <c:v>National</c:v>
                </c:pt>
              </c:strCache>
            </c:strRef>
          </c:cat>
          <c:val>
            <c:numRef>
              <c:f>Feuil1!$B$4:$D$4</c:f>
              <c:numCache>
                <c:formatCode>General</c:formatCode>
                <c:ptCount val="3"/>
                <c:pt idx="0">
                  <c:v>-237000</c:v>
                </c:pt>
                <c:pt idx="1">
                  <c:v>-344000</c:v>
                </c:pt>
                <c:pt idx="2">
                  <c:v>-581000</c:v>
                </c:pt>
              </c:numCache>
            </c:numRef>
          </c:val>
          <c:extLst xmlns:c16r2="http://schemas.microsoft.com/office/drawing/2015/06/chart">
            <c:ext xmlns:c16="http://schemas.microsoft.com/office/drawing/2014/chart" uri="{C3380CC4-5D6E-409C-BE32-E72D297353CC}">
              <c16:uniqueId val="{00000002-B10A-4BCC-928C-ED53D0B2EDFC}"/>
            </c:ext>
          </c:extLst>
        </c:ser>
        <c:dLbls>
          <c:showVal val="1"/>
        </c:dLbls>
        <c:overlap val="-25"/>
        <c:axId val="106900480"/>
        <c:axId val="103150336"/>
      </c:barChart>
      <c:catAx>
        <c:axId val="106900480"/>
        <c:scaling>
          <c:orientation val="minMax"/>
        </c:scaling>
        <c:axPos val="b"/>
        <c:numFmt formatCode="General" sourceLinked="0"/>
        <c:majorTickMark val="none"/>
        <c:tickLblPos val="low"/>
        <c:txPr>
          <a:bodyPr/>
          <a:lstStyle/>
          <a:p>
            <a:pPr>
              <a:defRPr lang="en-US"/>
            </a:pPr>
            <a:endParaRPr lang="fr-FR"/>
          </a:p>
        </c:txPr>
        <c:crossAx val="103150336"/>
        <c:crosses val="autoZero"/>
        <c:auto val="1"/>
        <c:lblAlgn val="ctr"/>
        <c:lblOffset val="100"/>
      </c:catAx>
      <c:valAx>
        <c:axId val="103150336"/>
        <c:scaling>
          <c:orientation val="minMax"/>
        </c:scaling>
        <c:delete val="1"/>
        <c:axPos val="l"/>
        <c:numFmt formatCode="General" sourceLinked="1"/>
        <c:tickLblPos val="none"/>
        <c:crossAx val="106900480"/>
        <c:crosses val="autoZero"/>
        <c:crossBetween val="between"/>
      </c:valAx>
    </c:plotArea>
    <c:legend>
      <c:legendPos val="t"/>
      <c:txPr>
        <a:bodyPr/>
        <a:lstStyle/>
        <a:p>
          <a:pPr>
            <a:defRPr lang="en-US"/>
          </a:pPr>
          <a:endParaRPr lang="fr-FR"/>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fr-FR"/>
  <c:chart>
    <c:autoTitleDeleted val="1"/>
    <c:plotArea>
      <c:layout/>
      <c:barChart>
        <c:barDir val="col"/>
        <c:grouping val="clustered"/>
        <c:ser>
          <c:idx val="0"/>
          <c:order val="0"/>
          <c:tx>
            <c:strRef>
              <c:f>Graphiques!$B$19</c:f>
              <c:strCache>
                <c:ptCount val="1"/>
                <c:pt idx="0">
                  <c:v>Urbain</c:v>
                </c:pt>
              </c:strCache>
            </c:strRef>
          </c:tx>
          <c:spPr>
            <a:solidFill>
              <a:srgbClr val="FFC000"/>
            </a:solidFill>
          </c:spPr>
          <c:dLbls>
            <c:dLbl>
              <c:idx val="1"/>
              <c:layout>
                <c:manualLayout>
                  <c:x val="-2.1609940572663782E-2"/>
                  <c:y val="2.8146615721292399E-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CE1-4113-B670-540A98DA93CB}"/>
                </c:ext>
              </c:extLst>
            </c:dLbl>
            <c:dLbl>
              <c:idx val="4"/>
              <c:layout>
                <c:manualLayout>
                  <c:x val="-8.6439762290654067E-3"/>
                  <c:y val="3.5746201966041801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CE1-4113-B670-540A98DA93CB}"/>
                </c:ext>
              </c:extLst>
            </c:dLbl>
            <c:spPr>
              <a:noFill/>
              <a:ln>
                <a:noFill/>
              </a:ln>
              <a:effectLst/>
            </c:spPr>
            <c:txPr>
              <a:bodyPr/>
              <a:lstStyle/>
              <a:p>
                <a:pPr>
                  <a:defRPr lang="en-US" sz="900"/>
                </a:pPr>
                <a:endParaRPr lang="fr-FR"/>
              </a:p>
            </c:txPr>
            <c:showVal val="1"/>
            <c:extLst xmlns:c16r2="http://schemas.microsoft.com/office/drawing/2015/06/chart">
              <c:ext xmlns:c15="http://schemas.microsoft.com/office/drawing/2012/chart" uri="{CE6537A1-D6FC-4f65-9D91-7224C49458BB}">
                <c15:showLeaderLines val="0"/>
              </c:ext>
            </c:extLst>
          </c:dLbls>
          <c:cat>
            <c:strRef>
              <c:f>Graphiques!$A$20:$A$24</c:f>
              <c:strCache>
                <c:ptCount val="5"/>
                <c:pt idx="0">
                  <c:v>Agriculture, forêt et pêche</c:v>
                </c:pt>
                <c:pt idx="1">
                  <c:v>Industrie (y compris artisanat)</c:v>
                </c:pt>
                <c:pt idx="2">
                  <c:v>BTP</c:v>
                </c:pt>
                <c:pt idx="3">
                  <c:v>Services</c:v>
                </c:pt>
                <c:pt idx="4">
                  <c:v>Ensemble</c:v>
                </c:pt>
              </c:strCache>
            </c:strRef>
          </c:cat>
          <c:val>
            <c:numRef>
              <c:f>Graphiques!$B$20:$B$24</c:f>
              <c:numCache>
                <c:formatCode>General</c:formatCode>
                <c:ptCount val="5"/>
                <c:pt idx="0">
                  <c:v>2000</c:v>
                </c:pt>
                <c:pt idx="1">
                  <c:v>-44000</c:v>
                </c:pt>
                <c:pt idx="2">
                  <c:v>2000</c:v>
                </c:pt>
                <c:pt idx="3">
                  <c:v>-196000</c:v>
                </c:pt>
                <c:pt idx="4">
                  <c:v>-237000</c:v>
                </c:pt>
              </c:numCache>
            </c:numRef>
          </c:val>
          <c:extLst xmlns:c16r2="http://schemas.microsoft.com/office/drawing/2015/06/chart">
            <c:ext xmlns:c16="http://schemas.microsoft.com/office/drawing/2014/chart" uri="{C3380CC4-5D6E-409C-BE32-E72D297353CC}">
              <c16:uniqueId val="{00000002-6CE1-4113-B670-540A98DA93CB}"/>
            </c:ext>
          </c:extLst>
        </c:ser>
        <c:ser>
          <c:idx val="1"/>
          <c:order val="1"/>
          <c:tx>
            <c:strRef>
              <c:f>Graphiques!$C$19</c:f>
              <c:strCache>
                <c:ptCount val="1"/>
                <c:pt idx="0">
                  <c:v>Rural</c:v>
                </c:pt>
              </c:strCache>
            </c:strRef>
          </c:tx>
          <c:spPr>
            <a:solidFill>
              <a:srgbClr val="808080"/>
            </a:solidFill>
          </c:spPr>
          <c:dLbls>
            <c:dLbl>
              <c:idx val="0"/>
              <c:layout>
                <c:manualLayout>
                  <c:x val="-2.5987010587149299E-2"/>
                  <c:y val="6.5533946550667413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CE1-4113-B670-540A98DA93CB}"/>
                </c:ext>
              </c:extLst>
            </c:dLbl>
            <c:dLbl>
              <c:idx val="4"/>
              <c:layout>
                <c:manualLayout>
                  <c:x val="-1.0804970286331775E-2"/>
                  <c:y val="-7.1492403932082753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CE1-4113-B670-540A98DA93CB}"/>
                </c:ext>
              </c:extLst>
            </c:dLbl>
            <c:spPr>
              <a:noFill/>
              <a:ln>
                <a:noFill/>
              </a:ln>
              <a:effectLst/>
            </c:spPr>
            <c:txPr>
              <a:bodyPr/>
              <a:lstStyle/>
              <a:p>
                <a:pPr>
                  <a:defRPr lang="en-US" sz="900"/>
                </a:pPr>
                <a:endParaRPr lang="fr-FR"/>
              </a:p>
            </c:txPr>
            <c:showVal val="1"/>
            <c:extLst xmlns:c16r2="http://schemas.microsoft.com/office/drawing/2015/06/chart">
              <c:ext xmlns:c15="http://schemas.microsoft.com/office/drawing/2012/chart" uri="{CE6537A1-D6FC-4f65-9D91-7224C49458BB}">
                <c15:showLeaderLines val="0"/>
              </c:ext>
            </c:extLst>
          </c:dLbls>
          <c:cat>
            <c:strRef>
              <c:f>Graphiques!$A$20:$A$24</c:f>
              <c:strCache>
                <c:ptCount val="5"/>
                <c:pt idx="0">
                  <c:v>Agriculture, forêt et pêche</c:v>
                </c:pt>
                <c:pt idx="1">
                  <c:v>Industrie (y compris artisanat)</c:v>
                </c:pt>
                <c:pt idx="2">
                  <c:v>BTP</c:v>
                </c:pt>
                <c:pt idx="3">
                  <c:v>Services</c:v>
                </c:pt>
                <c:pt idx="4">
                  <c:v>Ensemble</c:v>
                </c:pt>
              </c:strCache>
            </c:strRef>
          </c:cat>
          <c:val>
            <c:numRef>
              <c:f>Graphiques!$C$20:$C$24</c:f>
              <c:numCache>
                <c:formatCode>General</c:formatCode>
                <c:ptCount val="5"/>
                <c:pt idx="0">
                  <c:v>-260000</c:v>
                </c:pt>
                <c:pt idx="1">
                  <c:v>-17000</c:v>
                </c:pt>
                <c:pt idx="2">
                  <c:v>-1000</c:v>
                </c:pt>
                <c:pt idx="3">
                  <c:v>-64000</c:v>
                </c:pt>
                <c:pt idx="4">
                  <c:v>-344000</c:v>
                </c:pt>
              </c:numCache>
            </c:numRef>
          </c:val>
          <c:extLst xmlns:c16r2="http://schemas.microsoft.com/office/drawing/2015/06/chart">
            <c:ext xmlns:c16="http://schemas.microsoft.com/office/drawing/2014/chart" uri="{C3380CC4-5D6E-409C-BE32-E72D297353CC}">
              <c16:uniqueId val="{00000005-6CE1-4113-B670-540A98DA93CB}"/>
            </c:ext>
          </c:extLst>
        </c:ser>
        <c:ser>
          <c:idx val="2"/>
          <c:order val="2"/>
          <c:tx>
            <c:strRef>
              <c:f>Graphiques!$D$19</c:f>
              <c:strCache>
                <c:ptCount val="1"/>
                <c:pt idx="0">
                  <c:v>National</c:v>
                </c:pt>
              </c:strCache>
            </c:strRef>
          </c:tx>
          <c:spPr>
            <a:solidFill>
              <a:schemeClr val="accent1">
                <a:lumMod val="75000"/>
              </a:schemeClr>
            </a:solidFill>
          </c:spPr>
          <c:dPt>
            <c:idx val="0"/>
            <c:spPr>
              <a:solidFill>
                <a:schemeClr val="tx2">
                  <a:lumMod val="75000"/>
                </a:schemeClr>
              </a:solidFill>
            </c:spPr>
            <c:extLst xmlns:c16r2="http://schemas.microsoft.com/office/drawing/2015/06/chart">
              <c:ext xmlns:c16="http://schemas.microsoft.com/office/drawing/2014/chart" uri="{C3380CC4-5D6E-409C-BE32-E72D297353CC}">
                <c16:uniqueId val="{00000006-6CE1-4113-B670-540A98DA93CB}"/>
              </c:ext>
            </c:extLst>
          </c:dPt>
          <c:dPt>
            <c:idx val="1"/>
            <c:spPr>
              <a:solidFill>
                <a:schemeClr val="tx2">
                  <a:lumMod val="75000"/>
                </a:schemeClr>
              </a:solidFill>
            </c:spPr>
            <c:extLst xmlns:c16r2="http://schemas.microsoft.com/office/drawing/2015/06/chart">
              <c:ext xmlns:c16="http://schemas.microsoft.com/office/drawing/2014/chart" uri="{C3380CC4-5D6E-409C-BE32-E72D297353CC}">
                <c16:uniqueId val="{0000000B-6CE1-4113-B670-540A98DA93CB}"/>
              </c:ext>
            </c:extLst>
          </c:dPt>
          <c:dPt>
            <c:idx val="3"/>
            <c:spPr>
              <a:solidFill>
                <a:schemeClr val="tx2">
                  <a:lumMod val="75000"/>
                </a:schemeClr>
              </a:solidFill>
            </c:spPr>
            <c:extLst xmlns:c16r2="http://schemas.microsoft.com/office/drawing/2015/06/chart">
              <c:ext xmlns:c16="http://schemas.microsoft.com/office/drawing/2014/chart" uri="{C3380CC4-5D6E-409C-BE32-E72D297353CC}">
                <c16:uniqueId val="{0000000A-6CE1-4113-B670-540A98DA93CB}"/>
              </c:ext>
            </c:extLst>
          </c:dPt>
          <c:dPt>
            <c:idx val="4"/>
            <c:spPr>
              <a:solidFill>
                <a:schemeClr val="tx2">
                  <a:lumMod val="75000"/>
                </a:schemeClr>
              </a:solidFill>
            </c:spPr>
            <c:extLst xmlns:c16r2="http://schemas.microsoft.com/office/drawing/2015/06/chart">
              <c:ext xmlns:c16="http://schemas.microsoft.com/office/drawing/2014/chart" uri="{C3380CC4-5D6E-409C-BE32-E72D297353CC}">
                <c16:uniqueId val="{00000009-6CE1-4113-B670-540A98DA93CB}"/>
              </c:ext>
            </c:extLst>
          </c:dPt>
          <c:dLbls>
            <c:dLbl>
              <c:idx val="0"/>
              <c:layout>
                <c:manualLayout>
                  <c:x val="1.5992006515168623E-2"/>
                  <c:y val="-7.1492403932082171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CE1-4113-B670-540A98DA93CB}"/>
                </c:ext>
              </c:extLst>
            </c:dLbl>
            <c:spPr>
              <a:noFill/>
              <a:ln>
                <a:noFill/>
              </a:ln>
              <a:effectLst/>
            </c:spPr>
            <c:txPr>
              <a:bodyPr wrap="square" lIns="38100" tIns="19050" rIns="38100" bIns="19050" anchor="ctr">
                <a:spAutoFit/>
              </a:bodyPr>
              <a:lstStyle/>
              <a:p>
                <a:pPr>
                  <a:defRPr lang="en-US" sz="900"/>
                </a:pPr>
                <a:endParaRPr lang="fr-FR"/>
              </a:p>
            </c:txPr>
            <c:showVal val="1"/>
            <c:extLst xmlns:c16r2="http://schemas.microsoft.com/office/drawing/2015/06/chart">
              <c:ext xmlns:c15="http://schemas.microsoft.com/office/drawing/2012/chart" uri="{CE6537A1-D6FC-4f65-9D91-7224C49458BB}">
                <c15:showLeaderLines val="0"/>
              </c:ext>
            </c:extLst>
          </c:dLbls>
          <c:cat>
            <c:strRef>
              <c:f>Graphiques!$A$20:$A$24</c:f>
              <c:strCache>
                <c:ptCount val="5"/>
                <c:pt idx="0">
                  <c:v>Agriculture, forêt et pêche</c:v>
                </c:pt>
                <c:pt idx="1">
                  <c:v>Industrie (y compris artisanat)</c:v>
                </c:pt>
                <c:pt idx="2">
                  <c:v>BTP</c:v>
                </c:pt>
                <c:pt idx="3">
                  <c:v>Services</c:v>
                </c:pt>
                <c:pt idx="4">
                  <c:v>Ensemble</c:v>
                </c:pt>
              </c:strCache>
            </c:strRef>
          </c:cat>
          <c:val>
            <c:numRef>
              <c:f>Graphiques!$D$20:$D$24</c:f>
              <c:numCache>
                <c:formatCode>General</c:formatCode>
                <c:ptCount val="5"/>
                <c:pt idx="0">
                  <c:v>-258000</c:v>
                </c:pt>
                <c:pt idx="1">
                  <c:v>-61000</c:v>
                </c:pt>
                <c:pt idx="2">
                  <c:v>1000</c:v>
                </c:pt>
                <c:pt idx="3">
                  <c:v>-260000</c:v>
                </c:pt>
                <c:pt idx="4">
                  <c:v>-581000</c:v>
                </c:pt>
              </c:numCache>
            </c:numRef>
          </c:val>
          <c:extLst xmlns:c16r2="http://schemas.microsoft.com/office/drawing/2015/06/chart">
            <c:ext xmlns:c16="http://schemas.microsoft.com/office/drawing/2014/chart" uri="{C3380CC4-5D6E-409C-BE32-E72D297353CC}">
              <c16:uniqueId val="{00000007-6CE1-4113-B670-540A98DA93CB}"/>
            </c:ext>
          </c:extLst>
        </c:ser>
        <c:dLbls>
          <c:showVal val="1"/>
        </c:dLbls>
        <c:overlap val="-25"/>
        <c:axId val="106480768"/>
        <c:axId val="106482304"/>
      </c:barChart>
      <c:catAx>
        <c:axId val="106480768"/>
        <c:scaling>
          <c:orientation val="minMax"/>
        </c:scaling>
        <c:axPos val="b"/>
        <c:numFmt formatCode="General" sourceLinked="0"/>
        <c:majorTickMark val="none"/>
        <c:tickLblPos val="low"/>
        <c:txPr>
          <a:bodyPr/>
          <a:lstStyle/>
          <a:p>
            <a:pPr>
              <a:defRPr lang="en-US"/>
            </a:pPr>
            <a:endParaRPr lang="fr-FR"/>
          </a:p>
        </c:txPr>
        <c:crossAx val="106482304"/>
        <c:crosses val="autoZero"/>
        <c:auto val="1"/>
        <c:lblAlgn val="ctr"/>
        <c:lblOffset val="100"/>
      </c:catAx>
      <c:valAx>
        <c:axId val="106482304"/>
        <c:scaling>
          <c:orientation val="minMax"/>
        </c:scaling>
        <c:delete val="1"/>
        <c:axPos val="l"/>
        <c:numFmt formatCode="General" sourceLinked="1"/>
        <c:tickLblPos val="none"/>
        <c:crossAx val="106480768"/>
        <c:crosses val="autoZero"/>
        <c:crossBetween val="between"/>
      </c:valAx>
    </c:plotArea>
    <c:legend>
      <c:legendPos val="t"/>
      <c:txPr>
        <a:bodyPr/>
        <a:lstStyle/>
        <a:p>
          <a:pPr>
            <a:defRPr lang="en-US"/>
          </a:pPr>
          <a:endParaRPr lang="fr-FR"/>
        </a:p>
      </c:txPr>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fr-FR"/>
  <c:chart>
    <c:autoTitleDeleted val="1"/>
    <c:plotArea>
      <c:layout/>
      <c:barChart>
        <c:barDir val="col"/>
        <c:grouping val="clustered"/>
        <c:ser>
          <c:idx val="0"/>
          <c:order val="0"/>
          <c:tx>
            <c:strRef>
              <c:f>Feuil1!$E$11</c:f>
              <c:strCache>
                <c:ptCount val="1"/>
                <c:pt idx="0">
                  <c:v>2019</c:v>
                </c:pt>
              </c:strCache>
            </c:strRef>
          </c:tx>
          <c:spPr>
            <a:solidFill>
              <a:schemeClr val="tx2"/>
            </a:solidFill>
          </c:spPr>
          <c:dLbls>
            <c:spPr>
              <a:noFill/>
              <a:ln>
                <a:noFill/>
              </a:ln>
              <a:effectLst/>
            </c:spPr>
            <c:txPr>
              <a:bodyPr/>
              <a:lstStyle/>
              <a:p>
                <a:pPr>
                  <a:defRPr lang="en-US"/>
                </a:pPr>
                <a:endParaRPr lang="fr-FR"/>
              </a:p>
            </c:txPr>
            <c:showVal val="1"/>
            <c:extLst xmlns:c16r2="http://schemas.microsoft.com/office/drawing/2015/06/chart">
              <c:ext xmlns:c15="http://schemas.microsoft.com/office/drawing/2012/chart" uri="{CE6537A1-D6FC-4f65-9D91-7224C49458BB}">
                <c15:showLeaderLines val="0"/>
              </c:ext>
            </c:extLst>
          </c:dLbls>
          <c:cat>
            <c:strRef>
              <c:f>Feuil1!$D$12:$D$19</c:f>
              <c:strCache>
                <c:ptCount val="8"/>
                <c:pt idx="0">
                  <c:v>Urbain</c:v>
                </c:pt>
                <c:pt idx="1">
                  <c:v>Rural</c:v>
                </c:pt>
                <c:pt idx="2">
                  <c:v>Masculin</c:v>
                </c:pt>
                <c:pt idx="3">
                  <c:v>Féminin</c:v>
                </c:pt>
                <c:pt idx="4">
                  <c:v>15-24 ans</c:v>
                </c:pt>
                <c:pt idx="5">
                  <c:v>Aucun diplôme</c:v>
                </c:pt>
                <c:pt idx="6">
                  <c:v>Ayant un diplôme</c:v>
                </c:pt>
                <c:pt idx="7">
                  <c:v>National</c:v>
                </c:pt>
              </c:strCache>
            </c:strRef>
          </c:cat>
          <c:val>
            <c:numRef>
              <c:f>Feuil1!$E$12:$E$19</c:f>
              <c:numCache>
                <c:formatCode>###0.0</c:formatCode>
                <c:ptCount val="8"/>
                <c:pt idx="0">
                  <c:v>12.679598327150144</c:v>
                </c:pt>
                <c:pt idx="1">
                  <c:v>4.4703742320909399</c:v>
                </c:pt>
                <c:pt idx="2">
                  <c:v>8.0340839726430602</c:v>
                </c:pt>
                <c:pt idx="3">
                  <c:v>13.889337381986374</c:v>
                </c:pt>
                <c:pt idx="4">
                  <c:v>26.654929988151284</c:v>
                </c:pt>
                <c:pt idx="5">
                  <c:v>3.7350824732951833</c:v>
                </c:pt>
                <c:pt idx="6">
                  <c:v>15.49228975421647</c:v>
                </c:pt>
                <c:pt idx="7">
                  <c:v>9.3946088099712348</c:v>
                </c:pt>
              </c:numCache>
            </c:numRef>
          </c:val>
          <c:extLst xmlns:c16r2="http://schemas.microsoft.com/office/drawing/2015/06/chart">
            <c:ext xmlns:c16="http://schemas.microsoft.com/office/drawing/2014/chart" uri="{C3380CC4-5D6E-409C-BE32-E72D297353CC}">
              <c16:uniqueId val="{00000000-2089-466B-9455-6C724A4F3D47}"/>
            </c:ext>
          </c:extLst>
        </c:ser>
        <c:ser>
          <c:idx val="1"/>
          <c:order val="1"/>
          <c:tx>
            <c:strRef>
              <c:f>Feuil1!$F$11</c:f>
              <c:strCache>
                <c:ptCount val="1"/>
                <c:pt idx="0">
                  <c:v>2020</c:v>
                </c:pt>
              </c:strCache>
            </c:strRef>
          </c:tx>
          <c:spPr>
            <a:solidFill>
              <a:srgbClr val="FFC000"/>
            </a:solidFill>
          </c:spPr>
          <c:dLbls>
            <c:spPr>
              <a:noFill/>
              <a:ln>
                <a:noFill/>
              </a:ln>
              <a:effectLst/>
            </c:spPr>
            <c:txPr>
              <a:bodyPr/>
              <a:lstStyle/>
              <a:p>
                <a:pPr>
                  <a:defRPr lang="en-US"/>
                </a:pPr>
                <a:endParaRPr lang="fr-FR"/>
              </a:p>
            </c:txPr>
            <c:showVal val="1"/>
            <c:extLst xmlns:c16r2="http://schemas.microsoft.com/office/drawing/2015/06/chart">
              <c:ext xmlns:c15="http://schemas.microsoft.com/office/drawing/2012/chart" uri="{CE6537A1-D6FC-4f65-9D91-7224C49458BB}">
                <c15:showLeaderLines val="0"/>
              </c:ext>
            </c:extLst>
          </c:dLbls>
          <c:cat>
            <c:strRef>
              <c:f>Feuil1!$D$12:$D$19</c:f>
              <c:strCache>
                <c:ptCount val="8"/>
                <c:pt idx="0">
                  <c:v>Urbain</c:v>
                </c:pt>
                <c:pt idx="1">
                  <c:v>Rural</c:v>
                </c:pt>
                <c:pt idx="2">
                  <c:v>Masculin</c:v>
                </c:pt>
                <c:pt idx="3">
                  <c:v>Féminin</c:v>
                </c:pt>
                <c:pt idx="4">
                  <c:v>15-24 ans</c:v>
                </c:pt>
                <c:pt idx="5">
                  <c:v>Aucun diplôme</c:v>
                </c:pt>
                <c:pt idx="6">
                  <c:v>Ayant un diplôme</c:v>
                </c:pt>
                <c:pt idx="7">
                  <c:v>National</c:v>
                </c:pt>
              </c:strCache>
            </c:strRef>
          </c:cat>
          <c:val>
            <c:numRef>
              <c:f>Feuil1!$F$12:$F$19</c:f>
              <c:numCache>
                <c:formatCode>###0.0</c:formatCode>
                <c:ptCount val="8"/>
                <c:pt idx="0">
                  <c:v>16.471265103414304</c:v>
                </c:pt>
                <c:pt idx="1">
                  <c:v>6.7548407635036734</c:v>
                </c:pt>
                <c:pt idx="2">
                  <c:v>11.446179524348977</c:v>
                </c:pt>
                <c:pt idx="3">
                  <c:v>17.568049670672877</c:v>
                </c:pt>
                <c:pt idx="4">
                  <c:v>32.307854197679944</c:v>
                </c:pt>
                <c:pt idx="5">
                  <c:v>6.9107214824662044</c:v>
                </c:pt>
                <c:pt idx="6">
                  <c:v>18.658154892784907</c:v>
                </c:pt>
                <c:pt idx="7">
                  <c:v>12.722480080260956</c:v>
                </c:pt>
              </c:numCache>
            </c:numRef>
          </c:val>
          <c:extLst xmlns:c16r2="http://schemas.microsoft.com/office/drawing/2015/06/chart">
            <c:ext xmlns:c16="http://schemas.microsoft.com/office/drawing/2014/chart" uri="{C3380CC4-5D6E-409C-BE32-E72D297353CC}">
              <c16:uniqueId val="{00000001-2089-466B-9455-6C724A4F3D47}"/>
            </c:ext>
          </c:extLst>
        </c:ser>
        <c:dLbls>
          <c:showVal val="1"/>
        </c:dLbls>
        <c:overlap val="-25"/>
        <c:axId val="106767104"/>
        <c:axId val="106768640"/>
      </c:barChart>
      <c:catAx>
        <c:axId val="106767104"/>
        <c:scaling>
          <c:orientation val="minMax"/>
        </c:scaling>
        <c:axPos val="b"/>
        <c:numFmt formatCode="General" sourceLinked="0"/>
        <c:majorTickMark val="none"/>
        <c:tickLblPos val="nextTo"/>
        <c:txPr>
          <a:bodyPr/>
          <a:lstStyle/>
          <a:p>
            <a:pPr>
              <a:defRPr lang="en-US"/>
            </a:pPr>
            <a:endParaRPr lang="fr-FR"/>
          </a:p>
        </c:txPr>
        <c:crossAx val="106768640"/>
        <c:crosses val="autoZero"/>
        <c:auto val="1"/>
        <c:lblAlgn val="ctr"/>
        <c:lblOffset val="100"/>
      </c:catAx>
      <c:valAx>
        <c:axId val="106768640"/>
        <c:scaling>
          <c:orientation val="minMax"/>
        </c:scaling>
        <c:delete val="1"/>
        <c:axPos val="l"/>
        <c:numFmt formatCode="###0.0" sourceLinked="1"/>
        <c:tickLblPos val="none"/>
        <c:crossAx val="106767104"/>
        <c:crosses val="autoZero"/>
        <c:crossBetween val="between"/>
      </c:valAx>
    </c:plotArea>
    <c:legend>
      <c:legendPos val="t"/>
      <c:layout>
        <c:manualLayout>
          <c:xMode val="edge"/>
          <c:yMode val="edge"/>
          <c:x val="4.2988994677249183E-2"/>
          <c:y val="4.7921973970255362E-2"/>
          <c:w val="0.1652473531474826"/>
          <c:h val="0.1083211130727466"/>
        </c:manualLayout>
      </c:layout>
      <c:txPr>
        <a:bodyPr/>
        <a:lstStyle/>
        <a:p>
          <a:pPr>
            <a:defRPr lang="en-US"/>
          </a:pPr>
          <a:endParaRPr lang="fr-FR"/>
        </a:p>
      </c:txPr>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fr-FR"/>
  <c:chart>
    <c:autoTitleDeleted val="1"/>
    <c:plotArea>
      <c:layout/>
      <c:barChart>
        <c:barDir val="col"/>
        <c:grouping val="clustered"/>
        <c:ser>
          <c:idx val="0"/>
          <c:order val="0"/>
          <c:tx>
            <c:strRef>
              <c:f>Feuil2!$D$20</c:f>
              <c:strCache>
                <c:ptCount val="1"/>
                <c:pt idx="0">
                  <c:v>2019</c:v>
                </c:pt>
              </c:strCache>
            </c:strRef>
          </c:tx>
          <c:spPr>
            <a:solidFill>
              <a:schemeClr val="accent1">
                <a:lumMod val="50000"/>
              </a:schemeClr>
            </a:solidFill>
          </c:spPr>
          <c:dLbls>
            <c:dLbl>
              <c:idx val="0"/>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0AB-4430-94D1-30F4AE014ACE}"/>
                </c:ext>
              </c:extLst>
            </c:dLbl>
            <c:dLbl>
              <c:idx val="1"/>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0AB-4430-94D1-30F4AE014ACE}"/>
                </c:ext>
              </c:extLst>
            </c:dLbl>
            <c:dLbl>
              <c:idx val="2"/>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0AB-4430-94D1-30F4AE014ACE}"/>
                </c:ext>
              </c:extLst>
            </c:dLbl>
            <c:dLbl>
              <c:idx val="3"/>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0AB-4430-94D1-30F4AE014ACE}"/>
                </c:ext>
              </c:extLst>
            </c:dLbl>
            <c:dLbl>
              <c:idx val="4"/>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0AB-4430-94D1-30F4AE014ACE}"/>
                </c:ext>
              </c:extLst>
            </c:dLbl>
            <c:dLbl>
              <c:idx val="5"/>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0AB-4430-94D1-30F4AE014ACE}"/>
                </c:ext>
              </c:extLst>
            </c:dLbl>
            <c:dLbl>
              <c:idx val="6"/>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0AB-4430-94D1-30F4AE014ACE}"/>
                </c:ext>
              </c:extLst>
            </c:dLbl>
            <c:delete val="1"/>
            <c:spPr>
              <a:noFill/>
              <a:ln>
                <a:noFill/>
              </a:ln>
              <a:effectLst/>
            </c:spPr>
            <c:extLst xmlns:c16r2="http://schemas.microsoft.com/office/drawing/2015/06/chart">
              <c:ext xmlns:c15="http://schemas.microsoft.com/office/drawing/2012/chart" uri="{CE6537A1-D6FC-4f65-9D91-7224C49458BB}">
                <c15:showLeaderLines val="0"/>
              </c:ext>
            </c:extLst>
          </c:dLbls>
          <c:cat>
            <c:strRef>
              <c:f>Feuil2!$C$21:$C$27</c:f>
              <c:strCache>
                <c:ptCount val="7"/>
                <c:pt idx="0">
                  <c:v>Urbain</c:v>
                </c:pt>
                <c:pt idx="1">
                  <c:v>Rural</c:v>
                </c:pt>
                <c:pt idx="2">
                  <c:v>Masculin</c:v>
                </c:pt>
                <c:pt idx="3">
                  <c:v>Féminin</c:v>
                </c:pt>
                <c:pt idx="4">
                  <c:v>Jeunes âgés de 15 à 24 ans</c:v>
                </c:pt>
                <c:pt idx="5">
                  <c:v>Diplômés</c:v>
                </c:pt>
                <c:pt idx="6">
                  <c:v>National</c:v>
                </c:pt>
              </c:strCache>
            </c:strRef>
          </c:cat>
          <c:val>
            <c:numRef>
              <c:f>Feuil2!$D$21:$D$27</c:f>
              <c:numCache>
                <c:formatCode>General</c:formatCode>
                <c:ptCount val="7"/>
                <c:pt idx="0">
                  <c:v>7.8</c:v>
                </c:pt>
                <c:pt idx="1">
                  <c:v>10.8</c:v>
                </c:pt>
                <c:pt idx="2">
                  <c:v>10.200000000000001</c:v>
                </c:pt>
                <c:pt idx="3">
                  <c:v>5.2</c:v>
                </c:pt>
                <c:pt idx="4">
                  <c:v>15.3</c:v>
                </c:pt>
                <c:pt idx="5">
                  <c:v>9.3000000000000007</c:v>
                </c:pt>
                <c:pt idx="6">
                  <c:v>9.1</c:v>
                </c:pt>
              </c:numCache>
            </c:numRef>
          </c:val>
          <c:extLst xmlns:c16r2="http://schemas.microsoft.com/office/drawing/2015/06/chart">
            <c:ext xmlns:c16="http://schemas.microsoft.com/office/drawing/2014/chart" uri="{C3380CC4-5D6E-409C-BE32-E72D297353CC}">
              <c16:uniqueId val="{00000007-30AB-4430-94D1-30F4AE014ACE}"/>
            </c:ext>
          </c:extLst>
        </c:ser>
        <c:ser>
          <c:idx val="1"/>
          <c:order val="1"/>
          <c:tx>
            <c:strRef>
              <c:f>Feuil2!$E$20</c:f>
              <c:strCache>
                <c:ptCount val="1"/>
                <c:pt idx="0">
                  <c:v>2020</c:v>
                </c:pt>
              </c:strCache>
            </c:strRef>
          </c:tx>
          <c:spPr>
            <a:solidFill>
              <a:srgbClr val="FFC000"/>
            </a:solidFill>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Feuil2!$C$21:$C$27</c:f>
              <c:strCache>
                <c:ptCount val="7"/>
                <c:pt idx="0">
                  <c:v>Urbain</c:v>
                </c:pt>
                <c:pt idx="1">
                  <c:v>Rural</c:v>
                </c:pt>
                <c:pt idx="2">
                  <c:v>Masculin</c:v>
                </c:pt>
                <c:pt idx="3">
                  <c:v>Féminin</c:v>
                </c:pt>
                <c:pt idx="4">
                  <c:v>Jeunes âgés de 15 à 24 ans</c:v>
                </c:pt>
                <c:pt idx="5">
                  <c:v>Diplômés</c:v>
                </c:pt>
                <c:pt idx="6">
                  <c:v>National</c:v>
                </c:pt>
              </c:strCache>
            </c:strRef>
          </c:cat>
          <c:val>
            <c:numRef>
              <c:f>Feuil2!$E$21:$E$27</c:f>
              <c:numCache>
                <c:formatCode>General</c:formatCode>
                <c:ptCount val="7"/>
                <c:pt idx="0">
                  <c:v>10.5</c:v>
                </c:pt>
                <c:pt idx="1">
                  <c:v>13.3</c:v>
                </c:pt>
                <c:pt idx="2" formatCode="0.0">
                  <c:v>13</c:v>
                </c:pt>
                <c:pt idx="3">
                  <c:v>6.3</c:v>
                </c:pt>
                <c:pt idx="4">
                  <c:v>19.100000000000001</c:v>
                </c:pt>
                <c:pt idx="5">
                  <c:v>11.8</c:v>
                </c:pt>
                <c:pt idx="6">
                  <c:v>11.6</c:v>
                </c:pt>
              </c:numCache>
            </c:numRef>
          </c:val>
          <c:extLst xmlns:c16r2="http://schemas.microsoft.com/office/drawing/2015/06/chart">
            <c:ext xmlns:c16="http://schemas.microsoft.com/office/drawing/2014/chart" uri="{C3380CC4-5D6E-409C-BE32-E72D297353CC}">
              <c16:uniqueId val="{00000008-30AB-4430-94D1-30F4AE014ACE}"/>
            </c:ext>
          </c:extLst>
        </c:ser>
        <c:gapWidth val="75"/>
        <c:overlap val="-25"/>
        <c:axId val="106816640"/>
        <c:axId val="106818176"/>
      </c:barChart>
      <c:catAx>
        <c:axId val="106816640"/>
        <c:scaling>
          <c:orientation val="minMax"/>
        </c:scaling>
        <c:axPos val="b"/>
        <c:numFmt formatCode="General" sourceLinked="0"/>
        <c:majorTickMark val="none"/>
        <c:tickLblPos val="nextTo"/>
        <c:crossAx val="106818176"/>
        <c:crosses val="autoZero"/>
        <c:auto val="1"/>
        <c:lblAlgn val="ctr"/>
        <c:lblOffset val="100"/>
      </c:catAx>
      <c:valAx>
        <c:axId val="106818176"/>
        <c:scaling>
          <c:orientation val="minMax"/>
        </c:scaling>
        <c:delete val="1"/>
        <c:axPos val="l"/>
        <c:numFmt formatCode="General" sourceLinked="1"/>
        <c:majorTickMark val="none"/>
        <c:tickLblPos val="none"/>
        <c:crossAx val="106816640"/>
        <c:crosses val="autoZero"/>
        <c:crossBetween val="between"/>
      </c:valAx>
    </c:plotArea>
    <c:legend>
      <c:legendPos val="b"/>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fr-FR"/>
  <c:style val="8"/>
  <c:chart>
    <c:plotArea>
      <c:layout/>
      <c:barChart>
        <c:barDir val="bar"/>
        <c:grouping val="clustered"/>
        <c:ser>
          <c:idx val="0"/>
          <c:order val="0"/>
          <c:spPr>
            <a:solidFill>
              <a:srgbClr val="002060"/>
            </a:solidFill>
          </c:spPr>
          <c:dLbls>
            <c:spPr>
              <a:noFill/>
              <a:ln>
                <a:noFill/>
              </a:ln>
              <a:effectLst/>
            </c:spPr>
            <c:txPr>
              <a:bodyPr/>
              <a:lstStyle/>
              <a:p>
                <a:pPr>
                  <a:defRPr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Feuil1!$B$3:$B$13</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Ensemble</c:v>
                </c:pt>
              </c:strCache>
            </c:strRef>
          </c:cat>
          <c:val>
            <c:numRef>
              <c:f>Feuil1!$C$3:$C$13</c:f>
              <c:numCache>
                <c:formatCode>General</c:formatCode>
                <c:ptCount val="11"/>
                <c:pt idx="0">
                  <c:v>45.2</c:v>
                </c:pt>
                <c:pt idx="1">
                  <c:v>41</c:v>
                </c:pt>
                <c:pt idx="2">
                  <c:v>41.5</c:v>
                </c:pt>
                <c:pt idx="3">
                  <c:v>42.4</c:v>
                </c:pt>
                <c:pt idx="4">
                  <c:v>44</c:v>
                </c:pt>
                <c:pt idx="5">
                  <c:v>46.3</c:v>
                </c:pt>
                <c:pt idx="6">
                  <c:v>45.6</c:v>
                </c:pt>
                <c:pt idx="7">
                  <c:v>37.700000000000003</c:v>
                </c:pt>
                <c:pt idx="8">
                  <c:v>40</c:v>
                </c:pt>
                <c:pt idx="9">
                  <c:v>43.2</c:v>
                </c:pt>
                <c:pt idx="10">
                  <c:v>43.5</c:v>
                </c:pt>
              </c:numCache>
            </c:numRef>
          </c:val>
          <c:extLst xmlns:c16r2="http://schemas.microsoft.com/office/drawing/2015/06/chart">
            <c:ext xmlns:c16="http://schemas.microsoft.com/office/drawing/2014/chart" uri="{C3380CC4-5D6E-409C-BE32-E72D297353CC}">
              <c16:uniqueId val="{00000000-712B-4BE1-9D83-9A34C1D3EF28}"/>
            </c:ext>
          </c:extLst>
        </c:ser>
        <c:axId val="106893312"/>
        <c:axId val="106894848"/>
      </c:barChart>
      <c:catAx>
        <c:axId val="106893312"/>
        <c:scaling>
          <c:orientation val="minMax"/>
        </c:scaling>
        <c:axPos val="l"/>
        <c:numFmt formatCode="General" sourceLinked="0"/>
        <c:tickLblPos val="nextTo"/>
        <c:txPr>
          <a:bodyPr/>
          <a:lstStyle/>
          <a:p>
            <a:pPr>
              <a:defRPr sz="900"/>
            </a:pPr>
            <a:endParaRPr lang="fr-FR"/>
          </a:p>
        </c:txPr>
        <c:crossAx val="106894848"/>
        <c:crosses val="autoZero"/>
        <c:auto val="1"/>
        <c:lblAlgn val="ctr"/>
        <c:lblOffset val="100"/>
      </c:catAx>
      <c:valAx>
        <c:axId val="106894848"/>
        <c:scaling>
          <c:orientation val="minMax"/>
        </c:scaling>
        <c:delete val="1"/>
        <c:axPos val="b"/>
        <c:numFmt formatCode="General" sourceLinked="1"/>
        <c:tickLblPos val="none"/>
        <c:crossAx val="106893312"/>
        <c:crosses val="autoZero"/>
        <c:crossBetween val="between"/>
      </c:valAx>
    </c:plotArea>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fr-FR"/>
  <c:chart>
    <c:plotArea>
      <c:layout/>
      <c:barChart>
        <c:barDir val="bar"/>
        <c:grouping val="clustered"/>
        <c:ser>
          <c:idx val="0"/>
          <c:order val="0"/>
          <c:spPr>
            <a:solidFill>
              <a:srgbClr val="002060"/>
            </a:solidFill>
          </c:spPr>
          <c:dLbls>
            <c:spPr>
              <a:noFill/>
              <a:ln>
                <a:noFill/>
              </a:ln>
              <a:effectLst/>
            </c:spPr>
            <c:txPr>
              <a:bodyPr/>
              <a:lstStyle/>
              <a:p>
                <a:pPr>
                  <a:defRPr lang="en-US"/>
                </a:pPr>
                <a:endParaRPr lang="fr-FR"/>
              </a:p>
            </c:txPr>
            <c:showVal val="1"/>
            <c:extLst xmlns:c16r2="http://schemas.microsoft.com/office/drawing/2015/06/chart">
              <c:ext xmlns:c15="http://schemas.microsoft.com/office/drawing/2012/chart" uri="{CE6537A1-D6FC-4f65-9D91-7224C49458BB}">
                <c15:showLeaderLines val="0"/>
              </c:ext>
            </c:extLst>
          </c:dLbls>
          <c:cat>
            <c:strRef>
              <c:f>HASSANIAT32020!$K$29:$K$39</c:f>
              <c:strCache>
                <c:ptCount val="11"/>
                <c:pt idx="0">
                  <c:v>Tanger-Tétouan-Al Hoceïma</c:v>
                </c:pt>
                <c:pt idx="1">
                  <c:v>Oriental</c:v>
                </c:pt>
                <c:pt idx="2">
                  <c:v>Fès-Meknès</c:v>
                </c:pt>
                <c:pt idx="3">
                  <c:v>Rabat-Salé-Kénitra</c:v>
                </c:pt>
                <c:pt idx="4">
                  <c:v>Béni Mellal-Khénifra</c:v>
                </c:pt>
                <c:pt idx="5">
                  <c:v>Casablanca-Settat</c:v>
                </c:pt>
                <c:pt idx="6">
                  <c:v>Marrakech-Safi</c:v>
                </c:pt>
                <c:pt idx="7">
                  <c:v>Drâa-Tafilalet</c:v>
                </c:pt>
                <c:pt idx="8">
                  <c:v>Souss-Massa</c:v>
                </c:pt>
                <c:pt idx="9">
                  <c:v>Régions du Sud</c:v>
                </c:pt>
                <c:pt idx="10">
                  <c:v>Total</c:v>
                </c:pt>
              </c:strCache>
            </c:strRef>
          </c:cat>
          <c:val>
            <c:numRef>
              <c:f>HASSANIAT32020!$L$29:$L$39</c:f>
              <c:numCache>
                <c:formatCode>0.0</c:formatCode>
                <c:ptCount val="11"/>
                <c:pt idx="0">
                  <c:v>12.304388020243055</c:v>
                </c:pt>
                <c:pt idx="1">
                  <c:v>21.21639547608499</c:v>
                </c:pt>
                <c:pt idx="2">
                  <c:v>12.906013850799855</c:v>
                </c:pt>
                <c:pt idx="3">
                  <c:v>12.655612198149822</c:v>
                </c:pt>
                <c:pt idx="4">
                  <c:v>5.8708850046937684</c:v>
                </c:pt>
                <c:pt idx="5">
                  <c:v>14.668245228637312</c:v>
                </c:pt>
                <c:pt idx="6">
                  <c:v>7.7741473357055018</c:v>
                </c:pt>
                <c:pt idx="7">
                  <c:v>13.977396235712323</c:v>
                </c:pt>
                <c:pt idx="8">
                  <c:v>12.200246511088174</c:v>
                </c:pt>
                <c:pt idx="9">
                  <c:v>19.602830863007568</c:v>
                </c:pt>
                <c:pt idx="10">
                  <c:v>12.722480080260956</c:v>
                </c:pt>
              </c:numCache>
            </c:numRef>
          </c:val>
          <c:extLst xmlns:c16r2="http://schemas.microsoft.com/office/drawing/2015/06/chart">
            <c:ext xmlns:c16="http://schemas.microsoft.com/office/drawing/2014/chart" uri="{C3380CC4-5D6E-409C-BE32-E72D297353CC}">
              <c16:uniqueId val="{00000000-44F5-4B0B-A134-E3D106774E8C}"/>
            </c:ext>
          </c:extLst>
        </c:ser>
        <c:axId val="106927232"/>
        <c:axId val="106928768"/>
      </c:barChart>
      <c:catAx>
        <c:axId val="106927232"/>
        <c:scaling>
          <c:orientation val="minMax"/>
        </c:scaling>
        <c:axPos val="l"/>
        <c:numFmt formatCode="General" sourceLinked="0"/>
        <c:tickLblPos val="nextTo"/>
        <c:txPr>
          <a:bodyPr/>
          <a:lstStyle/>
          <a:p>
            <a:pPr>
              <a:defRPr lang="en-US"/>
            </a:pPr>
            <a:endParaRPr lang="fr-FR"/>
          </a:p>
        </c:txPr>
        <c:crossAx val="106928768"/>
        <c:crosses val="autoZero"/>
        <c:auto val="1"/>
        <c:lblAlgn val="ctr"/>
        <c:lblOffset val="100"/>
      </c:catAx>
      <c:valAx>
        <c:axId val="106928768"/>
        <c:scaling>
          <c:orientation val="minMax"/>
        </c:scaling>
        <c:delete val="1"/>
        <c:axPos val="b"/>
        <c:numFmt formatCode="0.0" sourceLinked="1"/>
        <c:tickLblPos val="none"/>
        <c:crossAx val="106927232"/>
        <c:crosses val="autoZero"/>
        <c:crossBetween val="between"/>
      </c:valAx>
    </c:plotArea>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C68549-7076-43BC-A943-70A53DDF5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1750</Words>
  <Characters>9625</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HCP</cp:lastModifiedBy>
  <cp:revision>6</cp:revision>
  <cp:lastPrinted>2020-11-02T18:19:00Z</cp:lastPrinted>
  <dcterms:created xsi:type="dcterms:W3CDTF">2020-11-02T18:50:00Z</dcterms:created>
  <dcterms:modified xsi:type="dcterms:W3CDTF">2020-11-03T08:31:00Z</dcterms:modified>
</cp:coreProperties>
</file>