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E5" w:rsidRPr="003D2EFB" w:rsidRDefault="00770512" w:rsidP="00F407E5">
      <w:pPr>
        <w:spacing w:after="200" w:line="276" w:lineRule="auto"/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</w:pPr>
      <w:r>
        <w:rPr>
          <w:rFonts w:asciiTheme="majorBidi" w:hAnsiTheme="majorBidi" w:cstheme="majorBidi"/>
          <w:b/>
          <w:bCs/>
          <w:color w:val="44546A" w:themeColor="text2"/>
          <w:sz w:val="38"/>
          <w:szCs w:val="38"/>
        </w:rPr>
        <w:t xml:space="preserve">            </w:t>
      </w:r>
    </w:p>
    <w:p w:rsidR="00F407E5" w:rsidRDefault="00F407E5" w:rsidP="00F407E5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  <w:lang w:bidi="tzm-Arab-MA"/>
        </w:rPr>
      </w:pPr>
    </w:p>
    <w:p w:rsidR="00C7547F" w:rsidRPr="003D2EFB" w:rsidRDefault="00C7547F" w:rsidP="00C7547F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  <w:lang w:bidi="tzm-Arab-MA"/>
        </w:rPr>
      </w:pPr>
    </w:p>
    <w:p w:rsidR="00F407E5" w:rsidRPr="003D2EFB" w:rsidRDefault="00F407E5" w:rsidP="00F407E5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44546A" w:themeColor="text2"/>
          <w:sz w:val="38"/>
          <w:szCs w:val="38"/>
        </w:rPr>
      </w:pP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  <w:t xml:space="preserve">مذكرة إخبارية </w:t>
      </w: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  <w:lang w:bidi="tzm-Arab-MA"/>
        </w:rPr>
        <w:t>لل</w:t>
      </w: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  <w:t>مندوبية السامية للتخطيط حول</w:t>
      </w:r>
    </w:p>
    <w:p w:rsidR="00F407E5" w:rsidRPr="003D2EFB" w:rsidRDefault="00F407E5" w:rsidP="00F407E5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</w:pP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  <w:t>وضعية سوق الشغل خلال</w:t>
      </w:r>
      <w:r w:rsidR="00F77712">
        <w:rPr>
          <w:rFonts w:asciiTheme="majorBidi" w:hAnsiTheme="majorBidi" w:cstheme="majorBidi"/>
          <w:b/>
          <w:bCs/>
          <w:color w:val="44546A" w:themeColor="text2"/>
          <w:sz w:val="38"/>
          <w:szCs w:val="38"/>
        </w:rPr>
        <w:t xml:space="preserve"> </w:t>
      </w: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  <w:t>الفصل الث</w:t>
      </w:r>
      <w:r w:rsidR="007B666E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  <w:lang w:bidi="ar-MA"/>
        </w:rPr>
        <w:t>ال</w:t>
      </w:r>
      <w:r w:rsidR="007B666E">
        <w:rPr>
          <w:rFonts w:asciiTheme="majorBidi" w:hAnsiTheme="majorBidi" w:cstheme="majorBidi" w:hint="cs"/>
          <w:b/>
          <w:bCs/>
          <w:color w:val="44546A" w:themeColor="text2"/>
          <w:sz w:val="38"/>
          <w:szCs w:val="38"/>
          <w:rtl/>
          <w:lang w:bidi="tzm-Arab-MA"/>
        </w:rPr>
        <w:t>ث</w:t>
      </w:r>
      <w:r w:rsidR="00F77712">
        <w:rPr>
          <w:rFonts w:asciiTheme="majorBidi" w:hAnsiTheme="majorBidi" w:cstheme="majorBidi"/>
          <w:b/>
          <w:bCs/>
          <w:color w:val="44546A" w:themeColor="text2"/>
          <w:sz w:val="38"/>
          <w:szCs w:val="38"/>
          <w:lang w:bidi="ar-MA"/>
        </w:rPr>
        <w:t xml:space="preserve"> </w:t>
      </w: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  <w:t>من</w:t>
      </w:r>
      <w:r w:rsidR="00F77712">
        <w:rPr>
          <w:rFonts w:asciiTheme="majorBidi" w:hAnsiTheme="majorBidi" w:cstheme="majorBidi"/>
          <w:b/>
          <w:bCs/>
          <w:color w:val="44546A" w:themeColor="text2"/>
          <w:sz w:val="38"/>
          <w:szCs w:val="38"/>
        </w:rPr>
        <w:t xml:space="preserve"> </w:t>
      </w: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  <w:t xml:space="preserve">سنة </w:t>
      </w:r>
      <w:r w:rsidRPr="003D2EFB">
        <w:rPr>
          <w:rFonts w:asciiTheme="majorBidi" w:hAnsiTheme="majorBidi" w:cstheme="majorBidi"/>
          <w:b/>
          <w:bCs/>
          <w:color w:val="44546A" w:themeColor="text2"/>
          <w:sz w:val="38"/>
          <w:szCs w:val="38"/>
        </w:rPr>
        <w:t>2020</w:t>
      </w:r>
    </w:p>
    <w:p w:rsidR="00F407E5" w:rsidRPr="003D2EFB" w:rsidRDefault="00F407E5" w:rsidP="00F407E5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color w:val="44546A" w:themeColor="text2"/>
          <w:sz w:val="38"/>
          <w:szCs w:val="38"/>
          <w:rtl/>
        </w:rPr>
      </w:pPr>
    </w:p>
    <w:p w:rsidR="00F407E5" w:rsidRPr="00C7547F" w:rsidRDefault="007B666E" w:rsidP="007553D2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ما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بين الفصل الثالث من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سنة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2019 و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نفس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الفترة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 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من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سنة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2020، فقد الاقتصاد الوطني 237</w:t>
      </w:r>
      <w:r w:rsidR="003B29E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ar-DZ"/>
        </w:rPr>
        <w:t>000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منصب في المناطق الحضرية و344</w:t>
      </w:r>
      <w:r w:rsidR="003B29E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000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في المناطق القروية، </w:t>
      </w:r>
      <w:r w:rsidR="0070648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أي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 فقدان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581</w:t>
      </w:r>
      <w:r w:rsidR="003B29E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000</w:t>
      </w:r>
      <w:r w:rsidR="003B29E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ar-DZ"/>
        </w:rPr>
        <w:t xml:space="preserve"> 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منصب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 على المستوى الوطني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.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 </w:t>
      </w:r>
      <w:r w:rsidR="00D02824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سنة من قبل، أي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ما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بين الفصل الثالث من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سنة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2018 و</w:t>
      </w:r>
      <w:r w:rsidR="007553D2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نفس</w:t>
      </w:r>
      <w:r w:rsidR="007553D2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 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الفترة من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سنة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2019،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أحدث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الاقتصاد الوطني 143</w:t>
      </w:r>
      <w:r w:rsidR="003B29E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000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منصب شغل.</w:t>
      </w:r>
    </w:p>
    <w:p w:rsidR="00F407E5" w:rsidRPr="00C7547F" w:rsidRDefault="00F407E5" w:rsidP="007553D2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فقد قطاع </w:t>
      </w:r>
      <w:r w:rsidR="003B29E3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"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الخدمات</w:t>
      </w:r>
      <w:r w:rsidR="003B29E3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"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260.000، وقطاع "الفلاحة والغابة والصيد" 258.</w:t>
      </w:r>
      <w:r w:rsidR="00C7547F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000 </w:t>
      </w:r>
      <w:r w:rsidR="00FB5579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منصب</w:t>
      </w:r>
      <w:r w:rsidR="00FB5579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FB5579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و"الصناعة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بما فيها الصناعة التقليدية" 61.000 منصب، بينما </w:t>
      </w:r>
      <w:r w:rsidR="007B666E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أحدث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قطاع "البناء والأشغال </w:t>
      </w:r>
      <w:r w:rsidR="00C7547F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العمومية" 1000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منصب.</w:t>
      </w:r>
    </w:p>
    <w:p w:rsidR="00F407E5" w:rsidRPr="00C7547F" w:rsidRDefault="007B666E" w:rsidP="007553D2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</w:pP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و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بلغ الحجم الإجمالي للبطالة 1.482.000 شخص على الصعيد الوطني، 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أي 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بزيادة قدرها 368.000 عاطل</w:t>
      </w:r>
      <w:r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 على المستوى الوطني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، 276.000 في </w:t>
      </w:r>
      <w:r w:rsidR="007553D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الوسط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الحضري و 92.000 في </w:t>
      </w:r>
      <w:r w:rsidR="007553D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الوسط</w:t>
      </w:r>
      <w:r w:rsidR="00F407E5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القروي.</w:t>
      </w:r>
    </w:p>
    <w:p w:rsidR="00F407E5" w:rsidRPr="00C7547F" w:rsidRDefault="00F407E5" w:rsidP="007553D2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وهكذا انتقل معدل البطالة من %</w:t>
      </w:r>
      <w:r w:rsidR="007B666E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4</w:t>
      </w:r>
      <w:r w:rsidR="007B666E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lang w:bidi="tzm-Arab-MA"/>
        </w:rPr>
        <w:t>,</w:t>
      </w:r>
      <w:r w:rsidR="007B666E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9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 %</w:t>
      </w:r>
      <w:r w:rsidR="007B666E"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lang w:bidi="tzm-Arab-MA"/>
        </w:rPr>
        <w:t xml:space="preserve"> 12,7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على الصعيد الوطني، ومن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12,7%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16,5%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في </w:t>
      </w:r>
      <w:r w:rsidR="007553D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الوسط ا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لحضري ومن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4,5%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6,8%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 في </w:t>
      </w:r>
      <w:r w:rsidR="007553D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الوسط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القروي. وسجلت </w:t>
      </w:r>
      <w:r w:rsidR="00FB5579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أهم </w:t>
      </w:r>
      <w:r w:rsidR="007553D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الإرتفاعات</w:t>
      </w:r>
      <w:r w:rsidR="00FB5579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 في معدل </w:t>
      </w:r>
      <w:r w:rsidR="007553D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ا</w:t>
      </w:r>
      <w:r w:rsidR="00FB5579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لبطالة 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بين النساء، من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13,9% 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17,6%</w:t>
      </w:r>
      <w:r w:rsidR="00FB5579" w:rsidRPr="00FB5579">
        <w:rPr>
          <w:rFonts w:asciiTheme="majorBidi" w:eastAsia="Times New Roman" w:hAnsiTheme="majorBidi" w:cstheme="majorBidi"/>
          <w:color w:val="0070C0"/>
          <w:sz w:val="28"/>
          <w:szCs w:val="28"/>
          <w:rtl/>
          <w:lang w:eastAsia="fr-FR" w:bidi="ar-MA"/>
        </w:rPr>
        <w:t>،</w:t>
      </w:r>
      <w:r w:rsidR="00FB5579" w:rsidRPr="00FB5579">
        <w:rPr>
          <w:rFonts w:asciiTheme="majorBidi" w:eastAsia="Times New Roman" w:hAnsiTheme="majorBidi" w:cstheme="majorBidi"/>
          <w:color w:val="0070C0"/>
          <w:sz w:val="28"/>
          <w:szCs w:val="28"/>
          <w:lang w:eastAsia="fr-FR" w:bidi="ar-MA"/>
        </w:rPr>
        <w:t xml:space="preserve"> 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وبين الرجال من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8,0% 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11,4% </w:t>
      </w:r>
      <w:r w:rsidR="00FB5579" w:rsidRPr="00FB5579">
        <w:rPr>
          <w:rFonts w:asciiTheme="majorBidi" w:eastAsia="Times New Roman" w:hAnsiTheme="majorBidi" w:cstheme="majorBidi"/>
          <w:color w:val="0070C0"/>
          <w:sz w:val="28"/>
          <w:szCs w:val="28"/>
          <w:rtl/>
          <w:lang w:eastAsia="fr-FR" w:bidi="ar-MA"/>
        </w:rPr>
        <w:t>،</w:t>
      </w:r>
      <w:r w:rsidR="00FB5579"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 </w:t>
      </w:r>
      <w:r w:rsidRP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وبين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الشباب </w:t>
      </w:r>
      <w:r w:rsidR="007B666E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البالغين من السن</w:t>
      </w:r>
      <w:r w:rsidR="00D02824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15 إلى 24</w:t>
      </w:r>
      <w:r w:rsidR="00D02824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سنة</w:t>
      </w:r>
      <w:r w:rsidR="007B666E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،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من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26,7%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32,3%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.</w:t>
      </w:r>
    </w:p>
    <w:p w:rsidR="00F407E5" w:rsidRPr="00C7547F" w:rsidRDefault="00F407E5" w:rsidP="00C7547F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بلغ عدد السكان النشيطين المشتغلين في حالة الشغل الناقص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1.182.000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شخص. </w:t>
      </w:r>
      <w:r w:rsidR="007B666E" w:rsidRPr="00C7547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و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انتقل معدل الشغل الناقص من</w:t>
      </w:r>
      <w:r w:rsid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9,1%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إلى </w:t>
      </w:r>
      <w:r w:rsid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11,6%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على المستوى الوطني، ومن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7,8%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10,5%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في المناطق الحضرية ومن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10,8%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إلى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13,3% </w:t>
      </w:r>
      <w:r w:rsidRPr="00C7547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في المناطق القروية</w:t>
      </w:r>
      <w:r w:rsidR="00FB557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.</w:t>
      </w:r>
    </w:p>
    <w:p w:rsidR="00F407E5" w:rsidRPr="00C7547F" w:rsidRDefault="00F407E5" w:rsidP="00C7547F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</w:pPr>
    </w:p>
    <w:p w:rsidR="00F407E5" w:rsidRPr="00C7547F" w:rsidRDefault="00F407E5" w:rsidP="00C7547F">
      <w:pPr>
        <w:bidi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F407E5" w:rsidRPr="003D2EFB" w:rsidRDefault="00F407E5" w:rsidP="00F407E5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:rsidR="00F407E5" w:rsidRPr="003D2EFB" w:rsidRDefault="00F407E5" w:rsidP="00F407E5">
      <w:pPr>
        <w:bidi/>
        <w:jc w:val="both"/>
        <w:rPr>
          <w:rFonts w:asciiTheme="majorBidi" w:hAnsiTheme="majorBidi" w:cstheme="majorBidi"/>
        </w:rPr>
      </w:pPr>
    </w:p>
    <w:p w:rsidR="00C75138" w:rsidRPr="003D2EFB" w:rsidRDefault="00C75138" w:rsidP="00C75138">
      <w:pPr>
        <w:pStyle w:val="Paragraphedeliste"/>
        <w:numPr>
          <w:ilvl w:val="0"/>
          <w:numId w:val="3"/>
        </w:numPr>
        <w:bidi/>
        <w:spacing w:before="240" w:line="276" w:lineRule="auto"/>
        <w:ind w:left="1080"/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  <w:r w:rsidRPr="003D2EFB"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:rsidR="00267E43" w:rsidRPr="003D2EFB" w:rsidRDefault="002927EF" w:rsidP="00267E4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548DD4"/>
          <w:sz w:val="32"/>
          <w:szCs w:val="32"/>
          <w:rtl/>
          <w:lang w:bidi="tzm-Arab-MA"/>
        </w:rPr>
        <w:t>إنخفاظ</w:t>
      </w:r>
      <w:r w:rsidR="00267E43" w:rsidRPr="003D2EFB"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  <w:t xml:space="preserve"> النشاط والشغل</w:t>
      </w:r>
    </w:p>
    <w:p w:rsidR="00267E43" w:rsidRPr="003D2EFB" w:rsidRDefault="00267E43" w:rsidP="007553D2">
      <w:pPr>
        <w:bidi/>
        <w:spacing w:after="120" w:line="360" w:lineRule="auto"/>
        <w:ind w:left="-2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D2EFB">
        <w:rPr>
          <w:rFonts w:asciiTheme="majorBidi" w:hAnsiTheme="majorBidi" w:cstheme="majorBidi"/>
          <w:sz w:val="28"/>
          <w:szCs w:val="28"/>
          <w:rtl/>
        </w:rPr>
        <w:t xml:space="preserve">ما بين الفصل الثالث من سنة 2019 ونفس الفترة من سنة 2020 ، عرف معدل النشاط </w:t>
      </w:r>
      <w:r w:rsidR="003B29E3" w:rsidRPr="002927EF">
        <w:rPr>
          <w:rFonts w:asciiTheme="majorBidi" w:hAnsiTheme="majorBidi" w:cstheme="majorBidi" w:hint="cs"/>
          <w:sz w:val="28"/>
          <w:szCs w:val="28"/>
          <w:rtl/>
        </w:rPr>
        <w:t>انخفاض</w:t>
      </w:r>
      <w:r w:rsidR="002927EF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على</w:t>
      </w:r>
      <w:r w:rsidRPr="003D2EFB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المستوى الوطني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من</w:t>
      </w:r>
      <w:r w:rsidRPr="003D2EFB">
        <w:rPr>
          <w:rFonts w:asciiTheme="majorBidi" w:hAnsiTheme="majorBidi" w:cstheme="majorBidi"/>
          <w:sz w:val="28"/>
          <w:szCs w:val="28"/>
        </w:rPr>
        <w:t xml:space="preserve"> 44,9%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Pr="003D2EFB">
        <w:rPr>
          <w:rFonts w:asciiTheme="majorBidi" w:eastAsia="Book Antiqua" w:hAnsiTheme="majorBidi" w:cstheme="majorBidi"/>
          <w:sz w:val="28"/>
          <w:szCs w:val="28"/>
        </w:rPr>
        <w:t>43,5%</w:t>
      </w:r>
      <w:r w:rsidRPr="003D2EFB">
        <w:rPr>
          <w:rFonts w:asciiTheme="majorBidi" w:hAnsiTheme="majorBidi" w:cstheme="majorBidi"/>
          <w:sz w:val="28"/>
          <w:szCs w:val="28"/>
          <w:rtl/>
        </w:rPr>
        <w:t>.</w:t>
      </w:r>
      <w:r w:rsidR="002927E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553D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كما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سجل هذا المعدل </w:t>
      </w:r>
      <w:r w:rsidR="003B29E3" w:rsidRPr="002927EF">
        <w:rPr>
          <w:rFonts w:asciiTheme="majorBidi" w:hAnsiTheme="majorBidi" w:cstheme="majorBidi" w:hint="cs"/>
          <w:sz w:val="28"/>
          <w:szCs w:val="28"/>
          <w:rtl/>
        </w:rPr>
        <w:t>انخفاض</w:t>
      </w:r>
      <w:r w:rsidR="002927EF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="002927EF" w:rsidRPr="003D2EF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>بالوسط الحضري حيث انتقل من</w:t>
      </w:r>
      <w:r w:rsidRPr="003D2EFB">
        <w:rPr>
          <w:rFonts w:asciiTheme="majorBidi" w:hAnsiTheme="majorBidi" w:cstheme="majorBidi"/>
          <w:sz w:val="28"/>
          <w:szCs w:val="28"/>
        </w:rPr>
        <w:t xml:space="preserve">  41,7%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إلى </w:t>
      </w:r>
      <w:r w:rsidR="002927EF">
        <w:rPr>
          <w:rFonts w:asciiTheme="majorBidi" w:hAnsiTheme="majorBidi" w:cstheme="majorBidi"/>
          <w:sz w:val="28"/>
          <w:szCs w:val="28"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</w:rPr>
        <w:t>41,0%</w:t>
      </w:r>
      <w:r w:rsidR="007553D2">
        <w:rPr>
          <w:rFonts w:asciiTheme="majorBidi" w:hAnsiTheme="majorBidi" w:cstheme="majorBidi"/>
          <w:sz w:val="28"/>
          <w:szCs w:val="28"/>
          <w:rtl/>
        </w:rPr>
        <w:t>و</w:t>
      </w:r>
      <w:r w:rsidR="002927EF" w:rsidRPr="003D2EFB">
        <w:rPr>
          <w:rFonts w:asciiTheme="majorBidi" w:hAnsiTheme="majorBidi" w:cstheme="majorBidi"/>
          <w:sz w:val="28"/>
          <w:szCs w:val="28"/>
          <w:rtl/>
        </w:rPr>
        <w:t>بالوسط القروي</w:t>
      </w:r>
      <w:r w:rsidR="002927EF" w:rsidRPr="003D2EFB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</w:t>
      </w:r>
      <w:r w:rsidRPr="003D2EFB">
        <w:rPr>
          <w:rFonts w:asciiTheme="majorBidi" w:hAnsiTheme="majorBidi" w:cstheme="majorBidi"/>
          <w:sz w:val="28"/>
          <w:szCs w:val="28"/>
        </w:rPr>
        <w:t xml:space="preserve">50,8%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إلى </w:t>
      </w:r>
      <w:r w:rsidRPr="003D2EFB">
        <w:rPr>
          <w:rFonts w:asciiTheme="majorBidi" w:hAnsiTheme="majorBidi" w:cstheme="majorBidi"/>
          <w:sz w:val="28"/>
          <w:szCs w:val="28"/>
        </w:rPr>
        <w:t>48,0%.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وقد بلغ الفرق بين معدلات النشاط لدى الرجال والنساء حوالي </w:t>
      </w:r>
      <w:r w:rsidRPr="003D2EFB">
        <w:rPr>
          <w:rFonts w:asciiTheme="majorBidi" w:hAnsiTheme="majorBidi" w:cstheme="majorBidi"/>
          <w:sz w:val="28"/>
          <w:szCs w:val="28"/>
        </w:rPr>
        <w:t>52,1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نقطة (</w:t>
      </w:r>
      <w:r w:rsidRPr="003D2EFB">
        <w:rPr>
          <w:rFonts w:asciiTheme="majorBidi" w:hAnsiTheme="majorBidi" w:cstheme="majorBidi"/>
          <w:sz w:val="28"/>
          <w:szCs w:val="28"/>
        </w:rPr>
        <w:t>69,9%</w:t>
      </w:r>
      <w:r w:rsidRPr="003D2EFB">
        <w:rPr>
          <w:rFonts w:asciiTheme="majorBidi" w:hAnsiTheme="majorBidi" w:cstheme="majorBidi"/>
          <w:sz w:val="28"/>
          <w:szCs w:val="28"/>
          <w:rtl/>
        </w:rPr>
        <w:t>و</w:t>
      </w:r>
      <w:r w:rsidRPr="003D2EFB">
        <w:rPr>
          <w:rFonts w:asciiTheme="majorBidi" w:hAnsiTheme="majorBidi" w:cstheme="majorBidi"/>
          <w:sz w:val="28"/>
          <w:szCs w:val="28"/>
        </w:rPr>
        <w:t xml:space="preserve"> 17,8% </w:t>
      </w:r>
      <w:r w:rsidRPr="003D2EFB">
        <w:rPr>
          <w:rFonts w:asciiTheme="majorBidi" w:hAnsiTheme="majorBidi" w:cstheme="majorBidi"/>
          <w:sz w:val="28"/>
          <w:szCs w:val="28"/>
          <w:rtl/>
        </w:rPr>
        <w:t>على التوالي).</w:t>
      </w:r>
    </w:p>
    <w:p w:rsidR="00267E43" w:rsidRPr="003D2EFB" w:rsidRDefault="00267E43" w:rsidP="00C7547F">
      <w:pPr>
        <w:bidi/>
        <w:spacing w:after="120" w:line="360" w:lineRule="auto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3D2EFB">
        <w:rPr>
          <w:rFonts w:asciiTheme="majorBidi" w:hAnsiTheme="majorBidi" w:cstheme="majorBidi"/>
          <w:sz w:val="28"/>
          <w:szCs w:val="28"/>
          <w:rtl/>
          <w:lang w:bidi="ar-MA"/>
        </w:rPr>
        <w:t>ومن جهته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2927EF" w:rsidRPr="003D2EFB">
        <w:rPr>
          <w:rFonts w:asciiTheme="majorBidi" w:hAnsiTheme="majorBidi" w:cstheme="majorBidi"/>
          <w:sz w:val="28"/>
          <w:szCs w:val="28"/>
          <w:rtl/>
        </w:rPr>
        <w:t>ا</w:t>
      </w:r>
      <w:r w:rsidR="002927EF" w:rsidRPr="003D2EFB">
        <w:rPr>
          <w:rFonts w:asciiTheme="majorBidi" w:hAnsiTheme="majorBidi" w:cstheme="majorBidi"/>
          <w:sz w:val="28"/>
          <w:szCs w:val="28"/>
          <w:rtl/>
          <w:lang w:bidi="ar-MA"/>
        </w:rPr>
        <w:t>نخفض</w:t>
      </w:r>
      <w:r w:rsidR="002927E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معدل الشغل من </w:t>
      </w:r>
      <w:r w:rsidRPr="003D2EFB">
        <w:rPr>
          <w:rFonts w:asciiTheme="majorBidi" w:hAnsiTheme="majorBidi" w:cstheme="majorBidi"/>
          <w:sz w:val="28"/>
          <w:szCs w:val="28"/>
        </w:rPr>
        <w:t xml:space="preserve"> 40,7%</w:t>
      </w:r>
      <w:r w:rsidRPr="003D2EFB">
        <w:rPr>
          <w:rFonts w:asciiTheme="majorBidi" w:hAnsiTheme="majorBidi" w:cstheme="majorBidi"/>
          <w:sz w:val="28"/>
          <w:szCs w:val="28"/>
          <w:rtl/>
        </w:rPr>
        <w:t>إلى</w:t>
      </w:r>
      <w:r w:rsidRPr="003D2EFB">
        <w:rPr>
          <w:rFonts w:asciiTheme="majorBidi" w:hAnsiTheme="majorBidi" w:cstheme="majorBidi"/>
          <w:sz w:val="28"/>
          <w:szCs w:val="28"/>
        </w:rPr>
        <w:t xml:space="preserve"> 37,9%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على المستوى الوطني. وعرف هذا المعدل </w:t>
      </w:r>
      <w:r w:rsidR="003B29E3" w:rsidRPr="002927EF">
        <w:rPr>
          <w:rFonts w:asciiTheme="majorBidi" w:hAnsiTheme="majorBidi" w:cstheme="majorBidi" w:hint="cs"/>
          <w:sz w:val="28"/>
          <w:szCs w:val="28"/>
          <w:rtl/>
        </w:rPr>
        <w:t>انخفاض</w:t>
      </w:r>
      <w:r w:rsidR="002927EF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="002927EF" w:rsidRPr="003D2EF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بـ </w:t>
      </w:r>
      <w:r w:rsidRPr="003D2EFB">
        <w:rPr>
          <w:rFonts w:asciiTheme="majorBidi" w:hAnsiTheme="majorBidi" w:cstheme="majorBidi"/>
          <w:sz w:val="28"/>
          <w:szCs w:val="28"/>
        </w:rPr>
        <w:t>2,1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نقطة بالوسط الحضري</w:t>
      </w:r>
      <w:r w:rsidR="002927EF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كما تراجع بـ </w:t>
      </w:r>
      <w:r w:rsidRPr="003D2EFB">
        <w:rPr>
          <w:rFonts w:asciiTheme="majorBidi" w:hAnsiTheme="majorBidi" w:cstheme="majorBidi"/>
          <w:sz w:val="28"/>
          <w:szCs w:val="28"/>
        </w:rPr>
        <w:t>3,7</w:t>
      </w:r>
      <w:r w:rsidRPr="003D2EFB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نقطة بالوسط القروي.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وقد بلغ الفرق بين معدلات الشغل لدى الرجال والنساء حوالي </w:t>
      </w:r>
      <w:r w:rsidRPr="003D2EFB">
        <w:rPr>
          <w:rFonts w:asciiTheme="majorBidi" w:hAnsiTheme="majorBidi" w:cstheme="majorBidi"/>
          <w:sz w:val="28"/>
          <w:szCs w:val="28"/>
        </w:rPr>
        <w:t>47,2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نقطة (</w:t>
      </w:r>
      <w:r w:rsidRPr="003D2EFB">
        <w:rPr>
          <w:rFonts w:asciiTheme="majorBidi" w:hAnsiTheme="majorBidi" w:cstheme="majorBidi"/>
          <w:sz w:val="28"/>
          <w:szCs w:val="28"/>
        </w:rPr>
        <w:t>61,9%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3D2EFB">
        <w:rPr>
          <w:rFonts w:asciiTheme="majorBidi" w:hAnsiTheme="majorBidi" w:cstheme="majorBidi"/>
          <w:sz w:val="28"/>
          <w:szCs w:val="28"/>
        </w:rPr>
        <w:t xml:space="preserve">14,7%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على التوالي).</w:t>
      </w:r>
    </w:p>
    <w:p w:rsidR="00267E43" w:rsidRPr="003D2EFB" w:rsidRDefault="00267E43" w:rsidP="00C7547F">
      <w:pPr>
        <w:bidi/>
        <w:spacing w:after="120" w:line="360" w:lineRule="auto"/>
        <w:ind w:left="-2"/>
        <w:jc w:val="both"/>
        <w:rPr>
          <w:rFonts w:asciiTheme="majorBidi" w:eastAsia="Times New Roman" w:hAnsiTheme="majorBidi" w:cstheme="majorBidi"/>
          <w:sz w:val="28"/>
          <w:szCs w:val="28"/>
          <w:rtl/>
          <w:lang w:val="en-US" w:eastAsia="fr-FR"/>
        </w:rPr>
      </w:pPr>
      <w:r w:rsidRPr="003D2EFB">
        <w:rPr>
          <w:rFonts w:asciiTheme="majorBidi" w:eastAsia="Times New Roman" w:hAnsiTheme="majorBidi" w:cstheme="majorBidi"/>
          <w:sz w:val="28"/>
          <w:szCs w:val="28"/>
          <w:rtl/>
          <w:lang w:val="en-US" w:eastAsia="fr-FR"/>
        </w:rPr>
        <w:t xml:space="preserve">وقد </w:t>
      </w:r>
      <w:r w:rsidR="002927EF" w:rsidRPr="003D2EFB">
        <w:rPr>
          <w:rFonts w:asciiTheme="majorBidi" w:hAnsiTheme="majorBidi" w:cstheme="majorBidi"/>
          <w:sz w:val="28"/>
          <w:szCs w:val="28"/>
          <w:rtl/>
        </w:rPr>
        <w:t>ا</w:t>
      </w:r>
      <w:r w:rsidR="002927EF" w:rsidRPr="003D2EFB">
        <w:rPr>
          <w:rFonts w:asciiTheme="majorBidi" w:hAnsiTheme="majorBidi" w:cstheme="majorBidi"/>
          <w:sz w:val="28"/>
          <w:szCs w:val="28"/>
          <w:rtl/>
          <w:lang w:bidi="ar-MA"/>
        </w:rPr>
        <w:t>نخفض</w:t>
      </w:r>
      <w:r w:rsidR="002927E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حجم التشغيل بــ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581.000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 شغل،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نتيجة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لفقدان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237.000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 بالوسط الحضري 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344.000</w:t>
      </w:r>
      <w:r w:rsidR="003B29E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منصب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بالوسط القروي. وحسب نوع الشغل، تم 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فقدان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421.000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 شغل مؤدى عنه،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val="en-GB" w:eastAsia="fr-FR" w:bidi="ar-MA"/>
        </w:rPr>
        <w:t xml:space="preserve"> وذلك نتيجة </w:t>
      </w:r>
      <w:r w:rsidR="002927EF"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فقدان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226.000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الحضري و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195.000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القروي. كما عرف الشغل غير المؤدى عنه،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تراجعا بــ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160.000</w:t>
      </w:r>
      <w:r w:rsidR="00FB557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منصب، نتيجة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فقدان</w:t>
      </w:r>
      <w:r w:rsidR="00FB557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149.000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 بالمناطق القروية و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11.000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بالمناطق الحضرية. </w:t>
      </w:r>
    </w:p>
    <w:p w:rsidR="00267E43" w:rsidRPr="00C7547F" w:rsidRDefault="00267E43" w:rsidP="002927EF">
      <w:pPr>
        <w:bidi/>
        <w:spacing w:after="0" w:line="360" w:lineRule="auto"/>
        <w:ind w:left="-2"/>
        <w:jc w:val="center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val="en-US" w:eastAsia="fr-FR" w:bidi="ar-MA"/>
        </w:rPr>
      </w:pP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val="en-US" w:eastAsia="fr-FR" w:bidi="ar-MA"/>
        </w:rPr>
        <w:t>مبيان 1: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 </w:t>
      </w:r>
      <w:r w:rsidR="002927EF" w:rsidRPr="00C7547F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tzm-Arab-MA"/>
        </w:rPr>
        <w:t xml:space="preserve">التغير 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الصافي لمناصب الشغل 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val="en-US" w:eastAsia="fr-FR" w:bidi="ar-MA"/>
        </w:rPr>
        <w:t xml:space="preserve">ما بين الفصل 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/>
        </w:rPr>
        <w:t>الثالث</w:t>
      </w:r>
      <w:r w:rsidR="003B29E3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/>
        </w:rPr>
        <w:t xml:space="preserve"> 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val="en-US" w:eastAsia="fr-FR" w:bidi="ar-MA"/>
        </w:rPr>
        <w:t xml:space="preserve">لسنة 2019 ونفس الفصل من سنة 2020  </w:t>
      </w:r>
    </w:p>
    <w:p w:rsidR="00267E43" w:rsidRPr="00C7547F" w:rsidRDefault="00267E43" w:rsidP="00267E43">
      <w:pPr>
        <w:bidi/>
        <w:spacing w:after="0" w:line="360" w:lineRule="auto"/>
        <w:ind w:left="-2"/>
        <w:jc w:val="center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</w:pP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>حسب نوع الشغل ووسط الإقامة</w:t>
      </w:r>
    </w:p>
    <w:p w:rsidR="00267E43" w:rsidRPr="003D2EFB" w:rsidRDefault="00267E43" w:rsidP="00267E43">
      <w:pPr>
        <w:bidi/>
        <w:spacing w:after="0" w:line="360" w:lineRule="auto"/>
        <w:ind w:left="-2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lang w:eastAsia="fr-FR" w:bidi="ar-MA"/>
        </w:rPr>
      </w:pPr>
      <w:r w:rsidRPr="003D2EFB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95850" cy="24384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7E43" w:rsidRPr="003D2EFB" w:rsidRDefault="00267E43" w:rsidP="00267E43">
      <w:pPr>
        <w:bidi/>
        <w:spacing w:after="0" w:line="360" w:lineRule="auto"/>
        <w:ind w:left="-2"/>
        <w:jc w:val="center"/>
        <w:rPr>
          <w:rFonts w:asciiTheme="majorBidi" w:eastAsia="Times New Roman" w:hAnsiTheme="majorBidi" w:cstheme="majorBidi"/>
          <w:b/>
          <w:bCs/>
          <w:noProof/>
          <w:sz w:val="26"/>
          <w:szCs w:val="26"/>
          <w:rtl/>
          <w:lang w:eastAsia="fr-FR"/>
        </w:rPr>
      </w:pPr>
    </w:p>
    <w:p w:rsidR="002927EF" w:rsidRDefault="002927EF">
      <w:pPr>
        <w:rPr>
          <w:rFonts w:asciiTheme="majorBidi" w:eastAsia="Times New Roman" w:hAnsiTheme="majorBidi" w:cstheme="majorBidi"/>
          <w:b/>
          <w:bCs/>
          <w:sz w:val="26"/>
          <w:szCs w:val="26"/>
          <w:rtl/>
          <w:lang w:eastAsia="fr-FR" w:bidi="ar-MA"/>
        </w:rPr>
      </w:pPr>
      <w:r>
        <w:rPr>
          <w:rFonts w:asciiTheme="majorBidi" w:eastAsia="Times New Roman" w:hAnsiTheme="majorBidi" w:cstheme="majorBidi"/>
          <w:b/>
          <w:bCs/>
          <w:sz w:val="26"/>
          <w:szCs w:val="26"/>
          <w:rtl/>
          <w:lang w:eastAsia="fr-FR" w:bidi="ar-MA"/>
        </w:rPr>
        <w:br w:type="page"/>
      </w:r>
    </w:p>
    <w:p w:rsidR="00267E43" w:rsidRPr="003D2EFB" w:rsidRDefault="002927EF" w:rsidP="007553D2">
      <w:pPr>
        <w:autoSpaceDE w:val="0"/>
        <w:autoSpaceDN w:val="0"/>
        <w:bidi/>
        <w:adjustRightInd w:val="0"/>
        <w:spacing w:after="0" w:line="480" w:lineRule="auto"/>
        <w:jc w:val="both"/>
        <w:rPr>
          <w:rFonts w:asciiTheme="majorBidi" w:eastAsia="Times New Roman" w:hAnsiTheme="majorBidi" w:cstheme="majorBidi"/>
          <w:b/>
          <w:bCs/>
          <w:color w:val="548DD4"/>
          <w:sz w:val="32"/>
          <w:szCs w:val="32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b/>
          <w:bCs/>
          <w:color w:val="548DD4"/>
          <w:sz w:val="32"/>
          <w:szCs w:val="32"/>
          <w:rtl/>
          <w:lang w:eastAsia="fr-FR" w:bidi="tzm-Arab-MA"/>
        </w:rPr>
        <w:lastRenderedPageBreak/>
        <w:t xml:space="preserve">فقدان الشغل في جل </w:t>
      </w:r>
      <w:r w:rsidR="00267E43" w:rsidRPr="003D2EFB">
        <w:rPr>
          <w:rFonts w:asciiTheme="majorBidi" w:eastAsia="Times New Roman" w:hAnsiTheme="majorBidi" w:cstheme="majorBidi"/>
          <w:b/>
          <w:bCs/>
          <w:color w:val="548DD4"/>
          <w:sz w:val="32"/>
          <w:szCs w:val="32"/>
          <w:rtl/>
          <w:lang w:eastAsia="fr-FR"/>
        </w:rPr>
        <w:t>القطاع</w:t>
      </w:r>
      <w:r>
        <w:rPr>
          <w:rFonts w:asciiTheme="majorBidi" w:eastAsia="Times New Roman" w:hAnsiTheme="majorBidi" w:cstheme="majorBidi" w:hint="cs"/>
          <w:b/>
          <w:bCs/>
          <w:color w:val="548DD4"/>
          <w:sz w:val="32"/>
          <w:szCs w:val="32"/>
          <w:rtl/>
          <w:lang w:eastAsia="fr-FR"/>
        </w:rPr>
        <w:t>ات</w:t>
      </w:r>
      <w:r w:rsidR="007553D2">
        <w:rPr>
          <w:rFonts w:asciiTheme="majorBidi" w:eastAsia="Times New Roman" w:hAnsiTheme="majorBidi" w:cstheme="majorBidi" w:hint="cs"/>
          <w:b/>
          <w:bCs/>
          <w:color w:val="548DD4"/>
          <w:sz w:val="32"/>
          <w:szCs w:val="32"/>
          <w:rtl/>
          <w:lang w:eastAsia="fr-FR"/>
        </w:rPr>
        <w:t xml:space="preserve"> و </w:t>
      </w:r>
      <w:r w:rsidR="007553D2" w:rsidRPr="007553D2">
        <w:rPr>
          <w:rFonts w:asciiTheme="majorBidi" w:eastAsia="Times New Roman" w:hAnsiTheme="majorBidi" w:cstheme="majorBidi" w:hint="cs"/>
          <w:b/>
          <w:bCs/>
          <w:color w:val="548DD4"/>
          <w:sz w:val="32"/>
          <w:szCs w:val="32"/>
          <w:rtl/>
          <w:lang w:eastAsia="fr-FR"/>
        </w:rPr>
        <w:t>استقرار</w:t>
      </w:r>
      <w:r w:rsidR="007553D2">
        <w:rPr>
          <w:rFonts w:asciiTheme="majorBidi" w:eastAsia="Times New Roman" w:hAnsiTheme="majorBidi" w:cstheme="majorBidi" w:hint="cs"/>
          <w:b/>
          <w:bCs/>
          <w:color w:val="548DD4"/>
          <w:sz w:val="32"/>
          <w:szCs w:val="32"/>
          <w:rtl/>
          <w:lang w:eastAsia="fr-FR" w:bidi="tzm-Arab-MA"/>
        </w:rPr>
        <w:t xml:space="preserve">في </w:t>
      </w:r>
      <w:r w:rsidR="007553D2" w:rsidRPr="007553D2">
        <w:rPr>
          <w:rFonts w:asciiTheme="majorBidi" w:eastAsia="Times New Roman" w:hAnsiTheme="majorBidi" w:cstheme="majorBidi"/>
          <w:b/>
          <w:bCs/>
          <w:color w:val="548DD4"/>
          <w:sz w:val="32"/>
          <w:szCs w:val="32"/>
          <w:rtl/>
          <w:lang w:eastAsia="fr-FR"/>
        </w:rPr>
        <w:t>البناء والأشغال</w:t>
      </w:r>
      <w:r w:rsidR="007553D2" w:rsidRPr="007553D2">
        <w:rPr>
          <w:rFonts w:asciiTheme="majorBidi" w:eastAsia="Times New Roman" w:hAnsiTheme="majorBidi" w:cstheme="majorBidi"/>
          <w:b/>
          <w:bCs/>
          <w:color w:val="548DD4"/>
          <w:sz w:val="32"/>
          <w:szCs w:val="32"/>
          <w:rtl/>
          <w:lang w:eastAsia="fr-FR" w:bidi="tzm-Arab-MA"/>
        </w:rPr>
        <w:t xml:space="preserve"> العمومية</w:t>
      </w:r>
      <w:r w:rsidR="00FB5579">
        <w:rPr>
          <w:rFonts w:asciiTheme="majorBidi" w:eastAsia="Times New Roman" w:hAnsiTheme="majorBidi" w:cstheme="majorBidi" w:hint="cs"/>
          <w:b/>
          <w:bCs/>
          <w:color w:val="548DD4"/>
          <w:sz w:val="32"/>
          <w:szCs w:val="32"/>
          <w:rtl/>
          <w:lang w:eastAsia="fr-FR" w:bidi="tzm-Arab-MA"/>
        </w:rPr>
        <w:t xml:space="preserve"> </w:t>
      </w:r>
    </w:p>
    <w:p w:rsidR="00267E43" w:rsidRPr="003D2EFB" w:rsidRDefault="00267E43" w:rsidP="00FB557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ما بين الفصل الثالث من سنة 201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9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ونفس الفترة من سنة 2020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قطاع "الخدمات"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260.000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منصب شغل (</w:t>
      </w:r>
      <w:r w:rsidR="00FB557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196.000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بالوسط الحضري و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64.000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القروي)، مسجلا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بذلك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انخفاظا  قدره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5,2%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حجم التشغيل بهذا القطاع. </w:t>
      </w:r>
    </w:p>
    <w:p w:rsidR="00267E43" w:rsidRPr="003D2EFB" w:rsidRDefault="00267E43" w:rsidP="002927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في المقابل، فقد قطاع "الفلاحة والغابة والصيد"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258.000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(فقدان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260.000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القروي و</w:t>
      </w:r>
      <w:r w:rsidR="002927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زيادة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2.000 بالوسط الحضري). </w:t>
      </w:r>
    </w:p>
    <w:p w:rsidR="002927EF" w:rsidRDefault="00267E43" w:rsidP="00FB557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 جهته، فقد قطاع</w:t>
      </w:r>
      <w:r w:rsidR="00FB557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"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الصناعة بما في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val="en-US" w:eastAsia="fr-FR" w:bidi="ar-MA"/>
        </w:rPr>
        <w:t>ها الصناعة التقليدية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"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61.000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 شغل على المستوى الوطني، وذلك نتيجة لفقدان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44.000</w:t>
      </w:r>
      <w:r w:rsidR="00FB557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منصب بالوسط الحضري و17.000 منصب بالوسط القروي، مسجلا انخفاضا ب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4,8%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حجم التشغيل بهذا القطاع.</w:t>
      </w:r>
      <w:r w:rsidR="002927EF" w:rsidRPr="002927EF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</w:p>
    <w:p w:rsidR="002927EF" w:rsidRPr="003D2EFB" w:rsidRDefault="002927EF" w:rsidP="002927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كما أحدث قطاع "البناء والأشغال العمومية"، من جهته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1.000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منصب،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نتيجة لإحداث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2.000</w:t>
      </w:r>
      <w:r w:rsidR="00FB557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منصب بالوسط الحضري و 1.000 منصب 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 مسجلا استقرار في حجم التشغيل</w:t>
      </w:r>
      <w:r w:rsidR="003840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بهذا القطاع.</w:t>
      </w:r>
    </w:p>
    <w:p w:rsidR="00267E43" w:rsidRPr="003D2EFB" w:rsidRDefault="00267E43" w:rsidP="00267E4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8"/>
          <w:szCs w:val="8"/>
          <w:rtl/>
          <w:lang w:eastAsia="fr-FR"/>
        </w:rPr>
      </w:pPr>
    </w:p>
    <w:p w:rsidR="00267E43" w:rsidRPr="00C7547F" w:rsidRDefault="00267E43" w:rsidP="00C7547F">
      <w:pPr>
        <w:bidi/>
        <w:spacing w:after="240" w:line="240" w:lineRule="auto"/>
        <w:ind w:left="709"/>
        <w:contextualSpacing/>
        <w:jc w:val="center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</w:pP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مبيان 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  <w:t>2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: </w:t>
      </w:r>
      <w:r w:rsidR="00C7547F" w:rsidRPr="00C7547F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tzm-Arab-MA"/>
        </w:rPr>
        <w:t>التغير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 الصافي لمناصب الشغل ما بين الفصل الثالث لسنة 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  <w:t>2019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 ونفس الفترة من سنة 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  <w:t>2020</w:t>
      </w:r>
      <w:r w:rsidRPr="00C7547F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 حسب قطاع النشاط الاقتصادي ووسط الإقامة</w:t>
      </w:r>
      <w:r w:rsidR="00C92C99" w:rsidRPr="00C7547F">
        <w:rPr>
          <w:rStyle w:val="Appelnotedebasdep"/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footnoteReference w:id="1"/>
      </w:r>
    </w:p>
    <w:p w:rsidR="00267E43" w:rsidRPr="003D2EFB" w:rsidRDefault="00267E43" w:rsidP="00267E43">
      <w:pPr>
        <w:spacing w:after="200" w:line="276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 w:bidi="ar-MA"/>
        </w:rPr>
      </w:pPr>
      <w:r w:rsidRPr="003D2EFB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2625" cy="3400425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5138" w:rsidRPr="003D2EFB" w:rsidRDefault="00C75138" w:rsidP="00C75138">
      <w:pPr>
        <w:spacing w:before="240" w:line="240" w:lineRule="auto"/>
        <w:jc w:val="center"/>
        <w:rPr>
          <w:rFonts w:asciiTheme="majorBidi" w:hAnsiTheme="majorBidi" w:cstheme="majorBidi"/>
          <w:b/>
          <w:bCs/>
          <w:lang w:bidi="tzm-Arab-MA"/>
        </w:rPr>
      </w:pPr>
    </w:p>
    <w:p w:rsidR="00C75138" w:rsidRPr="003D2EFB" w:rsidRDefault="00C75138" w:rsidP="00C75138">
      <w:pPr>
        <w:spacing w:before="240" w:line="240" w:lineRule="auto"/>
        <w:jc w:val="right"/>
        <w:rPr>
          <w:rFonts w:asciiTheme="majorBidi" w:hAnsiTheme="majorBidi" w:cstheme="majorBidi"/>
          <w:b/>
          <w:bCs/>
          <w:lang w:bidi="tzm-Arab-MA"/>
        </w:rPr>
      </w:pPr>
    </w:p>
    <w:p w:rsidR="00C75138" w:rsidRPr="003D2EFB" w:rsidRDefault="00C75138">
      <w:pPr>
        <w:rPr>
          <w:rFonts w:asciiTheme="majorBidi" w:hAnsiTheme="majorBidi" w:cstheme="majorBidi"/>
          <w:b/>
          <w:bCs/>
          <w:lang w:bidi="tzm-Arab-MA"/>
        </w:rPr>
      </w:pPr>
      <w:r w:rsidRPr="003D2EFB">
        <w:rPr>
          <w:rFonts w:asciiTheme="majorBidi" w:hAnsiTheme="majorBidi" w:cstheme="majorBidi"/>
          <w:b/>
          <w:bCs/>
          <w:lang w:bidi="tzm-Arab-MA"/>
        </w:rPr>
        <w:br w:type="page"/>
      </w:r>
    </w:p>
    <w:p w:rsidR="00C75138" w:rsidRPr="00131DED" w:rsidRDefault="00C75138" w:rsidP="00F0707C">
      <w:pPr>
        <w:pStyle w:val="Paragraphedeliste"/>
        <w:numPr>
          <w:ilvl w:val="0"/>
          <w:numId w:val="3"/>
        </w:numPr>
        <w:tabs>
          <w:tab w:val="clear" w:pos="720"/>
          <w:tab w:val="num" w:pos="283"/>
        </w:tabs>
        <w:bidi/>
        <w:spacing w:before="240" w:line="240" w:lineRule="auto"/>
        <w:rPr>
          <w:b/>
          <w:bCs/>
          <w:lang w:bidi="tzm-Arab-MA"/>
        </w:rPr>
      </w:pPr>
      <w:r w:rsidRPr="00C7547F"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lastRenderedPageBreak/>
        <w:t>البطالة والشغل الناقص</w:t>
      </w:r>
    </w:p>
    <w:p w:rsidR="007D7E0E" w:rsidRPr="00787103" w:rsidRDefault="007D7E0E" w:rsidP="007553D2">
      <w:pPr>
        <w:bidi/>
        <w:spacing w:before="240" w:after="120" w:line="24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ارتفع حجم العاطلين بـ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368.000 </w:t>
      </w:r>
      <w:r w:rsidR="007553D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شخص ما بين الفصل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الثالث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سنة 2019 ونفس الفصل من سنة 2020، حيث انتقل عددهم من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1.114.000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1.482.000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عاطل، وهو ما يعادل ارتفاعا بـ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33،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نتيجة ارتفاع عدد العاطلين بـ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276.000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الحضري وب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92.000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القروي. </w:t>
      </w:r>
    </w:p>
    <w:p w:rsidR="007D7E0E" w:rsidRPr="00787103" w:rsidRDefault="007D7E0E" w:rsidP="007553D2">
      <w:pPr>
        <w:bidi/>
        <w:spacing w:before="240" w:after="120" w:line="24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ارتفع معدل البطالة، ما بين الفصل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الثالث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سنة 2019 ونفس الفصل من سنة 2020، بـ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3,3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نقطة، منتقلا من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9,4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12,7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. وقد سجل هذا المعدل ارتفاعا مهما بالوسط القروي وبالوسط الحضري على التوالي، منتقلا من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4,5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6,8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ومن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12,7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%16,5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. كما سجل أهم الارتفاعات لدى النساء</w:t>
      </w:r>
      <w:r w:rsidR="007553D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13,9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17,6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و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لدى الرجال حيث انتقل هذا المعدل من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8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11,4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كما عرف ارتفاعا حادا في صفوف الشباب المتراوحة أعمارهم ما بين 15 و24 سنة</w:t>
      </w:r>
      <w:r w:rsidR="007553D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حيث انتقل من </w:t>
      </w:r>
      <w:r w:rsidR="007553D2">
        <w:rPr>
          <w:rFonts w:asciiTheme="majorBidi" w:eastAsia="Times New Roman" w:hAnsiTheme="majorBidi" w:cstheme="majorBidi"/>
          <w:sz w:val="28"/>
          <w:szCs w:val="28"/>
          <w:lang w:eastAsia="fr-FR"/>
        </w:rPr>
        <w:t>26,7%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="007553D2">
        <w:rPr>
          <w:rFonts w:asciiTheme="majorBidi" w:eastAsia="Times New Roman" w:hAnsiTheme="majorBidi" w:cstheme="majorBidi"/>
          <w:sz w:val="28"/>
          <w:szCs w:val="28"/>
          <w:lang w:eastAsia="fr-FR"/>
        </w:rPr>
        <w:t>32,3</w:t>
      </w:r>
      <w:r w:rsidR="007553D2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="00B10A5D"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(</w:t>
      </w:r>
      <w:r w:rsidR="00B10A5D"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+5,7 </w:t>
      </w:r>
      <w:r w:rsidR="00B10A5D"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نقطة).</w:t>
      </w:r>
    </w:p>
    <w:p w:rsidR="00006E8F" w:rsidRPr="00787103" w:rsidRDefault="00006E8F" w:rsidP="00006E8F">
      <w:pPr>
        <w:bidi/>
        <w:spacing w:before="240" w:after="120" w:line="24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 جهة أخرى، سجل معدل البطالة لدى الأشخاص الحاصلين على شهادة ارتفاعا يقدر بـ 3,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2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نقطة، منتقلا من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1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5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,5 إلى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18,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7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.</w:t>
      </w:r>
    </w:p>
    <w:p w:rsidR="00131DED" w:rsidRPr="00131DED" w:rsidRDefault="00131DED" w:rsidP="00131DED">
      <w:pPr>
        <w:tabs>
          <w:tab w:val="num" w:pos="283"/>
        </w:tabs>
        <w:bidi/>
        <w:spacing w:before="240" w:line="240" w:lineRule="auto"/>
        <w:jc w:val="center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</w:pPr>
      <w:r w:rsidRPr="00131DED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ar-MA"/>
        </w:rPr>
        <w:t>ال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مبيان </w:t>
      </w:r>
      <w:r w:rsidRPr="00131DED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ar-MA"/>
        </w:rPr>
        <w:t>3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. تطور معدل البطالة، ما بين الفصل </w:t>
      </w:r>
      <w:r w:rsidRPr="00131DED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ar-MA"/>
        </w:rPr>
        <w:t>الثالث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 لسنة 2019 ونفس الفترة من سنة 2020، لدى بعض فئات الساكنة (بـ %)</w:t>
      </w:r>
    </w:p>
    <w:p w:rsidR="00006E8F" w:rsidRDefault="00131DED" w:rsidP="00006E8F">
      <w:pPr>
        <w:spacing w:before="240" w:after="120"/>
        <w:ind w:left="-2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noProof/>
          <w:lang w:eastAsia="fr-FR"/>
        </w:rPr>
        <w:drawing>
          <wp:inline distT="0" distB="0" distL="0" distR="0">
            <wp:extent cx="5705856" cy="3087014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6E8F" w:rsidRPr="00787103" w:rsidRDefault="00006E8F" w:rsidP="008C72FF">
      <w:pPr>
        <w:bidi/>
        <w:spacing w:before="240" w:after="120"/>
        <w:ind w:left="-2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من جهة أخرى،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ارتفع حجم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النشيطين المشتغلين في حالة شغل ناقص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بشقيه</w:t>
      </w:r>
      <w:r w:rsidR="00787103">
        <w:rPr>
          <w:rStyle w:val="Appelnotedebasdep"/>
          <w:rFonts w:asciiTheme="majorBidi" w:eastAsia="Times New Roman" w:hAnsiTheme="majorBidi" w:cstheme="majorBidi"/>
          <w:sz w:val="28"/>
          <w:szCs w:val="28"/>
          <w:rtl/>
          <w:lang w:eastAsia="fr-FR"/>
        </w:rPr>
        <w:footnoteReference w:id="2"/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خلال هذه الفترة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 9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69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.000 إلى 1.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182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.000 شخص على المستوى الوطني، من 48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1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.000 إلى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627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.000 شخص بالمدن، ومن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488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.000 إلى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556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.000 شخص بالبوادي.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وهكذا، انتقل معدل الشغل الناقص على المستوى الوطني من %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9,1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%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11,6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، من %7,8 إلى %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10,5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بالوسط الحضري، ومن %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10,8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%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13,3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القروي.</w:t>
      </w:r>
    </w:p>
    <w:p w:rsidR="007553D2" w:rsidRDefault="00787103" w:rsidP="007553D2">
      <w:pPr>
        <w:bidi/>
        <w:spacing w:before="240" w:after="120"/>
        <w:ind w:left="-2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lastRenderedPageBreak/>
        <w:t xml:space="preserve">ويبقى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معدل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الشغل الناقص لدى ا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لرجال (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(13%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ضعف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نظيره لدى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النساء (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(6,3%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ويصل هذا المعدل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10,7%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في المناطق الحضرية (مقابل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9,4%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للنساء) بينما في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الوسط القروي فهو</w:t>
      </w:r>
      <w:r w:rsidR="007553D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أعلى بحوالي 6 مرات </w:t>
      </w:r>
      <w:r w:rsidR="007553D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لدى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الرجال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(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(16,3%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 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منه </w:t>
      </w:r>
      <w:r w:rsidR="007553D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لدى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النساء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(2,5%)</w:t>
      </w:r>
    </w:p>
    <w:p w:rsidR="00131DED" w:rsidRPr="00131DED" w:rsidRDefault="00131DED" w:rsidP="007553D2">
      <w:pPr>
        <w:bidi/>
        <w:spacing w:before="240" w:after="120"/>
        <w:ind w:left="-2"/>
        <w:jc w:val="both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</w:pPr>
      <w:r w:rsidRPr="00131DED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ar-MA"/>
        </w:rPr>
        <w:t>ال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مبيان </w:t>
      </w:r>
      <w:r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tzm-Arab-MA"/>
        </w:rPr>
        <w:t>4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.  تطور معدل الشغل الناقص، ما بين الفصل </w:t>
      </w:r>
      <w:r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tzm-Arab-MA"/>
        </w:rPr>
        <w:t>الثالث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 لسنة 2019 ونفس الفترة من سنة 2020، لدى بعض فئات الساكنة (بـ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  <w:t xml:space="preserve"> </w:t>
      </w:r>
      <w:r w:rsidRPr="00131DED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>%)</w:t>
      </w:r>
    </w:p>
    <w:p w:rsidR="00C75138" w:rsidRPr="003D2EFB" w:rsidRDefault="00131DED" w:rsidP="00131DED">
      <w:pPr>
        <w:spacing w:before="240" w:line="240" w:lineRule="auto"/>
        <w:jc w:val="center"/>
        <w:rPr>
          <w:rFonts w:asciiTheme="majorBidi" w:hAnsiTheme="majorBidi" w:cstheme="majorBidi"/>
          <w:b/>
          <w:bCs/>
          <w:lang w:bidi="tzm-Arab-MA"/>
        </w:rPr>
      </w:pPr>
      <w:r>
        <w:rPr>
          <w:noProof/>
          <w:lang w:eastAsia="fr-FR"/>
        </w:rPr>
        <w:drawing>
          <wp:inline distT="0" distB="0" distL="0" distR="0">
            <wp:extent cx="4572000" cy="3591764"/>
            <wp:effectExtent l="0" t="0" r="0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07E5" w:rsidRPr="003D2EFB" w:rsidRDefault="00F407E5" w:rsidP="00F407E5">
      <w:pPr>
        <w:pStyle w:val="Paragraphedeliste"/>
        <w:numPr>
          <w:ilvl w:val="0"/>
          <w:numId w:val="2"/>
        </w:numPr>
        <w:bidi/>
        <w:spacing w:before="240" w:line="256" w:lineRule="auto"/>
        <w:rPr>
          <w:b/>
          <w:bCs/>
          <w:color w:val="548DD4"/>
          <w:sz w:val="32"/>
          <w:szCs w:val="32"/>
        </w:rPr>
      </w:pPr>
      <w:r w:rsidRPr="003D2EFB"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>وضعية سوق الشغل على المستوى الجهوي</w:t>
      </w:r>
    </w:p>
    <w:p w:rsidR="00F407E5" w:rsidRPr="003D2EFB" w:rsidRDefault="00F407E5" w:rsidP="009C4822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3D2EFB">
        <w:rPr>
          <w:rFonts w:asciiTheme="majorBidi" w:hAnsiTheme="majorBidi" w:cstheme="majorBidi"/>
          <w:sz w:val="28"/>
          <w:szCs w:val="28"/>
          <w:rtl/>
        </w:rPr>
        <w:t>تضم خمس جهات %</w:t>
      </w:r>
      <w:r w:rsidRPr="003D2EFB">
        <w:rPr>
          <w:rFonts w:asciiTheme="majorBidi" w:hAnsiTheme="majorBidi" w:cstheme="majorBidi"/>
          <w:sz w:val="28"/>
          <w:szCs w:val="28"/>
        </w:rPr>
        <w:t>72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من مجموع السكان النشيطين البالغين من العمر 15 سنة فما فوق. وتأتي جهة الدار البيضاء-سطات في المركز الأول بنسبة </w:t>
      </w:r>
      <w:r w:rsidRPr="003D2EFB">
        <w:rPr>
          <w:rFonts w:asciiTheme="majorBidi" w:hAnsiTheme="majorBidi" w:cstheme="majorBidi"/>
          <w:sz w:val="28"/>
          <w:szCs w:val="28"/>
        </w:rPr>
        <w:t>%</w:t>
      </w:r>
      <w:r w:rsidRPr="003D2EFB">
        <w:rPr>
          <w:rFonts w:asciiTheme="majorBidi" w:hAnsiTheme="majorBidi" w:cstheme="majorBidi"/>
          <w:sz w:val="28"/>
          <w:szCs w:val="28"/>
          <w:rtl/>
        </w:rPr>
        <w:t>22,4 من مجموع النشيطين، متبوعة بجهة مراكش-آسفي (</w:t>
      </w:r>
      <w:r w:rsidRPr="003D2EFB">
        <w:rPr>
          <w:rFonts w:asciiTheme="majorBidi" w:hAnsiTheme="majorBidi" w:cstheme="majorBidi"/>
          <w:sz w:val="28"/>
          <w:szCs w:val="28"/>
        </w:rPr>
        <w:t>%</w:t>
      </w:r>
      <w:r w:rsidRPr="003D2EFB">
        <w:rPr>
          <w:rFonts w:asciiTheme="majorBidi" w:hAnsiTheme="majorBidi" w:cstheme="majorBidi"/>
          <w:sz w:val="28"/>
          <w:szCs w:val="28"/>
          <w:rtl/>
        </w:rPr>
        <w:t>13,5) ,وجهة الرباط-سلا-القنيطرة (</w:t>
      </w:r>
      <w:r w:rsidRPr="003D2EFB">
        <w:rPr>
          <w:rFonts w:asciiTheme="majorBidi" w:hAnsiTheme="majorBidi" w:cstheme="majorBidi"/>
          <w:sz w:val="28"/>
          <w:szCs w:val="28"/>
        </w:rPr>
        <w:t>%</w:t>
      </w:r>
      <w:r w:rsidRPr="003D2EFB">
        <w:rPr>
          <w:rFonts w:asciiTheme="majorBidi" w:hAnsiTheme="majorBidi" w:cstheme="majorBidi"/>
          <w:sz w:val="28"/>
          <w:szCs w:val="28"/>
          <w:rtl/>
        </w:rPr>
        <w:t>13,4)، وجهة فاس-مكناس (</w:t>
      </w:r>
      <w:r w:rsidRPr="003D2EFB">
        <w:rPr>
          <w:rFonts w:asciiTheme="majorBidi" w:hAnsiTheme="majorBidi" w:cstheme="majorBidi"/>
          <w:sz w:val="28"/>
          <w:szCs w:val="28"/>
        </w:rPr>
        <w:t>%</w:t>
      </w:r>
      <w:r w:rsidRPr="003D2EFB">
        <w:rPr>
          <w:rFonts w:asciiTheme="majorBidi" w:hAnsiTheme="majorBidi" w:cstheme="majorBidi"/>
          <w:sz w:val="28"/>
          <w:szCs w:val="28"/>
          <w:rtl/>
        </w:rPr>
        <w:t>11,7) وجهة طنجة-تطوان-الحسيمة (</w:t>
      </w:r>
      <w:r w:rsidRPr="003D2EFB">
        <w:rPr>
          <w:rFonts w:asciiTheme="majorBidi" w:hAnsiTheme="majorBidi" w:cstheme="majorBidi"/>
          <w:sz w:val="28"/>
          <w:szCs w:val="28"/>
        </w:rPr>
        <w:t>%</w:t>
      </w:r>
      <w:r w:rsidRPr="003D2EFB">
        <w:rPr>
          <w:rFonts w:asciiTheme="majorBidi" w:hAnsiTheme="majorBidi" w:cstheme="majorBidi"/>
          <w:sz w:val="28"/>
          <w:szCs w:val="28"/>
          <w:rtl/>
        </w:rPr>
        <w:t>11).</w:t>
      </w:r>
    </w:p>
    <w:p w:rsidR="007553D2" w:rsidRDefault="00F407E5" w:rsidP="009C4822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D2EFB">
        <w:rPr>
          <w:rFonts w:asciiTheme="majorBidi" w:hAnsiTheme="majorBidi" w:cstheme="majorBidi"/>
          <w:sz w:val="28"/>
          <w:szCs w:val="28"/>
          <w:rtl/>
        </w:rPr>
        <w:t xml:space="preserve">تسجل أربع جهات معدلات نشاط تفوق المعدل الوطني </w:t>
      </w:r>
      <w:r w:rsidRPr="003D2EFB">
        <w:rPr>
          <w:rFonts w:asciiTheme="majorBidi" w:eastAsia="Book Antiqua" w:hAnsiTheme="majorBidi" w:cstheme="majorBidi"/>
          <w:sz w:val="24"/>
          <w:szCs w:val="24"/>
        </w:rPr>
        <w:t>(43,5%</w:t>
      </w:r>
      <w:r w:rsidRPr="003D2EFB">
        <w:rPr>
          <w:rFonts w:asciiTheme="majorBidi" w:hAnsiTheme="majorBidi" w:cstheme="majorBidi"/>
          <w:sz w:val="28"/>
          <w:szCs w:val="28"/>
        </w:rPr>
        <w:t>)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: ويتعلق الأمر </w:t>
      </w:r>
      <w:r w:rsidRPr="003D2EFB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بجهة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طنجة-تطوان-الحسيمة 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45,2%</w:t>
      </w:r>
      <w:r w:rsidRPr="003D2EFB">
        <w:rPr>
          <w:rFonts w:asciiTheme="majorBidi" w:hAnsiTheme="majorBidi" w:cstheme="majorBidi"/>
          <w:sz w:val="28"/>
          <w:szCs w:val="28"/>
        </w:rPr>
        <w:t>)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وجهة الدار البيضاء-سطات 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46,3%</w:t>
      </w:r>
      <w:r w:rsidRPr="003D2EFB">
        <w:rPr>
          <w:rFonts w:asciiTheme="majorBidi" w:hAnsiTheme="majorBidi" w:cstheme="majorBidi"/>
          <w:sz w:val="28"/>
          <w:szCs w:val="28"/>
        </w:rPr>
        <w:t>)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ومراكش-آسفي 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45,6</w:t>
      </w:r>
      <w:r w:rsidRPr="003D2EFB">
        <w:rPr>
          <w:rFonts w:asciiTheme="majorBidi" w:hAnsiTheme="majorBidi" w:cstheme="majorBidi"/>
          <w:sz w:val="28"/>
          <w:szCs w:val="28"/>
        </w:rPr>
        <w:t>%)</w:t>
      </w:r>
      <w:r w:rsidRPr="003D2EFB">
        <w:rPr>
          <w:rFonts w:asciiTheme="majorBidi" w:hAnsiTheme="majorBidi" w:cstheme="majorBidi"/>
          <w:sz w:val="28"/>
          <w:szCs w:val="28"/>
          <w:rtl/>
        </w:rPr>
        <w:t>و بني ملال-الخنيفرة</w:t>
      </w:r>
      <w:r w:rsidRPr="003D2EFB">
        <w:rPr>
          <w:rFonts w:asciiTheme="majorBidi" w:hAnsiTheme="majorBidi" w:cstheme="majorBidi"/>
          <w:sz w:val="28"/>
          <w:szCs w:val="28"/>
        </w:rPr>
        <w:t xml:space="preserve"> 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44%</w:t>
      </w:r>
      <w:r w:rsidRPr="003D2EFB">
        <w:rPr>
          <w:rFonts w:asciiTheme="majorBidi" w:hAnsiTheme="majorBidi" w:cstheme="majorBidi"/>
          <w:sz w:val="28"/>
          <w:szCs w:val="28"/>
        </w:rPr>
        <w:t>)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.  بالمقابل، سجلت أدنى المعدلات بجهات درعة-تافيلالت 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37,7%</w:t>
      </w:r>
      <w:r w:rsidRPr="003D2EFB">
        <w:rPr>
          <w:rFonts w:asciiTheme="majorBidi" w:hAnsiTheme="majorBidi" w:cstheme="majorBidi"/>
          <w:sz w:val="28"/>
          <w:szCs w:val="28"/>
        </w:rPr>
        <w:t>)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وسوس-ماسة </w:t>
      </w:r>
      <w:r w:rsidRPr="003D2EFB">
        <w:rPr>
          <w:rFonts w:asciiTheme="majorBidi" w:eastAsia="Book Antiqua" w:hAnsiTheme="majorBidi" w:cstheme="majorBidi"/>
          <w:sz w:val="24"/>
          <w:szCs w:val="24"/>
        </w:rPr>
        <w:t xml:space="preserve">(40%) </w:t>
      </w:r>
      <w:r w:rsidRPr="003D2EFB">
        <w:rPr>
          <w:rFonts w:asciiTheme="majorBidi" w:eastAsia="Book Antiqua" w:hAnsiTheme="majorBidi" w:cstheme="majorBidi"/>
          <w:sz w:val="24"/>
          <w:szCs w:val="24"/>
          <w:rtl/>
        </w:rPr>
        <w:t xml:space="preserve"> وجهة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الشرق</w:t>
      </w:r>
      <w:r w:rsidRPr="003D2EFB">
        <w:rPr>
          <w:rFonts w:asciiTheme="majorBidi" w:eastAsia="Book Antiqua" w:hAnsiTheme="majorBidi" w:cstheme="majorBidi"/>
          <w:sz w:val="24"/>
          <w:szCs w:val="24"/>
        </w:rPr>
        <w:t xml:space="preserve"> (41%)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7553D2" w:rsidRDefault="007553D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:rsidR="00F407E5" w:rsidRPr="00787103" w:rsidRDefault="00F407E5" w:rsidP="00F407E5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</w:pPr>
      <w:r w:rsidRPr="00787103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lastRenderedPageBreak/>
        <w:t>المبيان 5</w:t>
      </w:r>
      <w:r w:rsidR="0092404E" w:rsidRPr="00787103">
        <w:rPr>
          <w:rFonts w:asciiTheme="majorBidi" w:eastAsia="Times New Roman" w:hAnsiTheme="majorBidi" w:cstheme="majorBidi" w:hint="cs"/>
          <w:b/>
          <w:bCs/>
          <w:color w:val="0070C0"/>
          <w:sz w:val="24"/>
          <w:szCs w:val="24"/>
          <w:rtl/>
          <w:lang w:eastAsia="fr-FR" w:bidi="ar-MA"/>
        </w:rPr>
        <w:t>.</w:t>
      </w:r>
      <w:r w:rsidRPr="00787103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 xml:space="preserve"> معدل النشاط حسب الجهات خلال الفصل الثالث من سنة 2020 (%)</w:t>
      </w:r>
    </w:p>
    <w:p w:rsidR="00F407E5" w:rsidRPr="003D2EFB" w:rsidRDefault="00F407E5" w:rsidP="00F407E5">
      <w:pPr>
        <w:spacing w:before="240" w:after="240" w:line="312" w:lineRule="auto"/>
        <w:jc w:val="center"/>
        <w:rPr>
          <w:rFonts w:asciiTheme="majorBidi" w:hAnsiTheme="majorBidi" w:cstheme="majorBidi"/>
        </w:rPr>
      </w:pPr>
      <w:r w:rsidRPr="003D2EFB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564685" cy="2706624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07E5" w:rsidRPr="003D2EFB" w:rsidRDefault="00F407E5" w:rsidP="00F407E5">
      <w:pPr>
        <w:bidi/>
        <w:rPr>
          <w:rFonts w:asciiTheme="majorBidi" w:hAnsiTheme="majorBidi" w:cstheme="majorBidi"/>
        </w:rPr>
      </w:pPr>
    </w:p>
    <w:p w:rsidR="00F407E5" w:rsidRPr="003D2EFB" w:rsidRDefault="00F407E5" w:rsidP="009C4822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D2EFB">
        <w:rPr>
          <w:rFonts w:asciiTheme="majorBidi" w:hAnsiTheme="majorBidi" w:cstheme="majorBidi"/>
          <w:sz w:val="28"/>
          <w:szCs w:val="28"/>
          <w:rtl/>
        </w:rPr>
        <w:t>فيما يتعلق بالبطالة، فإن</w:t>
      </w:r>
      <w:r w:rsidRPr="003D2EFB">
        <w:rPr>
          <w:rFonts w:asciiTheme="majorBidi" w:eastAsia="Book Antiqua" w:hAnsiTheme="majorBidi" w:cstheme="majorBidi"/>
          <w:sz w:val="24"/>
          <w:szCs w:val="24"/>
        </w:rPr>
        <w:t xml:space="preserve">72,6% </w:t>
      </w:r>
      <w:r w:rsidRPr="003D2EFB">
        <w:rPr>
          <w:rFonts w:asciiTheme="majorBidi" w:hAnsiTheme="majorBidi" w:cstheme="majorBidi"/>
          <w:sz w:val="28"/>
          <w:szCs w:val="28"/>
          <w:rtl/>
        </w:rPr>
        <w:t>من العاطلين يتمركزون بخمس جهات من المملكة</w:t>
      </w:r>
      <w:r w:rsidRPr="003D2EF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. وتأتي في المقدمة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جهة الدار البيضاء-سطات بـ </w:t>
      </w:r>
      <w:r w:rsidRPr="003D2EFB">
        <w:rPr>
          <w:rFonts w:asciiTheme="majorBidi" w:eastAsia="Book Antiqua" w:hAnsiTheme="majorBidi" w:cstheme="majorBidi"/>
          <w:sz w:val="24"/>
          <w:szCs w:val="24"/>
        </w:rPr>
        <w:t xml:space="preserve">25,8%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Pr="003D2EF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مجموع </w:t>
      </w:r>
      <w:r w:rsidRPr="003D2EFB">
        <w:rPr>
          <w:rFonts w:asciiTheme="majorBidi" w:hAnsiTheme="majorBidi" w:cstheme="majorBidi"/>
          <w:sz w:val="28"/>
          <w:szCs w:val="28"/>
          <w:rtl/>
        </w:rPr>
        <w:t>العاطلين، متبوعة بجهة الرباط-سلا-القنيطرة (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13,3%</w:t>
      </w:r>
      <w:r w:rsidRPr="003D2EFB">
        <w:rPr>
          <w:rFonts w:asciiTheme="majorBidi" w:hAnsiTheme="majorBidi" w:cstheme="majorBidi"/>
          <w:sz w:val="28"/>
          <w:szCs w:val="28"/>
          <w:rtl/>
          <w:lang w:val="en-GB" w:bidi="ar-MA"/>
        </w:rPr>
        <w:t>و</w:t>
      </w:r>
      <w:r w:rsidRPr="003D2EFB">
        <w:rPr>
          <w:rFonts w:asciiTheme="majorBidi" w:hAnsiTheme="majorBidi" w:cstheme="majorBidi"/>
          <w:sz w:val="28"/>
          <w:szCs w:val="28"/>
          <w:rtl/>
        </w:rPr>
        <w:t>جهة فاس-مكناس (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11,9%</w:t>
      </w:r>
      <w:r w:rsidRPr="003D2EFB">
        <w:rPr>
          <w:rFonts w:asciiTheme="majorBidi" w:hAnsiTheme="majorBidi" w:cstheme="majorBidi"/>
          <w:sz w:val="28"/>
          <w:szCs w:val="28"/>
          <w:rtl/>
        </w:rPr>
        <w:t> والجهة الشرقية (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11</w:t>
      </w:r>
      <w:r w:rsidRPr="003D2EFB">
        <w:rPr>
          <w:rFonts w:asciiTheme="majorBidi" w:hAnsiTheme="majorBidi" w:cstheme="majorBidi"/>
          <w:sz w:val="28"/>
          <w:szCs w:val="28"/>
        </w:rPr>
        <w:t>%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و جهة طنجة-تطوان-الحسيمة 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eastAsia="Book Antiqua" w:hAnsiTheme="majorBidi" w:cstheme="majorBidi"/>
          <w:sz w:val="24"/>
          <w:szCs w:val="24"/>
        </w:rPr>
        <w:t>10,6%</w:t>
      </w:r>
      <w:r w:rsidRPr="003D2EFB">
        <w:rPr>
          <w:rFonts w:asciiTheme="majorBidi" w:hAnsiTheme="majorBidi" w:cstheme="majorBidi"/>
          <w:sz w:val="28"/>
          <w:szCs w:val="28"/>
        </w:rPr>
        <w:t>)</w:t>
      </w:r>
      <w:r w:rsidRPr="003D2EFB">
        <w:rPr>
          <w:rFonts w:asciiTheme="majorBidi" w:hAnsiTheme="majorBidi" w:cstheme="majorBidi"/>
          <w:sz w:val="28"/>
          <w:szCs w:val="28"/>
          <w:rtl/>
        </w:rPr>
        <w:t>.</w:t>
      </w:r>
    </w:p>
    <w:p w:rsidR="00F407E5" w:rsidRPr="003D2EFB" w:rsidRDefault="00F407E5" w:rsidP="00F0707C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3D2EFB">
        <w:rPr>
          <w:rFonts w:asciiTheme="majorBidi" w:hAnsiTheme="majorBidi" w:cstheme="majorBidi"/>
          <w:sz w:val="28"/>
          <w:szCs w:val="28"/>
          <w:rtl/>
        </w:rPr>
        <w:t>وسجلت أعلى مستويات البطالة بكل من الجهة الشرقية (</w:t>
      </w:r>
      <w:r w:rsidRPr="003D2EFB">
        <w:rPr>
          <w:rFonts w:asciiTheme="majorBidi" w:hAnsiTheme="majorBidi" w:cstheme="majorBidi"/>
          <w:sz w:val="28"/>
          <w:szCs w:val="28"/>
        </w:rPr>
        <w:t>(21,2%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وجهات الجنوب (</w:t>
      </w:r>
      <w:r w:rsidRPr="003D2EFB">
        <w:rPr>
          <w:rFonts w:asciiTheme="majorBidi" w:hAnsiTheme="majorBidi" w:cstheme="majorBidi"/>
          <w:sz w:val="28"/>
          <w:szCs w:val="28"/>
        </w:rPr>
        <w:t>(19,6%</w:t>
      </w:r>
      <w:r w:rsidRPr="003D2EFB">
        <w:rPr>
          <w:rFonts w:asciiTheme="majorBidi" w:hAnsiTheme="majorBidi" w:cstheme="majorBidi"/>
          <w:sz w:val="28"/>
          <w:szCs w:val="28"/>
          <w:rtl/>
        </w:rPr>
        <w:t>. وبحدة أقل، فإن ثلاث جهات أخرى تفوق المعدل الوطني (</w:t>
      </w:r>
      <w:r w:rsidRPr="003D2EFB">
        <w:rPr>
          <w:rFonts w:asciiTheme="majorBidi" w:hAnsiTheme="majorBidi" w:cstheme="majorBidi"/>
          <w:sz w:val="28"/>
          <w:szCs w:val="28"/>
        </w:rPr>
        <w:t>(12,7%</w:t>
      </w:r>
      <w:r w:rsidRPr="003D2EFB">
        <w:rPr>
          <w:rFonts w:asciiTheme="majorBidi" w:hAnsiTheme="majorBidi" w:cstheme="majorBidi"/>
          <w:sz w:val="28"/>
          <w:szCs w:val="28"/>
          <w:rtl/>
        </w:rPr>
        <w:t>، ويتعلق الأمر بجهات الدار البيضاء-سطات</w:t>
      </w:r>
      <w:r w:rsidRPr="003D2EFB">
        <w:rPr>
          <w:rFonts w:asciiTheme="majorBidi" w:hAnsiTheme="majorBidi" w:cstheme="majorBidi"/>
          <w:sz w:val="28"/>
          <w:szCs w:val="28"/>
        </w:rPr>
        <w:t xml:space="preserve"> (14,7%)</w:t>
      </w:r>
      <w:r w:rsidR="00F0707C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درعــــة – تافيلالــت (</w:t>
      </w:r>
      <w:r w:rsidRPr="003D2EFB">
        <w:rPr>
          <w:rFonts w:asciiTheme="majorBidi" w:hAnsiTheme="majorBidi" w:cstheme="majorBidi"/>
          <w:sz w:val="28"/>
          <w:szCs w:val="28"/>
        </w:rPr>
        <w:t>14%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). وفاس-مكناس </w:t>
      </w:r>
      <w:r w:rsidRPr="003D2EFB">
        <w:rPr>
          <w:rFonts w:asciiTheme="majorBidi" w:hAnsiTheme="majorBidi" w:cstheme="majorBidi"/>
          <w:sz w:val="28"/>
          <w:szCs w:val="28"/>
        </w:rPr>
        <w:t>(12,9%)</w:t>
      </w:r>
      <w:r w:rsidR="00F0707C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بالمقابل، سجلت أدنى مستويات البطالة بجهتي بني مــلال-خنيفـرة ومراكش-أسفي، بـ </w:t>
      </w:r>
      <w:r w:rsidRPr="003D2EFB">
        <w:rPr>
          <w:rFonts w:asciiTheme="majorBidi" w:eastAsia="Book Antiqua" w:hAnsiTheme="majorBidi" w:cstheme="majorBidi"/>
          <w:sz w:val="24"/>
          <w:szCs w:val="24"/>
        </w:rPr>
        <w:t xml:space="preserve">5,9%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3D2EFB">
        <w:rPr>
          <w:rFonts w:asciiTheme="majorBidi" w:eastAsia="Book Antiqua" w:hAnsiTheme="majorBidi" w:cstheme="majorBidi"/>
          <w:sz w:val="24"/>
          <w:szCs w:val="24"/>
        </w:rPr>
        <w:t>7,8%</w:t>
      </w:r>
      <w:r w:rsidRPr="003D2EFB">
        <w:rPr>
          <w:rFonts w:asciiTheme="majorBidi" w:hAnsiTheme="majorBidi" w:cstheme="majorBidi"/>
          <w:sz w:val="28"/>
          <w:szCs w:val="28"/>
          <w:rtl/>
        </w:rPr>
        <w:t>على التوالي.</w:t>
      </w:r>
    </w:p>
    <w:p w:rsidR="00F407E5" w:rsidRPr="003D2EFB" w:rsidRDefault="00F407E5" w:rsidP="00787103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  <w:r w:rsidRPr="003D2EFB">
        <w:rPr>
          <w:rFonts w:asciiTheme="majorBidi" w:hAnsiTheme="majorBidi" w:cstheme="majorBidi"/>
          <w:rtl/>
        </w:rPr>
        <w:tab/>
      </w:r>
    </w:p>
    <w:p w:rsidR="00F407E5" w:rsidRPr="00787103" w:rsidRDefault="00F407E5" w:rsidP="00871E13">
      <w:pPr>
        <w:jc w:val="center"/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lang w:eastAsia="fr-FR" w:bidi="ar-MA"/>
        </w:rPr>
      </w:pPr>
      <w:r w:rsidRPr="00787103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t>المبيان 6. معدل البطالة حسب الجهات خلال الفصل الثالث من سنة 2020 (%)</w:t>
      </w:r>
    </w:p>
    <w:p w:rsidR="00F407E5" w:rsidRPr="003D2EFB" w:rsidRDefault="00F407E5" w:rsidP="00F407E5">
      <w:pPr>
        <w:spacing w:before="240" w:after="240" w:line="312" w:lineRule="auto"/>
        <w:jc w:val="center"/>
        <w:rPr>
          <w:rFonts w:asciiTheme="majorBidi" w:eastAsia="Book Antiqua" w:hAnsiTheme="majorBidi" w:cstheme="majorBidi"/>
          <w:sz w:val="24"/>
          <w:szCs w:val="24"/>
        </w:rPr>
      </w:pPr>
      <w:r w:rsidRPr="003D2EFB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572000" cy="2477371"/>
            <wp:effectExtent l="0" t="0" r="0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07E5" w:rsidRPr="003D2EFB" w:rsidRDefault="00F407E5" w:rsidP="00F407E5">
      <w:pPr>
        <w:spacing w:before="240" w:after="240" w:line="312" w:lineRule="auto"/>
        <w:ind w:right="-280"/>
        <w:jc w:val="both"/>
        <w:rPr>
          <w:rFonts w:asciiTheme="majorBidi" w:eastAsia="Book Antiqua" w:hAnsiTheme="majorBidi" w:cstheme="majorBidi"/>
          <w:sz w:val="24"/>
          <w:szCs w:val="24"/>
        </w:rPr>
      </w:pPr>
    </w:p>
    <w:p w:rsidR="004B747B" w:rsidRPr="003D2EFB" w:rsidRDefault="004B747B" w:rsidP="004B747B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"/>
        <w:gridCol w:w="866"/>
        <w:gridCol w:w="816"/>
        <w:gridCol w:w="916"/>
        <w:gridCol w:w="720"/>
        <w:gridCol w:w="757"/>
        <w:gridCol w:w="4425"/>
      </w:tblGrid>
      <w:tr w:rsidR="004B747B" w:rsidRPr="0070648E" w:rsidTr="00D02824">
        <w:trPr>
          <w:trHeight w:hRule="exact" w:val="340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الفصل </w:t>
            </w:r>
            <w:r w:rsidR="003B29E3" w:rsidRPr="0070648E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الثالث</w:t>
            </w: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من سنة 2020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الفصل </w:t>
            </w:r>
            <w:r w:rsidR="003B29E3" w:rsidRPr="0070648E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الثالث</w:t>
            </w: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من سنة 2019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المـؤشـــــرات</w:t>
            </w:r>
          </w:p>
        </w:tc>
      </w:tr>
      <w:tr w:rsidR="004B747B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المجمـوع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قـروي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حضري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المجمـوع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قـروي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حضري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4B747B" w:rsidRPr="0070648E" w:rsidTr="00D02824">
        <w:trPr>
          <w:trHeight w:hRule="exact" w:val="340"/>
        </w:trPr>
        <w:tc>
          <w:tcPr>
            <w:tcW w:w="94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النشـاط ( 15سنـة فأكثـر)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1"/>
              <w:jc w:val="right"/>
              <w:rPr>
                <w:rFonts w:ascii="Garamond" w:hAnsi="Garamond" w:cs="Calibri"/>
                <w:b/>
                <w:bCs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10205"/>
                <w:sz w:val="16"/>
                <w:szCs w:val="16"/>
              </w:rPr>
              <w:t>11 648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4 494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7 154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11 862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4 746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7 115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السكـان النشيطـون (بالآلاف)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 xml:space="preserve">نسبـة الإنـاث ضمـن السكـان النشيطيـن  (%) 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43,5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44,9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41,7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معـدل النشـاط   (%)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حسب الجنس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69,9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74,8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67,2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70,1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75,8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66,9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ذكـور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17,8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20,7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16,3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25,4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  <w:lang w:bidi="tzm-Arab-MA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18</w:t>
            </w:r>
            <w:r w:rsidR="00D02824">
              <w:rPr>
                <w:rFonts w:asciiTheme="majorBidi" w:hAnsiTheme="majorBidi" w:cstheme="majorBidi"/>
                <w:color w:val="010205"/>
                <w:sz w:val="16"/>
                <w:szCs w:val="16"/>
                <w:lang w:bidi="tzm-Arab-MA"/>
              </w:rPr>
              <w:t>,0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إنـاث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حسب السن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22,3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26,7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19,3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24,7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30,2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21</w:t>
            </w:r>
            <w:r w:rsidR="00D02824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,0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fr-FR"/>
              </w:rPr>
              <w:t xml:space="preserve">24 – 15    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سنـة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57,3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58,3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56,9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58,3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fr-FR"/>
              </w:rPr>
              <w:t xml:space="preserve">34 – 25    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سنـة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59,1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63,4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57,6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fr-FR"/>
              </w:rPr>
              <w:t xml:space="preserve">44 – 35   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سنـة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40,3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49,7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35,4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35,3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fr-FR"/>
              </w:rPr>
              <w:t xml:space="preserve">45    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سنـة فأكثـر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 w:bidi="tzm-Arab-MA"/>
              </w:rPr>
              <w:t>حسب الشهادة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42,1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50,4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34,9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44</w:t>
            </w:r>
            <w:r w:rsidR="00D02824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53,4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35,7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بـدون شهـادة</w:t>
            </w:r>
          </w:p>
        </w:tc>
      </w:tr>
      <w:tr w:rsidR="0070648E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Default="0070648E">
            <w:pPr>
              <w:ind w:firstLineChars="100" w:firstLine="160"/>
              <w:jc w:val="right"/>
              <w:rPr>
                <w:rFonts w:ascii="Garamond" w:hAnsi="Garamond" w:cs="Calibri"/>
                <w:color w:val="010205"/>
                <w:sz w:val="16"/>
                <w:szCs w:val="16"/>
              </w:rPr>
            </w:pPr>
            <w:r>
              <w:rPr>
                <w:rFonts w:ascii="Garamond" w:hAnsi="Garamond" w:cs="Calibri"/>
                <w:color w:val="010205"/>
                <w:sz w:val="16"/>
                <w:szCs w:val="16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42,8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648E" w:rsidRPr="0070648E" w:rsidRDefault="0070648E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46,3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8E" w:rsidRPr="0070648E" w:rsidRDefault="0070648E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حاصـل علـى شهـادة</w:t>
            </w:r>
          </w:p>
        </w:tc>
      </w:tr>
      <w:tr w:rsidR="004B747B" w:rsidRPr="0070648E" w:rsidTr="00D02824">
        <w:trPr>
          <w:trHeight w:hRule="exact" w:val="340"/>
        </w:trPr>
        <w:tc>
          <w:tcPr>
            <w:tcW w:w="94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47B" w:rsidRPr="0070648E" w:rsidRDefault="004B747B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الشغل ( 15سنـة فأكثـر)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D02824" w:rsidP="00D02824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 xml:space="preserve">10 166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4 190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5 975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10 747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4 534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6 213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34,3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48,5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36,4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معدل الشغل 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 xml:space="preserve"> ( %)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 w:bidi="tzm-Arab-MA"/>
              </w:rPr>
              <w:t>حسب الجنس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69,2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57,9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72</w:t>
            </w:r>
            <w:r w:rsidR="00D02824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60,2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ذكـور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19,8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12,1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24,7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14</w:t>
            </w:r>
            <w:r w:rsidR="00D02824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,0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إنـاث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 w:bidi="ar-MA"/>
              </w:rPr>
              <w:t>بنية الشغل حسب قطاعات النشاط الاقتصادي (%)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  <w:lang w:bidi="tzm-Arab-MA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66,7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4,6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الفلاحة والغابة والصيد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11,7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17,1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الصناعة بما فيها الصناعة التقليدية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12,2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10,9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9,7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11,7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البناء والأشغال العمومية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19,2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65,8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19,1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66,4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الخدمات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D02824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0,</w:t>
            </w:r>
            <w:r w:rsidR="009C4822"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0,1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  <w:lang w:bidi="tzm-Arab-MA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0</w:t>
            </w:r>
            <w:r w:rsidR="00880BFC">
              <w:rPr>
                <w:rFonts w:asciiTheme="majorBidi" w:hAnsiTheme="majorBidi" w:cstheme="majorBidi"/>
                <w:color w:val="010205"/>
                <w:sz w:val="16"/>
                <w:szCs w:val="16"/>
                <w:lang w:bidi="tzm-Arab-MA"/>
              </w:rPr>
              <w:t>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0,1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الأنشطة غير محددة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86,3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71,2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96,9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70,1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96,8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نسبة الشغل المؤدى عنه ضمـن الشغـل الكلي، منها : (%)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66,8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44,4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66,8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val="en-US" w:eastAsia="fr-FR"/>
              </w:rPr>
              <w:t>.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العمل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 w:bidi="tzm-Arab-MA"/>
              </w:rPr>
              <w:t xml:space="preserve"> 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المستأجر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52,8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33,2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40,9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55,6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33,2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val="en-US" w:eastAsia="fr-FR"/>
              </w:rPr>
              <w:t>.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الشغل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 w:bidi="tzm-Arab-MA"/>
              </w:rPr>
              <w:t xml:space="preserve"> </w:t>
            </w: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val="en-US" w:eastAsia="fr-FR"/>
              </w:rPr>
              <w:t>الذاتي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1 182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556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627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969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488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1"/>
              <w:jc w:val="right"/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b/>
                <w:bCs/>
                <w:color w:val="010205"/>
                <w:sz w:val="16"/>
                <w:szCs w:val="16"/>
              </w:rPr>
              <w:t>481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السكان النشيطون المشتغلون في حالة شغل ناقص (بالآلاف)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13,3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10,5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10,8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7,8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  <w:t>معدل الشغل الناقص (%)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 w:bidi="ar-MA"/>
              </w:rPr>
              <w:t>حسب نوع الشغل الناقص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8</w:t>
            </w:r>
            <w:r w:rsidR="00D02824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2,8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 w:bidi="ar-MA"/>
              </w:rPr>
              <w:t>الشغل الناقص المرتبط بساعات العمل</w:t>
            </w:r>
          </w:p>
        </w:tc>
      </w:tr>
      <w:tr w:rsidR="009C4822" w:rsidRPr="0070648E" w:rsidTr="00D02824">
        <w:trPr>
          <w:trHeight w:hRule="exact"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4,6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6,2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822" w:rsidRPr="0070648E" w:rsidRDefault="009C4822">
            <w:pPr>
              <w:ind w:firstLineChars="100" w:firstLine="160"/>
              <w:jc w:val="right"/>
              <w:rPr>
                <w:rFonts w:asciiTheme="majorBidi" w:hAnsiTheme="majorBidi" w:cstheme="majorBidi"/>
                <w:color w:val="010205"/>
                <w:sz w:val="16"/>
                <w:szCs w:val="16"/>
              </w:rPr>
            </w:pPr>
            <w:r w:rsidRPr="0070648E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5</w:t>
            </w:r>
            <w:r w:rsidR="00D02824">
              <w:rPr>
                <w:rFonts w:asciiTheme="majorBidi" w:hAnsiTheme="majorBidi" w:cstheme="majorBidi"/>
                <w:color w:val="010205"/>
                <w:sz w:val="16"/>
                <w:szCs w:val="16"/>
              </w:rPr>
              <w:t>,0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2" w:rsidRPr="0070648E" w:rsidRDefault="009C4822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70648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 w:bidi="ar-MA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:rsidR="004B747B" w:rsidRPr="003D2EFB" w:rsidRDefault="004B747B" w:rsidP="004B747B">
      <w:pPr>
        <w:tabs>
          <w:tab w:val="left" w:pos="5757"/>
        </w:tabs>
        <w:bidi/>
        <w:rPr>
          <w:rFonts w:asciiTheme="majorBidi" w:hAnsiTheme="majorBidi" w:cstheme="majorBidi"/>
          <w:rtl/>
        </w:rPr>
      </w:pPr>
      <w:r w:rsidRPr="003D2EFB">
        <w:rPr>
          <w:rFonts w:asciiTheme="majorBidi" w:hAnsiTheme="majorBidi" w:cstheme="majorBidi"/>
          <w:rtl/>
        </w:rPr>
        <w:tab/>
      </w:r>
    </w:p>
    <w:p w:rsidR="004B747B" w:rsidRPr="003D2EFB" w:rsidRDefault="004B747B">
      <w:pPr>
        <w:rPr>
          <w:rFonts w:asciiTheme="majorBidi" w:hAnsiTheme="majorBidi" w:cstheme="majorBidi"/>
          <w:rtl/>
        </w:rPr>
      </w:pPr>
      <w:r w:rsidRPr="003D2EFB">
        <w:rPr>
          <w:rFonts w:asciiTheme="majorBidi" w:hAnsiTheme="majorBidi" w:cstheme="majorBidi"/>
          <w:rtl/>
        </w:rPr>
        <w:br w:type="page"/>
      </w:r>
    </w:p>
    <w:p w:rsidR="00C5189D" w:rsidRPr="003D2EFB" w:rsidRDefault="004B747B" w:rsidP="00C5189D">
      <w:pPr>
        <w:tabs>
          <w:tab w:val="left" w:pos="5757"/>
        </w:tabs>
        <w:bidi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lang w:bidi="tzm-Arab-MA"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 (تتمة)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974"/>
        <w:gridCol w:w="517"/>
        <w:gridCol w:w="806"/>
        <w:gridCol w:w="680"/>
        <w:gridCol w:w="850"/>
        <w:gridCol w:w="969"/>
        <w:gridCol w:w="3544"/>
      </w:tblGrid>
      <w:tr w:rsidR="00C5189D" w:rsidRPr="003D2EFB" w:rsidTr="00CF3C76">
        <w:trPr>
          <w:trHeight w:val="170"/>
          <w:jc w:val="center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bookmarkStart w:id="0" w:name="OLE_LINK1"/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الفصل الثالث من سنة 2020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الفصل الثالث من سنة 2019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 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89D" w:rsidRPr="003D2EFB" w:rsidRDefault="00C5189D" w:rsidP="00C5189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5189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F497D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1F497D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5189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1F497D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5189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1F497D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5189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5189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5189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5189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 </w:t>
            </w: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البطالة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1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  <w:t>1 482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1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1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10205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28,8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13,6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32,7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38,8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12,7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16,5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12,7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معـدل البطالـة (%</w:t>
            </w: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)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حسب الجنس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13,9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ذكـور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17,6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26,3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22,2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إنـاث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حسب السن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32,3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16,8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46,7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13,0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39,9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 w:eastAsia="fr-FR"/>
              </w:rPr>
              <w:t xml:space="preserve">24 – 15    </w:t>
            </w: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val="en-US" w:eastAsia="fr-FR"/>
              </w:rPr>
              <w:t>سنـة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19,5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24,7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19,4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 w:eastAsia="fr-FR"/>
              </w:rPr>
              <w:t xml:space="preserve">34 – 25    </w:t>
            </w: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val="en-US" w:eastAsia="fr-FR"/>
              </w:rPr>
              <w:t>سنـة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 w:eastAsia="fr-FR"/>
              </w:rPr>
              <w:t xml:space="preserve">44 – 35   </w:t>
            </w: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val="en-US" w:eastAsia="fr-FR"/>
              </w:rPr>
              <w:t>سنـة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3,0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 w:eastAsia="fr-FR"/>
              </w:rPr>
              <w:t xml:space="preserve">45    </w:t>
            </w: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val="en-US" w:eastAsia="fr-FR"/>
              </w:rPr>
              <w:t>سنـة فأكثـر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200" w:firstLine="36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حسب الشهادة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بـدون شهـادة</w:t>
            </w:r>
          </w:p>
        </w:tc>
      </w:tr>
      <w:tr w:rsidR="00C5189D" w:rsidRPr="003D2EFB" w:rsidTr="00CF3C76">
        <w:trPr>
          <w:trHeight w:val="17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18,7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13,7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20,0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D" w:rsidRPr="003D2EFB" w:rsidRDefault="00C5189D" w:rsidP="00CF3C76">
            <w:pPr>
              <w:spacing w:after="0" w:line="240" w:lineRule="auto"/>
              <w:ind w:firstLineChars="100" w:firstLine="180"/>
              <w:jc w:val="center"/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10205"/>
                <w:sz w:val="18"/>
                <w:szCs w:val="18"/>
                <w:lang w:eastAsia="fr-FR"/>
              </w:rPr>
              <w:t>16,7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حاصـل علـى شهـادة</w:t>
            </w:r>
          </w:p>
        </w:tc>
      </w:tr>
    </w:tbl>
    <w:bookmarkEnd w:id="0"/>
    <w:p w:rsidR="00C5189D" w:rsidRPr="003D2EFB" w:rsidRDefault="00C5189D" w:rsidP="00C5189D">
      <w:pPr>
        <w:pStyle w:val="Paragraphedeliste"/>
        <w:numPr>
          <w:ilvl w:val="0"/>
          <w:numId w:val="1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C5189D" w:rsidRPr="003D2EFB" w:rsidRDefault="00C5189D" w:rsidP="00C5189D">
      <w:pPr>
        <w:pStyle w:val="Paragraphedeliste"/>
        <w:numPr>
          <w:ilvl w:val="0"/>
          <w:numId w:val="1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4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C5189D" w:rsidRPr="003D2EFB" w:rsidRDefault="00C5189D" w:rsidP="00C5189D">
      <w:pPr>
        <w:pStyle w:val="Paragraphedeliste"/>
        <w:numPr>
          <w:ilvl w:val="0"/>
          <w:numId w:val="1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C5189D" w:rsidRPr="003D2EFB" w:rsidRDefault="00C5189D" w:rsidP="00C5189D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5189D" w:rsidRPr="003D2EFB" w:rsidRDefault="00C5189D">
      <w:pPr>
        <w:rPr>
          <w:rFonts w:asciiTheme="majorBidi" w:hAnsiTheme="majorBidi" w:cstheme="majorBidi"/>
          <w:rtl/>
        </w:rPr>
      </w:pPr>
      <w:r w:rsidRPr="003D2EFB">
        <w:rPr>
          <w:rFonts w:asciiTheme="majorBidi" w:hAnsiTheme="majorBidi" w:cstheme="majorBidi"/>
          <w:rtl/>
        </w:rPr>
        <w:br w:type="page"/>
      </w:r>
    </w:p>
    <w:p w:rsidR="00C5189D" w:rsidRPr="003D2EFB" w:rsidRDefault="00C5189D" w:rsidP="00C5189D">
      <w:pPr>
        <w:tabs>
          <w:tab w:val="left" w:pos="5757"/>
        </w:tabs>
        <w:bidi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72"/>
        <w:gridCol w:w="3071"/>
        <w:gridCol w:w="3069"/>
      </w:tblGrid>
      <w:tr w:rsidR="00C5189D" w:rsidRPr="003D2EFB" w:rsidTr="002258AC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الفصل </w:t>
            </w:r>
            <w:r w:rsidR="00F407E5"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الثالث</w:t>
            </w: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من سنة 2020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الفصل </w:t>
            </w:r>
            <w:r w:rsidR="00F407E5"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الثالث</w:t>
            </w: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من سنة 2019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  <w:t>معـدل النشـاط ( 15سنـة فأكثـر)</w:t>
            </w:r>
          </w:p>
        </w:tc>
      </w:tr>
      <w:tr w:rsidR="00C5189D" w:rsidRPr="003D2EFB" w:rsidTr="002258AC">
        <w:trPr>
          <w:cantSplit/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  <w:t>معـدل النشـاط ( 15سنـة فأكثـر)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 xml:space="preserve">طنجة- تطوان- الحسيمة 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جهـــــــــة الشـــــــــرق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فـــــــــاس-مكــــــناس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43,8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الربــاط- ســلا-القنيطـــرة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بني مــلال-خنيفـــــــــرة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49,2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الدار البيضاء -ســــطات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مـــراكش – اسفــي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37,7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40,4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درعــــة – تافيلالــت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40,0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ســــوس – مــــاسة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43,2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جهات الجنوب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43,5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44,9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 w:bidi="tzm-Arab-MA"/>
              </w:rPr>
              <w:t>المجموع</w:t>
            </w:r>
          </w:p>
        </w:tc>
      </w:tr>
      <w:tr w:rsidR="00C5189D" w:rsidRPr="003D2EFB" w:rsidTr="002258AC">
        <w:trPr>
          <w:cantSplit/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  <w:t>معـدل الشغل ( 15سنـة فأكثـر)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40,0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 xml:space="preserve">طنجة- تطوان- الحسيمة 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جهـــــــــة الشـــــــــرق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36,2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38,9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فـــــــــاس-مكــــــناس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37,0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الربــاط- ســلا-القنيطـــرة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بني مــلال-خنيفـــــــــرة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الدار البيضاء -ســــطات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43,7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مـــراكش – اسفــي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37,0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درعــــة – تافيلالــت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37,2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ســــوس – مــــاسة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34,8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38,4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 xml:space="preserve">جهات الجنوب 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37,9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40,7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 w:bidi="tzm-Arab-MA"/>
              </w:rPr>
              <w:t>المجموع</w:t>
            </w:r>
          </w:p>
        </w:tc>
      </w:tr>
      <w:tr w:rsidR="00C5189D" w:rsidRPr="003D2EFB" w:rsidTr="002258AC">
        <w:trPr>
          <w:cantSplit/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548DD4"/>
                <w:sz w:val="18"/>
                <w:szCs w:val="18"/>
                <w:rtl/>
                <w:lang w:eastAsia="fr-FR"/>
              </w:rPr>
              <w:t xml:space="preserve">معـدل البطالة 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 xml:space="preserve">طنجة- تطوان- الحسيمة 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جهـــــــــة الشـــــــــرق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فـــــــــاس-مكــــــناس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الربــاط- ســلا-القنيطـــرة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بني مــلال-خنيفـــــــــرة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الدار البيضاء -ســــطات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مـــراكش – اسفــي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درعــــة – تافيلالــت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ســــوس – مــــاسة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  <w:lang w:eastAsia="fr-FR"/>
              </w:rPr>
              <w:t>جهات الجنوب</w:t>
            </w:r>
          </w:p>
        </w:tc>
      </w:tr>
      <w:tr w:rsidR="00C5189D" w:rsidRPr="003D2EFB" w:rsidTr="002258AC">
        <w:trPr>
          <w:trHeight w:val="17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12,7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D" w:rsidRPr="003D2EFB" w:rsidRDefault="00C5189D" w:rsidP="00CE6422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9,4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9D" w:rsidRPr="003D2EFB" w:rsidRDefault="00C5189D" w:rsidP="00C5189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2EFB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  <w:lang w:eastAsia="fr-FR" w:bidi="tzm-Arab-MA"/>
              </w:rPr>
              <w:t>المجموع</w:t>
            </w:r>
          </w:p>
        </w:tc>
      </w:tr>
    </w:tbl>
    <w:p w:rsidR="002258AC" w:rsidRPr="003D2EFB" w:rsidRDefault="002258AC" w:rsidP="00C5189D">
      <w:pPr>
        <w:tabs>
          <w:tab w:val="left" w:pos="5757"/>
        </w:tabs>
        <w:bidi/>
        <w:jc w:val="center"/>
        <w:rPr>
          <w:rFonts w:asciiTheme="majorBidi" w:hAnsiTheme="majorBidi" w:cstheme="majorBidi"/>
          <w:sz w:val="16"/>
          <w:szCs w:val="16"/>
          <w:rtl/>
        </w:rPr>
      </w:pPr>
    </w:p>
    <w:p w:rsidR="00C5189D" w:rsidRPr="003D2EFB" w:rsidRDefault="00C5189D" w:rsidP="002258AC">
      <w:pPr>
        <w:tabs>
          <w:tab w:val="left" w:pos="5757"/>
        </w:tabs>
        <w:bidi/>
        <w:jc w:val="center"/>
        <w:rPr>
          <w:rFonts w:asciiTheme="majorBidi" w:hAnsiTheme="majorBidi" w:cstheme="majorBidi"/>
        </w:rPr>
      </w:pPr>
    </w:p>
    <w:sectPr w:rsidR="00C5189D" w:rsidRPr="003D2EFB" w:rsidSect="00780DA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BC" w:rsidRDefault="00011EBC" w:rsidP="003D2EFB">
      <w:pPr>
        <w:spacing w:after="0" w:line="240" w:lineRule="auto"/>
      </w:pPr>
      <w:r>
        <w:separator/>
      </w:r>
    </w:p>
  </w:endnote>
  <w:endnote w:type="continuationSeparator" w:id="0">
    <w:p w:rsidR="00011EBC" w:rsidRDefault="00011EBC" w:rsidP="003D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83797"/>
      <w:docPartObj>
        <w:docPartGallery w:val="Page Numbers (Bottom of Page)"/>
        <w:docPartUnique/>
      </w:docPartObj>
    </w:sdtPr>
    <w:sdtContent>
      <w:p w:rsidR="007553D2" w:rsidRDefault="00846582">
        <w:pPr>
          <w:pStyle w:val="Pieddepage"/>
          <w:jc w:val="center"/>
        </w:pPr>
        <w:r>
          <w:fldChar w:fldCharType="begin"/>
        </w:r>
        <w:r w:rsidR="00901B9F">
          <w:instrText>PAGE   \* MERGEFORMAT</w:instrText>
        </w:r>
        <w:r>
          <w:fldChar w:fldCharType="separate"/>
        </w:r>
        <w:r w:rsidR="007705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53D2" w:rsidRDefault="007553D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BC" w:rsidRDefault="00011EBC" w:rsidP="003D2EFB">
      <w:pPr>
        <w:spacing w:after="0" w:line="240" w:lineRule="auto"/>
      </w:pPr>
      <w:r>
        <w:separator/>
      </w:r>
    </w:p>
  </w:footnote>
  <w:footnote w:type="continuationSeparator" w:id="0">
    <w:p w:rsidR="00011EBC" w:rsidRDefault="00011EBC" w:rsidP="003D2EFB">
      <w:pPr>
        <w:spacing w:after="0" w:line="240" w:lineRule="auto"/>
      </w:pPr>
      <w:r>
        <w:continuationSeparator/>
      </w:r>
    </w:p>
  </w:footnote>
  <w:footnote w:id="1">
    <w:p w:rsidR="007553D2" w:rsidRDefault="007553D2" w:rsidP="00C92C99">
      <w:pPr>
        <w:pStyle w:val="Notedebasdepage"/>
        <w:bidi/>
        <w:rPr>
          <w:rtl/>
          <w:lang w:bidi="tzm-Arab-MA"/>
        </w:rPr>
      </w:pPr>
      <w:r>
        <w:rPr>
          <w:rStyle w:val="Appelnotedebasdep"/>
        </w:rPr>
        <w:footnoteRef/>
      </w:r>
      <w:r>
        <w:t xml:space="preserve"> 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  <w:footnote w:id="2">
    <w:p w:rsidR="007553D2" w:rsidRPr="005A6EC1" w:rsidRDefault="007553D2" w:rsidP="005A6EC1">
      <w:pPr>
        <w:pStyle w:val="Notedebasdepage"/>
        <w:bidi/>
        <w:rPr>
          <w:rFonts w:asciiTheme="majorBidi" w:eastAsia="Times New Roman" w:hAnsiTheme="majorBidi" w:cstheme="majorBidi"/>
          <w:color w:val="000000"/>
          <w:sz w:val="16"/>
          <w:szCs w:val="16"/>
          <w:lang w:eastAsia="fr-FR" w:bidi="tzm-Arab-MA"/>
        </w:rPr>
      </w:pP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lang w:eastAsia="fr-FR" w:bidi="ar-MA"/>
        </w:rPr>
        <w:footnoteRef/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lang w:eastAsia="fr-FR" w:bidi="ar-MA"/>
        </w:rPr>
        <w:t xml:space="preserve">  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 xml:space="preserve">تماشيا مع 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توصيات منظمة العمل الدولية،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ي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تكون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الشغل الناقص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، وفقًا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للبحث الوطني حول التشغيل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، من مكونين، الأول يرتبط بعدد ساعات العمل والثاني يتعلق </w:t>
      </w:r>
      <w:r w:rsidRPr="0070648E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>بالدخل غير الكافي أو عدم ملاءمة الشغل مع التكوين</w:t>
      </w:r>
      <w:r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tzm-Arab-MA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1F3864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1F79DE"/>
    <w:multiLevelType w:val="hybridMultilevel"/>
    <w:tmpl w:val="754E90C4"/>
    <w:lvl w:ilvl="0" w:tplc="68806AAA">
      <w:start w:val="3"/>
      <w:numFmt w:val="decimal"/>
      <w:lvlText w:val="%1."/>
      <w:lvlJc w:val="left"/>
      <w:pPr>
        <w:ind w:left="720" w:hanging="360"/>
      </w:pPr>
      <w:rPr>
        <w:rFonts w:ascii="Book Antiqua" w:eastAsiaTheme="majorEastAsia" w:hAnsi="Book Antiqua" w:cs="Times New Roman" w:hint="default"/>
        <w:color w:val="1F3864" w:themeColor="accent1" w:themeShade="8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47B"/>
    <w:rsid w:val="00006E8F"/>
    <w:rsid w:val="00011EBC"/>
    <w:rsid w:val="000B1A42"/>
    <w:rsid w:val="00131DED"/>
    <w:rsid w:val="00145219"/>
    <w:rsid w:val="002204F2"/>
    <w:rsid w:val="002258AC"/>
    <w:rsid w:val="00267E43"/>
    <w:rsid w:val="002927EF"/>
    <w:rsid w:val="002B26D2"/>
    <w:rsid w:val="00316F12"/>
    <w:rsid w:val="00332322"/>
    <w:rsid w:val="00384093"/>
    <w:rsid w:val="003B29E3"/>
    <w:rsid w:val="003D2EFB"/>
    <w:rsid w:val="00445E92"/>
    <w:rsid w:val="004B747B"/>
    <w:rsid w:val="005A6EC1"/>
    <w:rsid w:val="00611341"/>
    <w:rsid w:val="006955E5"/>
    <w:rsid w:val="006C0330"/>
    <w:rsid w:val="0070648E"/>
    <w:rsid w:val="007206C0"/>
    <w:rsid w:val="007553D2"/>
    <w:rsid w:val="00770512"/>
    <w:rsid w:val="00780DAB"/>
    <w:rsid w:val="00787103"/>
    <w:rsid w:val="007B666E"/>
    <w:rsid w:val="007D7E0E"/>
    <w:rsid w:val="00846582"/>
    <w:rsid w:val="00871E13"/>
    <w:rsid w:val="00880BFC"/>
    <w:rsid w:val="008C72FF"/>
    <w:rsid w:val="00901B9F"/>
    <w:rsid w:val="0092404E"/>
    <w:rsid w:val="009A5176"/>
    <w:rsid w:val="009C4822"/>
    <w:rsid w:val="00B10A5D"/>
    <w:rsid w:val="00B22693"/>
    <w:rsid w:val="00BA22CE"/>
    <w:rsid w:val="00C5189D"/>
    <w:rsid w:val="00C75138"/>
    <w:rsid w:val="00C7547F"/>
    <w:rsid w:val="00C92C99"/>
    <w:rsid w:val="00CB6171"/>
    <w:rsid w:val="00CE6422"/>
    <w:rsid w:val="00CF3C76"/>
    <w:rsid w:val="00D02824"/>
    <w:rsid w:val="00EB6C23"/>
    <w:rsid w:val="00F0707C"/>
    <w:rsid w:val="00F407E5"/>
    <w:rsid w:val="00F469E0"/>
    <w:rsid w:val="00F77712"/>
    <w:rsid w:val="00FB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annexe">
    <w:name w:val="tableau annexe"/>
    <w:basedOn w:val="Normal"/>
    <w:qFormat/>
    <w:rsid w:val="002204F2"/>
    <w:pPr>
      <w:bidi/>
      <w:spacing w:before="240" w:after="200" w:line="276" w:lineRule="auto"/>
      <w:contextualSpacing/>
      <w:jc w:val="center"/>
    </w:pPr>
    <w:rPr>
      <w:rFonts w:asciiTheme="majorBidi" w:hAnsiTheme="majorBidi" w:cstheme="majorBidi"/>
      <w:b/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5189D"/>
    <w:pPr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3D2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EFB"/>
  </w:style>
  <w:style w:type="paragraph" w:styleId="Pieddepage">
    <w:name w:val="footer"/>
    <w:basedOn w:val="Normal"/>
    <w:link w:val="PieddepageCar"/>
    <w:uiPriority w:val="99"/>
    <w:unhideWhenUsed/>
    <w:rsid w:val="003D2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EFB"/>
  </w:style>
  <w:style w:type="paragraph" w:styleId="Textedebulles">
    <w:name w:val="Balloon Text"/>
    <w:basedOn w:val="Normal"/>
    <w:link w:val="TextedebullesCar"/>
    <w:uiPriority w:val="99"/>
    <w:semiHidden/>
    <w:unhideWhenUsed/>
    <w:rsid w:val="007B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66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2C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2C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2C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Kamel\ENE\NoteMarcheTravail\2020\T3\T32020_Graphiques_Activite_Emploi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Kamel\ENE\NoteMarcheTravail\2020\T3\T32020_Graphiques_Activite_Emploi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\T3%202020\GRAPHIQUES-3%20et%204%20ARAB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\T3%202020\GRAPHIQUES-3%20et%204%20ARAB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Indicateurs%20ENE_R&#233;gion_%20T3-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Indicateurs%20ENE_R&#233;gion_%20T3-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Feuil1!$A$2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Feuil1!$B$1:$D$1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Feuil1!$B$2:$D$2</c:f>
              <c:numCache>
                <c:formatCode>General</c:formatCode>
                <c:ptCount val="3"/>
                <c:pt idx="0">
                  <c:v>-226000</c:v>
                </c:pt>
                <c:pt idx="1">
                  <c:v>-195000</c:v>
                </c:pt>
                <c:pt idx="2">
                  <c:v>-421000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C4-4EA7-9F5D-D0E121D5D9FE}"/>
            </c:ext>
          </c:extLst>
        </c:ser>
        <c:ser>
          <c:idx val="1"/>
          <c:order val="1"/>
          <c:tx>
            <c:strRef>
              <c:f>Feuil1!$A$3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Feuil1!$B$1:$D$1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Feuil1!$B$3:$D$3</c:f>
              <c:numCache>
                <c:formatCode>General</c:formatCode>
                <c:ptCount val="3"/>
                <c:pt idx="0">
                  <c:v>-11000</c:v>
                </c:pt>
                <c:pt idx="1">
                  <c:v>-149000</c:v>
                </c:pt>
                <c:pt idx="2">
                  <c:v>-160000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C4-4EA7-9F5D-D0E121D5D9FE}"/>
            </c:ext>
          </c:extLst>
        </c:ser>
        <c:ser>
          <c:idx val="2"/>
          <c:order val="2"/>
          <c:tx>
            <c:strRef>
              <c:f>Feuil1!$A$4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Feuil1!$B$1:$D$1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Feuil1!$B$4:$D$4</c:f>
              <c:numCache>
                <c:formatCode>General</c:formatCode>
                <c:ptCount val="3"/>
                <c:pt idx="0">
                  <c:v>-237000</c:v>
                </c:pt>
                <c:pt idx="1">
                  <c:v>-344000</c:v>
                </c:pt>
                <c:pt idx="2">
                  <c:v>-581000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C4-4EA7-9F5D-D0E121D5D9FE}"/>
            </c:ext>
          </c:extLst>
        </c:ser>
        <c:dLbls>
          <c:showVal val="1"/>
        </c:dLbls>
        <c:overlap val="-25"/>
        <c:axId val="105506688"/>
        <c:axId val="105508224"/>
      </c:barChart>
      <c:catAx>
        <c:axId val="105506688"/>
        <c:scaling>
          <c:orientation val="minMax"/>
        </c:scaling>
        <c:axPos val="b"/>
        <c:numFmt formatCode="General" sourceLinked="0"/>
        <c:majorTickMark val="none"/>
        <c:tickLblPos val="low"/>
        <c:crossAx val="105508224"/>
        <c:crosses val="autoZero"/>
        <c:auto val="1"/>
        <c:lblAlgn val="ctr"/>
        <c:lblOffset val="100"/>
      </c:catAx>
      <c:valAx>
        <c:axId val="105508224"/>
        <c:scaling>
          <c:orientation val="minMax"/>
        </c:scaling>
        <c:delete val="1"/>
        <c:axPos val="l"/>
        <c:numFmt formatCode="General" sourceLinked="1"/>
        <c:tickLblPos val="none"/>
        <c:crossAx val="105506688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Feuil1!$B$19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1"/>
              <c:layout>
                <c:manualLayout>
                  <c:x val="-2.1609940572663577E-2"/>
                  <c:y val="2.8146615721292267E-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2B-48CC-BC53-63F90BAC7187}"/>
                </c:ext>
              </c:extLst>
            </c:dLbl>
            <c:dLbl>
              <c:idx val="4"/>
              <c:layout>
                <c:manualLayout>
                  <c:x val="-8.6439762290653893E-3"/>
                  <c:y val="3.574620196604180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2B-48CC-BC53-63F90BAC718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Feuil1!$A$20:$A$24</c:f>
              <c:strCache>
                <c:ptCount val="5"/>
                <c:pt idx="0">
                  <c:v>الفلاحة و الصيد البحري</c:v>
                </c:pt>
                <c:pt idx="1">
                  <c:v>الصناعة بما فيها الصناعة التقليدية</c:v>
                </c:pt>
                <c:pt idx="2">
                  <c:v>البناء و الأشغال العمومية</c:v>
                </c:pt>
                <c:pt idx="3">
                  <c:v>الخدمات</c:v>
                </c:pt>
                <c:pt idx="4">
                  <c:v>وطني</c:v>
                </c:pt>
              </c:strCache>
            </c:strRef>
          </c:cat>
          <c:val>
            <c:numRef>
              <c:f>Feuil1!$B$20:$B$24</c:f>
              <c:numCache>
                <c:formatCode>General</c:formatCode>
                <c:ptCount val="5"/>
                <c:pt idx="0">
                  <c:v>2000</c:v>
                </c:pt>
                <c:pt idx="1">
                  <c:v>-44000</c:v>
                </c:pt>
                <c:pt idx="2">
                  <c:v>2000</c:v>
                </c:pt>
                <c:pt idx="3">
                  <c:v>-196000</c:v>
                </c:pt>
                <c:pt idx="4">
                  <c:v>-237000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02B-48CC-BC53-63F90BAC7187}"/>
            </c:ext>
          </c:extLst>
        </c:ser>
        <c:ser>
          <c:idx val="1"/>
          <c:order val="1"/>
          <c:tx>
            <c:strRef>
              <c:f>Feuil1!$C$19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dLbl>
              <c:idx val="0"/>
              <c:layout>
                <c:manualLayout>
                  <c:x val="-2.0887725596687893E-2"/>
                  <c:y val="-3.593889369331843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2B-48CC-BC53-63F90BAC7187}"/>
                </c:ext>
              </c:extLst>
            </c:dLbl>
            <c:dLbl>
              <c:idx val="4"/>
              <c:layout>
                <c:manualLayout>
                  <c:x val="-1.0804970286331738E-2"/>
                  <c:y val="-7.149240393208244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2B-48CC-BC53-63F90BAC718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Feuil1!$A$20:$A$24</c:f>
              <c:strCache>
                <c:ptCount val="5"/>
                <c:pt idx="0">
                  <c:v>الفلاحة و الصيد البحري</c:v>
                </c:pt>
                <c:pt idx="1">
                  <c:v>الصناعة بما فيها الصناعة التقليدية</c:v>
                </c:pt>
                <c:pt idx="2">
                  <c:v>البناء و الأشغال العمومية</c:v>
                </c:pt>
                <c:pt idx="3">
                  <c:v>الخدمات</c:v>
                </c:pt>
                <c:pt idx="4">
                  <c:v>وطني</c:v>
                </c:pt>
              </c:strCache>
            </c:strRef>
          </c:cat>
          <c:val>
            <c:numRef>
              <c:f>Feuil1!$C$20:$C$24</c:f>
              <c:numCache>
                <c:formatCode>General</c:formatCode>
                <c:ptCount val="5"/>
                <c:pt idx="0">
                  <c:v>-260000</c:v>
                </c:pt>
                <c:pt idx="1">
                  <c:v>-17000</c:v>
                </c:pt>
                <c:pt idx="2">
                  <c:v>-1000</c:v>
                </c:pt>
                <c:pt idx="3">
                  <c:v>-64000</c:v>
                </c:pt>
                <c:pt idx="4">
                  <c:v>-344000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02B-48CC-BC53-63F90BAC7187}"/>
            </c:ext>
          </c:extLst>
        </c:ser>
        <c:ser>
          <c:idx val="2"/>
          <c:order val="2"/>
          <c:tx>
            <c:strRef>
              <c:f>Feuil1!$D$19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layout>
                <c:manualLayout>
                  <c:x val="1.2184506598067968E-2"/>
                  <c:y val="-1.07816681079955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02B-48CC-BC53-63F90BAC718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Feuil1!$A$20:$A$24</c:f>
              <c:strCache>
                <c:ptCount val="5"/>
                <c:pt idx="0">
                  <c:v>الفلاحة و الصيد البحري</c:v>
                </c:pt>
                <c:pt idx="1">
                  <c:v>الصناعة بما فيها الصناعة التقليدية</c:v>
                </c:pt>
                <c:pt idx="2">
                  <c:v>البناء و الأشغال العمومية</c:v>
                </c:pt>
                <c:pt idx="3">
                  <c:v>الخدمات</c:v>
                </c:pt>
                <c:pt idx="4">
                  <c:v>وطني</c:v>
                </c:pt>
              </c:strCache>
            </c:strRef>
          </c:cat>
          <c:val>
            <c:numRef>
              <c:f>Feuil1!$D$20:$D$24</c:f>
              <c:numCache>
                <c:formatCode>General</c:formatCode>
                <c:ptCount val="5"/>
                <c:pt idx="0">
                  <c:v>-258000</c:v>
                </c:pt>
                <c:pt idx="1">
                  <c:v>-61000</c:v>
                </c:pt>
                <c:pt idx="2">
                  <c:v>1000</c:v>
                </c:pt>
                <c:pt idx="3">
                  <c:v>-260000</c:v>
                </c:pt>
                <c:pt idx="4">
                  <c:v>-581000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02B-48CC-BC53-63F90BAC7187}"/>
            </c:ext>
          </c:extLst>
        </c:ser>
        <c:dLbls>
          <c:showVal val="1"/>
        </c:dLbls>
        <c:overlap val="-25"/>
        <c:axId val="105625472"/>
        <c:axId val="105627008"/>
      </c:barChart>
      <c:catAx>
        <c:axId val="10562547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b="0" i="0"/>
            </a:pPr>
            <a:endParaRPr lang="fr-FR"/>
          </a:p>
        </c:txPr>
        <c:crossAx val="105627008"/>
        <c:crosses val="autoZero"/>
        <c:auto val="1"/>
        <c:lblAlgn val="ctr"/>
        <c:lblOffset val="100"/>
      </c:catAx>
      <c:valAx>
        <c:axId val="105627008"/>
        <c:scaling>
          <c:orientation val="minMax"/>
        </c:scaling>
        <c:delete val="1"/>
        <c:axPos val="l"/>
        <c:numFmt formatCode="General" sourceLinked="1"/>
        <c:tickLblPos val="none"/>
        <c:crossAx val="105625472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Feuil1!$E$11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Feuil1!$D$12:$D$19</c:f>
              <c:strCache>
                <c:ptCount val="8"/>
                <c:pt idx="0">
                  <c:v>حضري</c:v>
                </c:pt>
                <c:pt idx="1">
                  <c:v>قـروي</c:v>
                </c:pt>
                <c:pt idx="2">
                  <c:v>ذكـور</c:v>
                </c:pt>
                <c:pt idx="3">
                  <c:v>إنـاث</c:v>
                </c:pt>
                <c:pt idx="4">
                  <c:v>   24 – 15  سنـة</c:v>
                </c:pt>
                <c:pt idx="5">
                  <c:v>بـدون شهـادة</c:v>
                </c:pt>
                <c:pt idx="6">
                  <c:v>حاصـل علـى شهـادة</c:v>
                </c:pt>
                <c:pt idx="7">
                  <c:v>المجمـوع</c:v>
                </c:pt>
              </c:strCache>
            </c:strRef>
          </c:cat>
          <c:val>
            <c:numRef>
              <c:f>Feuil1!$E$12:$E$19</c:f>
              <c:numCache>
                <c:formatCode>General</c:formatCode>
                <c:ptCount val="8"/>
                <c:pt idx="0">
                  <c:v>12.7</c:v>
                </c:pt>
                <c:pt idx="1">
                  <c:v>4.5</c:v>
                </c:pt>
                <c:pt idx="2">
                  <c:v>8</c:v>
                </c:pt>
                <c:pt idx="3">
                  <c:v>13.9</c:v>
                </c:pt>
                <c:pt idx="4">
                  <c:v>26.7</c:v>
                </c:pt>
                <c:pt idx="5">
                  <c:v>3.7</c:v>
                </c:pt>
                <c:pt idx="6">
                  <c:v>15.5</c:v>
                </c:pt>
                <c:pt idx="7">
                  <c:v>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DD-4303-AFEF-3DC0C6E4B626}"/>
            </c:ext>
          </c:extLst>
        </c:ser>
        <c:ser>
          <c:idx val="1"/>
          <c:order val="1"/>
          <c:tx>
            <c:strRef>
              <c:f>Feuil1!$F$11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Feuil1!$D$12:$D$19</c:f>
              <c:strCache>
                <c:ptCount val="8"/>
                <c:pt idx="0">
                  <c:v>حضري</c:v>
                </c:pt>
                <c:pt idx="1">
                  <c:v>قـروي</c:v>
                </c:pt>
                <c:pt idx="2">
                  <c:v>ذكـور</c:v>
                </c:pt>
                <c:pt idx="3">
                  <c:v>إنـاث</c:v>
                </c:pt>
                <c:pt idx="4">
                  <c:v>   24 – 15  سنـة</c:v>
                </c:pt>
                <c:pt idx="5">
                  <c:v>بـدون شهـادة</c:v>
                </c:pt>
                <c:pt idx="6">
                  <c:v>حاصـل علـى شهـادة</c:v>
                </c:pt>
                <c:pt idx="7">
                  <c:v>المجمـوع</c:v>
                </c:pt>
              </c:strCache>
            </c:strRef>
          </c:cat>
          <c:val>
            <c:numRef>
              <c:f>Feuil1!$F$12:$F$19</c:f>
              <c:numCache>
                <c:formatCode>General</c:formatCode>
                <c:ptCount val="8"/>
                <c:pt idx="0">
                  <c:v>16.5</c:v>
                </c:pt>
                <c:pt idx="1">
                  <c:v>6.8</c:v>
                </c:pt>
                <c:pt idx="2">
                  <c:v>11.4</c:v>
                </c:pt>
                <c:pt idx="3">
                  <c:v>17.600000000000001</c:v>
                </c:pt>
                <c:pt idx="4">
                  <c:v>32.300000000000004</c:v>
                </c:pt>
                <c:pt idx="5">
                  <c:v>6.9</c:v>
                </c:pt>
                <c:pt idx="6">
                  <c:v>18.7</c:v>
                </c:pt>
                <c:pt idx="7">
                  <c:v>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DD-4303-AFEF-3DC0C6E4B626}"/>
            </c:ext>
          </c:extLst>
        </c:ser>
        <c:gapWidth val="75"/>
        <c:overlap val="-25"/>
        <c:axId val="106082304"/>
        <c:axId val="106083840"/>
      </c:barChart>
      <c:catAx>
        <c:axId val="106082304"/>
        <c:scaling>
          <c:orientation val="minMax"/>
        </c:scaling>
        <c:axPos val="b"/>
        <c:numFmt formatCode="General" sourceLinked="0"/>
        <c:majorTickMark val="none"/>
        <c:tickLblPos val="nextTo"/>
        <c:crossAx val="106083840"/>
        <c:crosses val="autoZero"/>
        <c:auto val="1"/>
        <c:lblAlgn val="ctr"/>
        <c:lblOffset val="100"/>
      </c:catAx>
      <c:valAx>
        <c:axId val="10608384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6082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9118328958880113E-2"/>
          <c:y val="5.9801326917468811E-2"/>
          <c:w val="0.20842979002624704"/>
          <c:h val="8.3717191601050026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Feuil1!$E$22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Feuil1!$D$23:$D$29</c:f>
              <c:strCache>
                <c:ptCount val="7"/>
                <c:pt idx="0">
                  <c:v>حضري</c:v>
                </c:pt>
                <c:pt idx="1">
                  <c:v>قـروي</c:v>
                </c:pt>
                <c:pt idx="2">
                  <c:v>ذكـور</c:v>
                </c:pt>
                <c:pt idx="3">
                  <c:v>إنـاث</c:v>
                </c:pt>
                <c:pt idx="4">
                  <c:v>   24 – 15  سنـة</c:v>
                </c:pt>
                <c:pt idx="5">
                  <c:v>حاصـل علـى شهـادة</c:v>
                </c:pt>
                <c:pt idx="6">
                  <c:v>المجمـوع</c:v>
                </c:pt>
              </c:strCache>
            </c:strRef>
          </c:cat>
          <c:val>
            <c:numRef>
              <c:f>Feuil1!$E$23:$E$29</c:f>
              <c:numCache>
                <c:formatCode>0.0</c:formatCode>
                <c:ptCount val="7"/>
                <c:pt idx="0">
                  <c:v>7.8</c:v>
                </c:pt>
                <c:pt idx="1">
                  <c:v>10.8</c:v>
                </c:pt>
                <c:pt idx="2">
                  <c:v>10.200000000000001</c:v>
                </c:pt>
                <c:pt idx="3">
                  <c:v>5.2</c:v>
                </c:pt>
                <c:pt idx="4">
                  <c:v>15.3</c:v>
                </c:pt>
                <c:pt idx="5">
                  <c:v>9.3000000000000007</c:v>
                </c:pt>
                <c:pt idx="6">
                  <c:v>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1E-49A5-9B56-0251D84576FF}"/>
            </c:ext>
          </c:extLst>
        </c:ser>
        <c:ser>
          <c:idx val="1"/>
          <c:order val="1"/>
          <c:tx>
            <c:strRef>
              <c:f>Feuil1!$F$22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Feuil1!$D$23:$D$29</c:f>
              <c:strCache>
                <c:ptCount val="7"/>
                <c:pt idx="0">
                  <c:v>حضري</c:v>
                </c:pt>
                <c:pt idx="1">
                  <c:v>قـروي</c:v>
                </c:pt>
                <c:pt idx="2">
                  <c:v>ذكـور</c:v>
                </c:pt>
                <c:pt idx="3">
                  <c:v>إنـاث</c:v>
                </c:pt>
                <c:pt idx="4">
                  <c:v>   24 – 15  سنـة</c:v>
                </c:pt>
                <c:pt idx="5">
                  <c:v>حاصـل علـى شهـادة</c:v>
                </c:pt>
                <c:pt idx="6">
                  <c:v>المجمـوع</c:v>
                </c:pt>
              </c:strCache>
            </c:strRef>
          </c:cat>
          <c:val>
            <c:numRef>
              <c:f>Feuil1!$F$23:$F$29</c:f>
              <c:numCache>
                <c:formatCode>0.0</c:formatCode>
                <c:ptCount val="7"/>
                <c:pt idx="0">
                  <c:v>10.5</c:v>
                </c:pt>
                <c:pt idx="1">
                  <c:v>13.3</c:v>
                </c:pt>
                <c:pt idx="2">
                  <c:v>13</c:v>
                </c:pt>
                <c:pt idx="3">
                  <c:v>6.3</c:v>
                </c:pt>
                <c:pt idx="4">
                  <c:v>19.100000000000001</c:v>
                </c:pt>
                <c:pt idx="5">
                  <c:v>11.8</c:v>
                </c:pt>
                <c:pt idx="6">
                  <c:v>11.6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1E-49A5-9B56-0251D84576FF}"/>
            </c:ext>
          </c:extLst>
        </c:ser>
        <c:gapWidth val="75"/>
        <c:overlap val="-25"/>
        <c:axId val="106125952"/>
        <c:axId val="106131840"/>
      </c:barChart>
      <c:catAx>
        <c:axId val="106125952"/>
        <c:scaling>
          <c:orientation val="minMax"/>
        </c:scaling>
        <c:axPos val="b"/>
        <c:numFmt formatCode="General" sourceLinked="0"/>
        <c:majorTickMark val="none"/>
        <c:tickLblPos val="nextTo"/>
        <c:crossAx val="106131840"/>
        <c:crosses val="autoZero"/>
        <c:auto val="1"/>
        <c:lblAlgn val="ctr"/>
        <c:lblOffset val="100"/>
      </c:catAx>
      <c:valAx>
        <c:axId val="10613184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612595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0066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HASSANIAT32020!$L$6:$L$16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 </c:v>
                </c:pt>
                <c:pt idx="10">
                  <c:v>المجموع</c:v>
                </c:pt>
              </c:strCache>
            </c:strRef>
          </c:cat>
          <c:val>
            <c:numRef>
              <c:f>HASSANIAT32020!$M$6:$M$16</c:f>
              <c:numCache>
                <c:formatCode>0.0</c:formatCode>
                <c:ptCount val="11"/>
                <c:pt idx="0">
                  <c:v>45.187681935264983</c:v>
                </c:pt>
                <c:pt idx="1">
                  <c:v>41.023051329030963</c:v>
                </c:pt>
                <c:pt idx="2">
                  <c:v>41.541420117749745</c:v>
                </c:pt>
                <c:pt idx="3">
                  <c:v>42.417669289104225</c:v>
                </c:pt>
                <c:pt idx="4">
                  <c:v>43.955198413555031</c:v>
                </c:pt>
                <c:pt idx="5">
                  <c:v>46.339548558650776</c:v>
                </c:pt>
                <c:pt idx="6">
                  <c:v>45.573734363905693</c:v>
                </c:pt>
                <c:pt idx="7">
                  <c:v>37.661725198914411</c:v>
                </c:pt>
                <c:pt idx="8">
                  <c:v>40.038303647326373</c:v>
                </c:pt>
                <c:pt idx="9">
                  <c:v>43.230860562863974</c:v>
                </c:pt>
                <c:pt idx="10">
                  <c:v>43.465585289828383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53-43DB-A0E0-4B56F42C4A1D}"/>
            </c:ext>
          </c:extLst>
        </c:ser>
        <c:axId val="106160512"/>
        <c:axId val="106162048"/>
      </c:barChart>
      <c:catAx>
        <c:axId val="106160512"/>
        <c:scaling>
          <c:orientation val="minMax"/>
        </c:scaling>
        <c:axPos val="l"/>
        <c:numFmt formatCode="General" sourceLinked="0"/>
        <c:tickLblPos val="nextTo"/>
        <c:crossAx val="106162048"/>
        <c:crosses val="autoZero"/>
        <c:auto val="1"/>
        <c:lblAlgn val="ctr"/>
        <c:lblOffset val="100"/>
      </c:catAx>
      <c:valAx>
        <c:axId val="106162048"/>
        <c:scaling>
          <c:orientation val="minMax"/>
        </c:scaling>
        <c:delete val="1"/>
        <c:axPos val="b"/>
        <c:numFmt formatCode="0.0" sourceLinked="1"/>
        <c:tickLblPos val="none"/>
        <c:crossAx val="10616051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0066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HASSANIAT32020!$K$29:$K$39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 </c:v>
                </c:pt>
                <c:pt idx="10">
                  <c:v>المجموع</c:v>
                </c:pt>
              </c:strCache>
            </c:strRef>
          </c:cat>
          <c:val>
            <c:numRef>
              <c:f>HASSANIAT32020!$L$29:$L$39</c:f>
              <c:numCache>
                <c:formatCode>0.0</c:formatCode>
                <c:ptCount val="11"/>
                <c:pt idx="0">
                  <c:v>12.304388020243055</c:v>
                </c:pt>
                <c:pt idx="1">
                  <c:v>21.21639547608499</c:v>
                </c:pt>
                <c:pt idx="2">
                  <c:v>12.906013850799855</c:v>
                </c:pt>
                <c:pt idx="3">
                  <c:v>12.655612198149779</c:v>
                </c:pt>
                <c:pt idx="4">
                  <c:v>5.8708850046937684</c:v>
                </c:pt>
                <c:pt idx="5">
                  <c:v>14.668245228637312</c:v>
                </c:pt>
                <c:pt idx="6">
                  <c:v>7.7741473357055018</c:v>
                </c:pt>
                <c:pt idx="7">
                  <c:v>13.977396235712281</c:v>
                </c:pt>
                <c:pt idx="8">
                  <c:v>12.200246511088151</c:v>
                </c:pt>
                <c:pt idx="9">
                  <c:v>19.602830863007568</c:v>
                </c:pt>
                <c:pt idx="10">
                  <c:v>12.722480080260956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CC-4411-8337-FA7B5CF1EA49}"/>
            </c:ext>
          </c:extLst>
        </c:ser>
        <c:axId val="106435328"/>
        <c:axId val="106436864"/>
      </c:barChart>
      <c:catAx>
        <c:axId val="106435328"/>
        <c:scaling>
          <c:orientation val="minMax"/>
        </c:scaling>
        <c:axPos val="l"/>
        <c:numFmt formatCode="General" sourceLinked="0"/>
        <c:tickLblPos val="nextTo"/>
        <c:crossAx val="106436864"/>
        <c:crosses val="autoZero"/>
        <c:auto val="1"/>
        <c:lblAlgn val="ctr"/>
        <c:lblOffset val="100"/>
      </c:catAx>
      <c:valAx>
        <c:axId val="106436864"/>
        <c:scaling>
          <c:orientation val="minMax"/>
        </c:scaling>
        <c:delete val="1"/>
        <c:axPos val="b"/>
        <c:numFmt formatCode="0.0" sourceLinked="1"/>
        <c:tickLblPos val="none"/>
        <c:crossAx val="10643532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4986-19A3-425B-8A30-0FBEEAEA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1611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6</cp:revision>
  <cp:lastPrinted>2020-11-02T18:19:00Z</cp:lastPrinted>
  <dcterms:created xsi:type="dcterms:W3CDTF">2020-11-02T18:48:00Z</dcterms:created>
  <dcterms:modified xsi:type="dcterms:W3CDTF">2020-11-02T21:28:00Z</dcterms:modified>
</cp:coreProperties>
</file>