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79B" w:rsidRDefault="00FE7905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  <w:r>
        <w:rPr>
          <w:rFonts w:ascii="Book Antiqua" w:hAnsi="Book Antiqua" w:cs="Times New Roman"/>
          <w:b/>
          <w:bCs/>
          <w:color w:val="000000" w:themeColor="text1"/>
        </w:rPr>
        <w:t xml:space="preserve">            </w:t>
      </w:r>
    </w:p>
    <w:p w:rsidR="0098132C" w:rsidRDefault="0098132C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</w:p>
    <w:p w:rsidR="000D4077" w:rsidRPr="00C706A5" w:rsidRDefault="000D4077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</w:p>
    <w:p w:rsidR="002E3CF2" w:rsidRDefault="002E3CF2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</w:p>
    <w:p w:rsidR="003D25F5" w:rsidRDefault="003D25F5" w:rsidP="009D7625">
      <w:pPr>
        <w:widowControl/>
        <w:spacing w:line="276" w:lineRule="auto"/>
        <w:rPr>
          <w:rFonts w:ascii="Book Antiqua" w:hAnsi="Book Antiqua" w:cs="Times New Roman"/>
          <w:b/>
          <w:bCs/>
          <w:color w:val="000000" w:themeColor="text1"/>
        </w:rPr>
      </w:pPr>
    </w:p>
    <w:p w:rsidR="002E3CF2" w:rsidRDefault="002E3CF2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</w:p>
    <w:p w:rsidR="009E682C" w:rsidRPr="003A4987" w:rsidRDefault="009E682C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660033"/>
        </w:rPr>
      </w:pPr>
    </w:p>
    <w:p w:rsidR="00912704" w:rsidRPr="003A4987" w:rsidRDefault="00912704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660033"/>
          <w:sz w:val="26"/>
          <w:szCs w:val="26"/>
        </w:rPr>
      </w:pPr>
      <w:r w:rsidRPr="003A4987">
        <w:rPr>
          <w:rFonts w:ascii="Book Antiqua" w:hAnsi="Book Antiqua" w:cs="Times New Roman"/>
          <w:b/>
          <w:bCs/>
          <w:color w:val="660033"/>
          <w:sz w:val="26"/>
          <w:szCs w:val="26"/>
        </w:rPr>
        <w:t>Note d’information</w:t>
      </w:r>
      <w:r w:rsidR="0069792B" w:rsidRPr="003A4987">
        <w:rPr>
          <w:rFonts w:ascii="Book Antiqua" w:hAnsi="Book Antiqua" w:cs="Times New Roman"/>
          <w:b/>
          <w:bCs/>
          <w:color w:val="660033"/>
          <w:sz w:val="26"/>
          <w:szCs w:val="26"/>
        </w:rPr>
        <w:t xml:space="preserve"> du Haut-commissariat au Plan</w:t>
      </w:r>
    </w:p>
    <w:p w:rsidR="00912704" w:rsidRPr="003A4987" w:rsidRDefault="00097300" w:rsidP="00CF7444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660033"/>
          <w:sz w:val="26"/>
          <w:szCs w:val="26"/>
        </w:rPr>
      </w:pPr>
      <w:r w:rsidRPr="003A4987">
        <w:rPr>
          <w:rFonts w:ascii="Book Antiqua" w:hAnsi="Book Antiqua" w:cs="Times New Roman"/>
          <w:b/>
          <w:bCs/>
          <w:color w:val="660033"/>
          <w:sz w:val="26"/>
          <w:szCs w:val="26"/>
        </w:rPr>
        <w:t>R</w:t>
      </w:r>
      <w:r w:rsidR="00912704" w:rsidRPr="003A4987">
        <w:rPr>
          <w:rFonts w:ascii="Book Antiqua" w:hAnsi="Book Antiqua" w:cs="Times New Roman"/>
          <w:b/>
          <w:bCs/>
          <w:color w:val="660033"/>
          <w:sz w:val="26"/>
          <w:szCs w:val="26"/>
        </w:rPr>
        <w:t xml:space="preserve">ésultats de l’enquête de conjoncture auprès des ménages </w:t>
      </w:r>
    </w:p>
    <w:p w:rsidR="00912704" w:rsidRPr="003A4987" w:rsidRDefault="002C1479" w:rsidP="00314E25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660033"/>
          <w:sz w:val="26"/>
          <w:szCs w:val="26"/>
        </w:rPr>
      </w:pPr>
      <w:r>
        <w:rPr>
          <w:rFonts w:ascii="Book Antiqua" w:hAnsi="Book Antiqua" w:cs="Times New Roman"/>
          <w:b/>
          <w:bCs/>
          <w:color w:val="660033"/>
          <w:sz w:val="26"/>
          <w:szCs w:val="26"/>
        </w:rPr>
        <w:t>Deuxième trimestre</w:t>
      </w:r>
      <w:r w:rsidR="00E22192">
        <w:rPr>
          <w:rFonts w:ascii="Book Antiqua" w:hAnsi="Book Antiqua" w:cs="Times New Roman"/>
          <w:b/>
          <w:bCs/>
          <w:color w:val="660033"/>
          <w:sz w:val="26"/>
          <w:szCs w:val="26"/>
        </w:rPr>
        <w:t xml:space="preserve"> de</w:t>
      </w:r>
      <w:r w:rsidR="00546559">
        <w:rPr>
          <w:rFonts w:ascii="Book Antiqua" w:hAnsi="Book Antiqua" w:cs="Times New Roman"/>
          <w:b/>
          <w:bCs/>
          <w:color w:val="660033"/>
          <w:sz w:val="26"/>
          <w:szCs w:val="26"/>
        </w:rPr>
        <w:t xml:space="preserve"> l’année</w:t>
      </w:r>
      <w:r w:rsidR="00EF5221">
        <w:rPr>
          <w:rFonts w:ascii="Book Antiqua" w:hAnsi="Book Antiqua" w:cs="Times New Roman"/>
          <w:b/>
          <w:bCs/>
          <w:color w:val="660033"/>
          <w:sz w:val="26"/>
          <w:szCs w:val="26"/>
        </w:rPr>
        <w:t xml:space="preserve"> </w:t>
      </w:r>
      <w:r w:rsidR="00DA1780">
        <w:rPr>
          <w:rFonts w:ascii="Book Antiqua" w:hAnsi="Book Antiqua" w:cs="Times New Roman"/>
          <w:b/>
          <w:bCs/>
          <w:color w:val="660033"/>
          <w:sz w:val="26"/>
          <w:szCs w:val="26"/>
        </w:rPr>
        <w:t>20</w:t>
      </w:r>
      <w:r w:rsidR="00E22192">
        <w:rPr>
          <w:rFonts w:ascii="Book Antiqua" w:hAnsi="Book Antiqua" w:cs="Times New Roman"/>
          <w:b/>
          <w:bCs/>
          <w:color w:val="660033"/>
          <w:sz w:val="26"/>
          <w:szCs w:val="26"/>
        </w:rPr>
        <w:t>20</w:t>
      </w:r>
    </w:p>
    <w:p w:rsidR="004105E0" w:rsidRDefault="004105E0" w:rsidP="000F7C4F">
      <w:pPr>
        <w:widowControl/>
        <w:spacing w:before="240" w:line="276" w:lineRule="auto"/>
        <w:jc w:val="both"/>
        <w:rPr>
          <w:rFonts w:ascii="Book Antiqua" w:hAnsi="Book Antiqua" w:cs="Times New Roman"/>
          <w:color w:val="000000" w:themeColor="text1"/>
          <w:sz w:val="36"/>
          <w:szCs w:val="36"/>
        </w:rPr>
      </w:pPr>
    </w:p>
    <w:p w:rsidR="00884E39" w:rsidRDefault="00884E39" w:rsidP="00884E39">
      <w:pPr>
        <w:widowControl/>
        <w:spacing w:line="276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C706A5">
        <w:rPr>
          <w:rFonts w:ascii="Times New Roman" w:hAnsi="Times New Roman" w:cs="Times New Roman"/>
          <w:b/>
          <w:color w:val="000000" w:themeColor="text1"/>
        </w:rPr>
        <w:t>Les résultats de l’enquête permanente de conjoncture auprès des ménages, menée par le HCP, montrent</w:t>
      </w:r>
      <w:r>
        <w:rPr>
          <w:rFonts w:ascii="Times New Roman" w:hAnsi="Times New Roman" w:cs="Times New Roman"/>
          <w:b/>
          <w:color w:val="000000" w:themeColor="text1"/>
        </w:rPr>
        <w:t xml:space="preserve">, globalement, que la confiance des ménages s’est fortement dégradée au </w:t>
      </w:r>
      <w:r w:rsidR="002C1479">
        <w:rPr>
          <w:rFonts w:ascii="Times New Roman" w:hAnsi="Times New Roman" w:cs="Times New Roman"/>
          <w:b/>
          <w:color w:val="000000" w:themeColor="text1"/>
        </w:rPr>
        <w:t>deuxième trimestre</w:t>
      </w:r>
      <w:r w:rsidR="002A5928">
        <w:rPr>
          <w:rFonts w:ascii="Times New Roman" w:hAnsi="Times New Roman" w:cs="Times New Roman"/>
          <w:b/>
          <w:color w:val="000000" w:themeColor="text1"/>
        </w:rPr>
        <w:t xml:space="preserve"> de 20</w:t>
      </w:r>
      <w:r w:rsidR="00D55501">
        <w:rPr>
          <w:rFonts w:ascii="Times New Roman" w:hAnsi="Times New Roman" w:cs="Times New Roman"/>
          <w:b/>
          <w:color w:val="000000" w:themeColor="text1"/>
        </w:rPr>
        <w:t>20</w:t>
      </w:r>
      <w:r w:rsidR="00EF5221">
        <w:rPr>
          <w:rFonts w:ascii="Times New Roman" w:hAnsi="Times New Roman" w:cs="Times New Roman"/>
          <w:b/>
          <w:color w:val="000000" w:themeColor="text1"/>
        </w:rPr>
        <w:t>,</w:t>
      </w:r>
      <w:r w:rsidR="009D7625">
        <w:rPr>
          <w:rFonts w:ascii="Times New Roman" w:hAnsi="Times New Roman" w:cs="Times New Roman"/>
          <w:b/>
          <w:color w:val="000000" w:themeColor="text1"/>
        </w:rPr>
        <w:t xml:space="preserve"> marqué par </w:t>
      </w:r>
      <w:r w:rsidR="00C34965" w:rsidRPr="00C34965">
        <w:rPr>
          <w:rFonts w:ascii="Times New Roman" w:hAnsi="Times New Roman" w:cs="Times New Roman"/>
          <w:b/>
          <w:color w:val="000000" w:themeColor="text1"/>
        </w:rPr>
        <w:t>la crise sanitaire</w:t>
      </w:r>
      <w:r w:rsidR="009D7625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06395E" w:rsidRPr="0006395E">
        <w:rPr>
          <w:rFonts w:ascii="Times New Roman" w:hAnsi="Times New Roman" w:cs="Times New Roman"/>
          <w:b/>
          <w:color w:val="000000" w:themeColor="text1"/>
        </w:rPr>
        <w:t>du Covid-19</w:t>
      </w:r>
      <w:r>
        <w:rPr>
          <w:rFonts w:ascii="Times New Roman" w:hAnsi="Times New Roman" w:cs="Times New Roman"/>
          <w:b/>
          <w:color w:val="000000" w:themeColor="text1"/>
        </w:rPr>
        <w:t>.</w:t>
      </w:r>
      <w:r w:rsidR="00C34965" w:rsidRPr="008819DB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8819DB">
        <w:rPr>
          <w:rFonts w:ascii="Times New Roman" w:hAnsi="Times New Roman" w:cs="Times New Roman"/>
          <w:b/>
          <w:color w:val="000000" w:themeColor="text1"/>
        </w:rPr>
        <w:t>L’indice</w:t>
      </w:r>
      <w:r w:rsidR="008819DB" w:rsidRPr="008819DB">
        <w:rPr>
          <w:rFonts w:ascii="Times New Roman" w:hAnsi="Times New Roman" w:cs="Times New Roman"/>
          <w:b/>
          <w:color w:val="000000" w:themeColor="text1"/>
        </w:rPr>
        <w:t xml:space="preserve"> de confiance des ménages </w:t>
      </w:r>
      <w:r w:rsidR="008819DB">
        <w:rPr>
          <w:rFonts w:ascii="Times New Roman" w:hAnsi="Times New Roman" w:cs="Times New Roman"/>
          <w:b/>
          <w:color w:val="000000" w:themeColor="text1"/>
        </w:rPr>
        <w:t>enregistre</w:t>
      </w:r>
      <w:r w:rsidR="00F975AA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6F19DD">
        <w:rPr>
          <w:rFonts w:ascii="Times New Roman" w:hAnsi="Times New Roman" w:cs="Times New Roman"/>
          <w:b/>
          <w:color w:val="000000" w:themeColor="text1"/>
        </w:rPr>
        <w:t>son niveau le plus bas depuis le début de l’enquête en 2008</w:t>
      </w:r>
      <w:r>
        <w:rPr>
          <w:rFonts w:ascii="Times New Roman" w:hAnsi="Times New Roman" w:cs="Times New Roman"/>
          <w:b/>
          <w:color w:val="000000" w:themeColor="text1"/>
        </w:rPr>
        <w:t>.</w:t>
      </w:r>
    </w:p>
    <w:p w:rsidR="00884E39" w:rsidRDefault="00884E39" w:rsidP="00884E39">
      <w:pPr>
        <w:widowControl/>
        <w:spacing w:line="276" w:lineRule="auto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F93DE9" w:rsidRPr="00C706A5" w:rsidRDefault="00F93DE9" w:rsidP="00F93DE9">
      <w:pPr>
        <w:widowControl/>
        <w:spacing w:line="276" w:lineRule="auto"/>
        <w:rPr>
          <w:rFonts w:ascii="Times New Roman" w:hAnsi="Times New Roman" w:cs="Times New Roman"/>
          <w:b/>
          <w:bCs/>
          <w:color w:val="000000" w:themeColor="text1"/>
        </w:rPr>
      </w:pPr>
    </w:p>
    <w:p w:rsidR="00F93DE9" w:rsidRDefault="00F93DE9" w:rsidP="00141816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L</w:t>
      </w:r>
      <w:r w:rsidRPr="00DD6FD9">
        <w:rPr>
          <w:rFonts w:ascii="Times New Roman" w:hAnsi="Times New Roman" w:cs="Times New Roman"/>
          <w:color w:val="000000" w:themeColor="text1"/>
        </w:rPr>
        <w:t xml:space="preserve">'indice de confiance des ménages (ICM) </w:t>
      </w:r>
      <w:r>
        <w:rPr>
          <w:rFonts w:ascii="Times New Roman" w:hAnsi="Times New Roman" w:cs="Times New Roman"/>
          <w:color w:val="000000" w:themeColor="text1"/>
        </w:rPr>
        <w:t>s’</w:t>
      </w:r>
      <w:r w:rsidRPr="00DD6FD9">
        <w:rPr>
          <w:rFonts w:ascii="Times New Roman" w:hAnsi="Times New Roman" w:cs="Times New Roman"/>
          <w:color w:val="000000" w:themeColor="text1"/>
        </w:rPr>
        <w:t xml:space="preserve">est ainsi </w:t>
      </w:r>
      <w:r>
        <w:rPr>
          <w:rFonts w:ascii="Times New Roman" w:hAnsi="Times New Roman" w:cs="Times New Roman"/>
          <w:color w:val="000000" w:themeColor="text1"/>
        </w:rPr>
        <w:t>établi</w:t>
      </w:r>
      <w:r w:rsidRPr="00DD6FD9">
        <w:rPr>
          <w:rFonts w:ascii="Times New Roman" w:hAnsi="Times New Roman" w:cs="Times New Roman"/>
          <w:color w:val="000000" w:themeColor="text1"/>
        </w:rPr>
        <w:t xml:space="preserve"> à </w:t>
      </w:r>
      <w:r w:rsidR="00141816">
        <w:rPr>
          <w:rFonts w:ascii="Times New Roman" w:hAnsi="Times New Roman" w:cs="Times New Roman"/>
          <w:color w:val="000000" w:themeColor="text1"/>
        </w:rPr>
        <w:t xml:space="preserve">65,6 </w:t>
      </w:r>
      <w:r>
        <w:rPr>
          <w:rFonts w:ascii="Times New Roman" w:hAnsi="Times New Roman" w:cs="Times New Roman"/>
          <w:color w:val="000000" w:themeColor="text1"/>
        </w:rPr>
        <w:t xml:space="preserve">points, au lieu de </w:t>
      </w:r>
      <w:r w:rsidR="00141816">
        <w:rPr>
          <w:rFonts w:ascii="Times New Roman" w:hAnsi="Times New Roman" w:cs="Times New Roman"/>
          <w:color w:val="000000" w:themeColor="text1"/>
        </w:rPr>
        <w:t xml:space="preserve">75,7 </w:t>
      </w:r>
      <w:r>
        <w:rPr>
          <w:rFonts w:ascii="Times New Roman" w:hAnsi="Times New Roman" w:cs="Times New Roman"/>
          <w:color w:val="000000" w:themeColor="text1"/>
        </w:rPr>
        <w:t xml:space="preserve">points enregistrés le trimestre précédant et </w:t>
      </w:r>
      <w:r w:rsidR="00141816">
        <w:rPr>
          <w:rFonts w:ascii="Times New Roman" w:hAnsi="Times New Roman" w:cs="Times New Roman"/>
          <w:color w:val="000000" w:themeColor="text1"/>
        </w:rPr>
        <w:t xml:space="preserve">74,9 </w:t>
      </w:r>
      <w:r>
        <w:rPr>
          <w:rFonts w:ascii="Times New Roman" w:hAnsi="Times New Roman" w:cs="Times New Roman"/>
          <w:color w:val="000000" w:themeColor="text1"/>
        </w:rPr>
        <w:t>points une année auparavant.</w:t>
      </w:r>
      <w:r w:rsidRPr="00C706A5">
        <w:rPr>
          <w:rFonts w:ascii="Times New Roman" w:hAnsi="Times New Roman" w:cs="Times New Roman"/>
          <w:color w:val="000000" w:themeColor="text1"/>
        </w:rPr>
        <w:t xml:space="preserve"> </w:t>
      </w:r>
    </w:p>
    <w:p w:rsidR="0006395E" w:rsidRDefault="0006395E" w:rsidP="0006395E">
      <w:pPr>
        <w:widowControl/>
        <w:spacing w:line="276" w:lineRule="auto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8819DB" w:rsidRPr="00C706A5" w:rsidRDefault="008819DB" w:rsidP="008819DB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686CA3" w:rsidRDefault="00686CA3" w:rsidP="003827AF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9B0DDF" w:rsidRDefault="00346ED5" w:rsidP="00E74131">
      <w:pPr>
        <w:widowControl/>
        <w:tabs>
          <w:tab w:val="left" w:pos="709"/>
        </w:tabs>
        <w:spacing w:line="276" w:lineRule="auto"/>
        <w:jc w:val="center"/>
        <w:rPr>
          <w:rFonts w:ascii="Times New Roman" w:hAnsi="Times New Roman" w:cs="Times New Roman"/>
          <w:color w:val="000000" w:themeColor="text1"/>
        </w:rPr>
      </w:pPr>
      <w:r>
        <w:rPr>
          <w:noProof/>
        </w:rPr>
        <w:drawing>
          <wp:inline distT="0" distB="0" distL="0" distR="0">
            <wp:extent cx="6419215" cy="3448050"/>
            <wp:effectExtent l="0" t="0" r="635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2125D5" w:rsidRPr="00C706A5" w:rsidRDefault="002125D5" w:rsidP="00E74131">
      <w:pPr>
        <w:widowControl/>
        <w:tabs>
          <w:tab w:val="left" w:pos="709"/>
        </w:tabs>
        <w:spacing w:line="276" w:lineRule="auto"/>
        <w:jc w:val="center"/>
        <w:rPr>
          <w:rFonts w:ascii="Times New Roman" w:hAnsi="Times New Roman" w:cs="Times New Roman"/>
          <w:color w:val="000000" w:themeColor="text1"/>
        </w:rPr>
      </w:pPr>
    </w:p>
    <w:p w:rsidR="00DE4509" w:rsidRDefault="00DE4509" w:rsidP="00D16EF9">
      <w:pPr>
        <w:jc w:val="center"/>
        <w:rPr>
          <w:rFonts w:ascii="Times New Roman" w:hAnsi="Times New Roman" w:cs="Times New Roman"/>
          <w:color w:val="000000" w:themeColor="text1"/>
        </w:rPr>
      </w:pPr>
    </w:p>
    <w:p w:rsidR="00DE4509" w:rsidRDefault="00DE4509" w:rsidP="00D16EF9">
      <w:pPr>
        <w:jc w:val="center"/>
        <w:rPr>
          <w:rFonts w:ascii="Times New Roman" w:hAnsi="Times New Roman" w:cs="Times New Roman"/>
          <w:color w:val="000000" w:themeColor="text1"/>
        </w:rPr>
      </w:pPr>
    </w:p>
    <w:p w:rsidR="00740D48" w:rsidRDefault="00740D48" w:rsidP="00D16EF9">
      <w:pPr>
        <w:jc w:val="center"/>
        <w:rPr>
          <w:rFonts w:ascii="Times New Roman" w:hAnsi="Times New Roman" w:cs="Times New Roman"/>
          <w:color w:val="000000" w:themeColor="text1"/>
        </w:rPr>
      </w:pPr>
    </w:p>
    <w:p w:rsidR="00DE4509" w:rsidRDefault="00DE4509" w:rsidP="00D16EF9">
      <w:pPr>
        <w:jc w:val="center"/>
        <w:rPr>
          <w:rFonts w:ascii="Times New Roman" w:hAnsi="Times New Roman" w:cs="Times New Roman"/>
          <w:color w:val="000000" w:themeColor="text1"/>
        </w:rPr>
      </w:pPr>
    </w:p>
    <w:p w:rsidR="00527651" w:rsidRPr="00C706A5" w:rsidRDefault="00527651" w:rsidP="007137CC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8D3806" w:rsidRDefault="006F1D72" w:rsidP="00A71494">
      <w:pPr>
        <w:pStyle w:val="Paragraphedeliste"/>
        <w:numPr>
          <w:ilvl w:val="0"/>
          <w:numId w:val="9"/>
        </w:numPr>
        <w:ind w:left="284" w:hanging="284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0" w:name="_Ref379209308"/>
      <w:r w:rsidRPr="003A3F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Evolution des </w:t>
      </w:r>
      <w:r w:rsidR="00860E86" w:rsidRPr="003A3F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composantes de</w:t>
      </w:r>
      <w:r w:rsidRPr="003A3F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l'ICM</w:t>
      </w:r>
      <w:bookmarkEnd w:id="0"/>
    </w:p>
    <w:p w:rsidR="00C07FB5" w:rsidRDefault="00722F6F" w:rsidP="00A71494">
      <w:pPr>
        <w:widowControl/>
        <w:tabs>
          <w:tab w:val="left" w:pos="709"/>
        </w:tabs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L</w:t>
      </w:r>
      <w:r w:rsidR="00560ED1" w:rsidRPr="00560ED1">
        <w:rPr>
          <w:rFonts w:ascii="Times New Roman" w:hAnsi="Times New Roman" w:cs="Times New Roman"/>
          <w:color w:val="000000" w:themeColor="text1"/>
        </w:rPr>
        <w:t xml:space="preserve">es composantes </w:t>
      </w:r>
      <w:r>
        <w:rPr>
          <w:rFonts w:ascii="Times New Roman" w:hAnsi="Times New Roman" w:cs="Times New Roman"/>
          <w:color w:val="000000" w:themeColor="text1"/>
        </w:rPr>
        <w:t xml:space="preserve">de l’ICM </w:t>
      </w:r>
      <w:r w:rsidR="00560ED1" w:rsidRPr="00560ED1">
        <w:rPr>
          <w:rFonts w:ascii="Times New Roman" w:hAnsi="Times New Roman" w:cs="Times New Roman"/>
          <w:color w:val="000000" w:themeColor="text1"/>
        </w:rPr>
        <w:t>portent sur la perception par les ménages de l’évolution du niveau de vie</w:t>
      </w:r>
      <w:r w:rsidR="005C2EDD">
        <w:rPr>
          <w:rFonts w:ascii="Times New Roman" w:hAnsi="Times New Roman" w:cs="Times New Roman"/>
          <w:color w:val="000000" w:themeColor="text1"/>
        </w:rPr>
        <w:t>,</w:t>
      </w:r>
      <w:r w:rsidR="00560ED1" w:rsidRPr="00560ED1">
        <w:rPr>
          <w:rFonts w:ascii="Times New Roman" w:hAnsi="Times New Roman" w:cs="Times New Roman"/>
          <w:color w:val="000000" w:themeColor="text1"/>
        </w:rPr>
        <w:t xml:space="preserve"> du chômage, de </w:t>
      </w:r>
      <w:r w:rsidR="008F33D5">
        <w:rPr>
          <w:rFonts w:ascii="Times New Roman" w:hAnsi="Times New Roman" w:cs="Times New Roman"/>
          <w:color w:val="000000" w:themeColor="text1"/>
        </w:rPr>
        <w:t>l’opportunité</w:t>
      </w:r>
      <w:r w:rsidR="00560ED1" w:rsidRPr="00560ED1">
        <w:rPr>
          <w:rFonts w:ascii="Times New Roman" w:hAnsi="Times New Roman" w:cs="Times New Roman"/>
          <w:color w:val="000000" w:themeColor="text1"/>
        </w:rPr>
        <w:t xml:space="preserve"> à </w:t>
      </w:r>
      <w:r w:rsidR="008F33D5">
        <w:rPr>
          <w:rFonts w:ascii="Times New Roman" w:hAnsi="Times New Roman" w:cs="Times New Roman"/>
          <w:color w:val="000000" w:themeColor="text1"/>
        </w:rPr>
        <w:t>effectuer des achats de</w:t>
      </w:r>
      <w:r w:rsidR="00560ED1" w:rsidRPr="00560ED1">
        <w:rPr>
          <w:rFonts w:ascii="Times New Roman" w:hAnsi="Times New Roman" w:cs="Times New Roman"/>
          <w:color w:val="000000" w:themeColor="text1"/>
        </w:rPr>
        <w:t xml:space="preserve"> bien</w:t>
      </w:r>
      <w:r w:rsidR="00560ED1">
        <w:rPr>
          <w:rFonts w:ascii="Times New Roman" w:hAnsi="Times New Roman" w:cs="Times New Roman"/>
          <w:color w:val="000000" w:themeColor="text1"/>
        </w:rPr>
        <w:t>s</w:t>
      </w:r>
      <w:r w:rsidR="00C07FB5">
        <w:rPr>
          <w:rFonts w:ascii="Times New Roman" w:hAnsi="Times New Roman" w:cs="Times New Roman"/>
          <w:color w:val="000000" w:themeColor="text1"/>
        </w:rPr>
        <w:t xml:space="preserve"> durables et de </w:t>
      </w:r>
      <w:r w:rsidR="00560ED1" w:rsidRPr="00560ED1">
        <w:rPr>
          <w:rFonts w:ascii="Times New Roman" w:hAnsi="Times New Roman" w:cs="Times New Roman"/>
          <w:color w:val="000000" w:themeColor="text1"/>
        </w:rPr>
        <w:t>leur situation financière.</w:t>
      </w:r>
    </w:p>
    <w:p w:rsidR="007B1D47" w:rsidRDefault="007B1D47" w:rsidP="00A71494">
      <w:pPr>
        <w:widowControl/>
        <w:tabs>
          <w:tab w:val="left" w:pos="709"/>
        </w:tabs>
        <w:jc w:val="both"/>
        <w:rPr>
          <w:rFonts w:ascii="Times New Roman" w:hAnsi="Times New Roman" w:cs="Times New Roman"/>
          <w:color w:val="000000" w:themeColor="text1"/>
        </w:rPr>
      </w:pPr>
    </w:p>
    <w:p w:rsidR="00A71494" w:rsidRPr="007E3511" w:rsidRDefault="002069D8" w:rsidP="002069D8">
      <w:pPr>
        <w:pStyle w:val="Paragraphedeliste"/>
        <w:numPr>
          <w:ilvl w:val="0"/>
          <w:numId w:val="8"/>
        </w:numPr>
        <w:spacing w:before="240"/>
        <w:ind w:left="0" w:hanging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Perspectives </w:t>
      </w:r>
      <w:r w:rsidR="001A754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d’une </w:t>
      </w:r>
      <w:r w:rsidR="000100F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forte détérioration</w:t>
      </w:r>
      <w:r w:rsidR="001A754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des niveaux de vie des ménages</w:t>
      </w:r>
    </w:p>
    <w:p w:rsidR="00A71494" w:rsidRDefault="00A71494" w:rsidP="00A71494">
      <w:pPr>
        <w:pStyle w:val="Paragraphedeliste"/>
        <w:spacing w:before="24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rtl/>
          <w:lang w:eastAsia="fr-FR"/>
        </w:rPr>
      </w:pPr>
    </w:p>
    <w:p w:rsidR="00164979" w:rsidRDefault="00580123" w:rsidP="00652251">
      <w:pPr>
        <w:pStyle w:val="Paragraphedeliste"/>
        <w:spacing w:before="24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333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Au </w:t>
      </w:r>
      <w:r w:rsidR="002C1479">
        <w:rPr>
          <w:rFonts w:ascii="Times New Roman" w:hAnsi="Times New Roman" w:cs="Times New Roman"/>
          <w:color w:val="000000" w:themeColor="text1"/>
          <w:sz w:val="24"/>
          <w:szCs w:val="24"/>
        </w:rPr>
        <w:t>deuxième trimestre</w:t>
      </w:r>
      <w:r w:rsidR="004613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07360" w:rsidRPr="00A33336">
        <w:rPr>
          <w:rFonts w:ascii="Times New Roman" w:hAnsi="Times New Roman" w:cs="Times New Roman"/>
          <w:color w:val="000000" w:themeColor="text1"/>
          <w:sz w:val="24"/>
          <w:szCs w:val="24"/>
        </w:rPr>
        <w:t>de</w:t>
      </w:r>
      <w:r w:rsidR="00DA1780" w:rsidRPr="00A333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</w:t>
      </w:r>
      <w:r w:rsidR="00E061AE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Pr="00A333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, </w:t>
      </w:r>
      <w:r w:rsidR="006522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50</w:t>
      </w:r>
      <w:r w:rsidRPr="00A333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,</w:t>
      </w:r>
      <w:r w:rsidR="006522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3</w:t>
      </w:r>
      <w:r w:rsidRPr="00A333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% des ménages déclarent une dégradation du niveau de vie au cours des 12 derniers mois, </w:t>
      </w:r>
      <w:r w:rsidR="006522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24</w:t>
      </w:r>
      <w:r w:rsidR="00DA786A" w:rsidRPr="00A333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,</w:t>
      </w:r>
      <w:r w:rsidR="006522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2</w:t>
      </w:r>
      <w:r w:rsidRPr="00A333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% un maintien au même niveau et </w:t>
      </w:r>
      <w:r w:rsidR="00DA786A" w:rsidRPr="00A333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2</w:t>
      </w:r>
      <w:r w:rsidR="006522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5</w:t>
      </w:r>
      <w:r w:rsidR="00DA786A" w:rsidRPr="00A333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,</w:t>
      </w:r>
      <w:r w:rsidR="006522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5</w:t>
      </w:r>
      <w:r w:rsidRPr="00A333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% une amélioration. Le solde d’opinion sur l’évolution passée du niveau de vie </w:t>
      </w:r>
      <w:r w:rsidRPr="00A333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est resté négatif, à moins </w:t>
      </w:r>
      <w:r w:rsidR="006522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24,8 </w:t>
      </w:r>
      <w:r w:rsidRPr="00A33336">
        <w:rPr>
          <w:rFonts w:ascii="Times New Roman" w:hAnsi="Times New Roman" w:cs="Times New Roman"/>
          <w:color w:val="000000" w:themeColor="text1"/>
          <w:sz w:val="24"/>
          <w:szCs w:val="24"/>
        </w:rPr>
        <w:t>points</w:t>
      </w:r>
      <w:r w:rsidR="00CD5F53" w:rsidRPr="00A333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contre moins </w:t>
      </w:r>
      <w:r w:rsidR="00652251">
        <w:rPr>
          <w:rFonts w:ascii="Times New Roman" w:hAnsi="Times New Roman" w:cs="Times New Roman"/>
          <w:color w:val="000000" w:themeColor="text1"/>
          <w:sz w:val="24"/>
          <w:szCs w:val="24"/>
        </w:rPr>
        <w:t>19</w:t>
      </w:r>
      <w:r w:rsidR="00652251" w:rsidRPr="00A33336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652251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CD5F53" w:rsidRPr="00A333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points au  trimestre </w:t>
      </w:r>
      <w:r w:rsidR="00E061AE" w:rsidRPr="00A33336">
        <w:rPr>
          <w:rFonts w:ascii="Times New Roman" w:hAnsi="Times New Roman" w:cs="Times New Roman"/>
          <w:color w:val="000000" w:themeColor="text1"/>
          <w:sz w:val="24"/>
          <w:szCs w:val="24"/>
        </w:rPr>
        <w:t>précédent</w:t>
      </w:r>
      <w:r w:rsidR="00CD5F53" w:rsidRPr="00A333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et  moins </w:t>
      </w:r>
      <w:r w:rsidR="00652251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E061AE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CD5F53" w:rsidRPr="00A33336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652251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CD5F53" w:rsidRPr="00A333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points au même trimestre de l’année passée</w:t>
      </w:r>
      <w:r w:rsidRPr="00A3333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580123" w:rsidRPr="00A33336" w:rsidRDefault="00580123" w:rsidP="00A71494">
      <w:pPr>
        <w:pStyle w:val="Paragraphedeliste"/>
        <w:spacing w:before="24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</w:pPr>
    </w:p>
    <w:p w:rsidR="00164979" w:rsidRPr="00E13405" w:rsidRDefault="00580123" w:rsidP="007E3511">
      <w:pPr>
        <w:pStyle w:val="Paragraphedeliste"/>
        <w:spacing w:before="240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</w:pPr>
      <w:r w:rsidRPr="001649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Au cours des 12 prochains mois, </w:t>
      </w:r>
      <w:r w:rsidR="006522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42</w:t>
      </w:r>
      <w:r w:rsidR="00DA786A" w:rsidRPr="001649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,</w:t>
      </w:r>
      <w:r w:rsidR="006522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4</w:t>
      </w:r>
      <w:r w:rsidRPr="001649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% des ménages s’attendent à une dégradation du niveau de vie, </w:t>
      </w:r>
      <w:r w:rsidR="006522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26</w:t>
      </w:r>
      <w:r w:rsidR="00DA786A" w:rsidRPr="001649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,</w:t>
      </w:r>
      <w:r w:rsidR="006522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6</w:t>
      </w:r>
      <w:r w:rsidR="000F2E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% à un maintien au même nive</w:t>
      </w:r>
      <w:r w:rsidRPr="001649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au et </w:t>
      </w:r>
      <w:r w:rsidR="006522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31</w:t>
      </w:r>
      <w:r w:rsidR="00E061AE" w:rsidRPr="001649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,</w:t>
      </w:r>
      <w:r w:rsidR="006522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0</w:t>
      </w:r>
      <w:r w:rsidRPr="001649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% à une amélioration. Le solde d’opinion relatif à cet indicateur </w:t>
      </w:r>
      <w:r w:rsidR="000F2E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atteint son niveau le plus bas depuis le </w:t>
      </w:r>
      <w:r w:rsidR="00C70B1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2</w:t>
      </w:r>
      <w:r w:rsidR="000F2E6E" w:rsidRPr="000F2E6E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eastAsia="fr-FR"/>
        </w:rPr>
        <w:t>ème</w:t>
      </w:r>
      <w:r w:rsidR="000F2E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trimestre de 2016 avec </w:t>
      </w:r>
      <w:r w:rsidR="00CD5F53" w:rsidRPr="001649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moins </w:t>
      </w:r>
      <w:r w:rsidR="006522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11</w:t>
      </w:r>
      <w:r w:rsidR="00CD5F53" w:rsidRPr="000F2E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,</w:t>
      </w:r>
      <w:r w:rsidR="006522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4</w:t>
      </w:r>
      <w:r w:rsidR="00461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</w:t>
      </w:r>
      <w:r w:rsidRPr="001649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points</w:t>
      </w:r>
      <w:r w:rsidR="00164979" w:rsidRPr="001649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en dégradation aussi bien par rapport au trimestre </w:t>
      </w:r>
      <w:r w:rsidR="000F2E6E" w:rsidRPr="001649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précédent</w:t>
      </w:r>
      <w:r w:rsidR="00164979" w:rsidRPr="001649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que par rapport </w:t>
      </w:r>
      <w:r w:rsidR="008200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au même trimestre de l’année précédente</w:t>
      </w:r>
      <w:r w:rsidR="00164979" w:rsidRPr="001649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où il </w:t>
      </w:r>
      <w:r w:rsidR="008200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enregistrait </w:t>
      </w:r>
      <w:r w:rsidR="00164979" w:rsidRPr="001649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moins </w:t>
      </w:r>
      <w:r w:rsidR="006522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4</w:t>
      </w:r>
      <w:r w:rsidR="00901E11" w:rsidRPr="001649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,</w:t>
      </w:r>
      <w:r w:rsidR="006522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6</w:t>
      </w:r>
      <w:r w:rsidRPr="001649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points et</w:t>
      </w:r>
      <w:r w:rsidR="00461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</w:t>
      </w:r>
      <w:r w:rsidR="006522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4,7</w:t>
      </w:r>
      <w:r w:rsidRPr="001649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points </w:t>
      </w:r>
      <w:r w:rsidR="00164979" w:rsidRPr="001649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respectivement. </w:t>
      </w:r>
    </w:p>
    <w:p w:rsidR="009A3BC1" w:rsidRPr="007A5BDE" w:rsidRDefault="009A3BC1" w:rsidP="00B73BA8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FE6357" w:rsidRPr="00F80338" w:rsidRDefault="00346ED5" w:rsidP="00F80338">
      <w:pPr>
        <w:widowControl/>
        <w:spacing w:line="276" w:lineRule="auto"/>
        <w:ind w:left="-426"/>
        <w:jc w:val="center"/>
        <w:rPr>
          <w:rFonts w:ascii="Book Antiqua" w:hAnsi="Book Antiqua" w:cs="Times New Roman"/>
          <w:color w:val="000000" w:themeColor="text1"/>
          <w:sz w:val="22"/>
          <w:szCs w:val="22"/>
          <w:rtl/>
          <w:lang w:bidi="ar-MA"/>
        </w:rPr>
      </w:pPr>
      <w:r>
        <w:rPr>
          <w:noProof/>
        </w:rPr>
        <w:drawing>
          <wp:inline distT="0" distB="0" distL="0" distR="0">
            <wp:extent cx="6419215" cy="3352800"/>
            <wp:effectExtent l="0" t="0" r="635" b="0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EC2700" w:rsidRDefault="007E3511" w:rsidP="007E3511">
      <w:pPr>
        <w:pStyle w:val="Paragraphedeliste"/>
        <w:numPr>
          <w:ilvl w:val="0"/>
          <w:numId w:val="8"/>
        </w:numPr>
        <w:spacing w:before="240" w:line="240" w:lineRule="auto"/>
        <w:ind w:left="142" w:hanging="142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Evolution du chômage </w:t>
      </w:r>
      <w:r w:rsidR="00A3333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: </w:t>
      </w:r>
      <w:r w:rsidR="001A754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Anticipation d’une </w:t>
      </w:r>
      <w:r w:rsidR="00E90D6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forte </w:t>
      </w:r>
      <w:r w:rsidR="001A754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hausse </w:t>
      </w:r>
    </w:p>
    <w:p w:rsidR="00164979" w:rsidRDefault="00580123" w:rsidP="00652251">
      <w:pPr>
        <w:tabs>
          <w:tab w:val="left" w:pos="709"/>
        </w:tabs>
        <w:jc w:val="both"/>
        <w:rPr>
          <w:rFonts w:ascii="Times New Roman" w:hAnsi="Times New Roman" w:cs="Times New Roman"/>
          <w:color w:val="000000" w:themeColor="text1"/>
        </w:rPr>
      </w:pPr>
      <w:r w:rsidRPr="00580123">
        <w:rPr>
          <w:rFonts w:ascii="Times New Roman" w:hAnsi="Times New Roman" w:cs="Times New Roman"/>
          <w:color w:val="000000" w:themeColor="text1"/>
        </w:rPr>
        <w:t xml:space="preserve">Au </w:t>
      </w:r>
      <w:r w:rsidR="002C1479">
        <w:rPr>
          <w:rFonts w:ascii="Times New Roman" w:hAnsi="Times New Roman" w:cs="Times New Roman"/>
          <w:color w:val="000000" w:themeColor="text1"/>
        </w:rPr>
        <w:t>deuxième trimestre</w:t>
      </w:r>
      <w:r w:rsidR="007E3511">
        <w:rPr>
          <w:rFonts w:ascii="Times New Roman" w:hAnsi="Times New Roman" w:cs="Times New Roman"/>
          <w:color w:val="000000" w:themeColor="text1"/>
        </w:rPr>
        <w:t xml:space="preserve"> </w:t>
      </w:r>
      <w:r w:rsidR="00707360">
        <w:rPr>
          <w:rFonts w:ascii="Times New Roman" w:hAnsi="Times New Roman" w:cs="Times New Roman"/>
          <w:color w:val="000000" w:themeColor="text1"/>
        </w:rPr>
        <w:t>de</w:t>
      </w:r>
      <w:r w:rsidR="00DA1780">
        <w:rPr>
          <w:rFonts w:ascii="Times New Roman" w:hAnsi="Times New Roman" w:cs="Times New Roman"/>
          <w:color w:val="000000" w:themeColor="text1"/>
        </w:rPr>
        <w:t xml:space="preserve"> 20</w:t>
      </w:r>
      <w:r w:rsidR="00357B74">
        <w:rPr>
          <w:rFonts w:ascii="Times New Roman" w:hAnsi="Times New Roman" w:cs="Times New Roman"/>
          <w:color w:val="000000" w:themeColor="text1"/>
        </w:rPr>
        <w:t>20</w:t>
      </w:r>
      <w:r w:rsidRPr="00580123">
        <w:rPr>
          <w:rFonts w:ascii="Times New Roman" w:hAnsi="Times New Roman" w:cs="Times New Roman"/>
          <w:color w:val="000000" w:themeColor="text1"/>
        </w:rPr>
        <w:t xml:space="preserve">, </w:t>
      </w:r>
      <w:r w:rsidR="00652251">
        <w:rPr>
          <w:rFonts w:ascii="Times New Roman" w:hAnsi="Times New Roman" w:cs="Times New Roman"/>
          <w:color w:val="000000" w:themeColor="text1"/>
        </w:rPr>
        <w:t>82</w:t>
      </w:r>
      <w:r w:rsidR="00C142AB">
        <w:rPr>
          <w:rFonts w:ascii="Times New Roman" w:hAnsi="Times New Roman" w:cs="Times New Roman"/>
          <w:color w:val="000000" w:themeColor="text1"/>
        </w:rPr>
        <w:t>,</w:t>
      </w:r>
      <w:r w:rsidR="00652251">
        <w:rPr>
          <w:rFonts w:ascii="Times New Roman" w:hAnsi="Times New Roman" w:cs="Times New Roman"/>
          <w:color w:val="000000" w:themeColor="text1"/>
        </w:rPr>
        <w:t>7</w:t>
      </w:r>
      <w:r w:rsidRPr="00580123">
        <w:rPr>
          <w:rFonts w:ascii="Times New Roman" w:hAnsi="Times New Roman" w:cs="Times New Roman"/>
          <w:color w:val="000000" w:themeColor="text1"/>
        </w:rPr>
        <w:t xml:space="preserve">% contre </w:t>
      </w:r>
      <w:r w:rsidR="00652251">
        <w:rPr>
          <w:rFonts w:ascii="Times New Roman" w:hAnsi="Times New Roman" w:cs="Times New Roman"/>
          <w:color w:val="000000" w:themeColor="text1"/>
        </w:rPr>
        <w:t>7</w:t>
      </w:r>
      <w:r w:rsidR="00E13405">
        <w:rPr>
          <w:rFonts w:ascii="Times New Roman" w:hAnsi="Times New Roman" w:cs="Times New Roman"/>
          <w:color w:val="000000" w:themeColor="text1"/>
        </w:rPr>
        <w:t>,</w:t>
      </w:r>
      <w:r w:rsidR="00652251">
        <w:rPr>
          <w:rFonts w:ascii="Times New Roman" w:hAnsi="Times New Roman" w:cs="Times New Roman"/>
          <w:color w:val="000000" w:themeColor="text1"/>
        </w:rPr>
        <w:t>5</w:t>
      </w:r>
      <w:r w:rsidRPr="00580123">
        <w:rPr>
          <w:rFonts w:ascii="Times New Roman" w:hAnsi="Times New Roman" w:cs="Times New Roman"/>
          <w:color w:val="000000" w:themeColor="text1"/>
        </w:rPr>
        <w:t xml:space="preserve">% des ménages s’attendent à une hausse du chômage au cours des 12 prochains mois. Le solde d’opinion est resté ainsi négatif à moins </w:t>
      </w:r>
      <w:r w:rsidR="00652251">
        <w:rPr>
          <w:rFonts w:ascii="Times New Roman" w:hAnsi="Times New Roman" w:cs="Times New Roman"/>
          <w:color w:val="000000" w:themeColor="text1"/>
        </w:rPr>
        <w:t xml:space="preserve">75,2 </w:t>
      </w:r>
      <w:r w:rsidRPr="00580123">
        <w:rPr>
          <w:rFonts w:ascii="Times New Roman" w:hAnsi="Times New Roman" w:cs="Times New Roman"/>
          <w:color w:val="000000" w:themeColor="text1"/>
        </w:rPr>
        <w:t>points</w:t>
      </w:r>
      <w:r w:rsidR="00C142AB">
        <w:rPr>
          <w:rFonts w:ascii="Times New Roman" w:hAnsi="Times New Roman" w:cs="Times New Roman"/>
          <w:color w:val="000000" w:themeColor="text1"/>
        </w:rPr>
        <w:t xml:space="preserve"> contre</w:t>
      </w:r>
      <w:r w:rsidRPr="00580123">
        <w:rPr>
          <w:rFonts w:ascii="Times New Roman" w:hAnsi="Times New Roman" w:cs="Times New Roman"/>
          <w:color w:val="000000" w:themeColor="text1"/>
        </w:rPr>
        <w:t xml:space="preserve"> moins </w:t>
      </w:r>
      <w:r w:rsidR="00652251" w:rsidRPr="00580123">
        <w:rPr>
          <w:rFonts w:ascii="Times New Roman" w:hAnsi="Times New Roman" w:cs="Times New Roman"/>
          <w:color w:val="000000" w:themeColor="text1"/>
        </w:rPr>
        <w:t>7</w:t>
      </w:r>
      <w:r w:rsidR="00652251">
        <w:rPr>
          <w:rFonts w:ascii="Times New Roman" w:hAnsi="Times New Roman" w:cs="Times New Roman"/>
          <w:color w:val="000000" w:themeColor="text1"/>
        </w:rPr>
        <w:t>0,8</w:t>
      </w:r>
      <w:r w:rsidRPr="00580123">
        <w:rPr>
          <w:rFonts w:ascii="Times New Roman" w:hAnsi="Times New Roman" w:cs="Times New Roman"/>
          <w:color w:val="000000" w:themeColor="text1"/>
        </w:rPr>
        <w:t xml:space="preserve">points </w:t>
      </w:r>
      <w:r w:rsidR="00C142AB">
        <w:rPr>
          <w:rFonts w:ascii="Times New Roman" w:hAnsi="Times New Roman" w:cs="Times New Roman"/>
          <w:color w:val="000000" w:themeColor="text1"/>
        </w:rPr>
        <w:t xml:space="preserve">un trimestre auparavant et moins </w:t>
      </w:r>
      <w:r w:rsidR="00464102">
        <w:rPr>
          <w:rFonts w:ascii="Times New Roman" w:hAnsi="Times New Roman" w:cs="Times New Roman"/>
          <w:color w:val="000000" w:themeColor="text1"/>
        </w:rPr>
        <w:t>7</w:t>
      </w:r>
      <w:r w:rsidR="00652251">
        <w:rPr>
          <w:rFonts w:ascii="Times New Roman" w:hAnsi="Times New Roman" w:cs="Times New Roman"/>
          <w:color w:val="000000" w:themeColor="text1"/>
        </w:rPr>
        <w:t>6</w:t>
      </w:r>
      <w:r w:rsidRPr="00580123">
        <w:rPr>
          <w:rFonts w:ascii="Times New Roman" w:hAnsi="Times New Roman" w:cs="Times New Roman"/>
          <w:color w:val="000000" w:themeColor="text1"/>
        </w:rPr>
        <w:t>,</w:t>
      </w:r>
      <w:r w:rsidR="00652251">
        <w:rPr>
          <w:rFonts w:ascii="Times New Roman" w:hAnsi="Times New Roman" w:cs="Times New Roman"/>
          <w:color w:val="000000" w:themeColor="text1"/>
        </w:rPr>
        <w:t>9</w:t>
      </w:r>
      <w:r w:rsidRPr="00580123">
        <w:rPr>
          <w:rFonts w:ascii="Times New Roman" w:hAnsi="Times New Roman" w:cs="Times New Roman"/>
          <w:color w:val="000000" w:themeColor="text1"/>
        </w:rPr>
        <w:t xml:space="preserve"> points</w:t>
      </w:r>
      <w:r w:rsidR="00C142AB">
        <w:rPr>
          <w:rFonts w:ascii="Times New Roman" w:hAnsi="Times New Roman" w:cs="Times New Roman"/>
          <w:color w:val="000000" w:themeColor="text1"/>
        </w:rPr>
        <w:t xml:space="preserve"> un an auparavant</w:t>
      </w:r>
      <w:r w:rsidRPr="00580123">
        <w:rPr>
          <w:rFonts w:ascii="Times New Roman" w:hAnsi="Times New Roman" w:cs="Times New Roman"/>
          <w:color w:val="000000" w:themeColor="text1"/>
        </w:rPr>
        <w:t>.</w:t>
      </w:r>
    </w:p>
    <w:p w:rsidR="00184134" w:rsidRDefault="00346ED5" w:rsidP="009A3BC1">
      <w:pPr>
        <w:widowControl/>
        <w:tabs>
          <w:tab w:val="left" w:pos="709"/>
        </w:tabs>
        <w:spacing w:line="276" w:lineRule="auto"/>
        <w:jc w:val="center"/>
        <w:rPr>
          <w:rFonts w:ascii="Times New Roman" w:hAnsi="Times New Roman" w:cs="Times New Roman"/>
          <w:noProof/>
          <w:color w:val="000000" w:themeColor="text1"/>
        </w:rPr>
      </w:pPr>
      <w:r>
        <w:rPr>
          <w:noProof/>
        </w:rPr>
        <w:lastRenderedPageBreak/>
        <w:drawing>
          <wp:inline distT="0" distB="0" distL="0" distR="0">
            <wp:extent cx="6409690" cy="3096895"/>
            <wp:effectExtent l="0" t="0" r="10160" b="8255"/>
            <wp:docPr id="7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1A7542" w:rsidRPr="001A7542" w:rsidRDefault="001A7542" w:rsidP="00CE38EE">
      <w:pPr>
        <w:pStyle w:val="Paragraphedeliste"/>
        <w:numPr>
          <w:ilvl w:val="0"/>
          <w:numId w:val="8"/>
        </w:numPr>
        <w:tabs>
          <w:tab w:val="left" w:pos="709"/>
        </w:tabs>
        <w:spacing w:before="240" w:line="240" w:lineRule="auto"/>
        <w:ind w:left="284"/>
        <w:jc w:val="both"/>
        <w:rPr>
          <w:rFonts w:ascii="Times New Roman" w:hAnsi="Times New Roman" w:cs="Times New Roman"/>
          <w:color w:val="000000" w:themeColor="text1"/>
        </w:rPr>
      </w:pPr>
      <w:r w:rsidRPr="001A7542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Opportunité de faire des achats en </w:t>
      </w:r>
      <w:r w:rsidRPr="001A7542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biens durables</w:t>
      </w:r>
      <w:r w:rsidRPr="001A7542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 : </w:t>
      </w:r>
      <w:r w:rsidR="00CE38EE">
        <w:rPr>
          <w:rFonts w:asciiTheme="majorBidi" w:hAnsiTheme="majorBidi" w:cstheme="majorBidi"/>
          <w:b/>
          <w:bCs/>
          <w:color w:val="000000"/>
          <w:sz w:val="24"/>
          <w:szCs w:val="24"/>
        </w:rPr>
        <w:t>Baisse</w:t>
      </w: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1A7542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historique </w:t>
      </w:r>
    </w:p>
    <w:p w:rsidR="001A7542" w:rsidRPr="001A7542" w:rsidRDefault="001A7542" w:rsidP="001A7542">
      <w:pPr>
        <w:pStyle w:val="Paragraphedeliste"/>
        <w:tabs>
          <w:tab w:val="left" w:pos="709"/>
        </w:tabs>
        <w:spacing w:before="240" w:line="240" w:lineRule="auto"/>
        <w:ind w:left="284"/>
        <w:jc w:val="both"/>
        <w:rPr>
          <w:rFonts w:ascii="Times New Roman" w:hAnsi="Times New Roman" w:cs="Times New Roman"/>
          <w:color w:val="000000" w:themeColor="text1"/>
        </w:rPr>
      </w:pPr>
    </w:p>
    <w:p w:rsidR="002125D5" w:rsidRPr="001A7542" w:rsidRDefault="00580123" w:rsidP="00E90D68">
      <w:pPr>
        <w:tabs>
          <w:tab w:val="left" w:pos="709"/>
        </w:tabs>
        <w:spacing w:before="240"/>
        <w:ind w:left="-76"/>
        <w:jc w:val="both"/>
        <w:rPr>
          <w:rFonts w:ascii="Times New Roman" w:hAnsi="Times New Roman" w:cs="Times New Roman"/>
          <w:color w:val="000000" w:themeColor="text1"/>
        </w:rPr>
      </w:pPr>
      <w:r w:rsidRPr="001A7542">
        <w:rPr>
          <w:rFonts w:ascii="Times New Roman" w:hAnsi="Times New Roman" w:cs="Times New Roman"/>
          <w:color w:val="000000" w:themeColor="text1"/>
        </w:rPr>
        <w:t xml:space="preserve">Au </w:t>
      </w:r>
      <w:r w:rsidR="002C1479" w:rsidRPr="001A7542">
        <w:rPr>
          <w:rFonts w:ascii="Times New Roman" w:hAnsi="Times New Roman" w:cs="Times New Roman"/>
          <w:color w:val="000000" w:themeColor="text1"/>
        </w:rPr>
        <w:t>deuxième trimestre</w:t>
      </w:r>
      <w:r w:rsidR="007E3511">
        <w:rPr>
          <w:rFonts w:ascii="Times New Roman" w:hAnsi="Times New Roman" w:cs="Times New Roman"/>
          <w:color w:val="000000" w:themeColor="text1"/>
        </w:rPr>
        <w:t xml:space="preserve"> </w:t>
      </w:r>
      <w:r w:rsidR="00707360" w:rsidRPr="001A7542">
        <w:rPr>
          <w:rFonts w:ascii="Times New Roman" w:hAnsi="Times New Roman" w:cs="Times New Roman"/>
          <w:color w:val="000000" w:themeColor="text1"/>
        </w:rPr>
        <w:t>de</w:t>
      </w:r>
      <w:r w:rsidR="00DA1780" w:rsidRPr="001A7542">
        <w:rPr>
          <w:rFonts w:ascii="Times New Roman" w:hAnsi="Times New Roman" w:cs="Times New Roman"/>
          <w:color w:val="000000" w:themeColor="text1"/>
        </w:rPr>
        <w:t xml:space="preserve"> 20</w:t>
      </w:r>
      <w:r w:rsidR="00357B74" w:rsidRPr="001A7542">
        <w:rPr>
          <w:rFonts w:ascii="Times New Roman" w:hAnsi="Times New Roman" w:cs="Times New Roman"/>
          <w:color w:val="000000" w:themeColor="text1"/>
        </w:rPr>
        <w:t>20</w:t>
      </w:r>
      <w:r w:rsidRPr="001A7542">
        <w:rPr>
          <w:rFonts w:ascii="Times New Roman" w:hAnsi="Times New Roman" w:cs="Times New Roman"/>
          <w:color w:val="000000" w:themeColor="text1"/>
        </w:rPr>
        <w:t xml:space="preserve">, </w:t>
      </w:r>
      <w:r w:rsidR="000D4A1E" w:rsidRPr="001A7542">
        <w:rPr>
          <w:rFonts w:ascii="Times New Roman" w:hAnsi="Times New Roman" w:cs="Times New Roman"/>
          <w:color w:val="000000" w:themeColor="text1"/>
        </w:rPr>
        <w:t>76,1</w:t>
      </w:r>
      <w:r w:rsidRPr="001A7542">
        <w:rPr>
          <w:rFonts w:ascii="Times New Roman" w:hAnsi="Times New Roman" w:cs="Times New Roman"/>
          <w:color w:val="000000" w:themeColor="text1"/>
        </w:rPr>
        <w:t xml:space="preserve">% contre </w:t>
      </w:r>
      <w:r w:rsidR="000D4A1E" w:rsidRPr="001A7542">
        <w:rPr>
          <w:rFonts w:ascii="Times New Roman" w:hAnsi="Times New Roman" w:cs="Times New Roman"/>
          <w:color w:val="000000" w:themeColor="text1"/>
        </w:rPr>
        <w:t>8</w:t>
      </w:r>
      <w:r w:rsidRPr="001A7542">
        <w:rPr>
          <w:rFonts w:ascii="Times New Roman" w:hAnsi="Times New Roman" w:cs="Times New Roman"/>
          <w:color w:val="000000" w:themeColor="text1"/>
        </w:rPr>
        <w:t>,</w:t>
      </w:r>
      <w:r w:rsidR="000D4A1E" w:rsidRPr="001A7542">
        <w:rPr>
          <w:rFonts w:ascii="Times New Roman" w:hAnsi="Times New Roman" w:cs="Times New Roman"/>
          <w:color w:val="000000" w:themeColor="text1"/>
        </w:rPr>
        <w:t>1</w:t>
      </w:r>
      <w:r w:rsidRPr="001A7542">
        <w:rPr>
          <w:rFonts w:ascii="Times New Roman" w:hAnsi="Times New Roman" w:cs="Times New Roman"/>
          <w:color w:val="000000" w:themeColor="text1"/>
        </w:rPr>
        <w:t xml:space="preserve">% des ménages considèrent que le moment n’est pas opportun pour effectuer des achats de biens durables. </w:t>
      </w:r>
      <w:r w:rsidR="00AF3E95" w:rsidRPr="001A7542">
        <w:rPr>
          <w:rFonts w:ascii="Times New Roman" w:hAnsi="Times New Roman" w:cs="Times New Roman"/>
          <w:color w:val="000000" w:themeColor="text1"/>
        </w:rPr>
        <w:t>L</w:t>
      </w:r>
      <w:r w:rsidR="007933DD" w:rsidRPr="001A7542">
        <w:rPr>
          <w:rFonts w:ascii="Times New Roman" w:hAnsi="Times New Roman" w:cs="Times New Roman"/>
          <w:color w:val="000000" w:themeColor="text1"/>
        </w:rPr>
        <w:t>e</w:t>
      </w:r>
      <w:r w:rsidRPr="001A7542">
        <w:rPr>
          <w:rFonts w:ascii="Times New Roman" w:hAnsi="Times New Roman" w:cs="Times New Roman"/>
          <w:color w:val="000000" w:themeColor="text1"/>
        </w:rPr>
        <w:t xml:space="preserve"> solde d’opinion  </w:t>
      </w:r>
      <w:r w:rsidR="00AF3E95" w:rsidRPr="001A7542">
        <w:rPr>
          <w:rFonts w:ascii="Times New Roman" w:hAnsi="Times New Roman" w:cs="Times New Roman"/>
          <w:color w:val="000000" w:themeColor="text1"/>
        </w:rPr>
        <w:t xml:space="preserve">de </w:t>
      </w:r>
      <w:r w:rsidRPr="001A7542">
        <w:rPr>
          <w:rFonts w:ascii="Times New Roman" w:hAnsi="Times New Roman" w:cs="Times New Roman"/>
          <w:color w:val="000000" w:themeColor="text1"/>
        </w:rPr>
        <w:t xml:space="preserve">cet indicateur </w:t>
      </w:r>
      <w:r w:rsidR="000D4A1E" w:rsidRPr="001A7542">
        <w:rPr>
          <w:rFonts w:ascii="Times New Roman" w:hAnsi="Times New Roman" w:cs="Times New Roman"/>
          <w:color w:val="000000" w:themeColor="text1"/>
        </w:rPr>
        <w:t xml:space="preserve">atteint son </w:t>
      </w:r>
      <w:r w:rsidR="00006DF7" w:rsidRPr="001A7542">
        <w:rPr>
          <w:rFonts w:ascii="Times New Roman" w:hAnsi="Times New Roman" w:cs="Times New Roman"/>
          <w:color w:val="000000" w:themeColor="text1"/>
        </w:rPr>
        <w:t>niveau</w:t>
      </w:r>
      <w:r w:rsidR="00E90D68" w:rsidRPr="00E90D68">
        <w:rPr>
          <w:rFonts w:ascii="Times New Roman" w:hAnsi="Times New Roman" w:cs="Times New Roman"/>
          <w:color w:val="000000" w:themeColor="text1"/>
        </w:rPr>
        <w:t xml:space="preserve"> </w:t>
      </w:r>
      <w:r w:rsidR="00E90D68">
        <w:rPr>
          <w:rFonts w:ascii="Times New Roman" w:hAnsi="Times New Roman" w:cs="Times New Roman"/>
          <w:color w:val="000000" w:themeColor="text1"/>
        </w:rPr>
        <w:t>le plus bas,</w:t>
      </w:r>
      <w:r w:rsidR="00E90D68" w:rsidRPr="00E90D68">
        <w:rPr>
          <w:rFonts w:ascii="Times New Roman" w:hAnsi="Times New Roman" w:cs="Times New Roman"/>
          <w:color w:val="000000" w:themeColor="text1"/>
        </w:rPr>
        <w:t xml:space="preserve"> depuis</w:t>
      </w:r>
      <w:r w:rsidR="00006DF7" w:rsidRPr="001A7542">
        <w:rPr>
          <w:rFonts w:ascii="Times New Roman" w:hAnsi="Times New Roman" w:cs="Times New Roman"/>
          <w:color w:val="000000" w:themeColor="text1"/>
        </w:rPr>
        <w:t xml:space="preserve"> </w:t>
      </w:r>
      <w:r w:rsidR="007E3511">
        <w:rPr>
          <w:rFonts w:ascii="Times New Roman" w:hAnsi="Times New Roman" w:cs="Times New Roman"/>
          <w:color w:val="000000" w:themeColor="text1"/>
        </w:rPr>
        <w:t>le début de l’enquête en 2008,</w:t>
      </w:r>
      <w:r w:rsidR="000D4A1E" w:rsidRPr="001A7542">
        <w:rPr>
          <w:rFonts w:ascii="Times New Roman" w:hAnsi="Times New Roman" w:cs="Times New Roman"/>
          <w:color w:val="000000" w:themeColor="text1"/>
        </w:rPr>
        <w:t xml:space="preserve"> avec </w:t>
      </w:r>
      <w:r w:rsidRPr="001A7542">
        <w:rPr>
          <w:rFonts w:ascii="Times New Roman" w:hAnsi="Times New Roman" w:cs="Times New Roman"/>
          <w:color w:val="000000" w:themeColor="text1"/>
        </w:rPr>
        <w:t xml:space="preserve">moins </w:t>
      </w:r>
      <w:r w:rsidR="000D4A1E" w:rsidRPr="001A7542">
        <w:rPr>
          <w:rFonts w:ascii="Times New Roman" w:hAnsi="Times New Roman" w:cs="Times New Roman"/>
          <w:color w:val="000000" w:themeColor="text1"/>
        </w:rPr>
        <w:t xml:space="preserve">68,0 </w:t>
      </w:r>
      <w:r w:rsidR="00357B74" w:rsidRPr="001A7542">
        <w:rPr>
          <w:rFonts w:ascii="Times New Roman" w:hAnsi="Times New Roman" w:cs="Times New Roman"/>
          <w:color w:val="000000" w:themeColor="text1"/>
        </w:rPr>
        <w:t xml:space="preserve">points contre moins </w:t>
      </w:r>
      <w:r w:rsidR="000D4A1E" w:rsidRPr="001A7542">
        <w:rPr>
          <w:rFonts w:ascii="Times New Roman" w:hAnsi="Times New Roman" w:cs="Times New Roman"/>
          <w:color w:val="000000" w:themeColor="text1"/>
        </w:rPr>
        <w:t xml:space="preserve">32,6 </w:t>
      </w:r>
      <w:r w:rsidRPr="001A7542">
        <w:rPr>
          <w:rFonts w:ascii="Times New Roman" w:hAnsi="Times New Roman" w:cs="Times New Roman"/>
          <w:color w:val="000000" w:themeColor="text1"/>
        </w:rPr>
        <w:t xml:space="preserve">points le trimestre précédent et moins </w:t>
      </w:r>
      <w:r w:rsidR="000D4A1E" w:rsidRPr="001A7542">
        <w:rPr>
          <w:rFonts w:ascii="Times New Roman" w:hAnsi="Times New Roman" w:cs="Times New Roman"/>
          <w:color w:val="000000" w:themeColor="text1"/>
        </w:rPr>
        <w:t>41</w:t>
      </w:r>
      <w:r w:rsidR="00C142AB" w:rsidRPr="001A7542">
        <w:rPr>
          <w:rFonts w:ascii="Times New Roman" w:hAnsi="Times New Roman" w:cs="Times New Roman"/>
          <w:color w:val="000000" w:themeColor="text1"/>
        </w:rPr>
        <w:t>,</w:t>
      </w:r>
      <w:r w:rsidR="000D4A1E" w:rsidRPr="001A7542">
        <w:rPr>
          <w:rFonts w:ascii="Times New Roman" w:hAnsi="Times New Roman" w:cs="Times New Roman"/>
          <w:color w:val="000000" w:themeColor="text1"/>
        </w:rPr>
        <w:t>4</w:t>
      </w:r>
      <w:r w:rsidRPr="001A7542">
        <w:rPr>
          <w:rFonts w:ascii="Times New Roman" w:hAnsi="Times New Roman" w:cs="Times New Roman"/>
          <w:color w:val="000000" w:themeColor="text1"/>
        </w:rPr>
        <w:t xml:space="preserve"> points le </w:t>
      </w:r>
      <w:r w:rsidR="001F6A20" w:rsidRPr="001A7542">
        <w:rPr>
          <w:rFonts w:ascii="Times New Roman" w:hAnsi="Times New Roman" w:cs="Times New Roman"/>
          <w:color w:val="000000" w:themeColor="text1"/>
        </w:rPr>
        <w:t xml:space="preserve">même </w:t>
      </w:r>
      <w:r w:rsidRPr="001A7542">
        <w:rPr>
          <w:rFonts w:ascii="Times New Roman" w:hAnsi="Times New Roman" w:cs="Times New Roman"/>
          <w:color w:val="000000" w:themeColor="text1"/>
        </w:rPr>
        <w:t>trimestre</w:t>
      </w:r>
      <w:r w:rsidR="004B08D3" w:rsidRPr="001A7542">
        <w:rPr>
          <w:rFonts w:ascii="Times New Roman" w:hAnsi="Times New Roman" w:cs="Times New Roman"/>
          <w:color w:val="000000" w:themeColor="text1"/>
        </w:rPr>
        <w:t xml:space="preserve"> de </w:t>
      </w:r>
      <w:r w:rsidR="000E6EB3" w:rsidRPr="001A7542">
        <w:rPr>
          <w:rFonts w:ascii="Times New Roman" w:hAnsi="Times New Roman" w:cs="Times New Roman"/>
          <w:color w:val="000000" w:themeColor="text1"/>
        </w:rPr>
        <w:t xml:space="preserve">l’année </w:t>
      </w:r>
      <w:r w:rsidR="004B08D3" w:rsidRPr="001A7542">
        <w:rPr>
          <w:rFonts w:ascii="Times New Roman" w:hAnsi="Times New Roman" w:cs="Times New Roman"/>
          <w:color w:val="000000" w:themeColor="text1"/>
        </w:rPr>
        <w:t>201</w:t>
      </w:r>
      <w:r w:rsidR="00357B74" w:rsidRPr="001A7542">
        <w:rPr>
          <w:rFonts w:ascii="Times New Roman" w:hAnsi="Times New Roman" w:cs="Times New Roman"/>
          <w:color w:val="000000" w:themeColor="text1"/>
        </w:rPr>
        <w:t>9</w:t>
      </w:r>
      <w:r w:rsidRPr="001A7542">
        <w:rPr>
          <w:rFonts w:ascii="Times New Roman" w:hAnsi="Times New Roman" w:cs="Times New Roman"/>
          <w:color w:val="000000" w:themeColor="text1"/>
        </w:rPr>
        <w:t>.</w:t>
      </w:r>
    </w:p>
    <w:p w:rsidR="00357B74" w:rsidRDefault="00357B74" w:rsidP="00357B74">
      <w:pPr>
        <w:widowControl/>
        <w:tabs>
          <w:tab w:val="left" w:pos="709"/>
        </w:tabs>
        <w:jc w:val="both"/>
        <w:rPr>
          <w:rFonts w:ascii="Times New Roman" w:hAnsi="Times New Roman" w:cs="Times New Roman"/>
          <w:noProof/>
          <w:color w:val="000000" w:themeColor="text1"/>
        </w:rPr>
      </w:pPr>
    </w:p>
    <w:p w:rsidR="00D326DA" w:rsidRDefault="00D326DA" w:rsidP="00357B74">
      <w:pPr>
        <w:widowControl/>
        <w:tabs>
          <w:tab w:val="left" w:pos="709"/>
        </w:tabs>
        <w:jc w:val="both"/>
        <w:rPr>
          <w:rFonts w:ascii="Times New Roman" w:hAnsi="Times New Roman" w:cs="Times New Roman"/>
          <w:noProof/>
          <w:color w:val="000000" w:themeColor="text1"/>
        </w:rPr>
      </w:pPr>
    </w:p>
    <w:p w:rsidR="00D326DA" w:rsidRDefault="00346ED5" w:rsidP="00357B74">
      <w:pPr>
        <w:widowControl/>
        <w:tabs>
          <w:tab w:val="left" w:pos="709"/>
        </w:tabs>
        <w:jc w:val="both"/>
        <w:rPr>
          <w:rFonts w:ascii="Times New Roman" w:hAnsi="Times New Roman" w:cs="Times New Roman"/>
          <w:noProof/>
          <w:color w:val="000000" w:themeColor="text1"/>
        </w:rPr>
      </w:pPr>
      <w:r>
        <w:rPr>
          <w:noProof/>
        </w:rPr>
        <w:drawing>
          <wp:inline distT="0" distB="0" distL="0" distR="0">
            <wp:extent cx="6419215" cy="3448050"/>
            <wp:effectExtent l="0" t="0" r="635" b="0"/>
            <wp:docPr id="10" name="Chart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5F3BED" w:rsidRDefault="005F3BED" w:rsidP="00E555EA">
      <w:pPr>
        <w:pStyle w:val="Paragraphedeliste"/>
        <w:ind w:left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E256D" w:rsidRDefault="00AE256D" w:rsidP="00E555EA">
      <w:pPr>
        <w:pStyle w:val="Paragraphedeliste"/>
        <w:ind w:left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E256D" w:rsidRDefault="00AE256D" w:rsidP="00E555EA">
      <w:pPr>
        <w:pStyle w:val="Paragraphedeliste"/>
        <w:ind w:left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E256D" w:rsidRDefault="00AE256D" w:rsidP="00E555EA">
      <w:pPr>
        <w:pStyle w:val="Paragraphedeliste"/>
        <w:ind w:left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E256D" w:rsidRDefault="00AE256D" w:rsidP="00E555EA">
      <w:pPr>
        <w:pStyle w:val="Paragraphedeliste"/>
        <w:ind w:left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B3682" w:rsidRPr="00CE38EE" w:rsidRDefault="00CE38EE" w:rsidP="00494750">
      <w:pPr>
        <w:pStyle w:val="Paragraphedeliste"/>
        <w:numPr>
          <w:ilvl w:val="0"/>
          <w:numId w:val="8"/>
        </w:numPr>
        <w:tabs>
          <w:tab w:val="left" w:pos="709"/>
        </w:tabs>
        <w:spacing w:before="240" w:line="240" w:lineRule="auto"/>
        <w:ind w:left="284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Perceptions</w:t>
      </w:r>
      <w:r w:rsidR="001A7542" w:rsidRPr="001A754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d’une forte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dégradation</w:t>
      </w:r>
      <w:r w:rsidR="001A7542" w:rsidRPr="001A754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de </w:t>
      </w:r>
      <w:r w:rsidR="0049475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l’évolution future de </w:t>
      </w:r>
      <w:r w:rsidR="001A7542" w:rsidRPr="001A754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la s</w:t>
      </w:r>
      <w:r w:rsidR="00EC2700" w:rsidRPr="001A754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ituation financière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A10B2D" w:rsidRPr="001A754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des ménages </w:t>
      </w:r>
    </w:p>
    <w:p w:rsidR="00CE38EE" w:rsidRDefault="00CE38EE" w:rsidP="002D67CC">
      <w:pPr>
        <w:pStyle w:val="Paragraphedeliste"/>
        <w:spacing w:before="24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C7E44" w:rsidRPr="00E90D68" w:rsidRDefault="00516548" w:rsidP="002D67CC">
      <w:pPr>
        <w:pStyle w:val="Paragraphedeliste"/>
        <w:spacing w:before="24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</w:pPr>
      <w:r w:rsidRPr="00E90D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Au </w:t>
      </w:r>
      <w:r w:rsidR="002C1479" w:rsidRPr="00E90D68">
        <w:rPr>
          <w:rFonts w:ascii="Times New Roman" w:hAnsi="Times New Roman" w:cs="Times New Roman"/>
          <w:color w:val="000000" w:themeColor="text1"/>
          <w:sz w:val="24"/>
          <w:szCs w:val="24"/>
        </w:rPr>
        <w:t>deuxième trimestre</w:t>
      </w:r>
      <w:r w:rsidR="00E90D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07360" w:rsidRPr="00E90D68">
        <w:rPr>
          <w:rFonts w:ascii="Times New Roman" w:hAnsi="Times New Roman" w:cs="Times New Roman"/>
          <w:color w:val="000000" w:themeColor="text1"/>
          <w:sz w:val="24"/>
          <w:szCs w:val="24"/>
        </w:rPr>
        <w:t>de</w:t>
      </w:r>
      <w:r w:rsidR="00DA1780" w:rsidRPr="00E90D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</w:t>
      </w:r>
      <w:r w:rsidR="0005351F" w:rsidRPr="00E90D68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="00E03B67" w:rsidRPr="00E90D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065DD7" w:rsidRPr="00E90D68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2D67CC" w:rsidRPr="00E90D68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6F0457" w:rsidRPr="00E90D68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2D67CC" w:rsidRPr="00E90D68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E03B67" w:rsidRPr="00E90D68">
        <w:rPr>
          <w:rFonts w:ascii="Times New Roman" w:hAnsi="Times New Roman" w:cs="Times New Roman"/>
          <w:color w:val="000000" w:themeColor="text1"/>
          <w:sz w:val="24"/>
          <w:szCs w:val="24"/>
        </w:rPr>
        <w:t>% des ménages</w:t>
      </w:r>
      <w:r w:rsidR="00E90D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03B67" w:rsidRPr="00E90D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estiment que leurs revenus couvrent leurs dépenses, </w:t>
      </w:r>
      <w:r w:rsidR="000F641A" w:rsidRPr="00E90D68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2D67CC" w:rsidRPr="00E90D68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065DD7" w:rsidRPr="00E90D68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05351F" w:rsidRPr="00E90D68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E03B67" w:rsidRPr="00E90D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% déclarent s’endetter ou puiser dans leur épargne et </w:t>
      </w:r>
      <w:r w:rsidR="00D90C0D" w:rsidRPr="00E90D68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6F0457" w:rsidRPr="00E90D68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2D67CC" w:rsidRPr="00E90D68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E03B67" w:rsidRPr="00E90D68">
        <w:rPr>
          <w:rFonts w:ascii="Times New Roman" w:hAnsi="Times New Roman" w:cs="Times New Roman"/>
          <w:color w:val="000000" w:themeColor="text1"/>
          <w:sz w:val="24"/>
          <w:szCs w:val="24"/>
        </w:rPr>
        <w:t>% affirment épargner une partie de leur revenu.</w:t>
      </w:r>
      <w:r w:rsidR="00E90D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03B67" w:rsidRPr="00E90D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Le solde d’opinion </w:t>
      </w:r>
      <w:r w:rsidR="007A29D4" w:rsidRPr="00E90D68">
        <w:rPr>
          <w:rFonts w:ascii="Times New Roman" w:hAnsi="Times New Roman" w:cs="Times New Roman"/>
          <w:color w:val="000000" w:themeColor="text1"/>
          <w:sz w:val="24"/>
          <w:szCs w:val="24"/>
        </w:rPr>
        <w:t>relatif à</w:t>
      </w:r>
      <w:r w:rsidR="00E03B67" w:rsidRPr="00E90D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 situation financière actuelle des ménages est resté ainsi négatif, à moins </w:t>
      </w:r>
      <w:r w:rsidR="002D67CC" w:rsidRPr="00E90D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30,0 </w:t>
      </w:r>
      <w:r w:rsidR="00E03B67" w:rsidRPr="00E90D68">
        <w:rPr>
          <w:rFonts w:ascii="Times New Roman" w:hAnsi="Times New Roman" w:cs="Times New Roman"/>
          <w:color w:val="000000" w:themeColor="text1"/>
          <w:sz w:val="24"/>
          <w:szCs w:val="24"/>
        </w:rPr>
        <w:t>points</w:t>
      </w:r>
      <w:r w:rsidR="00E90D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90C0D" w:rsidRPr="00E90D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contre </w:t>
      </w:r>
      <w:r w:rsidR="00A54254" w:rsidRPr="00E90D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moins </w:t>
      </w:r>
      <w:r w:rsidR="002D67CC" w:rsidRPr="00E90D68">
        <w:rPr>
          <w:rFonts w:ascii="Times New Roman" w:hAnsi="Times New Roman" w:cs="Times New Roman"/>
          <w:color w:val="000000" w:themeColor="text1"/>
          <w:sz w:val="24"/>
          <w:szCs w:val="24"/>
        </w:rPr>
        <w:t>27,7</w:t>
      </w:r>
      <w:r w:rsidR="005B09C4" w:rsidRPr="00E90D68">
        <w:rPr>
          <w:rFonts w:ascii="Times New Roman" w:hAnsi="Times New Roman" w:cs="Times New Roman"/>
          <w:color w:val="000000" w:themeColor="text1"/>
          <w:sz w:val="24"/>
          <w:szCs w:val="24"/>
        </w:rPr>
        <w:t>points</w:t>
      </w:r>
      <w:r w:rsidR="00C018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54254" w:rsidRPr="00E90D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le trimestre </w:t>
      </w:r>
      <w:r w:rsidR="0005351F" w:rsidRPr="00E90D68">
        <w:rPr>
          <w:rFonts w:ascii="Times New Roman" w:hAnsi="Times New Roman" w:cs="Times New Roman"/>
          <w:color w:val="000000" w:themeColor="text1"/>
          <w:sz w:val="24"/>
          <w:szCs w:val="24"/>
        </w:rPr>
        <w:t>précédent</w:t>
      </w:r>
      <w:r w:rsidR="00A54254" w:rsidRPr="00E90D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et moins </w:t>
      </w:r>
      <w:r w:rsidR="002D67CC" w:rsidRPr="00E90D68">
        <w:rPr>
          <w:rFonts w:ascii="Times New Roman" w:hAnsi="Times New Roman" w:cs="Times New Roman"/>
          <w:color w:val="000000" w:themeColor="text1"/>
          <w:sz w:val="24"/>
          <w:szCs w:val="24"/>
        </w:rPr>
        <w:t>30</w:t>
      </w:r>
      <w:r w:rsidR="00A54254" w:rsidRPr="00E90D68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2D67CC" w:rsidRPr="00E90D68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5B09C4" w:rsidRPr="00E90D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points</w:t>
      </w:r>
      <w:r w:rsidR="00E90D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54254" w:rsidRPr="00E90D68">
        <w:rPr>
          <w:rFonts w:ascii="Times New Roman" w:hAnsi="Times New Roman" w:cs="Times New Roman"/>
          <w:color w:val="000000" w:themeColor="text1"/>
          <w:sz w:val="24"/>
          <w:szCs w:val="24"/>
        </w:rPr>
        <w:t>une année auparavant.</w:t>
      </w:r>
    </w:p>
    <w:p w:rsidR="005D3956" w:rsidRPr="00E90D68" w:rsidRDefault="00035053" w:rsidP="002D67CC">
      <w:pPr>
        <w:widowControl/>
        <w:tabs>
          <w:tab w:val="left" w:pos="709"/>
        </w:tabs>
        <w:jc w:val="both"/>
        <w:rPr>
          <w:rFonts w:ascii="Times New Roman" w:hAnsi="Times New Roman" w:cs="Times New Roman"/>
          <w:color w:val="000000" w:themeColor="text1"/>
        </w:rPr>
      </w:pPr>
      <w:r w:rsidRPr="00E90D68">
        <w:rPr>
          <w:rFonts w:ascii="Times New Roman" w:hAnsi="Times New Roman" w:cs="Times New Roman"/>
          <w:color w:val="000000" w:themeColor="text1"/>
        </w:rPr>
        <w:t>Quant à</w:t>
      </w:r>
      <w:r w:rsidR="002B7C12" w:rsidRPr="00E90D68">
        <w:rPr>
          <w:rFonts w:ascii="Times New Roman" w:hAnsi="Times New Roman" w:cs="Times New Roman"/>
          <w:color w:val="000000" w:themeColor="text1"/>
        </w:rPr>
        <w:t xml:space="preserve"> l’évolution de</w:t>
      </w:r>
      <w:r w:rsidR="00F45C72" w:rsidRPr="00E90D68">
        <w:rPr>
          <w:rFonts w:ascii="Times New Roman" w:hAnsi="Times New Roman" w:cs="Times New Roman"/>
          <w:color w:val="000000" w:themeColor="text1"/>
        </w:rPr>
        <w:t xml:space="preserve"> leur </w:t>
      </w:r>
      <w:r w:rsidR="0016780D" w:rsidRPr="00E90D68">
        <w:rPr>
          <w:rFonts w:ascii="Times New Roman" w:hAnsi="Times New Roman" w:cs="Times New Roman"/>
          <w:color w:val="000000" w:themeColor="text1"/>
        </w:rPr>
        <w:t>situation financière</w:t>
      </w:r>
      <w:r w:rsidR="00F45C72" w:rsidRPr="00E90D68">
        <w:rPr>
          <w:rFonts w:ascii="Times New Roman" w:hAnsi="Times New Roman" w:cs="Times New Roman"/>
          <w:color w:val="000000" w:themeColor="text1"/>
        </w:rPr>
        <w:t xml:space="preserve"> au cours des 12 derniers mois</w:t>
      </w:r>
      <w:r w:rsidR="0016780D" w:rsidRPr="00E90D68">
        <w:rPr>
          <w:rFonts w:ascii="Times New Roman" w:hAnsi="Times New Roman" w:cs="Times New Roman"/>
          <w:color w:val="000000" w:themeColor="text1"/>
        </w:rPr>
        <w:t xml:space="preserve">, </w:t>
      </w:r>
      <w:r w:rsidR="00F77135" w:rsidRPr="00E90D68">
        <w:rPr>
          <w:rFonts w:ascii="Times New Roman" w:hAnsi="Times New Roman" w:cs="Times New Roman"/>
          <w:color w:val="000000" w:themeColor="text1"/>
        </w:rPr>
        <w:t>3</w:t>
      </w:r>
      <w:r w:rsidR="002D67CC" w:rsidRPr="00E90D68">
        <w:rPr>
          <w:rFonts w:ascii="Times New Roman" w:hAnsi="Times New Roman" w:cs="Times New Roman"/>
          <w:color w:val="000000" w:themeColor="text1"/>
        </w:rPr>
        <w:t>8</w:t>
      </w:r>
      <w:r w:rsidR="00BE624F" w:rsidRPr="00E90D68">
        <w:rPr>
          <w:rFonts w:ascii="Times New Roman" w:hAnsi="Times New Roman" w:cs="Times New Roman"/>
          <w:color w:val="000000" w:themeColor="text1"/>
        </w:rPr>
        <w:t>,</w:t>
      </w:r>
      <w:r w:rsidR="002D67CC" w:rsidRPr="00E90D68">
        <w:rPr>
          <w:rFonts w:ascii="Times New Roman" w:hAnsi="Times New Roman" w:cs="Times New Roman"/>
          <w:color w:val="000000" w:themeColor="text1"/>
        </w:rPr>
        <w:t>0</w:t>
      </w:r>
      <w:r w:rsidR="00540BE7" w:rsidRPr="00E90D68">
        <w:rPr>
          <w:rFonts w:ascii="Times New Roman" w:hAnsi="Times New Roman" w:cs="Times New Roman"/>
          <w:color w:val="000000" w:themeColor="text1"/>
        </w:rPr>
        <w:t>%</w:t>
      </w:r>
      <w:r w:rsidR="005D3956" w:rsidRPr="00E90D68">
        <w:rPr>
          <w:rFonts w:ascii="Times New Roman" w:hAnsi="Times New Roman" w:cs="Times New Roman"/>
          <w:color w:val="000000" w:themeColor="text1"/>
        </w:rPr>
        <w:t xml:space="preserve"> contre </w:t>
      </w:r>
      <w:r w:rsidR="002D67CC" w:rsidRPr="00E90D68">
        <w:rPr>
          <w:rFonts w:ascii="Times New Roman" w:hAnsi="Times New Roman" w:cs="Times New Roman"/>
          <w:color w:val="000000" w:themeColor="text1"/>
        </w:rPr>
        <w:t>11</w:t>
      </w:r>
      <w:r w:rsidR="006F0457" w:rsidRPr="00E90D68">
        <w:rPr>
          <w:rFonts w:ascii="Times New Roman" w:hAnsi="Times New Roman" w:cs="Times New Roman"/>
          <w:color w:val="000000" w:themeColor="text1"/>
        </w:rPr>
        <w:t>,</w:t>
      </w:r>
      <w:r w:rsidR="002D67CC" w:rsidRPr="00E90D68">
        <w:rPr>
          <w:rFonts w:ascii="Times New Roman" w:hAnsi="Times New Roman" w:cs="Times New Roman"/>
          <w:color w:val="000000" w:themeColor="text1"/>
        </w:rPr>
        <w:t>0</w:t>
      </w:r>
      <w:r w:rsidR="005D3956" w:rsidRPr="00E90D68">
        <w:rPr>
          <w:rFonts w:ascii="Times New Roman" w:hAnsi="Times New Roman" w:cs="Times New Roman"/>
          <w:color w:val="000000" w:themeColor="text1"/>
        </w:rPr>
        <w:t>%</w:t>
      </w:r>
      <w:r w:rsidR="0016780D" w:rsidRPr="00E90D68">
        <w:rPr>
          <w:rFonts w:ascii="Times New Roman" w:hAnsi="Times New Roman" w:cs="Times New Roman"/>
          <w:color w:val="000000" w:themeColor="text1"/>
        </w:rPr>
        <w:t xml:space="preserve">des ménages considèrent qu’elle </w:t>
      </w:r>
      <w:r w:rsidR="00540BE7" w:rsidRPr="00E90D68">
        <w:rPr>
          <w:rFonts w:ascii="Times New Roman" w:hAnsi="Times New Roman" w:cs="Times New Roman"/>
          <w:color w:val="000000" w:themeColor="text1"/>
        </w:rPr>
        <w:t>s’est dégradée</w:t>
      </w:r>
      <w:r w:rsidR="0016780D" w:rsidRPr="00E90D68">
        <w:rPr>
          <w:rFonts w:ascii="Times New Roman" w:hAnsi="Times New Roman" w:cs="Times New Roman"/>
          <w:color w:val="000000" w:themeColor="text1"/>
        </w:rPr>
        <w:t xml:space="preserve">. Cette perception reste </w:t>
      </w:r>
      <w:r w:rsidR="00F45C72" w:rsidRPr="00E90D68">
        <w:rPr>
          <w:rFonts w:ascii="Times New Roman" w:hAnsi="Times New Roman" w:cs="Times New Roman"/>
          <w:color w:val="000000" w:themeColor="text1"/>
        </w:rPr>
        <w:t xml:space="preserve">ainsi </w:t>
      </w:r>
      <w:r w:rsidR="0016780D" w:rsidRPr="00E90D68">
        <w:rPr>
          <w:rFonts w:ascii="Times New Roman" w:hAnsi="Times New Roman" w:cs="Times New Roman"/>
          <w:color w:val="000000" w:themeColor="text1"/>
        </w:rPr>
        <w:t xml:space="preserve">négative, </w:t>
      </w:r>
      <w:r w:rsidR="00F45C72" w:rsidRPr="00E90D68">
        <w:rPr>
          <w:rFonts w:ascii="Times New Roman" w:hAnsi="Times New Roman" w:cs="Times New Roman"/>
          <w:color w:val="000000" w:themeColor="text1"/>
        </w:rPr>
        <w:t>avec</w:t>
      </w:r>
      <w:r w:rsidR="00E90D68">
        <w:rPr>
          <w:rFonts w:ascii="Times New Roman" w:hAnsi="Times New Roman" w:cs="Times New Roman"/>
          <w:color w:val="000000" w:themeColor="text1"/>
        </w:rPr>
        <w:t xml:space="preserve"> </w:t>
      </w:r>
      <w:r w:rsidR="00F45C72" w:rsidRPr="00E90D68">
        <w:rPr>
          <w:rFonts w:ascii="Times New Roman" w:hAnsi="Times New Roman" w:cs="Times New Roman"/>
          <w:color w:val="000000" w:themeColor="text1"/>
        </w:rPr>
        <w:t xml:space="preserve">un solde d’opinion de </w:t>
      </w:r>
      <w:r w:rsidR="006617C3" w:rsidRPr="00E90D68">
        <w:rPr>
          <w:rFonts w:ascii="Times New Roman" w:hAnsi="Times New Roman" w:cs="Times New Roman"/>
          <w:color w:val="000000" w:themeColor="text1"/>
        </w:rPr>
        <w:t>moins</w:t>
      </w:r>
      <w:r w:rsidR="00C01862">
        <w:rPr>
          <w:rFonts w:ascii="Times New Roman" w:hAnsi="Times New Roman" w:cs="Times New Roman"/>
          <w:color w:val="000000" w:themeColor="text1"/>
        </w:rPr>
        <w:t xml:space="preserve"> </w:t>
      </w:r>
      <w:r w:rsidR="002D67CC" w:rsidRPr="00E90D68">
        <w:rPr>
          <w:rFonts w:ascii="Times New Roman" w:hAnsi="Times New Roman" w:cs="Times New Roman"/>
          <w:color w:val="000000" w:themeColor="text1"/>
        </w:rPr>
        <w:t xml:space="preserve">27,0 </w:t>
      </w:r>
      <w:r w:rsidR="006617C3" w:rsidRPr="00E90D68">
        <w:rPr>
          <w:rFonts w:ascii="Times New Roman" w:hAnsi="Times New Roman" w:cs="Times New Roman"/>
          <w:color w:val="000000" w:themeColor="text1"/>
        </w:rPr>
        <w:t>points</w:t>
      </w:r>
      <w:r w:rsidR="00E90D68">
        <w:rPr>
          <w:rFonts w:ascii="Times New Roman" w:hAnsi="Times New Roman" w:cs="Times New Roman"/>
          <w:color w:val="000000" w:themeColor="text1"/>
        </w:rPr>
        <w:t xml:space="preserve"> </w:t>
      </w:r>
      <w:r w:rsidR="00BE624F" w:rsidRPr="00E90D68">
        <w:rPr>
          <w:rFonts w:ascii="Times New Roman" w:hAnsi="Times New Roman" w:cs="Times New Roman"/>
          <w:color w:val="000000" w:themeColor="text1"/>
        </w:rPr>
        <w:t xml:space="preserve">contre </w:t>
      </w:r>
      <w:r w:rsidR="005B09C4" w:rsidRPr="00E90D68">
        <w:rPr>
          <w:rFonts w:ascii="Times New Roman" w:hAnsi="Times New Roman" w:cs="Times New Roman"/>
          <w:color w:val="000000" w:themeColor="text1"/>
        </w:rPr>
        <w:t xml:space="preserve">moins </w:t>
      </w:r>
      <w:r w:rsidR="002D67CC" w:rsidRPr="00E90D68">
        <w:rPr>
          <w:rFonts w:ascii="Times New Roman" w:hAnsi="Times New Roman" w:cs="Times New Roman"/>
          <w:color w:val="000000" w:themeColor="text1"/>
        </w:rPr>
        <w:t xml:space="preserve">22,9 </w:t>
      </w:r>
      <w:r w:rsidR="005B09C4" w:rsidRPr="00E90D68">
        <w:rPr>
          <w:rFonts w:ascii="Times New Roman" w:hAnsi="Times New Roman" w:cs="Times New Roman"/>
          <w:color w:val="000000" w:themeColor="text1"/>
        </w:rPr>
        <w:t xml:space="preserve">points </w:t>
      </w:r>
      <w:r w:rsidR="001143FE" w:rsidRPr="00E90D68">
        <w:rPr>
          <w:rFonts w:ascii="Times New Roman" w:hAnsi="Times New Roman" w:cs="Times New Roman"/>
          <w:color w:val="000000" w:themeColor="text1"/>
        </w:rPr>
        <w:t xml:space="preserve">au </w:t>
      </w:r>
      <w:r w:rsidR="00BE624F" w:rsidRPr="00E90D68">
        <w:rPr>
          <w:rFonts w:ascii="Times New Roman" w:hAnsi="Times New Roman" w:cs="Times New Roman"/>
          <w:color w:val="000000" w:themeColor="text1"/>
        </w:rPr>
        <w:t>trimestre précèdent et moins 2</w:t>
      </w:r>
      <w:r w:rsidR="002D67CC" w:rsidRPr="00E90D68">
        <w:rPr>
          <w:rFonts w:ascii="Times New Roman" w:hAnsi="Times New Roman" w:cs="Times New Roman"/>
          <w:color w:val="000000" w:themeColor="text1"/>
        </w:rPr>
        <w:t>4</w:t>
      </w:r>
      <w:r w:rsidR="00BE624F" w:rsidRPr="00E90D68">
        <w:rPr>
          <w:rFonts w:ascii="Times New Roman" w:hAnsi="Times New Roman" w:cs="Times New Roman"/>
          <w:color w:val="000000" w:themeColor="text1"/>
        </w:rPr>
        <w:t xml:space="preserve">,2 points au </w:t>
      </w:r>
      <w:r w:rsidR="001143FE" w:rsidRPr="00E90D68">
        <w:rPr>
          <w:rFonts w:ascii="Times New Roman" w:hAnsi="Times New Roman" w:cs="Times New Roman"/>
          <w:color w:val="000000" w:themeColor="text1"/>
        </w:rPr>
        <w:t>même trimestre de l’année précédente</w:t>
      </w:r>
      <w:r w:rsidR="00BE624F" w:rsidRPr="00E90D68">
        <w:rPr>
          <w:rFonts w:ascii="Times New Roman" w:hAnsi="Times New Roman" w:cs="Times New Roman"/>
          <w:color w:val="000000" w:themeColor="text1"/>
        </w:rPr>
        <w:t xml:space="preserve">. </w:t>
      </w:r>
    </w:p>
    <w:p w:rsidR="00527651" w:rsidRPr="00E90D68" w:rsidRDefault="00527651" w:rsidP="007A5BDE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2125D5" w:rsidRPr="00E90D68" w:rsidRDefault="00491FB6" w:rsidP="002D67CC">
      <w:pPr>
        <w:widowControl/>
        <w:tabs>
          <w:tab w:val="left" w:pos="709"/>
        </w:tabs>
        <w:jc w:val="both"/>
        <w:rPr>
          <w:rFonts w:ascii="Times New Roman" w:hAnsi="Times New Roman" w:cs="Times New Roman"/>
          <w:noProof/>
          <w:color w:val="000000" w:themeColor="text1"/>
        </w:rPr>
      </w:pPr>
      <w:r w:rsidRPr="00E90D68">
        <w:rPr>
          <w:rFonts w:ascii="Times New Roman" w:hAnsi="Times New Roman" w:cs="Times New Roman"/>
          <w:color w:val="000000" w:themeColor="text1"/>
        </w:rPr>
        <w:t xml:space="preserve">S’agissant </w:t>
      </w:r>
      <w:r w:rsidR="00B56764" w:rsidRPr="00E90D68">
        <w:rPr>
          <w:rFonts w:ascii="Times New Roman" w:hAnsi="Times New Roman" w:cs="Times New Roman"/>
          <w:color w:val="000000" w:themeColor="text1"/>
        </w:rPr>
        <w:t xml:space="preserve">de l’évolution </w:t>
      </w:r>
      <w:r w:rsidR="00D41CA0" w:rsidRPr="00E90D68">
        <w:rPr>
          <w:rFonts w:ascii="Times New Roman" w:hAnsi="Times New Roman" w:cs="Times New Roman"/>
          <w:color w:val="000000" w:themeColor="text1"/>
        </w:rPr>
        <w:t>de leur situation financière</w:t>
      </w:r>
      <w:r w:rsidR="00E90D68">
        <w:rPr>
          <w:rFonts w:ascii="Times New Roman" w:hAnsi="Times New Roman" w:cs="Times New Roman"/>
          <w:color w:val="000000" w:themeColor="text1"/>
        </w:rPr>
        <w:t xml:space="preserve"> </w:t>
      </w:r>
      <w:r w:rsidR="00B56764" w:rsidRPr="00E90D68">
        <w:rPr>
          <w:rFonts w:ascii="Times New Roman" w:hAnsi="Times New Roman" w:cs="Times New Roman"/>
          <w:color w:val="000000" w:themeColor="text1"/>
        </w:rPr>
        <w:t>au cours des 12 prochains mois,</w:t>
      </w:r>
      <w:r w:rsidR="00C01862">
        <w:rPr>
          <w:rFonts w:ascii="Times New Roman" w:hAnsi="Times New Roman" w:cs="Times New Roman"/>
          <w:color w:val="000000" w:themeColor="text1"/>
        </w:rPr>
        <w:t xml:space="preserve"> </w:t>
      </w:r>
      <w:r w:rsidR="00BE624F" w:rsidRPr="00E90D68">
        <w:rPr>
          <w:rFonts w:ascii="Times New Roman" w:hAnsi="Times New Roman" w:cs="Times New Roman"/>
          <w:color w:val="000000" w:themeColor="text1"/>
        </w:rPr>
        <w:t>2</w:t>
      </w:r>
      <w:r w:rsidR="002D67CC" w:rsidRPr="00E90D68">
        <w:rPr>
          <w:rFonts w:ascii="Times New Roman" w:hAnsi="Times New Roman" w:cs="Times New Roman"/>
          <w:color w:val="000000" w:themeColor="text1"/>
        </w:rPr>
        <w:t>5</w:t>
      </w:r>
      <w:r w:rsidR="008A2B76" w:rsidRPr="00E90D68">
        <w:rPr>
          <w:rFonts w:ascii="Times New Roman" w:hAnsi="Times New Roman" w:cs="Times New Roman"/>
          <w:color w:val="000000" w:themeColor="text1"/>
        </w:rPr>
        <w:t>,</w:t>
      </w:r>
      <w:r w:rsidR="00BE624F" w:rsidRPr="00E90D68">
        <w:rPr>
          <w:rFonts w:ascii="Times New Roman" w:hAnsi="Times New Roman" w:cs="Times New Roman"/>
          <w:color w:val="000000" w:themeColor="text1"/>
        </w:rPr>
        <w:t>9</w:t>
      </w:r>
      <w:r w:rsidR="00F45C72" w:rsidRPr="00E90D68">
        <w:rPr>
          <w:rFonts w:ascii="Times New Roman" w:hAnsi="Times New Roman" w:cs="Times New Roman"/>
          <w:color w:val="000000" w:themeColor="text1"/>
        </w:rPr>
        <w:t>%</w:t>
      </w:r>
      <w:r w:rsidR="005D3956" w:rsidRPr="00E90D68">
        <w:rPr>
          <w:rFonts w:ascii="Times New Roman" w:hAnsi="Times New Roman" w:cs="Times New Roman"/>
          <w:color w:val="000000" w:themeColor="text1"/>
        </w:rPr>
        <w:t>contre</w:t>
      </w:r>
      <w:r w:rsidR="002D67CC" w:rsidRPr="00E90D68">
        <w:rPr>
          <w:rFonts w:ascii="Times New Roman" w:hAnsi="Times New Roman" w:cs="Times New Roman"/>
          <w:color w:val="000000" w:themeColor="text1"/>
        </w:rPr>
        <w:t>21</w:t>
      </w:r>
      <w:r w:rsidR="006F0457" w:rsidRPr="00E90D68">
        <w:rPr>
          <w:rFonts w:ascii="Times New Roman" w:hAnsi="Times New Roman" w:cs="Times New Roman"/>
          <w:color w:val="000000" w:themeColor="text1"/>
        </w:rPr>
        <w:t>,</w:t>
      </w:r>
      <w:r w:rsidR="00BE624F" w:rsidRPr="00E90D68">
        <w:rPr>
          <w:rFonts w:ascii="Times New Roman" w:hAnsi="Times New Roman" w:cs="Times New Roman"/>
          <w:color w:val="000000" w:themeColor="text1"/>
        </w:rPr>
        <w:t>3</w:t>
      </w:r>
      <w:r w:rsidR="005D3956" w:rsidRPr="00E90D68">
        <w:rPr>
          <w:rFonts w:ascii="Times New Roman" w:hAnsi="Times New Roman" w:cs="Times New Roman"/>
          <w:color w:val="000000" w:themeColor="text1"/>
        </w:rPr>
        <w:t xml:space="preserve">% </w:t>
      </w:r>
      <w:r w:rsidR="00F45C72" w:rsidRPr="00E90D68">
        <w:rPr>
          <w:rFonts w:ascii="Times New Roman" w:hAnsi="Times New Roman" w:cs="Times New Roman"/>
          <w:color w:val="000000" w:themeColor="text1"/>
        </w:rPr>
        <w:t>des ménages s’attendent à une amélioration</w:t>
      </w:r>
      <w:r w:rsidR="00C25F02" w:rsidRPr="00E90D68">
        <w:rPr>
          <w:rFonts w:ascii="Times New Roman" w:hAnsi="Times New Roman" w:cs="Times New Roman"/>
          <w:color w:val="000000" w:themeColor="text1"/>
        </w:rPr>
        <w:t xml:space="preserve"> de leur situation financière</w:t>
      </w:r>
      <w:r w:rsidR="00F45C72" w:rsidRPr="00E90D68">
        <w:rPr>
          <w:rFonts w:ascii="Times New Roman" w:hAnsi="Times New Roman" w:cs="Times New Roman"/>
          <w:color w:val="000000" w:themeColor="text1"/>
        </w:rPr>
        <w:t>. Le solde d’opinion</w:t>
      </w:r>
      <w:r w:rsidR="00E90D68">
        <w:rPr>
          <w:rFonts w:ascii="Times New Roman" w:hAnsi="Times New Roman" w:cs="Times New Roman"/>
          <w:color w:val="000000" w:themeColor="text1"/>
        </w:rPr>
        <w:t xml:space="preserve"> </w:t>
      </w:r>
      <w:r w:rsidR="00A01E00" w:rsidRPr="00E90D68">
        <w:rPr>
          <w:rFonts w:ascii="Times New Roman" w:hAnsi="Times New Roman" w:cs="Times New Roman"/>
          <w:color w:val="000000" w:themeColor="text1"/>
        </w:rPr>
        <w:t xml:space="preserve">de cet indicateur </w:t>
      </w:r>
      <w:r w:rsidR="00D41CA0" w:rsidRPr="00E90D68">
        <w:rPr>
          <w:rFonts w:ascii="Times New Roman" w:hAnsi="Times New Roman" w:cs="Times New Roman"/>
          <w:color w:val="000000" w:themeColor="text1"/>
        </w:rPr>
        <w:t>enregistre</w:t>
      </w:r>
      <w:r w:rsidR="002D67CC" w:rsidRPr="00E90D68">
        <w:rPr>
          <w:rFonts w:ascii="Times New Roman" w:hAnsi="Times New Roman" w:cs="Times New Roman"/>
          <w:color w:val="000000" w:themeColor="text1"/>
        </w:rPr>
        <w:t xml:space="preserve">, pour la première fois depuis le début de l’enquête, un niveau négatif </w:t>
      </w:r>
      <w:r w:rsidR="00081E5A" w:rsidRPr="00E90D68">
        <w:rPr>
          <w:rFonts w:ascii="Times New Roman" w:hAnsi="Times New Roman" w:cs="Times New Roman"/>
          <w:color w:val="000000" w:themeColor="text1"/>
        </w:rPr>
        <w:t xml:space="preserve">en </w:t>
      </w:r>
      <w:r w:rsidR="001C14A6" w:rsidRPr="00E90D68">
        <w:rPr>
          <w:rFonts w:ascii="Times New Roman" w:hAnsi="Times New Roman" w:cs="Times New Roman"/>
          <w:color w:val="000000" w:themeColor="text1"/>
        </w:rPr>
        <w:t>passant</w:t>
      </w:r>
      <w:r w:rsidR="00081E5A" w:rsidRPr="00E90D68">
        <w:rPr>
          <w:rFonts w:ascii="Times New Roman" w:hAnsi="Times New Roman" w:cs="Times New Roman"/>
          <w:color w:val="000000" w:themeColor="text1"/>
        </w:rPr>
        <w:t xml:space="preserve"> à</w:t>
      </w:r>
      <w:r w:rsidR="002D67CC" w:rsidRPr="00E90D68">
        <w:rPr>
          <w:rFonts w:ascii="Times New Roman" w:hAnsi="Times New Roman" w:cs="Times New Roman"/>
          <w:color w:val="000000" w:themeColor="text1"/>
        </w:rPr>
        <w:t xml:space="preserve"> moins 4,6</w:t>
      </w:r>
      <w:r w:rsidR="00C01862">
        <w:rPr>
          <w:rFonts w:ascii="Times New Roman" w:hAnsi="Times New Roman" w:cs="Times New Roman"/>
          <w:color w:val="000000" w:themeColor="text1"/>
        </w:rPr>
        <w:t xml:space="preserve"> </w:t>
      </w:r>
      <w:r w:rsidR="00B56764" w:rsidRPr="00E90D68">
        <w:rPr>
          <w:rFonts w:ascii="Times New Roman" w:hAnsi="Times New Roman" w:cs="Times New Roman"/>
          <w:color w:val="000000" w:themeColor="text1"/>
        </w:rPr>
        <w:t xml:space="preserve">points </w:t>
      </w:r>
      <w:r w:rsidR="002D67CC" w:rsidRPr="00E90D68">
        <w:rPr>
          <w:rFonts w:ascii="Times New Roman" w:hAnsi="Times New Roman" w:cs="Times New Roman"/>
          <w:color w:val="000000" w:themeColor="text1"/>
        </w:rPr>
        <w:t>contre</w:t>
      </w:r>
      <w:r w:rsidR="00C01862">
        <w:rPr>
          <w:rFonts w:ascii="Times New Roman" w:hAnsi="Times New Roman" w:cs="Times New Roman"/>
          <w:color w:val="000000" w:themeColor="text1"/>
        </w:rPr>
        <w:t xml:space="preserve"> </w:t>
      </w:r>
      <w:r w:rsidR="002D67CC" w:rsidRPr="00E90D68">
        <w:rPr>
          <w:rFonts w:ascii="Times New Roman" w:hAnsi="Times New Roman" w:cs="Times New Roman"/>
          <w:color w:val="000000" w:themeColor="text1"/>
        </w:rPr>
        <w:t xml:space="preserve">8,5 </w:t>
      </w:r>
      <w:r w:rsidR="00B56764" w:rsidRPr="00E90D68">
        <w:rPr>
          <w:rFonts w:ascii="Times New Roman" w:hAnsi="Times New Roman" w:cs="Times New Roman"/>
          <w:color w:val="000000" w:themeColor="text1"/>
        </w:rPr>
        <w:t xml:space="preserve">points un trimestre auparavant et </w:t>
      </w:r>
      <w:r w:rsidR="002D67CC" w:rsidRPr="00E90D68">
        <w:rPr>
          <w:rFonts w:ascii="Times New Roman" w:hAnsi="Times New Roman" w:cs="Times New Roman"/>
          <w:color w:val="000000" w:themeColor="text1"/>
        </w:rPr>
        <w:t>18</w:t>
      </w:r>
      <w:r w:rsidR="008A2B76" w:rsidRPr="00E90D68">
        <w:rPr>
          <w:rFonts w:ascii="Times New Roman" w:hAnsi="Times New Roman" w:cs="Times New Roman"/>
          <w:color w:val="000000" w:themeColor="text1"/>
        </w:rPr>
        <w:t>,</w:t>
      </w:r>
      <w:r w:rsidR="002D67CC" w:rsidRPr="00E90D68">
        <w:rPr>
          <w:rFonts w:ascii="Times New Roman" w:hAnsi="Times New Roman" w:cs="Times New Roman"/>
          <w:color w:val="000000" w:themeColor="text1"/>
        </w:rPr>
        <w:t>3</w:t>
      </w:r>
      <w:r w:rsidR="00B56764" w:rsidRPr="00E90D68">
        <w:rPr>
          <w:rFonts w:ascii="Times New Roman" w:hAnsi="Times New Roman" w:cs="Times New Roman"/>
          <w:color w:val="000000" w:themeColor="text1"/>
        </w:rPr>
        <w:t xml:space="preserve"> points</w:t>
      </w:r>
      <w:r w:rsidR="00E90D68">
        <w:rPr>
          <w:rFonts w:ascii="Times New Roman" w:hAnsi="Times New Roman" w:cs="Times New Roman"/>
          <w:color w:val="000000" w:themeColor="text1"/>
        </w:rPr>
        <w:t xml:space="preserve"> </w:t>
      </w:r>
      <w:r w:rsidR="00B56764" w:rsidRPr="00E90D68">
        <w:rPr>
          <w:rFonts w:ascii="Times New Roman" w:hAnsi="Times New Roman" w:cs="Times New Roman"/>
          <w:color w:val="000000" w:themeColor="text1"/>
        </w:rPr>
        <w:t>un an auparavant.</w:t>
      </w:r>
    </w:p>
    <w:p w:rsidR="002125D5" w:rsidRDefault="00346ED5" w:rsidP="00374E6D">
      <w:pPr>
        <w:widowControl/>
        <w:spacing w:before="240" w:line="276" w:lineRule="auto"/>
        <w:jc w:val="center"/>
        <w:rPr>
          <w:rFonts w:ascii="Times New Roman" w:hAnsi="Times New Roman" w:cs="Times New Roman"/>
          <w:noProof/>
          <w:color w:val="000000" w:themeColor="text1"/>
        </w:rPr>
      </w:pPr>
      <w:r>
        <w:rPr>
          <w:noProof/>
        </w:rPr>
        <w:drawing>
          <wp:inline distT="0" distB="0" distL="0" distR="0">
            <wp:extent cx="6581775" cy="4154805"/>
            <wp:effectExtent l="0" t="0" r="9525" b="17145"/>
            <wp:docPr id="11" name="Chart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0151DD" w:rsidRDefault="000151DD" w:rsidP="00531247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0E21A1" w:rsidRPr="003A3FCF" w:rsidRDefault="000E21A1" w:rsidP="00F80338">
      <w:pPr>
        <w:pStyle w:val="Paragraphedeliste"/>
        <w:numPr>
          <w:ilvl w:val="0"/>
          <w:numId w:val="9"/>
        </w:numPr>
        <w:spacing w:line="240" w:lineRule="auto"/>
        <w:ind w:left="284" w:hanging="284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A3F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Evolution d’autres indicateurs </w:t>
      </w:r>
      <w:r w:rsidR="005D5DB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trimestriels </w:t>
      </w:r>
      <w:r w:rsidR="00D75C4F" w:rsidRPr="003A3F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de la conjoncture</w:t>
      </w:r>
    </w:p>
    <w:p w:rsidR="00345EE0" w:rsidRDefault="00D52D57" w:rsidP="00F80338">
      <w:pPr>
        <w:widowControl/>
        <w:tabs>
          <w:tab w:val="left" w:pos="709"/>
        </w:tabs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L’enquête fournit également des données trimestrielles sur l</w:t>
      </w:r>
      <w:r w:rsidR="001F7D34" w:rsidRPr="00C706A5">
        <w:rPr>
          <w:rFonts w:ascii="Times New Roman" w:hAnsi="Times New Roman" w:cs="Times New Roman"/>
          <w:color w:val="000000" w:themeColor="text1"/>
        </w:rPr>
        <w:t xml:space="preserve">a </w:t>
      </w:r>
      <w:r>
        <w:rPr>
          <w:rFonts w:ascii="Times New Roman" w:hAnsi="Times New Roman" w:cs="Times New Roman"/>
          <w:color w:val="000000" w:themeColor="text1"/>
        </w:rPr>
        <w:t xml:space="preserve">perception des ménages relatives à d’autres aspects des conditions de vie. Il s’agit en particulier de la </w:t>
      </w:r>
      <w:r w:rsidR="001F7D34" w:rsidRPr="00C706A5">
        <w:rPr>
          <w:rFonts w:ascii="Times New Roman" w:hAnsi="Times New Roman" w:cs="Times New Roman"/>
          <w:color w:val="000000" w:themeColor="text1"/>
        </w:rPr>
        <w:t>capacité d</w:t>
      </w:r>
      <w:r w:rsidR="001F7D34">
        <w:rPr>
          <w:rFonts w:ascii="Times New Roman" w:hAnsi="Times New Roman" w:cs="Times New Roman"/>
          <w:color w:val="000000" w:themeColor="text1"/>
        </w:rPr>
        <w:t xml:space="preserve">es ménages à épargner </w:t>
      </w:r>
      <w:r w:rsidR="001F7D34" w:rsidRPr="00C706A5">
        <w:rPr>
          <w:rFonts w:ascii="Times New Roman" w:hAnsi="Times New Roman" w:cs="Times New Roman"/>
          <w:color w:val="000000" w:themeColor="text1"/>
        </w:rPr>
        <w:t>et</w:t>
      </w:r>
      <w:r>
        <w:rPr>
          <w:rFonts w:ascii="Times New Roman" w:hAnsi="Times New Roman" w:cs="Times New Roman"/>
          <w:color w:val="000000" w:themeColor="text1"/>
        </w:rPr>
        <w:t xml:space="preserve"> de </w:t>
      </w:r>
      <w:r w:rsidR="001F7D34" w:rsidRPr="00C706A5">
        <w:rPr>
          <w:rFonts w:ascii="Times New Roman" w:hAnsi="Times New Roman" w:cs="Times New Roman"/>
          <w:color w:val="000000" w:themeColor="text1"/>
        </w:rPr>
        <w:t xml:space="preserve"> l’évolution des prix des produits alimentaires</w:t>
      </w:r>
      <w:r w:rsidR="0071373B">
        <w:rPr>
          <w:rFonts w:ascii="Times New Roman" w:hAnsi="Times New Roman" w:cs="Times New Roman"/>
          <w:color w:val="000000" w:themeColor="text1"/>
        </w:rPr>
        <w:t xml:space="preserve">. </w:t>
      </w:r>
    </w:p>
    <w:p w:rsidR="009D16EF" w:rsidRDefault="009D16EF" w:rsidP="00F80338">
      <w:pPr>
        <w:widowControl/>
        <w:tabs>
          <w:tab w:val="left" w:pos="709"/>
        </w:tabs>
        <w:jc w:val="both"/>
        <w:rPr>
          <w:rFonts w:ascii="Times New Roman" w:hAnsi="Times New Roman" w:cs="Times New Roman"/>
          <w:color w:val="000000" w:themeColor="text1"/>
          <w:rtl/>
          <w:lang w:bidi="ar-MA"/>
        </w:rPr>
      </w:pPr>
    </w:p>
    <w:p w:rsidR="005F3BED" w:rsidRDefault="005F3BED" w:rsidP="001D2B80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EC2700" w:rsidRPr="00C25F02" w:rsidRDefault="001A7542" w:rsidP="00494750">
      <w:pPr>
        <w:pStyle w:val="Paragraphedeliste"/>
        <w:numPr>
          <w:ilvl w:val="0"/>
          <w:numId w:val="8"/>
        </w:num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lastRenderedPageBreak/>
        <w:t>Capacité future des ménages à épargner : p</w:t>
      </w:r>
      <w:r w:rsidR="00261ED7">
        <w:rPr>
          <w:rFonts w:asciiTheme="majorBidi" w:hAnsiTheme="majorBidi" w:cstheme="majorBidi"/>
          <w:b/>
          <w:bCs/>
          <w:color w:val="000000"/>
          <w:sz w:val="24"/>
          <w:szCs w:val="24"/>
        </w:rPr>
        <w:t>ercep</w:t>
      </w: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tions </w:t>
      </w:r>
      <w:r w:rsidR="00494750">
        <w:rPr>
          <w:rFonts w:asciiTheme="majorBidi" w:hAnsiTheme="majorBidi" w:cstheme="majorBidi"/>
          <w:b/>
          <w:bCs/>
          <w:color w:val="000000"/>
          <w:sz w:val="24"/>
          <w:szCs w:val="24"/>
        </w:rPr>
        <w:t>plus</w:t>
      </w: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pessimistes</w:t>
      </w:r>
    </w:p>
    <w:p w:rsidR="006821CC" w:rsidRDefault="00AE5641" w:rsidP="002D67CC">
      <w:pPr>
        <w:widowControl/>
        <w:tabs>
          <w:tab w:val="left" w:pos="709"/>
        </w:tabs>
        <w:jc w:val="both"/>
        <w:rPr>
          <w:rFonts w:ascii="Times New Roman" w:hAnsi="Times New Roman" w:cs="Times New Roman"/>
          <w:color w:val="000000" w:themeColor="text1"/>
          <w:highlight w:val="yellow"/>
          <w:rtl/>
          <w:lang w:bidi="ar-MA"/>
        </w:rPr>
      </w:pPr>
      <w:r w:rsidRPr="00B27215">
        <w:rPr>
          <w:rFonts w:ascii="Times New Roman" w:hAnsi="Times New Roman" w:cs="Times New Roman"/>
          <w:color w:val="000000" w:themeColor="text1"/>
        </w:rPr>
        <w:t xml:space="preserve">Au </w:t>
      </w:r>
      <w:r w:rsidR="002C1479">
        <w:rPr>
          <w:rFonts w:ascii="Times New Roman" w:hAnsi="Times New Roman" w:cs="Times New Roman"/>
          <w:color w:val="000000" w:themeColor="text1"/>
        </w:rPr>
        <w:t>deuxième trimestre</w:t>
      </w:r>
      <w:r w:rsidR="00494750">
        <w:rPr>
          <w:rFonts w:ascii="Times New Roman" w:hAnsi="Times New Roman" w:cs="Times New Roman"/>
          <w:color w:val="000000" w:themeColor="text1"/>
        </w:rPr>
        <w:t xml:space="preserve"> </w:t>
      </w:r>
      <w:r w:rsidR="00707360">
        <w:rPr>
          <w:rFonts w:ascii="Times New Roman" w:hAnsi="Times New Roman" w:cs="Times New Roman"/>
          <w:color w:val="000000" w:themeColor="text1"/>
        </w:rPr>
        <w:t>de</w:t>
      </w:r>
      <w:r w:rsidR="00DA1780" w:rsidRPr="00B27215">
        <w:rPr>
          <w:rFonts w:ascii="Times New Roman" w:hAnsi="Times New Roman" w:cs="Times New Roman"/>
          <w:color w:val="000000" w:themeColor="text1"/>
        </w:rPr>
        <w:t xml:space="preserve"> 20</w:t>
      </w:r>
      <w:r w:rsidR="00C96AEA">
        <w:rPr>
          <w:rFonts w:ascii="Times New Roman" w:hAnsi="Times New Roman" w:cs="Times New Roman"/>
          <w:color w:val="000000" w:themeColor="text1"/>
        </w:rPr>
        <w:t>20</w:t>
      </w:r>
      <w:r w:rsidR="00494750" w:rsidRPr="00B27215">
        <w:rPr>
          <w:rFonts w:ascii="Times New Roman" w:hAnsi="Times New Roman" w:cs="Times New Roman"/>
          <w:color w:val="000000" w:themeColor="text1"/>
        </w:rPr>
        <w:t>,</w:t>
      </w:r>
      <w:r w:rsidR="00494750">
        <w:rPr>
          <w:rFonts w:ascii="Times New Roman" w:hAnsi="Times New Roman" w:cs="Times New Roman"/>
          <w:color w:val="000000" w:themeColor="text1"/>
        </w:rPr>
        <w:t xml:space="preserve"> 14,8</w:t>
      </w:r>
      <w:r w:rsidR="00932455" w:rsidRPr="00B27215">
        <w:rPr>
          <w:rFonts w:ascii="Times New Roman" w:hAnsi="Times New Roman" w:cs="Times New Roman"/>
          <w:color w:val="000000" w:themeColor="text1"/>
        </w:rPr>
        <w:t>%</w:t>
      </w:r>
      <w:r w:rsidR="00256C03" w:rsidRPr="00B27215">
        <w:rPr>
          <w:rFonts w:ascii="Times New Roman" w:hAnsi="Times New Roman" w:cs="Times New Roman"/>
          <w:color w:val="000000" w:themeColor="text1"/>
        </w:rPr>
        <w:t xml:space="preserve">contre </w:t>
      </w:r>
      <w:r w:rsidR="001D58BD" w:rsidRPr="00B27215">
        <w:rPr>
          <w:rFonts w:ascii="Times New Roman" w:hAnsi="Times New Roman" w:cs="Times New Roman"/>
          <w:color w:val="000000" w:themeColor="text1"/>
        </w:rPr>
        <w:t>8</w:t>
      </w:r>
      <w:r w:rsidR="002D67CC">
        <w:rPr>
          <w:rFonts w:ascii="Times New Roman" w:hAnsi="Times New Roman" w:cs="Times New Roman"/>
          <w:color w:val="000000" w:themeColor="text1"/>
        </w:rPr>
        <w:t>5</w:t>
      </w:r>
      <w:r w:rsidR="00256C03" w:rsidRPr="00B27215">
        <w:rPr>
          <w:rFonts w:ascii="Times New Roman" w:hAnsi="Times New Roman" w:cs="Times New Roman"/>
          <w:color w:val="000000" w:themeColor="text1"/>
        </w:rPr>
        <w:t>,</w:t>
      </w:r>
      <w:r w:rsidR="002D67CC">
        <w:rPr>
          <w:rFonts w:ascii="Times New Roman" w:hAnsi="Times New Roman" w:cs="Times New Roman"/>
          <w:color w:val="000000" w:themeColor="text1"/>
        </w:rPr>
        <w:t>2</w:t>
      </w:r>
      <w:r w:rsidR="00256C03" w:rsidRPr="00B27215">
        <w:rPr>
          <w:rFonts w:ascii="Times New Roman" w:hAnsi="Times New Roman" w:cs="Times New Roman"/>
          <w:color w:val="000000" w:themeColor="text1"/>
        </w:rPr>
        <w:t xml:space="preserve">% </w:t>
      </w:r>
      <w:r w:rsidR="00DE048F" w:rsidRPr="00B27215">
        <w:rPr>
          <w:rFonts w:ascii="Times New Roman" w:hAnsi="Times New Roman" w:cs="Times New Roman"/>
          <w:color w:val="000000" w:themeColor="text1"/>
        </w:rPr>
        <w:t>des ménages</w:t>
      </w:r>
      <w:r w:rsidR="00494750">
        <w:rPr>
          <w:rFonts w:ascii="Times New Roman" w:hAnsi="Times New Roman" w:cs="Times New Roman"/>
          <w:color w:val="000000" w:themeColor="text1"/>
        </w:rPr>
        <w:t xml:space="preserve"> </w:t>
      </w:r>
      <w:r w:rsidR="004153FC" w:rsidRPr="00B27215">
        <w:rPr>
          <w:rFonts w:ascii="Times New Roman" w:hAnsi="Times New Roman" w:cs="Times New Roman"/>
          <w:color w:val="000000" w:themeColor="text1"/>
        </w:rPr>
        <w:t xml:space="preserve">s’attendent à </w:t>
      </w:r>
      <w:r w:rsidR="00511C57" w:rsidRPr="00B27215">
        <w:rPr>
          <w:rFonts w:ascii="Times New Roman" w:hAnsi="Times New Roman" w:cs="Times New Roman"/>
          <w:color w:val="000000" w:themeColor="text1"/>
        </w:rPr>
        <w:t xml:space="preserve">épargner au cours des 12 prochains </w:t>
      </w:r>
      <w:r w:rsidR="0005706F" w:rsidRPr="00B27215">
        <w:rPr>
          <w:rFonts w:ascii="Times New Roman" w:hAnsi="Times New Roman" w:cs="Times New Roman"/>
          <w:color w:val="000000" w:themeColor="text1"/>
        </w:rPr>
        <w:t>mois</w:t>
      </w:r>
      <w:r w:rsidR="00507FF6" w:rsidRPr="00B27215">
        <w:rPr>
          <w:rFonts w:ascii="Times New Roman" w:hAnsi="Times New Roman" w:cs="Times New Roman"/>
          <w:color w:val="000000" w:themeColor="text1"/>
        </w:rPr>
        <w:t>.</w:t>
      </w:r>
      <w:r w:rsidR="004153FC" w:rsidRPr="00B27215">
        <w:rPr>
          <w:rFonts w:ascii="Times New Roman" w:hAnsi="Times New Roman" w:cs="Times New Roman"/>
          <w:color w:val="000000" w:themeColor="text1"/>
        </w:rPr>
        <w:t xml:space="preserve"> Le </w:t>
      </w:r>
      <w:r w:rsidR="00EA79FB" w:rsidRPr="00B27215">
        <w:rPr>
          <w:rFonts w:ascii="Times New Roman" w:hAnsi="Times New Roman" w:cs="Times New Roman"/>
          <w:color w:val="000000" w:themeColor="text1"/>
        </w:rPr>
        <w:t>solde d’opinion</w:t>
      </w:r>
      <w:r w:rsidR="00B14A37">
        <w:rPr>
          <w:rFonts w:ascii="Times New Roman" w:hAnsi="Times New Roman" w:cs="Times New Roman"/>
          <w:color w:val="000000" w:themeColor="text1"/>
        </w:rPr>
        <w:t xml:space="preserve"> relatif à cet indicateur </w:t>
      </w:r>
      <w:r w:rsidR="00626FDF" w:rsidRPr="00E13405">
        <w:rPr>
          <w:rFonts w:ascii="Times New Roman" w:hAnsi="Times New Roman" w:cs="Times New Roman"/>
          <w:color w:val="000000" w:themeColor="text1"/>
        </w:rPr>
        <w:t xml:space="preserve">est resté négatif, à moins </w:t>
      </w:r>
      <w:r w:rsidR="002D67CC">
        <w:rPr>
          <w:rFonts w:ascii="Times New Roman" w:hAnsi="Times New Roman" w:cs="Times New Roman"/>
          <w:color w:val="000000" w:themeColor="text1"/>
        </w:rPr>
        <w:t xml:space="preserve">70,4 </w:t>
      </w:r>
      <w:r w:rsidR="00626FDF" w:rsidRPr="00E13405">
        <w:rPr>
          <w:rFonts w:ascii="Times New Roman" w:hAnsi="Times New Roman" w:cs="Times New Roman"/>
          <w:color w:val="000000" w:themeColor="text1"/>
        </w:rPr>
        <w:t>points</w:t>
      </w:r>
      <w:r w:rsidR="00A01B7C">
        <w:rPr>
          <w:rFonts w:ascii="Times New Roman" w:hAnsi="Times New Roman" w:cs="Times New Roman"/>
          <w:color w:val="000000" w:themeColor="text1"/>
        </w:rPr>
        <w:t xml:space="preserve"> au lieu de</w:t>
      </w:r>
      <w:r w:rsidR="00494750">
        <w:rPr>
          <w:rFonts w:ascii="Times New Roman" w:hAnsi="Times New Roman" w:cs="Times New Roman"/>
          <w:color w:val="000000" w:themeColor="text1"/>
        </w:rPr>
        <w:t xml:space="preserve"> </w:t>
      </w:r>
      <w:r w:rsidR="00A01B7C" w:rsidRPr="00E13405">
        <w:rPr>
          <w:rFonts w:ascii="Times New Roman" w:hAnsi="Times New Roman" w:cs="Times New Roman"/>
          <w:color w:val="000000" w:themeColor="text1"/>
        </w:rPr>
        <w:t xml:space="preserve">moins </w:t>
      </w:r>
      <w:r w:rsidR="002D67CC">
        <w:rPr>
          <w:rFonts w:ascii="Times New Roman" w:hAnsi="Times New Roman" w:cs="Times New Roman"/>
          <w:color w:val="000000" w:themeColor="text1"/>
        </w:rPr>
        <w:t>65,8</w:t>
      </w:r>
      <w:r w:rsidR="00494750">
        <w:rPr>
          <w:rFonts w:ascii="Times New Roman" w:hAnsi="Times New Roman" w:cs="Times New Roman"/>
          <w:color w:val="000000" w:themeColor="text1"/>
        </w:rPr>
        <w:t xml:space="preserve"> </w:t>
      </w:r>
      <w:r w:rsidR="00A01B7C" w:rsidRPr="00E13405">
        <w:rPr>
          <w:rFonts w:ascii="Times New Roman" w:hAnsi="Times New Roman" w:cs="Times New Roman"/>
          <w:color w:val="000000" w:themeColor="text1"/>
        </w:rPr>
        <w:t xml:space="preserve">points au trimestre </w:t>
      </w:r>
      <w:r w:rsidR="00B36B99" w:rsidRPr="00E13405">
        <w:rPr>
          <w:rFonts w:ascii="Times New Roman" w:hAnsi="Times New Roman" w:cs="Times New Roman"/>
          <w:color w:val="000000" w:themeColor="text1"/>
        </w:rPr>
        <w:t>précédent</w:t>
      </w:r>
      <w:r w:rsidR="00A01B7C" w:rsidRPr="00E13405">
        <w:rPr>
          <w:rFonts w:ascii="Times New Roman" w:hAnsi="Times New Roman" w:cs="Times New Roman"/>
          <w:color w:val="000000" w:themeColor="text1"/>
        </w:rPr>
        <w:t xml:space="preserve"> et moins </w:t>
      </w:r>
      <w:r w:rsidR="00A01B7C" w:rsidRPr="0078439E">
        <w:rPr>
          <w:rFonts w:ascii="Times New Roman" w:hAnsi="Times New Roman" w:cs="Times New Roman"/>
          <w:color w:val="000000" w:themeColor="text1"/>
        </w:rPr>
        <w:t>6</w:t>
      </w:r>
      <w:r w:rsidR="002D67CC">
        <w:rPr>
          <w:rFonts w:ascii="Times New Roman" w:hAnsi="Times New Roman" w:cs="Times New Roman"/>
          <w:color w:val="000000" w:themeColor="text1"/>
        </w:rPr>
        <w:t>6</w:t>
      </w:r>
      <w:r w:rsidR="00B36B99" w:rsidRPr="0078439E">
        <w:rPr>
          <w:rFonts w:ascii="Times New Roman" w:hAnsi="Times New Roman" w:cs="Times New Roman"/>
          <w:color w:val="000000" w:themeColor="text1"/>
        </w:rPr>
        <w:t>,</w:t>
      </w:r>
      <w:r w:rsidR="002D67CC">
        <w:rPr>
          <w:rFonts w:ascii="Times New Roman" w:hAnsi="Times New Roman" w:cs="Times New Roman"/>
          <w:color w:val="000000" w:themeColor="text1"/>
        </w:rPr>
        <w:t>6</w:t>
      </w:r>
      <w:r w:rsidR="00A01B7C" w:rsidRPr="00E13405">
        <w:rPr>
          <w:rFonts w:ascii="Times New Roman" w:hAnsi="Times New Roman" w:cs="Times New Roman"/>
          <w:color w:val="000000" w:themeColor="text1"/>
        </w:rPr>
        <w:t xml:space="preserve"> points </w:t>
      </w:r>
      <w:r w:rsidR="00A01B7C">
        <w:rPr>
          <w:rFonts w:ascii="Times New Roman" w:hAnsi="Times New Roman" w:cs="Times New Roman"/>
          <w:color w:val="000000" w:themeColor="text1"/>
        </w:rPr>
        <w:t>au même trimestre de l’année passée</w:t>
      </w:r>
      <w:r w:rsidR="00626FDF" w:rsidRPr="00E13405">
        <w:rPr>
          <w:rFonts w:ascii="Times New Roman" w:hAnsi="Times New Roman" w:cs="Times New Roman"/>
          <w:color w:val="000000" w:themeColor="text1"/>
        </w:rPr>
        <w:t>.</w:t>
      </w:r>
    </w:p>
    <w:p w:rsidR="005C7BCB" w:rsidRDefault="00B36104" w:rsidP="00B36104">
      <w:pPr>
        <w:pStyle w:val="Paragraphedeliste"/>
        <w:numPr>
          <w:ilvl w:val="0"/>
          <w:numId w:val="8"/>
        </w:numPr>
        <w:spacing w:before="240"/>
        <w:ind w:left="284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Prix des produits alimentaires : </w:t>
      </w:r>
      <w:r w:rsidR="005C7BC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anticipation d’une hausse moins prononcée </w:t>
      </w:r>
    </w:p>
    <w:p w:rsidR="00EA79FB" w:rsidRPr="0032474D" w:rsidRDefault="00CE443B" w:rsidP="00494750">
      <w:pPr>
        <w:spacing w:before="240"/>
        <w:jc w:val="both"/>
        <w:rPr>
          <w:rFonts w:ascii="Times New Roman" w:hAnsi="Times New Roman" w:cs="Times New Roman"/>
          <w:color w:val="000000" w:themeColor="text1"/>
        </w:rPr>
      </w:pPr>
      <w:r w:rsidRPr="0032474D">
        <w:rPr>
          <w:rFonts w:ascii="Times New Roman" w:hAnsi="Times New Roman" w:cs="Times New Roman"/>
          <w:color w:val="000000" w:themeColor="text1"/>
        </w:rPr>
        <w:t xml:space="preserve">Au </w:t>
      </w:r>
      <w:r w:rsidR="002C1479">
        <w:rPr>
          <w:rFonts w:ascii="Times New Roman" w:hAnsi="Times New Roman" w:cs="Times New Roman"/>
          <w:color w:val="000000" w:themeColor="text1"/>
        </w:rPr>
        <w:t>deuxième trimestre</w:t>
      </w:r>
      <w:r w:rsidR="00494750">
        <w:rPr>
          <w:rFonts w:ascii="Times New Roman" w:hAnsi="Times New Roman" w:cs="Times New Roman"/>
          <w:color w:val="000000" w:themeColor="text1"/>
        </w:rPr>
        <w:t xml:space="preserve"> </w:t>
      </w:r>
      <w:r w:rsidR="00707360">
        <w:rPr>
          <w:rFonts w:ascii="Times New Roman" w:hAnsi="Times New Roman" w:cs="Times New Roman"/>
          <w:color w:val="000000" w:themeColor="text1"/>
        </w:rPr>
        <w:t>de</w:t>
      </w:r>
      <w:r w:rsidR="00DA1780" w:rsidRPr="0032474D">
        <w:rPr>
          <w:rFonts w:ascii="Times New Roman" w:hAnsi="Times New Roman" w:cs="Times New Roman"/>
          <w:color w:val="000000" w:themeColor="text1"/>
        </w:rPr>
        <w:t xml:space="preserve"> 20</w:t>
      </w:r>
      <w:r w:rsidR="00C96AEA">
        <w:rPr>
          <w:rFonts w:ascii="Times New Roman" w:hAnsi="Times New Roman" w:cs="Times New Roman"/>
          <w:color w:val="000000" w:themeColor="text1"/>
        </w:rPr>
        <w:t>20</w:t>
      </w:r>
      <w:r w:rsidR="00985AB3" w:rsidRPr="0032474D">
        <w:rPr>
          <w:rFonts w:ascii="Times New Roman" w:hAnsi="Times New Roman" w:cs="Times New Roman"/>
          <w:color w:val="000000" w:themeColor="text1"/>
        </w:rPr>
        <w:t xml:space="preserve">, </w:t>
      </w:r>
      <w:r w:rsidR="00C278CE">
        <w:rPr>
          <w:rFonts w:ascii="Times New Roman" w:hAnsi="Times New Roman" w:cs="Times New Roman"/>
          <w:color w:val="000000" w:themeColor="text1"/>
        </w:rPr>
        <w:t>68</w:t>
      </w:r>
      <w:r w:rsidR="00C96AEA">
        <w:rPr>
          <w:rFonts w:ascii="Times New Roman" w:hAnsi="Times New Roman" w:cs="Times New Roman"/>
          <w:color w:val="000000" w:themeColor="text1"/>
        </w:rPr>
        <w:t>,</w:t>
      </w:r>
      <w:r w:rsidR="00C278CE">
        <w:rPr>
          <w:rFonts w:ascii="Times New Roman" w:hAnsi="Times New Roman" w:cs="Times New Roman"/>
          <w:color w:val="000000" w:themeColor="text1"/>
        </w:rPr>
        <w:t>4</w:t>
      </w:r>
      <w:r w:rsidR="00563170" w:rsidRPr="0032474D">
        <w:rPr>
          <w:rFonts w:ascii="Times New Roman" w:hAnsi="Times New Roman" w:cs="Times New Roman"/>
          <w:color w:val="000000" w:themeColor="text1"/>
        </w:rPr>
        <w:t>%</w:t>
      </w:r>
      <w:r w:rsidR="00494750">
        <w:rPr>
          <w:rFonts w:ascii="Times New Roman" w:hAnsi="Times New Roman" w:cs="Times New Roman"/>
          <w:color w:val="000000" w:themeColor="text1"/>
        </w:rPr>
        <w:t xml:space="preserve"> </w:t>
      </w:r>
      <w:r w:rsidR="00742AC3" w:rsidRPr="0032474D">
        <w:rPr>
          <w:rFonts w:ascii="Times New Roman" w:hAnsi="Times New Roman" w:cs="Times New Roman"/>
          <w:color w:val="000000" w:themeColor="text1"/>
        </w:rPr>
        <w:t>des ménages</w:t>
      </w:r>
      <w:r w:rsidR="00494750">
        <w:rPr>
          <w:rFonts w:ascii="Times New Roman" w:hAnsi="Times New Roman" w:cs="Times New Roman"/>
          <w:color w:val="000000" w:themeColor="text1"/>
        </w:rPr>
        <w:t xml:space="preserve"> </w:t>
      </w:r>
      <w:r w:rsidR="005F72D8" w:rsidRPr="0032474D">
        <w:rPr>
          <w:rFonts w:ascii="Times New Roman" w:hAnsi="Times New Roman" w:cs="Times New Roman"/>
          <w:color w:val="000000" w:themeColor="text1"/>
        </w:rPr>
        <w:t>déclarent</w:t>
      </w:r>
      <w:r w:rsidR="00494750">
        <w:rPr>
          <w:rFonts w:ascii="Times New Roman" w:hAnsi="Times New Roman" w:cs="Times New Roman"/>
          <w:color w:val="000000" w:themeColor="text1"/>
        </w:rPr>
        <w:t xml:space="preserve"> </w:t>
      </w:r>
      <w:r w:rsidR="00A644C5" w:rsidRPr="0032474D">
        <w:rPr>
          <w:rFonts w:ascii="Times New Roman" w:hAnsi="Times New Roman" w:cs="Times New Roman"/>
          <w:color w:val="000000" w:themeColor="text1"/>
        </w:rPr>
        <w:t>que les prix des produits alimentaires ont augmenté</w:t>
      </w:r>
      <w:r w:rsidR="00494750">
        <w:rPr>
          <w:rFonts w:ascii="Times New Roman" w:hAnsi="Times New Roman" w:cs="Times New Roman"/>
          <w:color w:val="000000" w:themeColor="text1"/>
        </w:rPr>
        <w:t xml:space="preserve"> </w:t>
      </w:r>
      <w:r w:rsidR="00EA0137" w:rsidRPr="0032474D">
        <w:rPr>
          <w:rFonts w:ascii="Times New Roman" w:hAnsi="Times New Roman" w:cs="Times New Roman"/>
          <w:color w:val="000000" w:themeColor="text1"/>
        </w:rPr>
        <w:t xml:space="preserve">au cours des </w:t>
      </w:r>
      <w:r w:rsidR="00E009EE" w:rsidRPr="0032474D">
        <w:rPr>
          <w:rFonts w:ascii="Times New Roman" w:hAnsi="Times New Roman" w:cs="Times New Roman"/>
          <w:color w:val="000000" w:themeColor="text1"/>
        </w:rPr>
        <w:t>12 derniers mois</w:t>
      </w:r>
      <w:r w:rsidR="00494750">
        <w:rPr>
          <w:rFonts w:ascii="Times New Roman" w:hAnsi="Times New Roman" w:cs="Times New Roman"/>
          <w:color w:val="000000" w:themeColor="text1"/>
        </w:rPr>
        <w:t xml:space="preserve"> </w:t>
      </w:r>
      <w:r w:rsidR="00727BBA">
        <w:rPr>
          <w:rFonts w:ascii="Times New Roman" w:hAnsi="Times New Roman" w:cs="Times New Roman"/>
          <w:color w:val="000000" w:themeColor="text1"/>
        </w:rPr>
        <w:t>contre une proportion minime des ménages (</w:t>
      </w:r>
      <w:r w:rsidR="00727BBA" w:rsidRPr="0032474D">
        <w:rPr>
          <w:rFonts w:ascii="Times New Roman" w:hAnsi="Times New Roman" w:cs="Times New Roman"/>
          <w:color w:val="000000" w:themeColor="text1"/>
        </w:rPr>
        <w:t>0,</w:t>
      </w:r>
      <w:r w:rsidR="00C278CE">
        <w:rPr>
          <w:rFonts w:ascii="Times New Roman" w:hAnsi="Times New Roman" w:cs="Times New Roman"/>
          <w:color w:val="000000" w:themeColor="text1"/>
        </w:rPr>
        <w:t>8</w:t>
      </w:r>
      <w:r w:rsidR="00727BBA" w:rsidRPr="0032474D">
        <w:rPr>
          <w:rFonts w:ascii="Times New Roman" w:hAnsi="Times New Roman" w:cs="Times New Roman"/>
          <w:color w:val="000000" w:themeColor="text1"/>
        </w:rPr>
        <w:t>%</w:t>
      </w:r>
      <w:r w:rsidR="00727BBA">
        <w:rPr>
          <w:rFonts w:ascii="Times New Roman" w:hAnsi="Times New Roman" w:cs="Times New Roman"/>
          <w:color w:val="000000" w:themeColor="text1"/>
        </w:rPr>
        <w:t>)</w:t>
      </w:r>
      <w:r w:rsidR="00494750">
        <w:rPr>
          <w:rFonts w:ascii="Times New Roman" w:hAnsi="Times New Roman" w:cs="Times New Roman"/>
          <w:color w:val="000000" w:themeColor="text1"/>
        </w:rPr>
        <w:t xml:space="preserve"> </w:t>
      </w:r>
      <w:r w:rsidR="00727BBA">
        <w:rPr>
          <w:rFonts w:ascii="Times New Roman" w:hAnsi="Times New Roman" w:cs="Times New Roman"/>
          <w:color w:val="000000" w:themeColor="text1"/>
        </w:rPr>
        <w:t>qui</w:t>
      </w:r>
      <w:r w:rsidR="00494750">
        <w:rPr>
          <w:rFonts w:ascii="Times New Roman" w:hAnsi="Times New Roman" w:cs="Times New Roman"/>
          <w:color w:val="000000" w:themeColor="text1"/>
        </w:rPr>
        <w:t xml:space="preserve"> </w:t>
      </w:r>
      <w:r w:rsidR="005F72D8" w:rsidRPr="0032474D">
        <w:rPr>
          <w:rFonts w:ascii="Times New Roman" w:hAnsi="Times New Roman" w:cs="Times New Roman"/>
          <w:color w:val="000000" w:themeColor="text1"/>
        </w:rPr>
        <w:t>ressentent leur</w:t>
      </w:r>
      <w:r w:rsidR="00932455" w:rsidRPr="0032474D">
        <w:rPr>
          <w:rFonts w:ascii="Times New Roman" w:hAnsi="Times New Roman" w:cs="Times New Roman"/>
          <w:color w:val="000000" w:themeColor="text1"/>
        </w:rPr>
        <w:t xml:space="preserve"> diminution</w:t>
      </w:r>
      <w:r w:rsidR="00D77F27" w:rsidRPr="0032474D">
        <w:rPr>
          <w:rFonts w:ascii="Times New Roman" w:hAnsi="Times New Roman" w:cs="Times New Roman"/>
          <w:color w:val="000000" w:themeColor="text1"/>
        </w:rPr>
        <w:t xml:space="preserve">. </w:t>
      </w:r>
      <w:r w:rsidR="00EA79FB" w:rsidRPr="0032474D">
        <w:rPr>
          <w:rFonts w:ascii="Times New Roman" w:hAnsi="Times New Roman" w:cs="Times New Roman"/>
          <w:color w:val="000000" w:themeColor="text1"/>
        </w:rPr>
        <w:t>Le solde d’opinion</w:t>
      </w:r>
      <w:r w:rsidR="00494750">
        <w:rPr>
          <w:rFonts w:ascii="Times New Roman" w:hAnsi="Times New Roman" w:cs="Times New Roman"/>
          <w:color w:val="000000" w:themeColor="text1"/>
        </w:rPr>
        <w:t xml:space="preserve"> </w:t>
      </w:r>
      <w:r w:rsidR="00540BE7" w:rsidRPr="0032474D">
        <w:rPr>
          <w:rFonts w:ascii="Times New Roman" w:hAnsi="Times New Roman" w:cs="Times New Roman"/>
          <w:color w:val="000000" w:themeColor="text1"/>
        </w:rPr>
        <w:t xml:space="preserve">est </w:t>
      </w:r>
      <w:r w:rsidR="00807B58" w:rsidRPr="0032474D">
        <w:rPr>
          <w:rFonts w:ascii="Times New Roman" w:hAnsi="Times New Roman" w:cs="Times New Roman"/>
          <w:color w:val="000000" w:themeColor="text1"/>
        </w:rPr>
        <w:t xml:space="preserve">ainsi </w:t>
      </w:r>
      <w:r w:rsidR="004153FC" w:rsidRPr="0032474D">
        <w:rPr>
          <w:rFonts w:ascii="Times New Roman" w:hAnsi="Times New Roman" w:cs="Times New Roman"/>
          <w:color w:val="000000" w:themeColor="text1"/>
        </w:rPr>
        <w:t xml:space="preserve">resté </w:t>
      </w:r>
      <w:r w:rsidR="00540BE7" w:rsidRPr="0032474D">
        <w:rPr>
          <w:rFonts w:ascii="Times New Roman" w:hAnsi="Times New Roman" w:cs="Times New Roman"/>
          <w:color w:val="000000" w:themeColor="text1"/>
        </w:rPr>
        <w:t xml:space="preserve">négatif, </w:t>
      </w:r>
      <w:r w:rsidR="00EA79FB" w:rsidRPr="0032474D">
        <w:rPr>
          <w:rFonts w:ascii="Times New Roman" w:hAnsi="Times New Roman" w:cs="Times New Roman"/>
          <w:color w:val="000000" w:themeColor="text1"/>
        </w:rPr>
        <w:t xml:space="preserve">à moins </w:t>
      </w:r>
      <w:r w:rsidR="00C278CE">
        <w:rPr>
          <w:rFonts w:ascii="Times New Roman" w:hAnsi="Times New Roman" w:cs="Times New Roman"/>
          <w:color w:val="000000" w:themeColor="text1"/>
        </w:rPr>
        <w:t>67,6</w:t>
      </w:r>
      <w:r w:rsidR="00494750">
        <w:rPr>
          <w:rFonts w:ascii="Times New Roman" w:hAnsi="Times New Roman" w:cs="Times New Roman"/>
          <w:color w:val="000000" w:themeColor="text1"/>
        </w:rPr>
        <w:t xml:space="preserve"> </w:t>
      </w:r>
      <w:r w:rsidR="00EA79FB" w:rsidRPr="0032474D">
        <w:rPr>
          <w:rFonts w:ascii="Times New Roman" w:hAnsi="Times New Roman" w:cs="Times New Roman"/>
          <w:color w:val="000000" w:themeColor="text1"/>
        </w:rPr>
        <w:t xml:space="preserve">points, après avoir été </w:t>
      </w:r>
      <w:r w:rsidR="00B633E3" w:rsidRPr="0032474D">
        <w:rPr>
          <w:rFonts w:ascii="Times New Roman" w:hAnsi="Times New Roman" w:cs="Times New Roman"/>
          <w:color w:val="000000" w:themeColor="text1"/>
        </w:rPr>
        <w:t>de</w:t>
      </w:r>
      <w:r w:rsidR="00EA79FB" w:rsidRPr="0032474D">
        <w:rPr>
          <w:rFonts w:ascii="Times New Roman" w:hAnsi="Times New Roman" w:cs="Times New Roman"/>
          <w:color w:val="000000" w:themeColor="text1"/>
        </w:rPr>
        <w:t xml:space="preserve"> moins </w:t>
      </w:r>
      <w:r w:rsidR="00C278CE" w:rsidRPr="0032474D">
        <w:rPr>
          <w:rFonts w:ascii="Times New Roman" w:hAnsi="Times New Roman" w:cs="Times New Roman"/>
          <w:color w:val="000000" w:themeColor="text1"/>
        </w:rPr>
        <w:t>8</w:t>
      </w:r>
      <w:r w:rsidR="00494750">
        <w:rPr>
          <w:rFonts w:ascii="Times New Roman" w:hAnsi="Times New Roman" w:cs="Times New Roman"/>
          <w:color w:val="000000" w:themeColor="text1"/>
        </w:rPr>
        <w:t>2</w:t>
      </w:r>
      <w:r w:rsidR="00C278CE">
        <w:rPr>
          <w:rFonts w:ascii="Times New Roman" w:hAnsi="Times New Roman" w:cs="Times New Roman"/>
          <w:color w:val="000000" w:themeColor="text1"/>
        </w:rPr>
        <w:t>,</w:t>
      </w:r>
      <w:r w:rsidR="00494750">
        <w:rPr>
          <w:rFonts w:ascii="Times New Roman" w:hAnsi="Times New Roman" w:cs="Times New Roman"/>
          <w:color w:val="000000" w:themeColor="text1"/>
        </w:rPr>
        <w:t xml:space="preserve">8 </w:t>
      </w:r>
      <w:r w:rsidR="00EA79FB" w:rsidRPr="0032474D">
        <w:rPr>
          <w:rFonts w:ascii="Times New Roman" w:hAnsi="Times New Roman" w:cs="Times New Roman"/>
          <w:color w:val="000000" w:themeColor="text1"/>
        </w:rPr>
        <w:t xml:space="preserve">points le trimestre précédent et </w:t>
      </w:r>
      <w:r w:rsidR="00B633E3" w:rsidRPr="0032474D">
        <w:rPr>
          <w:rFonts w:ascii="Times New Roman" w:hAnsi="Times New Roman" w:cs="Times New Roman"/>
          <w:color w:val="000000" w:themeColor="text1"/>
        </w:rPr>
        <w:t>de</w:t>
      </w:r>
      <w:r w:rsidR="00146EDA" w:rsidRPr="0032474D">
        <w:rPr>
          <w:rFonts w:ascii="Times New Roman" w:hAnsi="Times New Roman" w:cs="Times New Roman"/>
          <w:color w:val="000000" w:themeColor="text1"/>
        </w:rPr>
        <w:t xml:space="preserve"> moins </w:t>
      </w:r>
      <w:r w:rsidR="00C96AEA">
        <w:rPr>
          <w:rFonts w:ascii="Times New Roman" w:hAnsi="Times New Roman" w:cs="Times New Roman"/>
          <w:color w:val="000000" w:themeColor="text1"/>
        </w:rPr>
        <w:t>88,</w:t>
      </w:r>
      <w:r w:rsidR="00494750">
        <w:rPr>
          <w:rFonts w:ascii="Times New Roman" w:hAnsi="Times New Roman" w:cs="Times New Roman"/>
          <w:color w:val="000000" w:themeColor="text1"/>
        </w:rPr>
        <w:t xml:space="preserve">9 </w:t>
      </w:r>
      <w:r w:rsidR="00EA79FB" w:rsidRPr="0032474D">
        <w:rPr>
          <w:rFonts w:ascii="Times New Roman" w:hAnsi="Times New Roman" w:cs="Times New Roman"/>
          <w:color w:val="000000" w:themeColor="text1"/>
        </w:rPr>
        <w:t>points une année auparavant.</w:t>
      </w:r>
    </w:p>
    <w:p w:rsidR="00DF62C2" w:rsidRDefault="004153FC" w:rsidP="00C278CE">
      <w:pPr>
        <w:spacing w:before="240"/>
        <w:jc w:val="both"/>
        <w:rPr>
          <w:rFonts w:ascii="Times New Roman" w:hAnsi="Times New Roman" w:cs="Times New Roman"/>
          <w:color w:val="000000" w:themeColor="text1"/>
        </w:rPr>
      </w:pPr>
      <w:r w:rsidRPr="0032474D">
        <w:rPr>
          <w:rFonts w:ascii="Times New Roman" w:hAnsi="Times New Roman" w:cs="Times New Roman"/>
          <w:color w:val="000000" w:themeColor="text1"/>
        </w:rPr>
        <w:t xml:space="preserve">Au cours des 12 prochains mois, </w:t>
      </w:r>
      <w:r w:rsidR="00B633E3" w:rsidRPr="0032474D">
        <w:rPr>
          <w:rFonts w:ascii="Times New Roman" w:hAnsi="Times New Roman" w:cs="Times New Roman"/>
          <w:color w:val="000000" w:themeColor="text1"/>
        </w:rPr>
        <w:t>l</w:t>
      </w:r>
      <w:r w:rsidRPr="0032474D">
        <w:rPr>
          <w:rFonts w:ascii="Times New Roman" w:hAnsi="Times New Roman" w:cs="Times New Roman"/>
          <w:color w:val="000000" w:themeColor="text1"/>
        </w:rPr>
        <w:t xml:space="preserve">es prix </w:t>
      </w:r>
      <w:r w:rsidR="00B633E3" w:rsidRPr="0032474D">
        <w:rPr>
          <w:rFonts w:ascii="Times New Roman" w:hAnsi="Times New Roman" w:cs="Times New Roman"/>
          <w:color w:val="000000" w:themeColor="text1"/>
        </w:rPr>
        <w:t xml:space="preserve">des produits alimentaires </w:t>
      </w:r>
      <w:r w:rsidRPr="0032474D">
        <w:rPr>
          <w:rFonts w:ascii="Times New Roman" w:hAnsi="Times New Roman" w:cs="Times New Roman"/>
          <w:color w:val="000000" w:themeColor="text1"/>
        </w:rPr>
        <w:t xml:space="preserve">devraient continuer à augmenter selon </w:t>
      </w:r>
      <w:r w:rsidR="00C278CE">
        <w:rPr>
          <w:rFonts w:ascii="Times New Roman" w:hAnsi="Times New Roman" w:cs="Times New Roman"/>
          <w:color w:val="000000" w:themeColor="text1"/>
        </w:rPr>
        <w:t>69</w:t>
      </w:r>
      <w:r w:rsidR="00C96AEA">
        <w:rPr>
          <w:rFonts w:ascii="Times New Roman" w:hAnsi="Times New Roman" w:cs="Times New Roman"/>
          <w:color w:val="000000" w:themeColor="text1"/>
        </w:rPr>
        <w:t>,</w:t>
      </w:r>
      <w:r w:rsidR="00C278CE">
        <w:rPr>
          <w:rFonts w:ascii="Times New Roman" w:hAnsi="Times New Roman" w:cs="Times New Roman"/>
          <w:color w:val="000000" w:themeColor="text1"/>
        </w:rPr>
        <w:t>9</w:t>
      </w:r>
      <w:r w:rsidR="00F77135" w:rsidRPr="0032474D">
        <w:rPr>
          <w:rFonts w:ascii="Times New Roman" w:hAnsi="Times New Roman" w:cs="Times New Roman"/>
          <w:color w:val="000000" w:themeColor="text1"/>
        </w:rPr>
        <w:t xml:space="preserve">% </w:t>
      </w:r>
      <w:r w:rsidR="002A7E5D" w:rsidRPr="0032474D">
        <w:rPr>
          <w:rFonts w:ascii="Times New Roman" w:hAnsi="Times New Roman" w:cs="Times New Roman"/>
          <w:color w:val="000000" w:themeColor="text1"/>
        </w:rPr>
        <w:t>des ménages</w:t>
      </w:r>
      <w:r w:rsidR="00494750">
        <w:rPr>
          <w:rFonts w:ascii="Times New Roman" w:hAnsi="Times New Roman" w:cs="Times New Roman"/>
          <w:color w:val="000000" w:themeColor="text1"/>
        </w:rPr>
        <w:t xml:space="preserve"> </w:t>
      </w:r>
      <w:r w:rsidR="000A6135">
        <w:rPr>
          <w:rFonts w:ascii="Times New Roman" w:hAnsi="Times New Roman" w:cs="Times New Roman"/>
          <w:color w:val="000000" w:themeColor="text1"/>
          <w:lang w:bidi="ar-DZ"/>
        </w:rPr>
        <w:t>contre</w:t>
      </w:r>
      <w:r w:rsidR="00C96AEA">
        <w:rPr>
          <w:rFonts w:ascii="Times New Roman" w:hAnsi="Times New Roman" w:cs="Times New Roman"/>
          <w:color w:val="000000" w:themeColor="text1"/>
        </w:rPr>
        <w:t xml:space="preserve"> 0,</w:t>
      </w:r>
      <w:r w:rsidR="00C278CE">
        <w:rPr>
          <w:rFonts w:ascii="Times New Roman" w:hAnsi="Times New Roman" w:cs="Times New Roman"/>
          <w:color w:val="000000" w:themeColor="text1"/>
        </w:rPr>
        <w:t>9</w:t>
      </w:r>
      <w:r w:rsidR="006E2B29">
        <w:rPr>
          <w:rFonts w:ascii="Times New Roman" w:hAnsi="Times New Roman" w:cs="Times New Roman"/>
          <w:color w:val="000000" w:themeColor="text1"/>
        </w:rPr>
        <w:t xml:space="preserve"> % </w:t>
      </w:r>
      <w:r w:rsidR="000A6135">
        <w:rPr>
          <w:rFonts w:ascii="Times New Roman" w:hAnsi="Times New Roman" w:cs="Times New Roman"/>
          <w:color w:val="000000" w:themeColor="text1"/>
        </w:rPr>
        <w:t xml:space="preserve">seulement qui </w:t>
      </w:r>
      <w:r w:rsidR="006E2B29">
        <w:rPr>
          <w:rFonts w:ascii="Times New Roman" w:hAnsi="Times New Roman" w:cs="Times New Roman"/>
          <w:color w:val="000000" w:themeColor="text1"/>
        </w:rPr>
        <w:t xml:space="preserve">s’attendent à leur baisse. </w:t>
      </w:r>
      <w:r w:rsidR="00540BE7" w:rsidRPr="0032474D">
        <w:rPr>
          <w:rFonts w:ascii="Times New Roman" w:hAnsi="Times New Roman" w:cs="Times New Roman"/>
          <w:color w:val="000000" w:themeColor="text1"/>
        </w:rPr>
        <w:t>L</w:t>
      </w:r>
      <w:r w:rsidR="00376AC0" w:rsidRPr="0032474D">
        <w:rPr>
          <w:rFonts w:ascii="Times New Roman" w:hAnsi="Times New Roman" w:cs="Times New Roman"/>
          <w:color w:val="000000" w:themeColor="text1"/>
        </w:rPr>
        <w:t xml:space="preserve">e </w:t>
      </w:r>
      <w:r w:rsidR="00EA0137" w:rsidRPr="0032474D">
        <w:rPr>
          <w:rFonts w:ascii="Times New Roman" w:hAnsi="Times New Roman" w:cs="Times New Roman"/>
          <w:color w:val="000000" w:themeColor="text1"/>
        </w:rPr>
        <w:t>solde d’opinion</w:t>
      </w:r>
      <w:r w:rsidR="00494750">
        <w:rPr>
          <w:rFonts w:ascii="Times New Roman" w:hAnsi="Times New Roman" w:cs="Times New Roman"/>
          <w:color w:val="000000" w:themeColor="text1"/>
        </w:rPr>
        <w:t xml:space="preserve"> </w:t>
      </w:r>
      <w:r w:rsidR="002A1529" w:rsidRPr="0032474D">
        <w:rPr>
          <w:rFonts w:ascii="Times New Roman" w:hAnsi="Times New Roman" w:cs="Times New Roman"/>
          <w:color w:val="000000" w:themeColor="text1"/>
        </w:rPr>
        <w:t xml:space="preserve">est </w:t>
      </w:r>
      <w:r w:rsidR="00807B58" w:rsidRPr="0032474D">
        <w:rPr>
          <w:rFonts w:ascii="Times New Roman" w:hAnsi="Times New Roman" w:cs="Times New Roman"/>
          <w:color w:val="000000" w:themeColor="text1"/>
        </w:rPr>
        <w:t xml:space="preserve">ainsi </w:t>
      </w:r>
      <w:r w:rsidR="002A1529" w:rsidRPr="0032474D">
        <w:rPr>
          <w:rFonts w:ascii="Times New Roman" w:hAnsi="Times New Roman" w:cs="Times New Roman"/>
          <w:color w:val="000000" w:themeColor="text1"/>
        </w:rPr>
        <w:t>resté</w:t>
      </w:r>
      <w:r w:rsidR="00494750">
        <w:rPr>
          <w:rFonts w:ascii="Times New Roman" w:hAnsi="Times New Roman" w:cs="Times New Roman"/>
          <w:color w:val="000000" w:themeColor="text1"/>
        </w:rPr>
        <w:t xml:space="preserve"> </w:t>
      </w:r>
      <w:r w:rsidR="002A1529" w:rsidRPr="0032474D">
        <w:rPr>
          <w:rFonts w:ascii="Times New Roman" w:hAnsi="Times New Roman" w:cs="Times New Roman"/>
          <w:color w:val="000000" w:themeColor="text1"/>
        </w:rPr>
        <w:t xml:space="preserve">négatif, </w:t>
      </w:r>
      <w:r w:rsidR="00580F2D" w:rsidRPr="0032474D">
        <w:rPr>
          <w:rFonts w:ascii="Times New Roman" w:hAnsi="Times New Roman" w:cs="Times New Roman"/>
          <w:color w:val="000000" w:themeColor="text1"/>
        </w:rPr>
        <w:t xml:space="preserve">se situant </w:t>
      </w:r>
      <w:r w:rsidR="002A1529" w:rsidRPr="0032474D">
        <w:rPr>
          <w:rFonts w:ascii="Times New Roman" w:hAnsi="Times New Roman" w:cs="Times New Roman"/>
          <w:color w:val="000000" w:themeColor="text1"/>
        </w:rPr>
        <w:t>à</w:t>
      </w:r>
      <w:r w:rsidR="00EA79FB" w:rsidRPr="0032474D">
        <w:rPr>
          <w:rFonts w:ascii="Times New Roman" w:hAnsi="Times New Roman" w:cs="Times New Roman"/>
          <w:color w:val="000000" w:themeColor="text1"/>
        </w:rPr>
        <w:t xml:space="preserve"> moins </w:t>
      </w:r>
      <w:r w:rsidR="00C278CE">
        <w:rPr>
          <w:rFonts w:ascii="Times New Roman" w:hAnsi="Times New Roman" w:cs="Times New Roman"/>
          <w:color w:val="000000" w:themeColor="text1"/>
        </w:rPr>
        <w:t xml:space="preserve">69,0 </w:t>
      </w:r>
      <w:r w:rsidR="00511BC9" w:rsidRPr="0032474D">
        <w:rPr>
          <w:rFonts w:ascii="Times New Roman" w:hAnsi="Times New Roman" w:cs="Times New Roman"/>
          <w:color w:val="000000" w:themeColor="text1"/>
        </w:rPr>
        <w:t>points</w:t>
      </w:r>
      <w:r w:rsidR="00540BE7" w:rsidRPr="0032474D">
        <w:rPr>
          <w:rFonts w:ascii="Times New Roman" w:hAnsi="Times New Roman" w:cs="Times New Roman"/>
          <w:color w:val="000000" w:themeColor="text1"/>
        </w:rPr>
        <w:t xml:space="preserve">, </w:t>
      </w:r>
      <w:r w:rsidR="00E1790A" w:rsidRPr="0032474D">
        <w:rPr>
          <w:rFonts w:ascii="Times New Roman" w:hAnsi="Times New Roman" w:cs="Times New Roman"/>
          <w:color w:val="000000" w:themeColor="text1"/>
        </w:rPr>
        <w:t>au lieu de</w:t>
      </w:r>
      <w:r w:rsidR="00540BE7" w:rsidRPr="0032474D">
        <w:rPr>
          <w:rFonts w:ascii="Times New Roman" w:hAnsi="Times New Roman" w:cs="Times New Roman"/>
          <w:color w:val="000000" w:themeColor="text1"/>
        </w:rPr>
        <w:t xml:space="preserve"> moins </w:t>
      </w:r>
      <w:r w:rsidR="00C278CE">
        <w:rPr>
          <w:rFonts w:ascii="Times New Roman" w:hAnsi="Times New Roman" w:cs="Times New Roman"/>
          <w:color w:val="000000" w:themeColor="text1"/>
        </w:rPr>
        <w:t>82,6</w:t>
      </w:r>
      <w:r w:rsidR="00494750">
        <w:rPr>
          <w:rFonts w:ascii="Times New Roman" w:hAnsi="Times New Roman" w:cs="Times New Roman"/>
          <w:color w:val="000000" w:themeColor="text1"/>
        </w:rPr>
        <w:t xml:space="preserve"> </w:t>
      </w:r>
      <w:r w:rsidR="00540BE7" w:rsidRPr="0032474D">
        <w:rPr>
          <w:rFonts w:ascii="Times New Roman" w:hAnsi="Times New Roman" w:cs="Times New Roman"/>
          <w:color w:val="000000" w:themeColor="text1"/>
        </w:rPr>
        <w:t>points enregistré</w:t>
      </w:r>
      <w:r w:rsidRPr="0032474D">
        <w:rPr>
          <w:rFonts w:ascii="Times New Roman" w:hAnsi="Times New Roman" w:cs="Times New Roman"/>
          <w:color w:val="000000" w:themeColor="text1"/>
        </w:rPr>
        <w:t>s</w:t>
      </w:r>
      <w:r w:rsidR="00494750">
        <w:rPr>
          <w:rFonts w:ascii="Times New Roman" w:hAnsi="Times New Roman" w:cs="Times New Roman"/>
          <w:color w:val="000000" w:themeColor="text1"/>
        </w:rPr>
        <w:t xml:space="preserve"> </w:t>
      </w:r>
      <w:r w:rsidR="00E1790A" w:rsidRPr="0032474D">
        <w:rPr>
          <w:rFonts w:ascii="Times New Roman" w:hAnsi="Times New Roman" w:cs="Times New Roman"/>
          <w:color w:val="000000" w:themeColor="text1"/>
        </w:rPr>
        <w:t>un trimestre</w:t>
      </w:r>
      <w:r w:rsidR="00494750">
        <w:rPr>
          <w:rFonts w:ascii="Times New Roman" w:hAnsi="Times New Roman" w:cs="Times New Roman"/>
          <w:color w:val="000000" w:themeColor="text1"/>
        </w:rPr>
        <w:t xml:space="preserve"> </w:t>
      </w:r>
      <w:r w:rsidR="00FA52FF" w:rsidRPr="0032474D">
        <w:rPr>
          <w:rFonts w:ascii="Times New Roman" w:hAnsi="Times New Roman" w:cs="Times New Roman"/>
          <w:color w:val="000000" w:themeColor="text1"/>
        </w:rPr>
        <w:t>auparavant</w:t>
      </w:r>
      <w:r w:rsidR="00CB5DC1" w:rsidRPr="0032474D">
        <w:rPr>
          <w:rFonts w:ascii="Times New Roman" w:hAnsi="Times New Roman" w:cs="Times New Roman"/>
          <w:color w:val="000000" w:themeColor="text1"/>
        </w:rPr>
        <w:t xml:space="preserve"> et moins </w:t>
      </w:r>
      <w:r w:rsidR="008A1F00">
        <w:rPr>
          <w:rFonts w:ascii="Times New Roman" w:hAnsi="Times New Roman" w:cs="Times New Roman"/>
          <w:color w:val="000000" w:themeColor="text1"/>
        </w:rPr>
        <w:t>8</w:t>
      </w:r>
      <w:r w:rsidR="00C278CE">
        <w:rPr>
          <w:rFonts w:ascii="Times New Roman" w:hAnsi="Times New Roman" w:cs="Times New Roman"/>
          <w:color w:val="000000" w:themeColor="text1"/>
        </w:rPr>
        <w:t>6</w:t>
      </w:r>
      <w:r w:rsidR="008A1F00">
        <w:rPr>
          <w:rFonts w:ascii="Times New Roman" w:hAnsi="Times New Roman" w:cs="Times New Roman"/>
          <w:color w:val="000000" w:themeColor="text1"/>
        </w:rPr>
        <w:t>,</w:t>
      </w:r>
      <w:r w:rsidR="006E6238">
        <w:rPr>
          <w:rFonts w:ascii="Times New Roman" w:hAnsi="Times New Roman" w:cs="Times New Roman"/>
          <w:color w:val="000000" w:themeColor="text1"/>
        </w:rPr>
        <w:t>5</w:t>
      </w:r>
      <w:r w:rsidR="00CB5DC1" w:rsidRPr="0032474D">
        <w:rPr>
          <w:rFonts w:ascii="Times New Roman" w:hAnsi="Times New Roman" w:cs="Times New Roman"/>
          <w:color w:val="000000" w:themeColor="text1"/>
        </w:rPr>
        <w:t xml:space="preserve"> points une année passée</w:t>
      </w:r>
      <w:r w:rsidR="00540BE7" w:rsidRPr="0032474D">
        <w:rPr>
          <w:rFonts w:ascii="Times New Roman" w:hAnsi="Times New Roman" w:cs="Times New Roman"/>
          <w:color w:val="000000" w:themeColor="text1"/>
        </w:rPr>
        <w:t>.</w:t>
      </w:r>
    </w:p>
    <w:p w:rsidR="00527651" w:rsidRDefault="00527651" w:rsidP="001D2B80">
      <w:pPr>
        <w:spacing w:before="240"/>
        <w:jc w:val="both"/>
        <w:rPr>
          <w:rFonts w:ascii="Times New Roman" w:hAnsi="Times New Roman" w:cs="Times New Roman"/>
          <w:color w:val="000000" w:themeColor="text1"/>
        </w:rPr>
      </w:pPr>
    </w:p>
    <w:p w:rsidR="00394384" w:rsidRPr="00A374B1" w:rsidRDefault="00346ED5" w:rsidP="00374E6D">
      <w:pPr>
        <w:widowControl/>
        <w:autoSpaceDE/>
        <w:autoSpaceDN/>
        <w:adjustRightInd/>
        <w:spacing w:before="100" w:after="240" w:line="276" w:lineRule="auto"/>
        <w:jc w:val="center"/>
        <w:rPr>
          <w:rFonts w:ascii="Times New Roman" w:hAnsi="Times New Roman" w:cs="Times New Roman"/>
          <w:b/>
          <w:bCs/>
        </w:rPr>
      </w:pPr>
      <w:r>
        <w:rPr>
          <w:noProof/>
        </w:rPr>
        <w:drawing>
          <wp:inline distT="0" distB="0" distL="0" distR="0">
            <wp:extent cx="6419215" cy="3657600"/>
            <wp:effectExtent l="0" t="0" r="635" b="0"/>
            <wp:docPr id="12" name="Chart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B67B3D" w:rsidRDefault="00B67B3D" w:rsidP="00C94453">
      <w:pPr>
        <w:tabs>
          <w:tab w:val="left" w:pos="9214"/>
        </w:tabs>
        <w:spacing w:line="360" w:lineRule="auto"/>
        <w:rPr>
          <w:rFonts w:ascii="Times New Roman" w:hAnsi="Times New Roman" w:cs="Times New Roman"/>
          <w:color w:val="000000" w:themeColor="text1"/>
        </w:rPr>
      </w:pPr>
    </w:p>
    <w:p w:rsidR="00F80338" w:rsidRDefault="00F80338" w:rsidP="00EC6CF7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p w:rsidR="003A0725" w:rsidRPr="00C706A5" w:rsidRDefault="00C72318" w:rsidP="00EC6CF7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C706A5">
        <w:rPr>
          <w:rFonts w:ascii="Times New Roman" w:hAnsi="Times New Roman" w:cs="Times New Roman"/>
          <w:color w:val="000000" w:themeColor="text1"/>
        </w:rPr>
        <w:t>Ci-joint  les détails des différents indicateurs et un rappel des principaux concepts.</w:t>
      </w:r>
    </w:p>
    <w:tbl>
      <w:tblPr>
        <w:tblpPr w:leftFromText="141" w:rightFromText="141" w:vertAnchor="text" w:horzAnchor="margin" w:tblpY="289"/>
        <w:tblW w:w="99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910"/>
      </w:tblGrid>
      <w:tr w:rsidR="003A0725" w:rsidRPr="00C706A5" w:rsidTr="00287AFB">
        <w:trPr>
          <w:trHeight w:val="8046"/>
        </w:trPr>
        <w:tc>
          <w:tcPr>
            <w:tcW w:w="9910" w:type="dxa"/>
          </w:tcPr>
          <w:p w:rsidR="000013E4" w:rsidRDefault="000013E4" w:rsidP="000013E4">
            <w:pPr>
              <w:ind w:left="36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  <w:rtl/>
              </w:rPr>
            </w:pPr>
          </w:p>
          <w:p w:rsidR="00C51B7C" w:rsidRDefault="00C51B7C" w:rsidP="000013E4">
            <w:pPr>
              <w:ind w:left="36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  <w:rtl/>
              </w:rPr>
            </w:pPr>
            <w:r w:rsidRPr="000013E4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Les évolutions des composantes de l’ICM et des autres indicateurs de l’enquête, illustrées dans les graphiques, sont exprimées en termes de soldes d'opinions</w:t>
            </w:r>
          </w:p>
          <w:p w:rsidR="000013E4" w:rsidRPr="000013E4" w:rsidRDefault="000013E4" w:rsidP="000013E4">
            <w:pPr>
              <w:ind w:left="36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</w:p>
          <w:p w:rsidR="003A0725" w:rsidRPr="00C706A5" w:rsidRDefault="003A0725" w:rsidP="003C1653">
            <w:pPr>
              <w:spacing w:line="276" w:lineRule="auto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Times New Roman" w:hAnsi="Times New Roman" w:cs="Times New Roman"/>
                <w:color w:val="000000" w:themeColor="text1"/>
              </w:rPr>
              <w:br w:type="page"/>
            </w: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Rappelons</w:t>
            </w:r>
            <w:r w:rsidR="00C51B7C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, par ailleurs, </w:t>
            </w: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que :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1"/>
              </w:numPr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les questions abordées sont qualitatives à 3 modalités (amélioratio</w:t>
            </w:r>
            <w:r w:rsidR="00D72CF7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n, stagnation et</w:t>
            </w: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détérioration). Les  évolutions se réfèrent à une période de 12 mois. Les résultats sont présentés sous forme  de soldes (différence entre les pourcentages des réponses « amélioration » et  des réponses «détérioration»). Le niveau des soldes n’est pas directement interprétable, c’est leur évolution qui est analysée. 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1"/>
              </w:numPr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L’Indice de Confiance des Ménages (ICM) est calculé sur la base de sept indicateurs, quatre relatifs à la situation générale et trois à la situation propre du ménage :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évolution  passée du niveau de vie ;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perspective d'évolution du niveau de vie ;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perspective d'évolution du nombre de chômeurs ;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opportunité d'achat de biens durables;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situation financière actuelle des ménages ;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évolution  passée de la situation financière des ménages ;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évolution  future de la situation financière des ménages.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2"/>
              </w:numPr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L’ICM est la  moyenne arithmétique simple des  soldes des 7 indicateurs, augmentée de 100, sa valeur varie ainsi de 0 à 200.</w:t>
            </w:r>
          </w:p>
          <w:p w:rsidR="003A0725" w:rsidRDefault="003A0725" w:rsidP="00B67B3D">
            <w:pPr>
              <w:pStyle w:val="Paragraphedeliste"/>
              <w:numPr>
                <w:ilvl w:val="0"/>
                <w:numId w:val="2"/>
              </w:numPr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DA3867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Des tests statistiques de Fisher </w:t>
            </w:r>
            <w:r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sur l</w:t>
            </w:r>
            <w:r w:rsidRPr="0074699A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a série de l’indice de confiance des ménages</w:t>
            </w:r>
            <w:r w:rsidR="00B67B3D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durant</w:t>
            </w:r>
            <w:r w:rsidRPr="0074699A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la période allant de 2008 à 201</w:t>
            </w:r>
            <w:r w:rsidR="00B67B3D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8</w:t>
            </w:r>
            <w:r w:rsidRPr="0074699A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, ont confirmé l’absence des variations saisonnières stables et mobiles</w:t>
            </w:r>
            <w:r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.</w:t>
            </w:r>
          </w:p>
          <w:p w:rsidR="003A0725" w:rsidRPr="00C51B7C" w:rsidRDefault="003A0725" w:rsidP="00C51B7C">
            <w:pPr>
              <w:ind w:left="360"/>
              <w:jc w:val="both"/>
              <w:rPr>
                <w:rFonts w:ascii="Book Antiqua" w:hAnsi="Book Antiqua" w:cs="Times New Roman"/>
                <w:b/>
                <w:bCs/>
                <w:color w:val="000000" w:themeColor="text1"/>
              </w:rPr>
            </w:pPr>
            <w:r w:rsidRPr="00C51B7C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Pour plus d’informations sur les aspects méthodologiques de cette enquête, consulter le site web du HCP au  </w:t>
            </w:r>
            <w:hyperlink r:id="rId14" w:history="1">
              <w:r w:rsidRPr="00C51B7C">
                <w:rPr>
                  <w:rStyle w:val="Lienhypertexte"/>
                  <w:rFonts w:ascii="Book Antiqua" w:hAnsi="Book Antiqua" w:cs="Times New Roman"/>
                  <w:color w:val="000000" w:themeColor="text1"/>
                  <w:sz w:val="20"/>
                  <w:szCs w:val="20"/>
                </w:rPr>
                <w:t>www.hcp.ma</w:t>
              </w:r>
            </w:hyperlink>
          </w:p>
        </w:tc>
      </w:tr>
    </w:tbl>
    <w:p w:rsidR="001F5970" w:rsidRDefault="001F5970" w:rsidP="003A60E0"/>
    <w:p w:rsidR="001F5970" w:rsidRPr="00C706A5" w:rsidRDefault="001F5970" w:rsidP="00A71494">
      <w:pPr>
        <w:spacing w:line="360" w:lineRule="auto"/>
        <w:ind w:left="-142"/>
        <w:rPr>
          <w:rFonts w:ascii="Times New Roman" w:hAnsi="Times New Roman" w:cs="Times New Roman"/>
          <w:b/>
          <w:color w:val="000000" w:themeColor="text1"/>
          <w:sz w:val="28"/>
          <w:szCs w:val="28"/>
        </w:rPr>
        <w:sectPr w:rsidR="001F5970" w:rsidRPr="00C706A5" w:rsidSect="005B1014">
          <w:footerReference w:type="default" r:id="rId15"/>
          <w:pgSz w:w="11906" w:h="16838" w:code="9"/>
          <w:pgMar w:top="1134" w:right="720" w:bottom="720" w:left="1077" w:header="709" w:footer="709" w:gutter="0"/>
          <w:cols w:space="708"/>
          <w:docGrid w:linePitch="360"/>
        </w:sectPr>
      </w:pPr>
    </w:p>
    <w:p w:rsidR="00FD508C" w:rsidRDefault="00F80338" w:rsidP="00F80338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lastRenderedPageBreak/>
        <w:t>Evolution</w:t>
      </w:r>
      <w:r w:rsidR="005D5B33" w:rsidRPr="00980D01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 de l’I</w:t>
      </w:r>
      <w:r w:rsidR="00C35BF2" w:rsidRPr="00980D01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ndice de </w:t>
      </w:r>
      <w:r w:rsidR="005D5B33" w:rsidRPr="00980D01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C</w:t>
      </w:r>
      <w:r w:rsidR="00C35BF2" w:rsidRPr="00980D01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onfiance des </w:t>
      </w:r>
      <w:r w:rsidR="005D5B33" w:rsidRPr="00980D01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M</w:t>
      </w:r>
      <w:r w:rsidR="00C35BF2" w:rsidRPr="00980D01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énages  (ICM) </w:t>
      </w:r>
      <w:r w:rsidR="005D5B33" w:rsidRPr="00980D01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et de ses composantes</w:t>
      </w:r>
    </w:p>
    <w:tbl>
      <w:tblPr>
        <w:tblW w:w="16305" w:type="dxa"/>
        <w:tblInd w:w="-572" w:type="dxa"/>
        <w:tblCellMar>
          <w:left w:w="70" w:type="dxa"/>
          <w:right w:w="70" w:type="dxa"/>
        </w:tblCellMar>
        <w:tblLook w:val="04A0"/>
      </w:tblPr>
      <w:tblGrid>
        <w:gridCol w:w="1125"/>
        <w:gridCol w:w="627"/>
        <w:gridCol w:w="673"/>
        <w:gridCol w:w="673"/>
        <w:gridCol w:w="672"/>
        <w:gridCol w:w="807"/>
        <w:gridCol w:w="673"/>
        <w:gridCol w:w="806"/>
        <w:gridCol w:w="807"/>
        <w:gridCol w:w="806"/>
        <w:gridCol w:w="673"/>
        <w:gridCol w:w="806"/>
        <w:gridCol w:w="673"/>
        <w:gridCol w:w="807"/>
        <w:gridCol w:w="712"/>
        <w:gridCol w:w="711"/>
        <w:gridCol w:w="673"/>
        <w:gridCol w:w="556"/>
        <w:gridCol w:w="556"/>
        <w:gridCol w:w="556"/>
        <w:gridCol w:w="556"/>
        <w:gridCol w:w="10"/>
        <w:gridCol w:w="664"/>
        <w:gridCol w:w="10"/>
        <w:gridCol w:w="664"/>
        <w:gridCol w:w="9"/>
      </w:tblGrid>
      <w:tr w:rsidR="00F95B42" w:rsidRPr="005C3832" w:rsidTr="00F95B42">
        <w:trPr>
          <w:gridAfter w:val="1"/>
          <w:wAfter w:w="9" w:type="dxa"/>
          <w:trHeight w:val="151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479" w:rsidRPr="005C3832" w:rsidRDefault="002C1479" w:rsidP="00FD508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1479" w:rsidRPr="005C3832" w:rsidRDefault="002C1479" w:rsidP="00D90C0D">
            <w:pPr>
              <w:widowControl/>
              <w:autoSpaceDE/>
              <w:autoSpaceDN/>
              <w:adjustRightInd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T1/15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1479" w:rsidRPr="005C3832" w:rsidRDefault="002C1479" w:rsidP="00D90C0D">
            <w:pPr>
              <w:widowControl/>
              <w:autoSpaceDE/>
              <w:autoSpaceDN/>
              <w:adjustRightInd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T2/15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1479" w:rsidRPr="005C3832" w:rsidRDefault="002C1479" w:rsidP="00D90C0D">
            <w:pPr>
              <w:widowControl/>
              <w:autoSpaceDE/>
              <w:autoSpaceDN/>
              <w:adjustRightInd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T3/15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1479" w:rsidRPr="005C3832" w:rsidRDefault="002C1479" w:rsidP="00D90C0D">
            <w:pPr>
              <w:widowControl/>
              <w:autoSpaceDE/>
              <w:autoSpaceDN/>
              <w:adjustRightInd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T4/15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1479" w:rsidRPr="005C3832" w:rsidRDefault="002C1479" w:rsidP="00D90C0D">
            <w:pPr>
              <w:widowControl/>
              <w:autoSpaceDE/>
              <w:autoSpaceDN/>
              <w:adjustRightInd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T1/16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1479" w:rsidRPr="005C3832" w:rsidRDefault="002C1479" w:rsidP="00D90C0D">
            <w:pPr>
              <w:widowControl/>
              <w:autoSpaceDE/>
              <w:autoSpaceDN/>
              <w:adjustRightInd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T2/16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1479" w:rsidRPr="005C3832" w:rsidRDefault="002C1479" w:rsidP="00D90C0D">
            <w:pPr>
              <w:widowControl/>
              <w:autoSpaceDE/>
              <w:autoSpaceDN/>
              <w:adjustRightInd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T3/16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1479" w:rsidRPr="005C3832" w:rsidRDefault="002C1479" w:rsidP="00D90C0D">
            <w:pPr>
              <w:widowControl/>
              <w:autoSpaceDE/>
              <w:autoSpaceDN/>
              <w:adjustRightInd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T4/16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1479" w:rsidRPr="005C3832" w:rsidRDefault="002C1479" w:rsidP="00D90C0D">
            <w:pPr>
              <w:widowControl/>
              <w:autoSpaceDE/>
              <w:autoSpaceDN/>
              <w:adjustRightInd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T1/17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1479" w:rsidRPr="005C3832" w:rsidRDefault="002C1479" w:rsidP="00D90C0D">
            <w:pPr>
              <w:widowControl/>
              <w:autoSpaceDE/>
              <w:autoSpaceDN/>
              <w:adjustRightInd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T2/17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1479" w:rsidRPr="005C3832" w:rsidRDefault="002C1479" w:rsidP="00D90C0D">
            <w:pPr>
              <w:widowControl/>
              <w:autoSpaceDE/>
              <w:autoSpaceDN/>
              <w:adjustRightInd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T3/17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1479" w:rsidRPr="005C3832" w:rsidRDefault="002C1479" w:rsidP="00D90C0D">
            <w:pPr>
              <w:widowControl/>
              <w:autoSpaceDE/>
              <w:autoSpaceDN/>
              <w:adjustRightInd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T4/17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1479" w:rsidRPr="005C3832" w:rsidRDefault="002C1479" w:rsidP="00D90C0D">
            <w:pPr>
              <w:widowControl/>
              <w:autoSpaceDE/>
              <w:autoSpaceDN/>
              <w:adjustRightInd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T1/18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1479" w:rsidRPr="005C3832" w:rsidRDefault="002C1479" w:rsidP="00D90C0D">
            <w:pPr>
              <w:widowControl/>
              <w:autoSpaceDE/>
              <w:autoSpaceDN/>
              <w:adjustRightInd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T2/18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1479" w:rsidRPr="005C3832" w:rsidRDefault="002C1479" w:rsidP="00D90C0D">
            <w:pPr>
              <w:widowControl/>
              <w:autoSpaceDE/>
              <w:autoSpaceDN/>
              <w:adjustRightInd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T3/18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1479" w:rsidRPr="005C3832" w:rsidRDefault="002C1479" w:rsidP="00D90C0D">
            <w:pPr>
              <w:widowControl/>
              <w:autoSpaceDE/>
              <w:autoSpaceDN/>
              <w:adjustRightInd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T4/18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1479" w:rsidRPr="005C3832" w:rsidRDefault="002C1479" w:rsidP="00D90C0D">
            <w:pPr>
              <w:widowControl/>
              <w:autoSpaceDE/>
              <w:autoSpaceDN/>
              <w:adjustRightInd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T1/19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1479" w:rsidRPr="005C3832" w:rsidRDefault="002C1479" w:rsidP="00FD508C">
            <w:pPr>
              <w:widowControl/>
              <w:autoSpaceDE/>
              <w:autoSpaceDN/>
              <w:adjustRightInd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T2/19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1479" w:rsidRPr="005C3832" w:rsidRDefault="002C1479" w:rsidP="00FD508C">
            <w:pPr>
              <w:widowControl/>
              <w:autoSpaceDE/>
              <w:autoSpaceDN/>
              <w:adjustRightInd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T3/19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1479" w:rsidRPr="005C3832" w:rsidRDefault="002C1479" w:rsidP="00FD508C">
            <w:pPr>
              <w:widowControl/>
              <w:autoSpaceDE/>
              <w:autoSpaceDN/>
              <w:adjustRightInd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T4/19</w:t>
            </w:r>
          </w:p>
        </w:tc>
        <w:tc>
          <w:tcPr>
            <w:tcW w:w="6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C1479" w:rsidRDefault="002C1479" w:rsidP="002C1479">
            <w:pPr>
              <w:widowControl/>
              <w:autoSpaceDE/>
              <w:autoSpaceDN/>
              <w:adjustRightInd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T1/20</w:t>
            </w:r>
          </w:p>
        </w:tc>
        <w:tc>
          <w:tcPr>
            <w:tcW w:w="6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C1479" w:rsidRDefault="002C1479" w:rsidP="00FD508C">
            <w:pPr>
              <w:widowControl/>
              <w:autoSpaceDE/>
              <w:autoSpaceDN/>
              <w:adjustRightInd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T2/20</w:t>
            </w:r>
          </w:p>
        </w:tc>
      </w:tr>
      <w:tr w:rsidR="00F95B42" w:rsidRPr="005C3832" w:rsidTr="00F95B42">
        <w:trPr>
          <w:gridAfter w:val="1"/>
          <w:wAfter w:w="9" w:type="dxa"/>
          <w:trHeight w:val="363"/>
        </w:trPr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479" w:rsidRPr="005C3832" w:rsidRDefault="002C1479" w:rsidP="002C147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  <w:t>Indice de Confiance des Ménages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1479" w:rsidRPr="002C1479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2C1479"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  <w:t>73,7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1479" w:rsidRPr="002C1479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2C1479"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  <w:t>76,1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1479" w:rsidRPr="002C1479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2C1479"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  <w:t>76,3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1479" w:rsidRPr="002C1479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2C1479"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  <w:t>77,1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1479" w:rsidRPr="002C1479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2C1479"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  <w:t>71,6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1479" w:rsidRPr="002C1479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2C1479"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  <w:t>75,7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1479" w:rsidRPr="002C1479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2C1479"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  <w:t>73,8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1479" w:rsidRPr="002C1479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2C1479"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  <w:t>73,5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1479" w:rsidRPr="002C1479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2C1479"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  <w:t>78,2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1479" w:rsidRPr="002C1479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2C1479"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  <w:t>85,8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1479" w:rsidRPr="002C1479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2C1479"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  <w:t>85,5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1479" w:rsidRPr="002C1479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2C1479"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  <w:t>85,9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1479" w:rsidRPr="002C1479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C147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87,3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1479" w:rsidRPr="002C1479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C147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87,3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1479" w:rsidRPr="002C1479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C147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82,5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1479" w:rsidRPr="002C1479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C147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79,8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479" w:rsidRPr="002C1479" w:rsidRDefault="002C1479" w:rsidP="00F95B4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C1479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79,1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479" w:rsidRPr="002C1479" w:rsidRDefault="002C1479" w:rsidP="00F95B4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C1479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74,9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1479" w:rsidRPr="002C1479" w:rsidRDefault="002C1479" w:rsidP="00F95B4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C1479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74,8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1479" w:rsidRPr="002C1479" w:rsidRDefault="002C1479" w:rsidP="00F95B4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C1479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77,8</w:t>
            </w:r>
          </w:p>
        </w:tc>
        <w:tc>
          <w:tcPr>
            <w:tcW w:w="6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1479" w:rsidRPr="002C1479" w:rsidRDefault="002C1479" w:rsidP="00F95B4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C1479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75,7</w:t>
            </w:r>
          </w:p>
        </w:tc>
        <w:tc>
          <w:tcPr>
            <w:tcW w:w="6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1479" w:rsidRPr="002C1479" w:rsidRDefault="002C1479" w:rsidP="00F95B4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C1479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65,6</w:t>
            </w:r>
          </w:p>
        </w:tc>
      </w:tr>
      <w:tr w:rsidR="00F95B42" w:rsidRPr="005C3832" w:rsidTr="00F95B42">
        <w:trPr>
          <w:gridAfter w:val="1"/>
          <w:wAfter w:w="9" w:type="dxa"/>
          <w:trHeight w:val="513"/>
        </w:trPr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479" w:rsidRPr="005C3832" w:rsidRDefault="002C1479" w:rsidP="002C147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Perspective d'évolution du nombre de chômeur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479" w:rsidRPr="005C3832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-65,2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479" w:rsidRPr="005C3832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-67,1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479" w:rsidRPr="005C3832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-66,2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479" w:rsidRPr="005C3832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-64,1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479" w:rsidRPr="005C3832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-67,7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479" w:rsidRPr="005C3832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-69,0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479" w:rsidRPr="005C3832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-70,6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479" w:rsidRPr="005C3832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-66,8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479" w:rsidRPr="005C3832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-64,9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479" w:rsidRPr="005C3832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-54,3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479" w:rsidRPr="005C3832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-59,9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479" w:rsidRPr="005C3832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-58,5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479" w:rsidRPr="005C3832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-54,5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479" w:rsidRPr="005C3832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-61,7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479" w:rsidRPr="005C3832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-65,2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479" w:rsidRPr="005C3832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-70,0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479" w:rsidRPr="005C3832" w:rsidRDefault="002C1479" w:rsidP="00F95B42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/>
                <w:color w:val="000000"/>
                <w:sz w:val="17"/>
                <w:szCs w:val="17"/>
              </w:rPr>
              <w:t>-75,6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479" w:rsidRPr="00E4386C" w:rsidRDefault="002C1479" w:rsidP="00F95B42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E4386C">
              <w:rPr>
                <w:rFonts w:ascii="Calibri" w:hAnsi="Calibri"/>
                <w:color w:val="000000"/>
                <w:sz w:val="17"/>
                <w:szCs w:val="17"/>
              </w:rPr>
              <w:t>-76,9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1479" w:rsidRPr="001D55A9" w:rsidRDefault="002C1479" w:rsidP="00F95B42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1D55A9">
              <w:rPr>
                <w:rFonts w:ascii="Calibri" w:hAnsi="Calibri"/>
                <w:color w:val="000000"/>
                <w:sz w:val="17"/>
                <w:szCs w:val="17"/>
              </w:rPr>
              <w:t>-71,8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1479" w:rsidRPr="001D55A9" w:rsidRDefault="002C1479" w:rsidP="00F95B42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1D55A9">
              <w:rPr>
                <w:rFonts w:ascii="Calibri" w:hAnsi="Calibri"/>
                <w:color w:val="000000"/>
                <w:sz w:val="17"/>
                <w:szCs w:val="17"/>
              </w:rPr>
              <w:t>-71,6</w:t>
            </w:r>
          </w:p>
        </w:tc>
        <w:tc>
          <w:tcPr>
            <w:tcW w:w="6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1479" w:rsidRPr="00204574" w:rsidRDefault="002C1479" w:rsidP="00F95B42">
            <w:pPr>
              <w:jc w:val="center"/>
              <w:rPr>
                <w:rFonts w:ascii="Calibri" w:hAnsi="Calibri"/>
                <w:bCs/>
                <w:color w:val="000000"/>
                <w:sz w:val="17"/>
                <w:szCs w:val="17"/>
              </w:rPr>
            </w:pPr>
            <w:r w:rsidRPr="00204574">
              <w:rPr>
                <w:rFonts w:ascii="Calibri" w:hAnsi="Calibri"/>
                <w:bCs/>
                <w:color w:val="000000"/>
                <w:sz w:val="17"/>
                <w:szCs w:val="17"/>
              </w:rPr>
              <w:t>-70,8</w:t>
            </w:r>
          </w:p>
        </w:tc>
        <w:tc>
          <w:tcPr>
            <w:tcW w:w="6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1479" w:rsidRPr="002C1479" w:rsidRDefault="002C1479" w:rsidP="00F95B42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2C1479">
              <w:rPr>
                <w:rFonts w:ascii="Calibri" w:hAnsi="Calibri"/>
                <w:color w:val="000000"/>
                <w:sz w:val="17"/>
                <w:szCs w:val="17"/>
              </w:rPr>
              <w:t>-75,2</w:t>
            </w:r>
          </w:p>
        </w:tc>
      </w:tr>
      <w:tr w:rsidR="00F95B42" w:rsidRPr="005C3832" w:rsidTr="00F95B42">
        <w:trPr>
          <w:gridAfter w:val="1"/>
          <w:wAfter w:w="9" w:type="dxa"/>
          <w:trHeight w:val="386"/>
        </w:trPr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479" w:rsidRPr="005C3832" w:rsidRDefault="002C1479" w:rsidP="002C147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Evolution  passée du niveau de vie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479" w:rsidRPr="005C3832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-14,1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479" w:rsidRPr="005C3832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-12,8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479" w:rsidRPr="005C3832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-15,1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479" w:rsidRPr="005C3832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-13,8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479" w:rsidRPr="005C3832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-22,9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479" w:rsidRPr="005C3832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-15,2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479" w:rsidRPr="005C3832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-17,4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479" w:rsidRPr="005C3832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-17,5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479" w:rsidRPr="005C3832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-12,0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479" w:rsidRPr="005C3832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-8,2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479" w:rsidRPr="005C3832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-3,1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479" w:rsidRPr="005C3832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-3,8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479" w:rsidRPr="005C3832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-6,2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479" w:rsidRPr="005C3832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-5,4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479" w:rsidRPr="005C3832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-9,5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479" w:rsidRPr="005C3832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-13,3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479" w:rsidRPr="005C3832" w:rsidRDefault="002C1479" w:rsidP="00F95B42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/>
                <w:color w:val="000000"/>
                <w:sz w:val="17"/>
                <w:szCs w:val="17"/>
              </w:rPr>
              <w:t>-15,0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479" w:rsidRPr="00E4386C" w:rsidRDefault="002C1479" w:rsidP="00F95B42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E4386C">
              <w:rPr>
                <w:rFonts w:ascii="Calibri" w:hAnsi="Calibri"/>
                <w:color w:val="000000"/>
                <w:sz w:val="17"/>
                <w:szCs w:val="17"/>
              </w:rPr>
              <w:t>-25,4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1479" w:rsidRPr="001D55A9" w:rsidRDefault="002C1479" w:rsidP="00F95B42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1D55A9">
              <w:rPr>
                <w:rFonts w:ascii="Calibri" w:hAnsi="Calibri"/>
                <w:color w:val="000000"/>
                <w:sz w:val="17"/>
                <w:szCs w:val="17"/>
              </w:rPr>
              <w:t>-20,2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1479" w:rsidRPr="001D55A9" w:rsidRDefault="002C1479" w:rsidP="00F95B42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1D55A9">
              <w:rPr>
                <w:rFonts w:ascii="Calibri" w:hAnsi="Calibri"/>
                <w:color w:val="000000"/>
                <w:sz w:val="17"/>
                <w:szCs w:val="17"/>
              </w:rPr>
              <w:t>-20,0</w:t>
            </w:r>
          </w:p>
        </w:tc>
        <w:tc>
          <w:tcPr>
            <w:tcW w:w="6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1479" w:rsidRPr="00204574" w:rsidRDefault="002C1479" w:rsidP="00F95B42">
            <w:pPr>
              <w:jc w:val="center"/>
              <w:rPr>
                <w:rFonts w:ascii="Calibri" w:hAnsi="Calibri"/>
                <w:bCs/>
                <w:color w:val="000000"/>
                <w:sz w:val="17"/>
                <w:szCs w:val="17"/>
              </w:rPr>
            </w:pPr>
            <w:r w:rsidRPr="00204574">
              <w:rPr>
                <w:rFonts w:ascii="Calibri" w:hAnsi="Calibri"/>
                <w:bCs/>
                <w:color w:val="000000"/>
                <w:sz w:val="17"/>
                <w:szCs w:val="17"/>
              </w:rPr>
              <w:t>-19,8</w:t>
            </w:r>
          </w:p>
        </w:tc>
        <w:tc>
          <w:tcPr>
            <w:tcW w:w="6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1479" w:rsidRPr="002C1479" w:rsidRDefault="002C1479" w:rsidP="00F95B42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2C1479">
              <w:rPr>
                <w:rFonts w:ascii="Calibri" w:hAnsi="Calibri"/>
                <w:color w:val="000000"/>
                <w:sz w:val="17"/>
                <w:szCs w:val="17"/>
              </w:rPr>
              <w:t>-24,8</w:t>
            </w:r>
          </w:p>
        </w:tc>
      </w:tr>
      <w:tr w:rsidR="00F95B42" w:rsidRPr="005C3832" w:rsidTr="00F95B42">
        <w:trPr>
          <w:gridAfter w:val="1"/>
          <w:wAfter w:w="9" w:type="dxa"/>
          <w:trHeight w:val="513"/>
        </w:trPr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479" w:rsidRPr="005C3832" w:rsidRDefault="002C1479" w:rsidP="002C147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Perspective d'évolution du niveau de vie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479" w:rsidRPr="005C3832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-8,9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479" w:rsidRPr="005C3832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-7,3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479" w:rsidRPr="005C3832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-7,7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479" w:rsidRPr="005C3832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-8,1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479" w:rsidRPr="005C3832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-14,2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479" w:rsidRPr="005C3832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-7,6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479" w:rsidRPr="005C3832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-7,1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479" w:rsidRPr="005C3832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-2,4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479" w:rsidRPr="005C3832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5,7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479" w:rsidRPr="005C3832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11,1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479" w:rsidRPr="005C3832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10,5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479" w:rsidRPr="005C3832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11,5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479" w:rsidRPr="005C3832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16,6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479" w:rsidRPr="005C3832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15,0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479" w:rsidRPr="005C3832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11,9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479" w:rsidRPr="005C3832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9,0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479" w:rsidRPr="005C3832" w:rsidRDefault="002C1479" w:rsidP="00F95B42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/>
                <w:color w:val="000000"/>
                <w:sz w:val="17"/>
                <w:szCs w:val="17"/>
              </w:rPr>
              <w:t>10,0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479" w:rsidRPr="00E4386C" w:rsidRDefault="002C1479" w:rsidP="00F95B42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E4386C">
              <w:rPr>
                <w:rFonts w:ascii="Calibri" w:hAnsi="Calibri"/>
                <w:color w:val="000000"/>
                <w:sz w:val="17"/>
                <w:szCs w:val="17"/>
              </w:rPr>
              <w:t>4,7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1479" w:rsidRPr="001D55A9" w:rsidRDefault="002C1479" w:rsidP="00F95B42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1D55A9">
              <w:rPr>
                <w:rFonts w:ascii="Calibri" w:hAnsi="Calibri"/>
                <w:color w:val="000000"/>
                <w:sz w:val="17"/>
                <w:szCs w:val="17"/>
              </w:rPr>
              <w:t>-3,7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1479" w:rsidRPr="001D55A9" w:rsidRDefault="002C1479" w:rsidP="00F95B42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1D55A9">
              <w:rPr>
                <w:rFonts w:ascii="Calibri" w:hAnsi="Calibri"/>
                <w:color w:val="000000"/>
                <w:sz w:val="17"/>
                <w:szCs w:val="17"/>
              </w:rPr>
              <w:t>-2,2</w:t>
            </w:r>
          </w:p>
        </w:tc>
        <w:tc>
          <w:tcPr>
            <w:tcW w:w="6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1479" w:rsidRPr="00204574" w:rsidRDefault="002C1479" w:rsidP="00F95B42">
            <w:pPr>
              <w:jc w:val="center"/>
              <w:rPr>
                <w:rFonts w:ascii="Calibri" w:hAnsi="Calibri"/>
                <w:bCs/>
                <w:color w:val="000000"/>
                <w:sz w:val="17"/>
                <w:szCs w:val="17"/>
              </w:rPr>
            </w:pPr>
            <w:r w:rsidRPr="00204574">
              <w:rPr>
                <w:rFonts w:ascii="Calibri" w:hAnsi="Calibri"/>
                <w:bCs/>
                <w:color w:val="000000"/>
                <w:sz w:val="17"/>
                <w:szCs w:val="17"/>
              </w:rPr>
              <w:t>-4,6</w:t>
            </w:r>
          </w:p>
        </w:tc>
        <w:tc>
          <w:tcPr>
            <w:tcW w:w="6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1479" w:rsidRPr="002C1479" w:rsidRDefault="002C1479" w:rsidP="00F95B42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2C1479">
              <w:rPr>
                <w:rFonts w:ascii="Calibri" w:hAnsi="Calibri"/>
                <w:color w:val="000000"/>
                <w:sz w:val="17"/>
                <w:szCs w:val="17"/>
              </w:rPr>
              <w:t>-11,4</w:t>
            </w:r>
          </w:p>
        </w:tc>
      </w:tr>
      <w:tr w:rsidR="00F95B42" w:rsidRPr="005C3832" w:rsidTr="00F95B42">
        <w:trPr>
          <w:gridAfter w:val="1"/>
          <w:wAfter w:w="9" w:type="dxa"/>
          <w:trHeight w:val="258"/>
        </w:trPr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479" w:rsidRPr="005C3832" w:rsidRDefault="002C1479" w:rsidP="002C147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Opportunité d'achat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479" w:rsidRPr="005C3832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-37,0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479" w:rsidRPr="005C3832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-36,0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479" w:rsidRPr="005C3832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-34,2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479" w:rsidRPr="005C3832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-37,5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479" w:rsidRPr="005C3832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-40,2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479" w:rsidRPr="005C3832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-34,8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479" w:rsidRPr="005C3832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-40,5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479" w:rsidRPr="005C3832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-43,0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479" w:rsidRPr="005C3832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-40,0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479" w:rsidRPr="005C3832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-28,2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479" w:rsidRPr="005C3832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-31,5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479" w:rsidRPr="005C3832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-25,6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479" w:rsidRPr="005C3832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-27,2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479" w:rsidRPr="005C3832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-25,8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479" w:rsidRPr="005C3832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-30,2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479" w:rsidRPr="005C3832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-36,7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479" w:rsidRPr="005C3832" w:rsidRDefault="002C1479" w:rsidP="00F95B42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/>
                <w:color w:val="000000"/>
                <w:sz w:val="17"/>
                <w:szCs w:val="17"/>
              </w:rPr>
              <w:t>-36,3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479" w:rsidRPr="00E4386C" w:rsidRDefault="002C1479" w:rsidP="00F95B42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E4386C">
              <w:rPr>
                <w:rFonts w:ascii="Calibri" w:hAnsi="Calibri"/>
                <w:color w:val="000000"/>
                <w:sz w:val="17"/>
                <w:szCs w:val="17"/>
              </w:rPr>
              <w:t>-41,4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1479" w:rsidRPr="001D55A9" w:rsidRDefault="002C1479" w:rsidP="00F95B42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1D55A9">
              <w:rPr>
                <w:rFonts w:ascii="Calibri" w:hAnsi="Calibri"/>
                <w:color w:val="000000"/>
                <w:sz w:val="17"/>
                <w:szCs w:val="17"/>
              </w:rPr>
              <w:t>-37,7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1479" w:rsidRPr="001D55A9" w:rsidRDefault="002C1479" w:rsidP="00F95B42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1D55A9">
              <w:rPr>
                <w:rFonts w:ascii="Calibri" w:hAnsi="Calibri"/>
                <w:color w:val="000000"/>
                <w:sz w:val="17"/>
                <w:szCs w:val="17"/>
              </w:rPr>
              <w:t>-29,2</w:t>
            </w:r>
          </w:p>
        </w:tc>
        <w:tc>
          <w:tcPr>
            <w:tcW w:w="6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1479" w:rsidRPr="00204574" w:rsidRDefault="002C1479" w:rsidP="00F95B42">
            <w:pPr>
              <w:jc w:val="center"/>
              <w:rPr>
                <w:rFonts w:ascii="Calibri" w:hAnsi="Calibri"/>
                <w:bCs/>
                <w:color w:val="000000"/>
                <w:sz w:val="17"/>
                <w:szCs w:val="17"/>
              </w:rPr>
            </w:pPr>
            <w:r w:rsidRPr="00204574">
              <w:rPr>
                <w:rFonts w:ascii="Calibri" w:hAnsi="Calibri"/>
                <w:bCs/>
                <w:color w:val="000000"/>
                <w:sz w:val="17"/>
                <w:szCs w:val="17"/>
              </w:rPr>
              <w:t>-32,6</w:t>
            </w:r>
          </w:p>
        </w:tc>
        <w:tc>
          <w:tcPr>
            <w:tcW w:w="6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1479" w:rsidRPr="002C1479" w:rsidRDefault="002C1479" w:rsidP="00F95B42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2C1479">
              <w:rPr>
                <w:rFonts w:ascii="Calibri" w:hAnsi="Calibri"/>
                <w:color w:val="000000"/>
                <w:sz w:val="17"/>
                <w:szCs w:val="17"/>
              </w:rPr>
              <w:t>-68,0</w:t>
            </w:r>
          </w:p>
        </w:tc>
      </w:tr>
      <w:tr w:rsidR="00F95B42" w:rsidRPr="005C3832" w:rsidTr="00F95B42">
        <w:trPr>
          <w:gridAfter w:val="1"/>
          <w:wAfter w:w="9" w:type="dxa"/>
          <w:trHeight w:val="513"/>
        </w:trPr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479" w:rsidRPr="005C3832" w:rsidRDefault="002C1479" w:rsidP="002C147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Situation financière actuelle des ménages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479" w:rsidRPr="005C3832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-32,4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479" w:rsidRPr="005C3832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-28,0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479" w:rsidRPr="005C3832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-25,1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479" w:rsidRPr="005C3832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-25,7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479" w:rsidRPr="005C3832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-27,2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479" w:rsidRPr="005C3832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-23,0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479" w:rsidRPr="005C3832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-25,8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479" w:rsidRPr="005C3832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-28,7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479" w:rsidRPr="005C3832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-27,8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479" w:rsidRPr="005C3832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-25,3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479" w:rsidRPr="005C3832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-22,6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479" w:rsidRPr="005C3832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-24,4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479" w:rsidRPr="005C3832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-25,2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479" w:rsidRPr="005C3832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-24,1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479" w:rsidRPr="005C3832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-29,7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479" w:rsidRPr="005C3832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-28,4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479" w:rsidRPr="005C3832" w:rsidRDefault="002C1479" w:rsidP="00F95B42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/>
                <w:color w:val="000000"/>
                <w:sz w:val="17"/>
                <w:szCs w:val="17"/>
              </w:rPr>
              <w:t>-28,9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479" w:rsidRPr="00E4386C" w:rsidRDefault="002C1479" w:rsidP="00F95B42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E4386C">
              <w:rPr>
                <w:rFonts w:ascii="Calibri" w:hAnsi="Calibri"/>
                <w:color w:val="000000"/>
                <w:sz w:val="17"/>
                <w:szCs w:val="17"/>
              </w:rPr>
              <w:t>-30,8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1479" w:rsidRPr="001D55A9" w:rsidRDefault="002C1479" w:rsidP="00F95B42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1D55A9">
              <w:rPr>
                <w:rFonts w:ascii="Calibri" w:hAnsi="Calibri"/>
                <w:color w:val="000000"/>
                <w:sz w:val="17"/>
                <w:szCs w:val="17"/>
              </w:rPr>
              <w:t>-29,5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1479" w:rsidRPr="001D55A9" w:rsidRDefault="002C1479" w:rsidP="00F95B42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1D55A9">
              <w:rPr>
                <w:rFonts w:ascii="Calibri" w:hAnsi="Calibri"/>
                <w:color w:val="000000"/>
                <w:sz w:val="17"/>
                <w:szCs w:val="17"/>
              </w:rPr>
              <w:t>-26,4</w:t>
            </w:r>
          </w:p>
        </w:tc>
        <w:tc>
          <w:tcPr>
            <w:tcW w:w="6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1479" w:rsidRPr="00204574" w:rsidRDefault="002C1479" w:rsidP="00F95B42">
            <w:pPr>
              <w:jc w:val="center"/>
              <w:rPr>
                <w:rFonts w:ascii="Calibri" w:hAnsi="Calibri"/>
                <w:bCs/>
                <w:color w:val="000000"/>
                <w:sz w:val="17"/>
                <w:szCs w:val="17"/>
              </w:rPr>
            </w:pPr>
            <w:r w:rsidRPr="00204574">
              <w:rPr>
                <w:rFonts w:ascii="Calibri" w:hAnsi="Calibri"/>
                <w:bCs/>
                <w:color w:val="000000"/>
                <w:sz w:val="17"/>
                <w:szCs w:val="17"/>
              </w:rPr>
              <w:t>-27,7</w:t>
            </w:r>
          </w:p>
        </w:tc>
        <w:tc>
          <w:tcPr>
            <w:tcW w:w="6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1479" w:rsidRPr="002C1479" w:rsidRDefault="002C1479" w:rsidP="00F95B42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2C1479">
              <w:rPr>
                <w:rFonts w:ascii="Calibri" w:hAnsi="Calibri"/>
                <w:color w:val="000000"/>
                <w:sz w:val="17"/>
                <w:szCs w:val="17"/>
              </w:rPr>
              <w:t>-30,0</w:t>
            </w:r>
          </w:p>
        </w:tc>
      </w:tr>
      <w:tr w:rsidR="00F95B42" w:rsidRPr="005C3832" w:rsidTr="00F95B42">
        <w:trPr>
          <w:gridAfter w:val="1"/>
          <w:wAfter w:w="9" w:type="dxa"/>
          <w:trHeight w:val="643"/>
        </w:trPr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479" w:rsidRPr="005C3832" w:rsidRDefault="002C1479" w:rsidP="002C147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Evolution  passée de la situation financière des ménages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479" w:rsidRPr="005C3832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-27,0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479" w:rsidRPr="005C3832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-20,2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479" w:rsidRPr="005C3832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-20,8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479" w:rsidRPr="005C3832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-18,5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479" w:rsidRPr="005C3832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-27,4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479" w:rsidRPr="005C3832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-22,8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479" w:rsidRPr="005C3832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-27,0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479" w:rsidRPr="005C3832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-33,3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479" w:rsidRPr="005C3832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-26,8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479" w:rsidRPr="005C3832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-16,6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479" w:rsidRPr="005C3832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-14,5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479" w:rsidRPr="005C3832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-16,7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479" w:rsidRPr="005C3832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-18,1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479" w:rsidRPr="005C3832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-15,2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479" w:rsidRPr="005C3832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-18,2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479" w:rsidRPr="005C3832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-20,7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479" w:rsidRPr="005C3832" w:rsidRDefault="002C1479" w:rsidP="00F95B42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/>
                <w:color w:val="000000"/>
                <w:sz w:val="17"/>
                <w:szCs w:val="17"/>
              </w:rPr>
              <w:t>-21,2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479" w:rsidRPr="00E4386C" w:rsidRDefault="002C1479" w:rsidP="00F95B42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E4386C">
              <w:rPr>
                <w:rFonts w:ascii="Calibri" w:hAnsi="Calibri"/>
                <w:color w:val="000000"/>
                <w:sz w:val="17"/>
                <w:szCs w:val="17"/>
              </w:rPr>
              <w:t>-24,2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1479" w:rsidRPr="001D55A9" w:rsidRDefault="002C1479" w:rsidP="00F95B42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1D55A9">
              <w:rPr>
                <w:rFonts w:ascii="Calibri" w:hAnsi="Calibri"/>
                <w:color w:val="000000"/>
                <w:sz w:val="17"/>
                <w:szCs w:val="17"/>
              </w:rPr>
              <w:t>-26,0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1479" w:rsidRPr="001D55A9" w:rsidRDefault="002C1479" w:rsidP="00F95B42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1D55A9">
              <w:rPr>
                <w:rFonts w:ascii="Calibri" w:hAnsi="Calibri"/>
                <w:color w:val="000000"/>
                <w:sz w:val="17"/>
                <w:szCs w:val="17"/>
              </w:rPr>
              <w:t>-22,1</w:t>
            </w:r>
          </w:p>
        </w:tc>
        <w:tc>
          <w:tcPr>
            <w:tcW w:w="6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1479" w:rsidRPr="00204574" w:rsidRDefault="002C1479" w:rsidP="00F95B42">
            <w:pPr>
              <w:jc w:val="center"/>
              <w:rPr>
                <w:rFonts w:ascii="Calibri" w:hAnsi="Calibri"/>
                <w:bCs/>
                <w:color w:val="000000"/>
                <w:sz w:val="17"/>
                <w:szCs w:val="17"/>
              </w:rPr>
            </w:pPr>
            <w:r w:rsidRPr="00204574">
              <w:rPr>
                <w:rFonts w:ascii="Calibri" w:hAnsi="Calibri"/>
                <w:bCs/>
                <w:color w:val="000000"/>
                <w:sz w:val="17"/>
                <w:szCs w:val="17"/>
              </w:rPr>
              <w:t>-22,9</w:t>
            </w:r>
          </w:p>
        </w:tc>
        <w:tc>
          <w:tcPr>
            <w:tcW w:w="6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1479" w:rsidRPr="002C1479" w:rsidRDefault="002C1479" w:rsidP="00F95B42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2C1479">
              <w:rPr>
                <w:rFonts w:ascii="Calibri" w:hAnsi="Calibri"/>
                <w:color w:val="000000"/>
                <w:sz w:val="17"/>
                <w:szCs w:val="17"/>
              </w:rPr>
              <w:t>-27,0</w:t>
            </w:r>
          </w:p>
        </w:tc>
      </w:tr>
      <w:tr w:rsidR="00F95B42" w:rsidRPr="005C3832" w:rsidTr="00F95B42">
        <w:trPr>
          <w:gridAfter w:val="1"/>
          <w:wAfter w:w="9" w:type="dxa"/>
          <w:trHeight w:val="643"/>
        </w:trPr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479" w:rsidRPr="005C3832" w:rsidRDefault="002C1479" w:rsidP="002C147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Evolution  future de la situation financière des ménages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479" w:rsidRPr="005C3832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479" w:rsidRPr="005C3832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4,2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479" w:rsidRPr="005C3832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3,3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479" w:rsidRPr="005C3832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7,6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479" w:rsidRPr="005C3832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1,2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479" w:rsidRPr="005C3832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2,3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479" w:rsidRPr="005C3832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5,0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479" w:rsidRPr="005C3832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6,5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479" w:rsidRPr="005C3832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13,4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479" w:rsidRPr="005C3832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22,1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479" w:rsidRPr="005C3832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19,6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479" w:rsidRPr="005C3832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19,2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479" w:rsidRPr="005C3832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25,9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479" w:rsidRPr="005C3832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28,1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479" w:rsidRPr="005C3832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18,2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479" w:rsidRPr="005C3832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19,1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479" w:rsidRPr="005C3832" w:rsidRDefault="002C1479" w:rsidP="00F95B42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/>
                <w:color w:val="000000"/>
                <w:sz w:val="17"/>
                <w:szCs w:val="17"/>
              </w:rPr>
              <w:t>20,7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479" w:rsidRPr="00E4386C" w:rsidRDefault="002C1479" w:rsidP="00F95B42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E4386C">
              <w:rPr>
                <w:rFonts w:ascii="Calibri" w:hAnsi="Calibri"/>
                <w:color w:val="000000"/>
                <w:sz w:val="17"/>
                <w:szCs w:val="17"/>
              </w:rPr>
              <w:t>18,3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1479" w:rsidRPr="001D55A9" w:rsidRDefault="002C1479" w:rsidP="00F95B42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1D55A9">
              <w:rPr>
                <w:rFonts w:ascii="Calibri" w:hAnsi="Calibri"/>
                <w:color w:val="000000"/>
                <w:sz w:val="17"/>
                <w:szCs w:val="17"/>
              </w:rPr>
              <w:t>12,8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1479" w:rsidRPr="00BE5DA1" w:rsidRDefault="002C1479" w:rsidP="00F95B42">
            <w:pPr>
              <w:jc w:val="center"/>
              <w:rPr>
                <w:rFonts w:ascii="Calibri" w:hAnsi="Calibri"/>
                <w:bCs/>
                <w:color w:val="000000"/>
                <w:sz w:val="17"/>
                <w:szCs w:val="17"/>
              </w:rPr>
            </w:pPr>
            <w:r w:rsidRPr="00BE5DA1">
              <w:rPr>
                <w:rFonts w:ascii="Calibri" w:hAnsi="Calibri"/>
                <w:bCs/>
                <w:color w:val="000000"/>
                <w:sz w:val="17"/>
                <w:szCs w:val="17"/>
              </w:rPr>
              <w:t>15,9</w:t>
            </w:r>
          </w:p>
        </w:tc>
        <w:tc>
          <w:tcPr>
            <w:tcW w:w="6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1479" w:rsidRPr="00204574" w:rsidRDefault="002C1479" w:rsidP="00F95B42">
            <w:pPr>
              <w:jc w:val="center"/>
              <w:rPr>
                <w:rFonts w:ascii="Calibri" w:hAnsi="Calibri"/>
                <w:bCs/>
                <w:color w:val="000000"/>
                <w:sz w:val="17"/>
                <w:szCs w:val="17"/>
              </w:rPr>
            </w:pPr>
            <w:r w:rsidRPr="00204574">
              <w:rPr>
                <w:rFonts w:ascii="Calibri" w:hAnsi="Calibri"/>
                <w:bCs/>
                <w:color w:val="000000"/>
                <w:sz w:val="17"/>
                <w:szCs w:val="17"/>
              </w:rPr>
              <w:t>8,5</w:t>
            </w:r>
          </w:p>
        </w:tc>
        <w:tc>
          <w:tcPr>
            <w:tcW w:w="6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1479" w:rsidRPr="002C1479" w:rsidRDefault="002C1479" w:rsidP="00F95B42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2C1479">
              <w:rPr>
                <w:rFonts w:ascii="Calibri" w:hAnsi="Calibri"/>
                <w:color w:val="000000"/>
                <w:sz w:val="17"/>
                <w:szCs w:val="17"/>
              </w:rPr>
              <w:t>-4,6</w:t>
            </w:r>
          </w:p>
        </w:tc>
      </w:tr>
      <w:tr w:rsidR="002C1479" w:rsidRPr="005C3832" w:rsidTr="002C1479">
        <w:trPr>
          <w:trHeight w:val="152"/>
        </w:trPr>
        <w:tc>
          <w:tcPr>
            <w:tcW w:w="14958" w:type="dxa"/>
            <w:gridSpan w:val="2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479" w:rsidRPr="00E4386C" w:rsidRDefault="002C1479" w:rsidP="00E4386C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  <w:t>Autres soldes</w:t>
            </w:r>
          </w:p>
        </w:tc>
        <w:tc>
          <w:tcPr>
            <w:tcW w:w="6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C1479" w:rsidRPr="005C3832" w:rsidRDefault="002C1479" w:rsidP="00E4386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C1479" w:rsidRPr="005C3832" w:rsidRDefault="002C1479" w:rsidP="00E4386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</w:p>
        </w:tc>
      </w:tr>
      <w:tr w:rsidR="00F95B42" w:rsidRPr="005C3832" w:rsidTr="00F95B42">
        <w:trPr>
          <w:gridAfter w:val="1"/>
          <w:wAfter w:w="9" w:type="dxa"/>
          <w:trHeight w:val="643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479" w:rsidRPr="005C3832" w:rsidRDefault="002C1479" w:rsidP="002C147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Evolution future des prix des produits alimentaires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479" w:rsidRPr="005C3832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-77,2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479" w:rsidRPr="005C3832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-75,6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479" w:rsidRPr="005C3832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-75,3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479" w:rsidRPr="005C3832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-75,2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479" w:rsidRPr="005C3832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-79,3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479" w:rsidRPr="005C3832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-77,3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479" w:rsidRPr="005C3832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-77,9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479" w:rsidRPr="005C3832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-77,3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479" w:rsidRPr="005C3832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-77,7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479" w:rsidRPr="005C3832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-74,5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479" w:rsidRPr="005C3832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-74,0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479" w:rsidRPr="005C3832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-79,6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479" w:rsidRPr="005C3832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-82,9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479" w:rsidRPr="005C3832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-84,0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479" w:rsidRPr="005C3832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-82,1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479" w:rsidRPr="005C3832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-86,6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479" w:rsidRPr="005C3832" w:rsidRDefault="002C1479" w:rsidP="00F95B42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/>
                <w:color w:val="000000"/>
                <w:sz w:val="17"/>
                <w:szCs w:val="17"/>
              </w:rPr>
              <w:t>-87,5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479" w:rsidRPr="00E4386C" w:rsidRDefault="002C1479" w:rsidP="00F95B42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E4386C">
              <w:rPr>
                <w:rFonts w:ascii="Calibri" w:hAnsi="Calibri"/>
                <w:color w:val="000000"/>
                <w:sz w:val="17"/>
                <w:szCs w:val="17"/>
              </w:rPr>
              <w:t>-86,5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1479" w:rsidRPr="00362325" w:rsidRDefault="002C1479" w:rsidP="00F95B42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362325">
              <w:rPr>
                <w:rFonts w:ascii="Calibri" w:hAnsi="Calibri"/>
                <w:color w:val="000000"/>
                <w:sz w:val="17"/>
                <w:szCs w:val="17"/>
              </w:rPr>
              <w:t>-83,3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1479" w:rsidRPr="005A6F1D" w:rsidRDefault="002C1479" w:rsidP="00F95B42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5A6F1D">
              <w:rPr>
                <w:rFonts w:ascii="Calibri" w:hAnsi="Calibri"/>
                <w:color w:val="000000"/>
                <w:sz w:val="17"/>
                <w:szCs w:val="17"/>
              </w:rPr>
              <w:t>-82,2</w:t>
            </w:r>
          </w:p>
        </w:tc>
        <w:tc>
          <w:tcPr>
            <w:tcW w:w="6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1479" w:rsidRPr="00204574" w:rsidRDefault="002C1479" w:rsidP="00F95B42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204574">
              <w:rPr>
                <w:rFonts w:ascii="Calibri" w:hAnsi="Calibri"/>
                <w:color w:val="000000"/>
                <w:sz w:val="17"/>
                <w:szCs w:val="17"/>
              </w:rPr>
              <w:t>-82,6</w:t>
            </w:r>
          </w:p>
        </w:tc>
        <w:tc>
          <w:tcPr>
            <w:tcW w:w="6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1479" w:rsidRPr="002C1479" w:rsidRDefault="002C1479" w:rsidP="00F95B42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2C1479">
              <w:rPr>
                <w:rFonts w:ascii="Calibri" w:hAnsi="Calibri"/>
                <w:color w:val="000000"/>
                <w:sz w:val="17"/>
                <w:szCs w:val="17"/>
              </w:rPr>
              <w:t>-69,0</w:t>
            </w:r>
          </w:p>
        </w:tc>
      </w:tr>
      <w:tr w:rsidR="00F95B42" w:rsidRPr="005C3832" w:rsidTr="00F95B42">
        <w:trPr>
          <w:gridAfter w:val="1"/>
          <w:wAfter w:w="9" w:type="dxa"/>
          <w:trHeight w:val="643"/>
        </w:trPr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479" w:rsidRPr="005C3832" w:rsidRDefault="002C1479" w:rsidP="002C147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Evolution  passée des prix des produits alimentaires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479" w:rsidRPr="005C3832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-87,2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479" w:rsidRPr="005C3832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-85,3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479" w:rsidRPr="005C3832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-84,3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479" w:rsidRPr="005C3832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-85,4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479" w:rsidRPr="005C3832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-85,5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479" w:rsidRPr="005C3832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-87,9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479" w:rsidRPr="005C3832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-87,7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479" w:rsidRPr="005C3832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-87,3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479" w:rsidRPr="005C3832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-86,8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479" w:rsidRPr="005C3832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-86,4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479" w:rsidRPr="005C3832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-82,8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479" w:rsidRPr="005C3832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-88,5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479" w:rsidRPr="005C3832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-86,7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479" w:rsidRPr="005C3832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-88,2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479" w:rsidRPr="005C3832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-88,1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479" w:rsidRPr="005C3832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-90,3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479" w:rsidRPr="005C3832" w:rsidRDefault="002C1479" w:rsidP="00F95B42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/>
                <w:color w:val="000000"/>
                <w:sz w:val="17"/>
                <w:szCs w:val="17"/>
              </w:rPr>
              <w:t>-88,1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479" w:rsidRPr="00E4386C" w:rsidRDefault="002C1479" w:rsidP="00F95B42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E4386C">
              <w:rPr>
                <w:rFonts w:ascii="Calibri" w:hAnsi="Calibri"/>
                <w:color w:val="000000"/>
                <w:sz w:val="17"/>
                <w:szCs w:val="17"/>
              </w:rPr>
              <w:t>-88,9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1479" w:rsidRPr="00362325" w:rsidRDefault="002C1479" w:rsidP="00F95B42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362325">
              <w:rPr>
                <w:rFonts w:ascii="Calibri" w:hAnsi="Calibri"/>
                <w:color w:val="000000"/>
                <w:sz w:val="17"/>
                <w:szCs w:val="17"/>
              </w:rPr>
              <w:t>-83,7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1479" w:rsidRPr="005A6F1D" w:rsidRDefault="002C1479" w:rsidP="00F95B42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5A6F1D">
              <w:rPr>
                <w:rFonts w:ascii="Calibri" w:hAnsi="Calibri"/>
                <w:color w:val="000000"/>
                <w:sz w:val="17"/>
                <w:szCs w:val="17"/>
              </w:rPr>
              <w:t>-85,1</w:t>
            </w:r>
          </w:p>
        </w:tc>
        <w:tc>
          <w:tcPr>
            <w:tcW w:w="6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1479" w:rsidRPr="00204574" w:rsidRDefault="002C1479" w:rsidP="00F95B42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204574">
              <w:rPr>
                <w:rFonts w:ascii="Calibri" w:hAnsi="Calibri"/>
                <w:color w:val="000000"/>
                <w:sz w:val="17"/>
                <w:szCs w:val="17"/>
              </w:rPr>
              <w:t>-82,8</w:t>
            </w:r>
          </w:p>
        </w:tc>
        <w:tc>
          <w:tcPr>
            <w:tcW w:w="6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1479" w:rsidRPr="002C1479" w:rsidRDefault="002C1479" w:rsidP="00F95B42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2C1479">
              <w:rPr>
                <w:rFonts w:ascii="Calibri" w:hAnsi="Calibri"/>
                <w:color w:val="000000"/>
                <w:sz w:val="17"/>
                <w:szCs w:val="17"/>
              </w:rPr>
              <w:t>-67,6</w:t>
            </w:r>
          </w:p>
        </w:tc>
      </w:tr>
      <w:tr w:rsidR="00F95B42" w:rsidRPr="005C3832" w:rsidTr="00F95B42">
        <w:trPr>
          <w:gridAfter w:val="1"/>
          <w:wAfter w:w="9" w:type="dxa"/>
          <w:trHeight w:val="643"/>
        </w:trPr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479" w:rsidRPr="00822DD6" w:rsidRDefault="002C1479" w:rsidP="002C147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22D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Capacité à épargner des ménages dans les mois à venir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479" w:rsidRPr="00822DD6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22D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-69,8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479" w:rsidRPr="00822DD6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22D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-67,4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479" w:rsidRPr="00822DD6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22D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-70,6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479" w:rsidRPr="00822DD6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22D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-69,2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479" w:rsidRPr="00822DD6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22D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-69,7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479" w:rsidRPr="00822DD6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22D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-66,5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479" w:rsidRPr="00822DD6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22D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-67,9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479" w:rsidRPr="00822DD6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22D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-68,7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479" w:rsidRPr="00822DD6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22D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-64,1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479" w:rsidRPr="00822DD6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22D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-59,1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479" w:rsidRPr="00822DD6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22D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-55,7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479" w:rsidRPr="00822DD6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22D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-58,6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479" w:rsidRPr="00822DD6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6"/>
                <w:szCs w:val="16"/>
              </w:rPr>
            </w:pPr>
            <w:r w:rsidRPr="00822DD6">
              <w:rPr>
                <w:rFonts w:ascii="Calibri" w:hAnsi="Calibri" w:cs="Times New Roman"/>
                <w:color w:val="000000"/>
                <w:sz w:val="16"/>
                <w:szCs w:val="16"/>
              </w:rPr>
              <w:t>-54,5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479" w:rsidRPr="00822DD6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6"/>
                <w:szCs w:val="16"/>
              </w:rPr>
            </w:pPr>
            <w:r w:rsidRPr="00822DD6">
              <w:rPr>
                <w:rFonts w:ascii="Calibri" w:hAnsi="Calibri" w:cs="Times New Roman"/>
                <w:color w:val="000000"/>
                <w:sz w:val="16"/>
                <w:szCs w:val="16"/>
              </w:rPr>
              <w:t>-57,9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479" w:rsidRPr="00822DD6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6"/>
                <w:szCs w:val="16"/>
              </w:rPr>
            </w:pPr>
            <w:r w:rsidRPr="00822DD6">
              <w:rPr>
                <w:rFonts w:ascii="Calibri" w:hAnsi="Calibri" w:cs="Times New Roman"/>
                <w:color w:val="000000"/>
                <w:sz w:val="16"/>
                <w:szCs w:val="16"/>
              </w:rPr>
              <w:t>-64,6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479" w:rsidRPr="00822DD6" w:rsidRDefault="002C1479" w:rsidP="00F95B4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6"/>
                <w:szCs w:val="16"/>
              </w:rPr>
            </w:pPr>
            <w:r w:rsidRPr="00822DD6">
              <w:rPr>
                <w:rFonts w:ascii="Calibri" w:hAnsi="Calibri" w:cs="Times New Roman"/>
                <w:color w:val="000000"/>
                <w:sz w:val="16"/>
                <w:szCs w:val="16"/>
              </w:rPr>
              <w:t>-63,0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479" w:rsidRPr="00822DD6" w:rsidRDefault="002C1479" w:rsidP="00F95B4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22DD6">
              <w:rPr>
                <w:rFonts w:ascii="Calibri" w:hAnsi="Calibri"/>
                <w:color w:val="000000"/>
                <w:sz w:val="16"/>
                <w:szCs w:val="16"/>
              </w:rPr>
              <w:t>-63,0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479" w:rsidRPr="00822DD6" w:rsidRDefault="002C1479" w:rsidP="00F95B4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22DD6">
              <w:rPr>
                <w:rFonts w:ascii="Calibri" w:hAnsi="Calibri"/>
                <w:color w:val="000000"/>
                <w:sz w:val="16"/>
                <w:szCs w:val="16"/>
              </w:rPr>
              <w:t>-66,6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1479" w:rsidRPr="00822DD6" w:rsidRDefault="002C1479" w:rsidP="00F95B4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22DD6">
              <w:rPr>
                <w:rFonts w:ascii="Calibri" w:hAnsi="Calibri"/>
                <w:color w:val="000000"/>
                <w:sz w:val="16"/>
                <w:szCs w:val="16"/>
              </w:rPr>
              <w:t>-64,4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1479" w:rsidRPr="005A6F1D" w:rsidRDefault="002C1479" w:rsidP="00F95B42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5A6F1D">
              <w:rPr>
                <w:rFonts w:ascii="Calibri" w:hAnsi="Calibri"/>
                <w:color w:val="000000"/>
                <w:sz w:val="17"/>
                <w:szCs w:val="17"/>
              </w:rPr>
              <w:t>-64,</w:t>
            </w:r>
            <w:r>
              <w:rPr>
                <w:rFonts w:ascii="Calibri" w:hAnsi="Calibri"/>
                <w:color w:val="000000"/>
                <w:sz w:val="17"/>
                <w:szCs w:val="17"/>
              </w:rPr>
              <w:t>6</w:t>
            </w:r>
          </w:p>
        </w:tc>
        <w:tc>
          <w:tcPr>
            <w:tcW w:w="6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1479" w:rsidRPr="00204574" w:rsidRDefault="002C1479" w:rsidP="00F95B42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204574">
              <w:rPr>
                <w:rFonts w:ascii="Calibri" w:hAnsi="Calibri"/>
                <w:color w:val="000000"/>
                <w:sz w:val="17"/>
                <w:szCs w:val="17"/>
              </w:rPr>
              <w:t>-65,8</w:t>
            </w:r>
          </w:p>
        </w:tc>
        <w:tc>
          <w:tcPr>
            <w:tcW w:w="6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1479" w:rsidRPr="002C1479" w:rsidRDefault="002C1479" w:rsidP="00F95B42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2C1479">
              <w:rPr>
                <w:rFonts w:ascii="Calibri" w:hAnsi="Calibri"/>
                <w:color w:val="000000"/>
                <w:sz w:val="17"/>
                <w:szCs w:val="17"/>
              </w:rPr>
              <w:t>-70,4</w:t>
            </w:r>
          </w:p>
        </w:tc>
      </w:tr>
    </w:tbl>
    <w:p w:rsidR="00FD508C" w:rsidRPr="00FD508C" w:rsidRDefault="00FD508C" w:rsidP="00FD508C">
      <w:pPr>
        <w:spacing w:line="360" w:lineRule="auto"/>
        <w:ind w:left="-142"/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sectPr w:rsidR="00FD508C" w:rsidRPr="00FD508C" w:rsidSect="00A71494">
      <w:pgSz w:w="16838" w:h="11906" w:orient="landscape"/>
      <w:pgMar w:top="426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463B" w:rsidRDefault="009C463B" w:rsidP="00460705">
      <w:r>
        <w:separator/>
      </w:r>
    </w:p>
  </w:endnote>
  <w:endnote w:type="continuationSeparator" w:id="1">
    <w:p w:rsidR="009C463B" w:rsidRDefault="009C463B" w:rsidP="004607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nivers">
    <w:altName w:val="Arial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62132658"/>
      <w:docPartObj>
        <w:docPartGallery w:val="Page Numbers (Bottom of Page)"/>
        <w:docPartUnique/>
      </w:docPartObj>
    </w:sdtPr>
    <w:sdtContent>
      <w:p w:rsidR="00494750" w:rsidRDefault="00054641">
        <w:pPr>
          <w:pStyle w:val="Pieddepage"/>
          <w:jc w:val="center"/>
        </w:pPr>
        <w:fldSimple w:instr=" PAGE   \* MERGEFORMAT ">
          <w:r w:rsidR="00FE7905">
            <w:rPr>
              <w:noProof/>
            </w:rPr>
            <w:t>1</w:t>
          </w:r>
        </w:fldSimple>
      </w:p>
    </w:sdtContent>
  </w:sdt>
  <w:p w:rsidR="00494750" w:rsidRDefault="00494750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463B" w:rsidRDefault="009C463B" w:rsidP="00460705">
      <w:r>
        <w:separator/>
      </w:r>
    </w:p>
  </w:footnote>
  <w:footnote w:type="continuationSeparator" w:id="1">
    <w:p w:rsidR="009C463B" w:rsidRDefault="009C463B" w:rsidP="004607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07A8E"/>
    <w:multiLevelType w:val="hybridMultilevel"/>
    <w:tmpl w:val="DEAAA6F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002827"/>
    <w:multiLevelType w:val="hybridMultilevel"/>
    <w:tmpl w:val="651C7EFE"/>
    <w:lvl w:ilvl="0" w:tplc="B100CA10">
      <w:start w:val="3"/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>
    <w:nsid w:val="08056781"/>
    <w:multiLevelType w:val="hybridMultilevel"/>
    <w:tmpl w:val="784EAA80"/>
    <w:lvl w:ilvl="0" w:tplc="6DD295CC">
      <w:start w:val="1"/>
      <w:numFmt w:val="decimal"/>
      <w:lvlText w:val="(%1)"/>
      <w:lvlJc w:val="left"/>
      <w:pPr>
        <w:ind w:left="720" w:hanging="360"/>
      </w:pPr>
      <w:rPr>
        <w:rFonts w:hint="default"/>
        <w:b/>
        <w:vertAlign w:val="superscrip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432E"/>
    <w:multiLevelType w:val="hybridMultilevel"/>
    <w:tmpl w:val="0CEE6D0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0A122E6"/>
    <w:multiLevelType w:val="hybridMultilevel"/>
    <w:tmpl w:val="826865B6"/>
    <w:lvl w:ilvl="0" w:tplc="0616EC8E">
      <w:numFmt w:val="bullet"/>
      <w:lvlText w:val="-"/>
      <w:lvlJc w:val="left"/>
      <w:pPr>
        <w:ind w:left="1080" w:hanging="360"/>
      </w:pPr>
      <w:rPr>
        <w:rFonts w:ascii="Book Antiqua" w:eastAsia="Calibri" w:hAnsi="Book Antiqua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3932AC5"/>
    <w:multiLevelType w:val="hybridMultilevel"/>
    <w:tmpl w:val="D172982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5032A5"/>
    <w:multiLevelType w:val="hybridMultilevel"/>
    <w:tmpl w:val="D172982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D51664"/>
    <w:multiLevelType w:val="hybridMultilevel"/>
    <w:tmpl w:val="23060486"/>
    <w:lvl w:ilvl="0" w:tplc="20AE1A2A">
      <w:start w:val="1"/>
      <w:numFmt w:val="decimal"/>
      <w:lvlText w:val="%1"/>
      <w:lvlJc w:val="left"/>
      <w:pPr>
        <w:ind w:left="786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506" w:hanging="360"/>
      </w:p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2CC54CD3"/>
    <w:multiLevelType w:val="hybridMultilevel"/>
    <w:tmpl w:val="0EF07944"/>
    <w:lvl w:ilvl="0" w:tplc="040C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9C3212"/>
    <w:multiLevelType w:val="hybridMultilevel"/>
    <w:tmpl w:val="0EB82B5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1245C66"/>
    <w:multiLevelType w:val="hybridMultilevel"/>
    <w:tmpl w:val="D172982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28527B"/>
    <w:multiLevelType w:val="multilevel"/>
    <w:tmpl w:val="615095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>
    <w:nsid w:val="43E6100A"/>
    <w:multiLevelType w:val="hybridMultilevel"/>
    <w:tmpl w:val="F000AF92"/>
    <w:lvl w:ilvl="0" w:tplc="040C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3">
    <w:nsid w:val="498D60E8"/>
    <w:multiLevelType w:val="hybridMultilevel"/>
    <w:tmpl w:val="E83A85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C355FAE"/>
    <w:multiLevelType w:val="hybridMultilevel"/>
    <w:tmpl w:val="5A8C44D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2DB559E"/>
    <w:multiLevelType w:val="hybridMultilevel"/>
    <w:tmpl w:val="C6182B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C7D7E0F"/>
    <w:multiLevelType w:val="hybridMultilevel"/>
    <w:tmpl w:val="575CBAD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D4D297B"/>
    <w:multiLevelType w:val="hybridMultilevel"/>
    <w:tmpl w:val="054A543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2657841"/>
    <w:multiLevelType w:val="hybridMultilevel"/>
    <w:tmpl w:val="D172982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2F3FE5"/>
    <w:multiLevelType w:val="hybridMultilevel"/>
    <w:tmpl w:val="D172982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EBD7D01"/>
    <w:multiLevelType w:val="hybridMultilevel"/>
    <w:tmpl w:val="0E2043F8"/>
    <w:lvl w:ilvl="0" w:tplc="040C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5"/>
  </w:num>
  <w:num w:numId="3">
    <w:abstractNumId w:val="4"/>
  </w:num>
  <w:num w:numId="4">
    <w:abstractNumId w:val="14"/>
  </w:num>
  <w:num w:numId="5">
    <w:abstractNumId w:val="11"/>
  </w:num>
  <w:num w:numId="6">
    <w:abstractNumId w:val="13"/>
  </w:num>
  <w:num w:numId="7">
    <w:abstractNumId w:val="0"/>
  </w:num>
  <w:num w:numId="8">
    <w:abstractNumId w:val="9"/>
  </w:num>
  <w:num w:numId="9">
    <w:abstractNumId w:val="18"/>
  </w:num>
  <w:num w:numId="10">
    <w:abstractNumId w:val="8"/>
  </w:num>
  <w:num w:numId="11">
    <w:abstractNumId w:val="20"/>
  </w:num>
  <w:num w:numId="12">
    <w:abstractNumId w:val="1"/>
  </w:num>
  <w:num w:numId="13">
    <w:abstractNumId w:val="19"/>
  </w:num>
  <w:num w:numId="14">
    <w:abstractNumId w:val="10"/>
  </w:num>
  <w:num w:numId="15">
    <w:abstractNumId w:val="6"/>
  </w:num>
  <w:num w:numId="16">
    <w:abstractNumId w:val="3"/>
  </w:num>
  <w:num w:numId="17">
    <w:abstractNumId w:val="17"/>
  </w:num>
  <w:num w:numId="18">
    <w:abstractNumId w:val="16"/>
  </w:num>
  <w:num w:numId="19">
    <w:abstractNumId w:val="7"/>
  </w:num>
  <w:num w:numId="20">
    <w:abstractNumId w:val="2"/>
  </w:num>
  <w:num w:numId="2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12704"/>
    <w:rsid w:val="000013E4"/>
    <w:rsid w:val="00001624"/>
    <w:rsid w:val="000016A1"/>
    <w:rsid w:val="000023E0"/>
    <w:rsid w:val="00002F9B"/>
    <w:rsid w:val="00003F54"/>
    <w:rsid w:val="00004B1E"/>
    <w:rsid w:val="00005381"/>
    <w:rsid w:val="000060F8"/>
    <w:rsid w:val="000069AE"/>
    <w:rsid w:val="00006DF7"/>
    <w:rsid w:val="0000713A"/>
    <w:rsid w:val="000100F3"/>
    <w:rsid w:val="00011A0E"/>
    <w:rsid w:val="00011BC4"/>
    <w:rsid w:val="00011F4E"/>
    <w:rsid w:val="00013016"/>
    <w:rsid w:val="00014530"/>
    <w:rsid w:val="00014940"/>
    <w:rsid w:val="00014F59"/>
    <w:rsid w:val="00015112"/>
    <w:rsid w:val="000151DD"/>
    <w:rsid w:val="00015EF3"/>
    <w:rsid w:val="00016F90"/>
    <w:rsid w:val="0001722E"/>
    <w:rsid w:val="000174FE"/>
    <w:rsid w:val="00017526"/>
    <w:rsid w:val="0001754D"/>
    <w:rsid w:val="000213FC"/>
    <w:rsid w:val="00022644"/>
    <w:rsid w:val="00023DE5"/>
    <w:rsid w:val="00024686"/>
    <w:rsid w:val="00024B04"/>
    <w:rsid w:val="0002532B"/>
    <w:rsid w:val="00025CE4"/>
    <w:rsid w:val="00025F15"/>
    <w:rsid w:val="000265CF"/>
    <w:rsid w:val="00027300"/>
    <w:rsid w:val="000274C4"/>
    <w:rsid w:val="000315FD"/>
    <w:rsid w:val="00031CFB"/>
    <w:rsid w:val="000324B4"/>
    <w:rsid w:val="00032619"/>
    <w:rsid w:val="00032AF9"/>
    <w:rsid w:val="00032ECD"/>
    <w:rsid w:val="00034F42"/>
    <w:rsid w:val="00035053"/>
    <w:rsid w:val="000356C1"/>
    <w:rsid w:val="00035819"/>
    <w:rsid w:val="000360E1"/>
    <w:rsid w:val="000364EF"/>
    <w:rsid w:val="00036F7C"/>
    <w:rsid w:val="0003703D"/>
    <w:rsid w:val="000370B6"/>
    <w:rsid w:val="00041428"/>
    <w:rsid w:val="0004211E"/>
    <w:rsid w:val="00042157"/>
    <w:rsid w:val="00043430"/>
    <w:rsid w:val="0004437F"/>
    <w:rsid w:val="00044E75"/>
    <w:rsid w:val="000451AC"/>
    <w:rsid w:val="00045674"/>
    <w:rsid w:val="00046C56"/>
    <w:rsid w:val="00046EB3"/>
    <w:rsid w:val="00047148"/>
    <w:rsid w:val="00047B2B"/>
    <w:rsid w:val="00050145"/>
    <w:rsid w:val="00051534"/>
    <w:rsid w:val="000518A6"/>
    <w:rsid w:val="00051A04"/>
    <w:rsid w:val="00051B80"/>
    <w:rsid w:val="00052C8E"/>
    <w:rsid w:val="0005319E"/>
    <w:rsid w:val="0005351F"/>
    <w:rsid w:val="0005355A"/>
    <w:rsid w:val="0005413E"/>
    <w:rsid w:val="00054641"/>
    <w:rsid w:val="00055B18"/>
    <w:rsid w:val="0005628D"/>
    <w:rsid w:val="000569E9"/>
    <w:rsid w:val="00056F4A"/>
    <w:rsid w:val="0005706F"/>
    <w:rsid w:val="00057262"/>
    <w:rsid w:val="00057BC7"/>
    <w:rsid w:val="00057E1A"/>
    <w:rsid w:val="00061CA4"/>
    <w:rsid w:val="00062779"/>
    <w:rsid w:val="0006395E"/>
    <w:rsid w:val="00063B1B"/>
    <w:rsid w:val="00063B3F"/>
    <w:rsid w:val="00064021"/>
    <w:rsid w:val="000646B0"/>
    <w:rsid w:val="000656CB"/>
    <w:rsid w:val="00065DD7"/>
    <w:rsid w:val="00066ADF"/>
    <w:rsid w:val="00066E22"/>
    <w:rsid w:val="00067347"/>
    <w:rsid w:val="00067D35"/>
    <w:rsid w:val="00070565"/>
    <w:rsid w:val="000706EE"/>
    <w:rsid w:val="000712A9"/>
    <w:rsid w:val="000718BD"/>
    <w:rsid w:val="000720FD"/>
    <w:rsid w:val="00072708"/>
    <w:rsid w:val="00072AB7"/>
    <w:rsid w:val="00072CF2"/>
    <w:rsid w:val="00072EEA"/>
    <w:rsid w:val="00072F7C"/>
    <w:rsid w:val="00073079"/>
    <w:rsid w:val="00073C23"/>
    <w:rsid w:val="000748D8"/>
    <w:rsid w:val="000749D1"/>
    <w:rsid w:val="000753A8"/>
    <w:rsid w:val="000756A1"/>
    <w:rsid w:val="00076938"/>
    <w:rsid w:val="00076F92"/>
    <w:rsid w:val="000779C2"/>
    <w:rsid w:val="00077CAA"/>
    <w:rsid w:val="00081434"/>
    <w:rsid w:val="00081E5A"/>
    <w:rsid w:val="0008224D"/>
    <w:rsid w:val="00082D2E"/>
    <w:rsid w:val="000836A6"/>
    <w:rsid w:val="000838BF"/>
    <w:rsid w:val="000839B9"/>
    <w:rsid w:val="0008574A"/>
    <w:rsid w:val="00086CD2"/>
    <w:rsid w:val="000877E9"/>
    <w:rsid w:val="0008783E"/>
    <w:rsid w:val="00087DA2"/>
    <w:rsid w:val="000909E5"/>
    <w:rsid w:val="00090FCF"/>
    <w:rsid w:val="00090FEC"/>
    <w:rsid w:val="00091D64"/>
    <w:rsid w:val="00091E28"/>
    <w:rsid w:val="00091FB9"/>
    <w:rsid w:val="00092DFB"/>
    <w:rsid w:val="00093A83"/>
    <w:rsid w:val="00093D84"/>
    <w:rsid w:val="00094BEF"/>
    <w:rsid w:val="00097300"/>
    <w:rsid w:val="00097799"/>
    <w:rsid w:val="0009797C"/>
    <w:rsid w:val="00097D75"/>
    <w:rsid w:val="000A0177"/>
    <w:rsid w:val="000A07A7"/>
    <w:rsid w:val="000A0881"/>
    <w:rsid w:val="000A11C5"/>
    <w:rsid w:val="000A14AD"/>
    <w:rsid w:val="000A158A"/>
    <w:rsid w:val="000A18FB"/>
    <w:rsid w:val="000A20DC"/>
    <w:rsid w:val="000A26E7"/>
    <w:rsid w:val="000A27F7"/>
    <w:rsid w:val="000A2DA9"/>
    <w:rsid w:val="000A33DF"/>
    <w:rsid w:val="000A40C3"/>
    <w:rsid w:val="000A5C5F"/>
    <w:rsid w:val="000A5F4A"/>
    <w:rsid w:val="000A6135"/>
    <w:rsid w:val="000A62F9"/>
    <w:rsid w:val="000B0844"/>
    <w:rsid w:val="000B09BA"/>
    <w:rsid w:val="000B0E7A"/>
    <w:rsid w:val="000B1487"/>
    <w:rsid w:val="000B16D1"/>
    <w:rsid w:val="000B2FFE"/>
    <w:rsid w:val="000B34E3"/>
    <w:rsid w:val="000B4FE0"/>
    <w:rsid w:val="000B552C"/>
    <w:rsid w:val="000B62B1"/>
    <w:rsid w:val="000C0C01"/>
    <w:rsid w:val="000C1464"/>
    <w:rsid w:val="000C2CA9"/>
    <w:rsid w:val="000C3718"/>
    <w:rsid w:val="000C39F9"/>
    <w:rsid w:val="000C439F"/>
    <w:rsid w:val="000C4C0E"/>
    <w:rsid w:val="000C56EA"/>
    <w:rsid w:val="000C689C"/>
    <w:rsid w:val="000C7F17"/>
    <w:rsid w:val="000D1CF5"/>
    <w:rsid w:val="000D24FA"/>
    <w:rsid w:val="000D2586"/>
    <w:rsid w:val="000D2E52"/>
    <w:rsid w:val="000D341B"/>
    <w:rsid w:val="000D367A"/>
    <w:rsid w:val="000D3B30"/>
    <w:rsid w:val="000D4077"/>
    <w:rsid w:val="000D4920"/>
    <w:rsid w:val="000D4A1E"/>
    <w:rsid w:val="000D54E1"/>
    <w:rsid w:val="000D5638"/>
    <w:rsid w:val="000D5AB2"/>
    <w:rsid w:val="000D5B0A"/>
    <w:rsid w:val="000D5CEB"/>
    <w:rsid w:val="000E030A"/>
    <w:rsid w:val="000E10E0"/>
    <w:rsid w:val="000E1534"/>
    <w:rsid w:val="000E17D9"/>
    <w:rsid w:val="000E1BEE"/>
    <w:rsid w:val="000E20BC"/>
    <w:rsid w:val="000E21A1"/>
    <w:rsid w:val="000E3747"/>
    <w:rsid w:val="000E4DC7"/>
    <w:rsid w:val="000E5EA9"/>
    <w:rsid w:val="000E6EB3"/>
    <w:rsid w:val="000E71C8"/>
    <w:rsid w:val="000F0919"/>
    <w:rsid w:val="000F0DB1"/>
    <w:rsid w:val="000F184A"/>
    <w:rsid w:val="000F2945"/>
    <w:rsid w:val="000F2B60"/>
    <w:rsid w:val="000F2E6E"/>
    <w:rsid w:val="000F5A2E"/>
    <w:rsid w:val="000F62E1"/>
    <w:rsid w:val="000F641A"/>
    <w:rsid w:val="000F6CE8"/>
    <w:rsid w:val="000F70E8"/>
    <w:rsid w:val="000F74C5"/>
    <w:rsid w:val="000F7670"/>
    <w:rsid w:val="000F7A57"/>
    <w:rsid w:val="000F7C4F"/>
    <w:rsid w:val="00100026"/>
    <w:rsid w:val="00101249"/>
    <w:rsid w:val="00101DA7"/>
    <w:rsid w:val="00102B5C"/>
    <w:rsid w:val="001037B3"/>
    <w:rsid w:val="00104221"/>
    <w:rsid w:val="00104438"/>
    <w:rsid w:val="00104463"/>
    <w:rsid w:val="00104CAC"/>
    <w:rsid w:val="00104D05"/>
    <w:rsid w:val="001052BE"/>
    <w:rsid w:val="00105320"/>
    <w:rsid w:val="00105B72"/>
    <w:rsid w:val="00106C84"/>
    <w:rsid w:val="00106E19"/>
    <w:rsid w:val="00106EC0"/>
    <w:rsid w:val="00106FA4"/>
    <w:rsid w:val="00107245"/>
    <w:rsid w:val="00107534"/>
    <w:rsid w:val="00107E17"/>
    <w:rsid w:val="00107F1E"/>
    <w:rsid w:val="001103D0"/>
    <w:rsid w:val="00110B90"/>
    <w:rsid w:val="00110BE5"/>
    <w:rsid w:val="00111470"/>
    <w:rsid w:val="001116C8"/>
    <w:rsid w:val="00111FC4"/>
    <w:rsid w:val="00113273"/>
    <w:rsid w:val="001133D2"/>
    <w:rsid w:val="00113767"/>
    <w:rsid w:val="00114063"/>
    <w:rsid w:val="001143FE"/>
    <w:rsid w:val="0011495F"/>
    <w:rsid w:val="00115D48"/>
    <w:rsid w:val="001161C4"/>
    <w:rsid w:val="00116945"/>
    <w:rsid w:val="0011726A"/>
    <w:rsid w:val="001174FE"/>
    <w:rsid w:val="00117A2F"/>
    <w:rsid w:val="00117F82"/>
    <w:rsid w:val="00120997"/>
    <w:rsid w:val="00121180"/>
    <w:rsid w:val="00121CCC"/>
    <w:rsid w:val="001222E7"/>
    <w:rsid w:val="00122941"/>
    <w:rsid w:val="00123E79"/>
    <w:rsid w:val="00124002"/>
    <w:rsid w:val="001242C0"/>
    <w:rsid w:val="00124772"/>
    <w:rsid w:val="00124827"/>
    <w:rsid w:val="00124FE0"/>
    <w:rsid w:val="00125161"/>
    <w:rsid w:val="001254E5"/>
    <w:rsid w:val="00125543"/>
    <w:rsid w:val="00126B26"/>
    <w:rsid w:val="00126CC0"/>
    <w:rsid w:val="00126E55"/>
    <w:rsid w:val="0012794C"/>
    <w:rsid w:val="00127D67"/>
    <w:rsid w:val="00131E2D"/>
    <w:rsid w:val="001328D0"/>
    <w:rsid w:val="00133286"/>
    <w:rsid w:val="0013347C"/>
    <w:rsid w:val="001335BA"/>
    <w:rsid w:val="00133687"/>
    <w:rsid w:val="00133860"/>
    <w:rsid w:val="001347D2"/>
    <w:rsid w:val="00135445"/>
    <w:rsid w:val="00135D83"/>
    <w:rsid w:val="0013654E"/>
    <w:rsid w:val="00137D7D"/>
    <w:rsid w:val="001404A9"/>
    <w:rsid w:val="001414F3"/>
    <w:rsid w:val="00141816"/>
    <w:rsid w:val="001424D2"/>
    <w:rsid w:val="0014379B"/>
    <w:rsid w:val="001438AB"/>
    <w:rsid w:val="0014398F"/>
    <w:rsid w:val="00143A5A"/>
    <w:rsid w:val="00144320"/>
    <w:rsid w:val="00145956"/>
    <w:rsid w:val="001467F7"/>
    <w:rsid w:val="00146EDA"/>
    <w:rsid w:val="0014733D"/>
    <w:rsid w:val="00151AE6"/>
    <w:rsid w:val="00151C70"/>
    <w:rsid w:val="0015212E"/>
    <w:rsid w:val="001523D7"/>
    <w:rsid w:val="00152D59"/>
    <w:rsid w:val="00153ECF"/>
    <w:rsid w:val="00154298"/>
    <w:rsid w:val="00154339"/>
    <w:rsid w:val="001545AE"/>
    <w:rsid w:val="00154E44"/>
    <w:rsid w:val="00156587"/>
    <w:rsid w:val="0015763C"/>
    <w:rsid w:val="00157CA9"/>
    <w:rsid w:val="0016005A"/>
    <w:rsid w:val="00160141"/>
    <w:rsid w:val="00160994"/>
    <w:rsid w:val="00161429"/>
    <w:rsid w:val="00161772"/>
    <w:rsid w:val="00161C4B"/>
    <w:rsid w:val="00162062"/>
    <w:rsid w:val="001638CE"/>
    <w:rsid w:val="00163D93"/>
    <w:rsid w:val="0016405E"/>
    <w:rsid w:val="001643DF"/>
    <w:rsid w:val="001648E6"/>
    <w:rsid w:val="00164979"/>
    <w:rsid w:val="00165671"/>
    <w:rsid w:val="0016596E"/>
    <w:rsid w:val="001672BD"/>
    <w:rsid w:val="0016780D"/>
    <w:rsid w:val="00172D27"/>
    <w:rsid w:val="00173781"/>
    <w:rsid w:val="00174115"/>
    <w:rsid w:val="00174542"/>
    <w:rsid w:val="00174553"/>
    <w:rsid w:val="001748E9"/>
    <w:rsid w:val="0017495A"/>
    <w:rsid w:val="0017568F"/>
    <w:rsid w:val="001757C5"/>
    <w:rsid w:val="001760CB"/>
    <w:rsid w:val="00181B72"/>
    <w:rsid w:val="001829B0"/>
    <w:rsid w:val="00182E1E"/>
    <w:rsid w:val="00184023"/>
    <w:rsid w:val="00184134"/>
    <w:rsid w:val="00184250"/>
    <w:rsid w:val="00185207"/>
    <w:rsid w:val="00185ABC"/>
    <w:rsid w:val="001864E5"/>
    <w:rsid w:val="00186530"/>
    <w:rsid w:val="001871C4"/>
    <w:rsid w:val="00187A5C"/>
    <w:rsid w:val="00187EB7"/>
    <w:rsid w:val="00190672"/>
    <w:rsid w:val="00191E08"/>
    <w:rsid w:val="00191F62"/>
    <w:rsid w:val="001930B7"/>
    <w:rsid w:val="00193B35"/>
    <w:rsid w:val="00193B4D"/>
    <w:rsid w:val="00193E60"/>
    <w:rsid w:val="0019435A"/>
    <w:rsid w:val="0019492E"/>
    <w:rsid w:val="001956DC"/>
    <w:rsid w:val="00195D2E"/>
    <w:rsid w:val="001960E9"/>
    <w:rsid w:val="001968E2"/>
    <w:rsid w:val="00196B6B"/>
    <w:rsid w:val="00196D8E"/>
    <w:rsid w:val="00196DF3"/>
    <w:rsid w:val="001975D4"/>
    <w:rsid w:val="00197D9A"/>
    <w:rsid w:val="00197F64"/>
    <w:rsid w:val="001A0310"/>
    <w:rsid w:val="001A048A"/>
    <w:rsid w:val="001A0F65"/>
    <w:rsid w:val="001A2204"/>
    <w:rsid w:val="001A288D"/>
    <w:rsid w:val="001A384F"/>
    <w:rsid w:val="001A4203"/>
    <w:rsid w:val="001A4BB7"/>
    <w:rsid w:val="001A55DD"/>
    <w:rsid w:val="001A6084"/>
    <w:rsid w:val="001A62A1"/>
    <w:rsid w:val="001A648B"/>
    <w:rsid w:val="001A69DD"/>
    <w:rsid w:val="001A6BB6"/>
    <w:rsid w:val="001A7542"/>
    <w:rsid w:val="001A7746"/>
    <w:rsid w:val="001B03D3"/>
    <w:rsid w:val="001B06F9"/>
    <w:rsid w:val="001B0AB6"/>
    <w:rsid w:val="001B1130"/>
    <w:rsid w:val="001B1C9F"/>
    <w:rsid w:val="001B1E0E"/>
    <w:rsid w:val="001B20D5"/>
    <w:rsid w:val="001B2334"/>
    <w:rsid w:val="001B3593"/>
    <w:rsid w:val="001B35E9"/>
    <w:rsid w:val="001B3707"/>
    <w:rsid w:val="001B3CB2"/>
    <w:rsid w:val="001B50A1"/>
    <w:rsid w:val="001B561B"/>
    <w:rsid w:val="001B5B96"/>
    <w:rsid w:val="001B5F02"/>
    <w:rsid w:val="001B69A3"/>
    <w:rsid w:val="001B7322"/>
    <w:rsid w:val="001B765A"/>
    <w:rsid w:val="001B7854"/>
    <w:rsid w:val="001C0839"/>
    <w:rsid w:val="001C14A6"/>
    <w:rsid w:val="001C251F"/>
    <w:rsid w:val="001C4759"/>
    <w:rsid w:val="001C4D54"/>
    <w:rsid w:val="001C5656"/>
    <w:rsid w:val="001C5AA4"/>
    <w:rsid w:val="001C67D4"/>
    <w:rsid w:val="001C6846"/>
    <w:rsid w:val="001C6883"/>
    <w:rsid w:val="001D02E1"/>
    <w:rsid w:val="001D0C73"/>
    <w:rsid w:val="001D17AC"/>
    <w:rsid w:val="001D2665"/>
    <w:rsid w:val="001D28DC"/>
    <w:rsid w:val="001D2B80"/>
    <w:rsid w:val="001D2D35"/>
    <w:rsid w:val="001D2E4E"/>
    <w:rsid w:val="001D3A1D"/>
    <w:rsid w:val="001D49E8"/>
    <w:rsid w:val="001D5548"/>
    <w:rsid w:val="001D55A9"/>
    <w:rsid w:val="001D58BD"/>
    <w:rsid w:val="001D684C"/>
    <w:rsid w:val="001D709D"/>
    <w:rsid w:val="001E0A9C"/>
    <w:rsid w:val="001E0D0B"/>
    <w:rsid w:val="001E1149"/>
    <w:rsid w:val="001E1901"/>
    <w:rsid w:val="001E36D5"/>
    <w:rsid w:val="001E42CC"/>
    <w:rsid w:val="001E4F55"/>
    <w:rsid w:val="001E5697"/>
    <w:rsid w:val="001E6198"/>
    <w:rsid w:val="001E78BD"/>
    <w:rsid w:val="001F00F0"/>
    <w:rsid w:val="001F04DE"/>
    <w:rsid w:val="001F062E"/>
    <w:rsid w:val="001F0ABF"/>
    <w:rsid w:val="001F14B0"/>
    <w:rsid w:val="001F20AF"/>
    <w:rsid w:val="001F2626"/>
    <w:rsid w:val="001F321B"/>
    <w:rsid w:val="001F3646"/>
    <w:rsid w:val="001F3E68"/>
    <w:rsid w:val="001F4A3E"/>
    <w:rsid w:val="001F4E50"/>
    <w:rsid w:val="001F4FE4"/>
    <w:rsid w:val="001F5722"/>
    <w:rsid w:val="001F5970"/>
    <w:rsid w:val="001F59E2"/>
    <w:rsid w:val="001F5D34"/>
    <w:rsid w:val="001F626D"/>
    <w:rsid w:val="001F66E3"/>
    <w:rsid w:val="001F6A20"/>
    <w:rsid w:val="001F6A9C"/>
    <w:rsid w:val="001F70B6"/>
    <w:rsid w:val="001F739C"/>
    <w:rsid w:val="001F7711"/>
    <w:rsid w:val="001F7D34"/>
    <w:rsid w:val="00200755"/>
    <w:rsid w:val="002021DE"/>
    <w:rsid w:val="002041E9"/>
    <w:rsid w:val="00204574"/>
    <w:rsid w:val="0020508E"/>
    <w:rsid w:val="002069D8"/>
    <w:rsid w:val="00206A7F"/>
    <w:rsid w:val="0020711A"/>
    <w:rsid w:val="00207730"/>
    <w:rsid w:val="0021180E"/>
    <w:rsid w:val="0021213E"/>
    <w:rsid w:val="00212223"/>
    <w:rsid w:val="002125D5"/>
    <w:rsid w:val="00212714"/>
    <w:rsid w:val="00212E56"/>
    <w:rsid w:val="00213786"/>
    <w:rsid w:val="00213EC2"/>
    <w:rsid w:val="00214439"/>
    <w:rsid w:val="00214D50"/>
    <w:rsid w:val="002163AF"/>
    <w:rsid w:val="002164DC"/>
    <w:rsid w:val="002166B3"/>
    <w:rsid w:val="00216E7C"/>
    <w:rsid w:val="00217334"/>
    <w:rsid w:val="00221FC5"/>
    <w:rsid w:val="00222682"/>
    <w:rsid w:val="002226A1"/>
    <w:rsid w:val="00222815"/>
    <w:rsid w:val="00222831"/>
    <w:rsid w:val="00223178"/>
    <w:rsid w:val="0022318C"/>
    <w:rsid w:val="00223808"/>
    <w:rsid w:val="0022467F"/>
    <w:rsid w:val="00225685"/>
    <w:rsid w:val="00226A52"/>
    <w:rsid w:val="00226BE3"/>
    <w:rsid w:val="00226CEA"/>
    <w:rsid w:val="00227B1B"/>
    <w:rsid w:val="0023094A"/>
    <w:rsid w:val="00232556"/>
    <w:rsid w:val="00232AF5"/>
    <w:rsid w:val="00233531"/>
    <w:rsid w:val="00234907"/>
    <w:rsid w:val="00235C3E"/>
    <w:rsid w:val="002364B4"/>
    <w:rsid w:val="0023661B"/>
    <w:rsid w:val="00236927"/>
    <w:rsid w:val="002375C4"/>
    <w:rsid w:val="0024028E"/>
    <w:rsid w:val="00241A46"/>
    <w:rsid w:val="002431B9"/>
    <w:rsid w:val="002436BE"/>
    <w:rsid w:val="00243AE1"/>
    <w:rsid w:val="00245732"/>
    <w:rsid w:val="00245913"/>
    <w:rsid w:val="00245992"/>
    <w:rsid w:val="00246518"/>
    <w:rsid w:val="002478EF"/>
    <w:rsid w:val="00247A3B"/>
    <w:rsid w:val="002502C2"/>
    <w:rsid w:val="00251ABE"/>
    <w:rsid w:val="0025208F"/>
    <w:rsid w:val="0025259C"/>
    <w:rsid w:val="0025312C"/>
    <w:rsid w:val="00253166"/>
    <w:rsid w:val="002534E9"/>
    <w:rsid w:val="00253D9F"/>
    <w:rsid w:val="00254965"/>
    <w:rsid w:val="00254CC9"/>
    <w:rsid w:val="00254D8A"/>
    <w:rsid w:val="00256232"/>
    <w:rsid w:val="00256A6D"/>
    <w:rsid w:val="00256C03"/>
    <w:rsid w:val="00256F31"/>
    <w:rsid w:val="00256FBC"/>
    <w:rsid w:val="00257385"/>
    <w:rsid w:val="00260173"/>
    <w:rsid w:val="00260D98"/>
    <w:rsid w:val="002613C1"/>
    <w:rsid w:val="002613F5"/>
    <w:rsid w:val="0026141F"/>
    <w:rsid w:val="00261ED7"/>
    <w:rsid w:val="002620C4"/>
    <w:rsid w:val="00262122"/>
    <w:rsid w:val="00262237"/>
    <w:rsid w:val="0026337D"/>
    <w:rsid w:val="002634E1"/>
    <w:rsid w:val="002636A0"/>
    <w:rsid w:val="00263D54"/>
    <w:rsid w:val="0026440A"/>
    <w:rsid w:val="00264457"/>
    <w:rsid w:val="00265566"/>
    <w:rsid w:val="00265CFD"/>
    <w:rsid w:val="00265F28"/>
    <w:rsid w:val="00266110"/>
    <w:rsid w:val="00266330"/>
    <w:rsid w:val="00266633"/>
    <w:rsid w:val="00267202"/>
    <w:rsid w:val="00267298"/>
    <w:rsid w:val="002672A0"/>
    <w:rsid w:val="0026748C"/>
    <w:rsid w:val="00267B6E"/>
    <w:rsid w:val="00267DAE"/>
    <w:rsid w:val="00270823"/>
    <w:rsid w:val="00270AD9"/>
    <w:rsid w:val="00270B31"/>
    <w:rsid w:val="00271743"/>
    <w:rsid w:val="0027263B"/>
    <w:rsid w:val="00272727"/>
    <w:rsid w:val="00272D28"/>
    <w:rsid w:val="0027471B"/>
    <w:rsid w:val="002751C2"/>
    <w:rsid w:val="00275256"/>
    <w:rsid w:val="00276077"/>
    <w:rsid w:val="002775FC"/>
    <w:rsid w:val="00280072"/>
    <w:rsid w:val="0028098C"/>
    <w:rsid w:val="00281D6D"/>
    <w:rsid w:val="002821C5"/>
    <w:rsid w:val="0028239A"/>
    <w:rsid w:val="00282A92"/>
    <w:rsid w:val="002836F5"/>
    <w:rsid w:val="00283A6B"/>
    <w:rsid w:val="00283FD0"/>
    <w:rsid w:val="0028485A"/>
    <w:rsid w:val="0028651B"/>
    <w:rsid w:val="00287AFB"/>
    <w:rsid w:val="00287EC1"/>
    <w:rsid w:val="00290113"/>
    <w:rsid w:val="002904C7"/>
    <w:rsid w:val="002915B7"/>
    <w:rsid w:val="00291C4B"/>
    <w:rsid w:val="00292082"/>
    <w:rsid w:val="0029227A"/>
    <w:rsid w:val="00292381"/>
    <w:rsid w:val="00292CDC"/>
    <w:rsid w:val="00293863"/>
    <w:rsid w:val="002941A3"/>
    <w:rsid w:val="00295A6D"/>
    <w:rsid w:val="00295DF0"/>
    <w:rsid w:val="00296645"/>
    <w:rsid w:val="00296E08"/>
    <w:rsid w:val="00297C0B"/>
    <w:rsid w:val="002A0DFB"/>
    <w:rsid w:val="002A0E3C"/>
    <w:rsid w:val="002A1005"/>
    <w:rsid w:val="002A1529"/>
    <w:rsid w:val="002A18ED"/>
    <w:rsid w:val="002A1C56"/>
    <w:rsid w:val="002A1D28"/>
    <w:rsid w:val="002A1FD6"/>
    <w:rsid w:val="002A22AF"/>
    <w:rsid w:val="002A29D2"/>
    <w:rsid w:val="002A2E36"/>
    <w:rsid w:val="002A321D"/>
    <w:rsid w:val="002A36CF"/>
    <w:rsid w:val="002A4737"/>
    <w:rsid w:val="002A53E5"/>
    <w:rsid w:val="002A5852"/>
    <w:rsid w:val="002A5928"/>
    <w:rsid w:val="002A62C3"/>
    <w:rsid w:val="002A7486"/>
    <w:rsid w:val="002A766A"/>
    <w:rsid w:val="002A7C02"/>
    <w:rsid w:val="002A7E1E"/>
    <w:rsid w:val="002A7E5D"/>
    <w:rsid w:val="002B0B7B"/>
    <w:rsid w:val="002B10FB"/>
    <w:rsid w:val="002B15A7"/>
    <w:rsid w:val="002B15E6"/>
    <w:rsid w:val="002B2652"/>
    <w:rsid w:val="002B2EC5"/>
    <w:rsid w:val="002B3D5B"/>
    <w:rsid w:val="002B43BB"/>
    <w:rsid w:val="002B4B64"/>
    <w:rsid w:val="002B51C3"/>
    <w:rsid w:val="002B7130"/>
    <w:rsid w:val="002B74FD"/>
    <w:rsid w:val="002B7509"/>
    <w:rsid w:val="002B799E"/>
    <w:rsid w:val="002B79DC"/>
    <w:rsid w:val="002B7C12"/>
    <w:rsid w:val="002C03DA"/>
    <w:rsid w:val="002C0743"/>
    <w:rsid w:val="002C0BC4"/>
    <w:rsid w:val="002C0E6A"/>
    <w:rsid w:val="002C10D7"/>
    <w:rsid w:val="002C1479"/>
    <w:rsid w:val="002C18A0"/>
    <w:rsid w:val="002C1D2E"/>
    <w:rsid w:val="002C211A"/>
    <w:rsid w:val="002C2298"/>
    <w:rsid w:val="002C26D4"/>
    <w:rsid w:val="002C2BED"/>
    <w:rsid w:val="002C3101"/>
    <w:rsid w:val="002C366D"/>
    <w:rsid w:val="002C5954"/>
    <w:rsid w:val="002C5F58"/>
    <w:rsid w:val="002C6A1C"/>
    <w:rsid w:val="002C768B"/>
    <w:rsid w:val="002C79A8"/>
    <w:rsid w:val="002C7EF2"/>
    <w:rsid w:val="002D112B"/>
    <w:rsid w:val="002D2100"/>
    <w:rsid w:val="002D260C"/>
    <w:rsid w:val="002D2970"/>
    <w:rsid w:val="002D3518"/>
    <w:rsid w:val="002D3C52"/>
    <w:rsid w:val="002D3E22"/>
    <w:rsid w:val="002D54C7"/>
    <w:rsid w:val="002D56C5"/>
    <w:rsid w:val="002D5AAA"/>
    <w:rsid w:val="002D6616"/>
    <w:rsid w:val="002D67CC"/>
    <w:rsid w:val="002D6FC3"/>
    <w:rsid w:val="002D79AA"/>
    <w:rsid w:val="002E02C4"/>
    <w:rsid w:val="002E1871"/>
    <w:rsid w:val="002E238A"/>
    <w:rsid w:val="002E3AEC"/>
    <w:rsid w:val="002E3CF2"/>
    <w:rsid w:val="002E5787"/>
    <w:rsid w:val="002E5849"/>
    <w:rsid w:val="002E5ABF"/>
    <w:rsid w:val="002E5BEC"/>
    <w:rsid w:val="002E69E2"/>
    <w:rsid w:val="002E6F5B"/>
    <w:rsid w:val="002E710F"/>
    <w:rsid w:val="002E7320"/>
    <w:rsid w:val="002E78A3"/>
    <w:rsid w:val="002F08CD"/>
    <w:rsid w:val="002F1287"/>
    <w:rsid w:val="002F142C"/>
    <w:rsid w:val="002F1D60"/>
    <w:rsid w:val="002F3EA6"/>
    <w:rsid w:val="002F56E4"/>
    <w:rsid w:val="002F5CBB"/>
    <w:rsid w:val="002F5E45"/>
    <w:rsid w:val="002F5E6A"/>
    <w:rsid w:val="002F61B2"/>
    <w:rsid w:val="002F6AEC"/>
    <w:rsid w:val="002F7AAE"/>
    <w:rsid w:val="0030061A"/>
    <w:rsid w:val="00300726"/>
    <w:rsid w:val="00301913"/>
    <w:rsid w:val="0030196C"/>
    <w:rsid w:val="00301C04"/>
    <w:rsid w:val="00302717"/>
    <w:rsid w:val="003043BE"/>
    <w:rsid w:val="00304900"/>
    <w:rsid w:val="00304BFF"/>
    <w:rsid w:val="00306F45"/>
    <w:rsid w:val="00307232"/>
    <w:rsid w:val="00307E20"/>
    <w:rsid w:val="00311292"/>
    <w:rsid w:val="0031260C"/>
    <w:rsid w:val="00312C75"/>
    <w:rsid w:val="00312DA6"/>
    <w:rsid w:val="00312EAF"/>
    <w:rsid w:val="00313590"/>
    <w:rsid w:val="00313E26"/>
    <w:rsid w:val="00314363"/>
    <w:rsid w:val="00314E25"/>
    <w:rsid w:val="00315331"/>
    <w:rsid w:val="00315FDD"/>
    <w:rsid w:val="003203B5"/>
    <w:rsid w:val="00320A30"/>
    <w:rsid w:val="00322586"/>
    <w:rsid w:val="0032273E"/>
    <w:rsid w:val="0032393A"/>
    <w:rsid w:val="00323DD3"/>
    <w:rsid w:val="00324379"/>
    <w:rsid w:val="003243FF"/>
    <w:rsid w:val="0032457C"/>
    <w:rsid w:val="0032474D"/>
    <w:rsid w:val="003249B9"/>
    <w:rsid w:val="00325F2B"/>
    <w:rsid w:val="00326439"/>
    <w:rsid w:val="0032654E"/>
    <w:rsid w:val="00326669"/>
    <w:rsid w:val="003266B8"/>
    <w:rsid w:val="00326988"/>
    <w:rsid w:val="00326D4A"/>
    <w:rsid w:val="00326F79"/>
    <w:rsid w:val="00327D2D"/>
    <w:rsid w:val="0033159D"/>
    <w:rsid w:val="0033192D"/>
    <w:rsid w:val="003325C2"/>
    <w:rsid w:val="00333CD8"/>
    <w:rsid w:val="00335081"/>
    <w:rsid w:val="00335AA7"/>
    <w:rsid w:val="00337515"/>
    <w:rsid w:val="00337BE3"/>
    <w:rsid w:val="003407DA"/>
    <w:rsid w:val="00342196"/>
    <w:rsid w:val="003423DE"/>
    <w:rsid w:val="00343199"/>
    <w:rsid w:val="00344737"/>
    <w:rsid w:val="00345EE0"/>
    <w:rsid w:val="00346706"/>
    <w:rsid w:val="00346987"/>
    <w:rsid w:val="00346ED5"/>
    <w:rsid w:val="0035142B"/>
    <w:rsid w:val="003514ED"/>
    <w:rsid w:val="00351C1F"/>
    <w:rsid w:val="00351E1C"/>
    <w:rsid w:val="00352106"/>
    <w:rsid w:val="0035217E"/>
    <w:rsid w:val="00352758"/>
    <w:rsid w:val="00352D33"/>
    <w:rsid w:val="00353CB2"/>
    <w:rsid w:val="003541C4"/>
    <w:rsid w:val="00354A18"/>
    <w:rsid w:val="00354E92"/>
    <w:rsid w:val="003550EA"/>
    <w:rsid w:val="003559FA"/>
    <w:rsid w:val="00355D56"/>
    <w:rsid w:val="00357B74"/>
    <w:rsid w:val="00360176"/>
    <w:rsid w:val="00360556"/>
    <w:rsid w:val="00360720"/>
    <w:rsid w:val="0036132C"/>
    <w:rsid w:val="00362325"/>
    <w:rsid w:val="00362A0D"/>
    <w:rsid w:val="0036400D"/>
    <w:rsid w:val="003652A0"/>
    <w:rsid w:val="003658EF"/>
    <w:rsid w:val="00365FDC"/>
    <w:rsid w:val="003661DE"/>
    <w:rsid w:val="003670AA"/>
    <w:rsid w:val="00367BF2"/>
    <w:rsid w:val="00370A60"/>
    <w:rsid w:val="00370B08"/>
    <w:rsid w:val="003713F9"/>
    <w:rsid w:val="003719C4"/>
    <w:rsid w:val="00371D19"/>
    <w:rsid w:val="003724EE"/>
    <w:rsid w:val="00373C93"/>
    <w:rsid w:val="00374E6D"/>
    <w:rsid w:val="0037636A"/>
    <w:rsid w:val="00376AC0"/>
    <w:rsid w:val="00377971"/>
    <w:rsid w:val="003803FA"/>
    <w:rsid w:val="00380461"/>
    <w:rsid w:val="003812CC"/>
    <w:rsid w:val="00381490"/>
    <w:rsid w:val="00381936"/>
    <w:rsid w:val="003827AF"/>
    <w:rsid w:val="00384704"/>
    <w:rsid w:val="0038490E"/>
    <w:rsid w:val="003849A2"/>
    <w:rsid w:val="00385E59"/>
    <w:rsid w:val="003863F6"/>
    <w:rsid w:val="00386E22"/>
    <w:rsid w:val="00387270"/>
    <w:rsid w:val="00390465"/>
    <w:rsid w:val="0039097A"/>
    <w:rsid w:val="00391350"/>
    <w:rsid w:val="003917E1"/>
    <w:rsid w:val="00393479"/>
    <w:rsid w:val="003937BF"/>
    <w:rsid w:val="003938B0"/>
    <w:rsid w:val="00394384"/>
    <w:rsid w:val="003945C0"/>
    <w:rsid w:val="00394F5D"/>
    <w:rsid w:val="003953F7"/>
    <w:rsid w:val="003960C1"/>
    <w:rsid w:val="003972B5"/>
    <w:rsid w:val="003A0725"/>
    <w:rsid w:val="003A0E00"/>
    <w:rsid w:val="003A1290"/>
    <w:rsid w:val="003A18CF"/>
    <w:rsid w:val="003A3105"/>
    <w:rsid w:val="003A32A5"/>
    <w:rsid w:val="003A35D3"/>
    <w:rsid w:val="003A3FB3"/>
    <w:rsid w:val="003A3FCF"/>
    <w:rsid w:val="003A4987"/>
    <w:rsid w:val="003A4FD0"/>
    <w:rsid w:val="003A50A2"/>
    <w:rsid w:val="003A5110"/>
    <w:rsid w:val="003A5245"/>
    <w:rsid w:val="003A52E9"/>
    <w:rsid w:val="003A5304"/>
    <w:rsid w:val="003A5AEB"/>
    <w:rsid w:val="003A60E0"/>
    <w:rsid w:val="003A6EC4"/>
    <w:rsid w:val="003A70BA"/>
    <w:rsid w:val="003A7ECC"/>
    <w:rsid w:val="003B092A"/>
    <w:rsid w:val="003B0AF2"/>
    <w:rsid w:val="003B0B34"/>
    <w:rsid w:val="003B0EDF"/>
    <w:rsid w:val="003B12AD"/>
    <w:rsid w:val="003B220F"/>
    <w:rsid w:val="003B27AF"/>
    <w:rsid w:val="003B330D"/>
    <w:rsid w:val="003B3593"/>
    <w:rsid w:val="003B3AA3"/>
    <w:rsid w:val="003B3D78"/>
    <w:rsid w:val="003B478B"/>
    <w:rsid w:val="003B570F"/>
    <w:rsid w:val="003B6387"/>
    <w:rsid w:val="003B6E43"/>
    <w:rsid w:val="003B7237"/>
    <w:rsid w:val="003C096D"/>
    <w:rsid w:val="003C0E95"/>
    <w:rsid w:val="003C1028"/>
    <w:rsid w:val="003C1653"/>
    <w:rsid w:val="003C205E"/>
    <w:rsid w:val="003C2158"/>
    <w:rsid w:val="003C2208"/>
    <w:rsid w:val="003C2924"/>
    <w:rsid w:val="003C2D1C"/>
    <w:rsid w:val="003C2DFE"/>
    <w:rsid w:val="003C3114"/>
    <w:rsid w:val="003C4254"/>
    <w:rsid w:val="003C4632"/>
    <w:rsid w:val="003C4945"/>
    <w:rsid w:val="003C50AE"/>
    <w:rsid w:val="003C6758"/>
    <w:rsid w:val="003C79A0"/>
    <w:rsid w:val="003D0B54"/>
    <w:rsid w:val="003D25F5"/>
    <w:rsid w:val="003D27CC"/>
    <w:rsid w:val="003D435F"/>
    <w:rsid w:val="003D554F"/>
    <w:rsid w:val="003D5D63"/>
    <w:rsid w:val="003D6A47"/>
    <w:rsid w:val="003D6DF2"/>
    <w:rsid w:val="003D703A"/>
    <w:rsid w:val="003D7146"/>
    <w:rsid w:val="003D748A"/>
    <w:rsid w:val="003D76D8"/>
    <w:rsid w:val="003D7D3E"/>
    <w:rsid w:val="003E04DE"/>
    <w:rsid w:val="003E0E01"/>
    <w:rsid w:val="003E0E9C"/>
    <w:rsid w:val="003E1044"/>
    <w:rsid w:val="003E168D"/>
    <w:rsid w:val="003E1CA9"/>
    <w:rsid w:val="003E22C4"/>
    <w:rsid w:val="003E3A1D"/>
    <w:rsid w:val="003E470E"/>
    <w:rsid w:val="003E4DD3"/>
    <w:rsid w:val="003E657B"/>
    <w:rsid w:val="003E7065"/>
    <w:rsid w:val="003E7485"/>
    <w:rsid w:val="003E7507"/>
    <w:rsid w:val="003E7CE2"/>
    <w:rsid w:val="003F0597"/>
    <w:rsid w:val="003F107C"/>
    <w:rsid w:val="003F18F7"/>
    <w:rsid w:val="003F1E9D"/>
    <w:rsid w:val="003F362B"/>
    <w:rsid w:val="003F3656"/>
    <w:rsid w:val="003F3B02"/>
    <w:rsid w:val="003F3BF4"/>
    <w:rsid w:val="003F3FAF"/>
    <w:rsid w:val="003F670D"/>
    <w:rsid w:val="003F7B32"/>
    <w:rsid w:val="00400110"/>
    <w:rsid w:val="00400526"/>
    <w:rsid w:val="00400983"/>
    <w:rsid w:val="00401990"/>
    <w:rsid w:val="00403ED5"/>
    <w:rsid w:val="0040459B"/>
    <w:rsid w:val="00404C21"/>
    <w:rsid w:val="00405294"/>
    <w:rsid w:val="004054B1"/>
    <w:rsid w:val="00405940"/>
    <w:rsid w:val="00405B58"/>
    <w:rsid w:val="00406A51"/>
    <w:rsid w:val="004074DD"/>
    <w:rsid w:val="00407696"/>
    <w:rsid w:val="004105E0"/>
    <w:rsid w:val="0041160A"/>
    <w:rsid w:val="00411F68"/>
    <w:rsid w:val="00412740"/>
    <w:rsid w:val="00413F4D"/>
    <w:rsid w:val="0041457A"/>
    <w:rsid w:val="004153FC"/>
    <w:rsid w:val="004158F0"/>
    <w:rsid w:val="00416547"/>
    <w:rsid w:val="004166F7"/>
    <w:rsid w:val="00416870"/>
    <w:rsid w:val="00417308"/>
    <w:rsid w:val="0041772A"/>
    <w:rsid w:val="0041779B"/>
    <w:rsid w:val="0042017B"/>
    <w:rsid w:val="004208F0"/>
    <w:rsid w:val="00420913"/>
    <w:rsid w:val="00420B43"/>
    <w:rsid w:val="00420D3C"/>
    <w:rsid w:val="004211F6"/>
    <w:rsid w:val="00421A81"/>
    <w:rsid w:val="00422883"/>
    <w:rsid w:val="00422ACC"/>
    <w:rsid w:val="0042468F"/>
    <w:rsid w:val="00424BD9"/>
    <w:rsid w:val="00424E25"/>
    <w:rsid w:val="0042529A"/>
    <w:rsid w:val="00425D46"/>
    <w:rsid w:val="00426845"/>
    <w:rsid w:val="00427219"/>
    <w:rsid w:val="004274C1"/>
    <w:rsid w:val="00427B82"/>
    <w:rsid w:val="00430234"/>
    <w:rsid w:val="00431767"/>
    <w:rsid w:val="00431E4B"/>
    <w:rsid w:val="0043207F"/>
    <w:rsid w:val="0043296A"/>
    <w:rsid w:val="00433CB2"/>
    <w:rsid w:val="00434700"/>
    <w:rsid w:val="00434E44"/>
    <w:rsid w:val="00434E64"/>
    <w:rsid w:val="00435604"/>
    <w:rsid w:val="00435631"/>
    <w:rsid w:val="00435C79"/>
    <w:rsid w:val="004367EF"/>
    <w:rsid w:val="0043688A"/>
    <w:rsid w:val="00436F71"/>
    <w:rsid w:val="0043785F"/>
    <w:rsid w:val="00437CA2"/>
    <w:rsid w:val="004409C3"/>
    <w:rsid w:val="00440B2D"/>
    <w:rsid w:val="00440D16"/>
    <w:rsid w:val="004421AE"/>
    <w:rsid w:val="004421E3"/>
    <w:rsid w:val="004430BB"/>
    <w:rsid w:val="0044331B"/>
    <w:rsid w:val="00443831"/>
    <w:rsid w:val="004442BE"/>
    <w:rsid w:val="00445B5E"/>
    <w:rsid w:val="004468AE"/>
    <w:rsid w:val="00446911"/>
    <w:rsid w:val="00446EA3"/>
    <w:rsid w:val="00450343"/>
    <w:rsid w:val="00450950"/>
    <w:rsid w:val="00450EFF"/>
    <w:rsid w:val="00451043"/>
    <w:rsid w:val="00451104"/>
    <w:rsid w:val="00451534"/>
    <w:rsid w:val="00452F6C"/>
    <w:rsid w:val="004535E1"/>
    <w:rsid w:val="00454144"/>
    <w:rsid w:val="0045422F"/>
    <w:rsid w:val="0045433C"/>
    <w:rsid w:val="0045471C"/>
    <w:rsid w:val="0045473B"/>
    <w:rsid w:val="00457115"/>
    <w:rsid w:val="00460705"/>
    <w:rsid w:val="00460A24"/>
    <w:rsid w:val="00460BC9"/>
    <w:rsid w:val="004613BC"/>
    <w:rsid w:val="0046151F"/>
    <w:rsid w:val="00461F2D"/>
    <w:rsid w:val="00462AA7"/>
    <w:rsid w:val="00463AB6"/>
    <w:rsid w:val="00464052"/>
    <w:rsid w:val="00464102"/>
    <w:rsid w:val="00465799"/>
    <w:rsid w:val="0046586B"/>
    <w:rsid w:val="004660F5"/>
    <w:rsid w:val="0046675F"/>
    <w:rsid w:val="004674F7"/>
    <w:rsid w:val="00470219"/>
    <w:rsid w:val="00470256"/>
    <w:rsid w:val="004704F9"/>
    <w:rsid w:val="00470847"/>
    <w:rsid w:val="004708C0"/>
    <w:rsid w:val="00471039"/>
    <w:rsid w:val="00471447"/>
    <w:rsid w:val="00471B70"/>
    <w:rsid w:val="00471D1D"/>
    <w:rsid w:val="00471D33"/>
    <w:rsid w:val="0047220A"/>
    <w:rsid w:val="004726C0"/>
    <w:rsid w:val="0047271F"/>
    <w:rsid w:val="00472EDA"/>
    <w:rsid w:val="004732C6"/>
    <w:rsid w:val="00473ED5"/>
    <w:rsid w:val="004744E1"/>
    <w:rsid w:val="00474682"/>
    <w:rsid w:val="004758DE"/>
    <w:rsid w:val="00475AE3"/>
    <w:rsid w:val="00475F4B"/>
    <w:rsid w:val="004769C3"/>
    <w:rsid w:val="00477159"/>
    <w:rsid w:val="00477B88"/>
    <w:rsid w:val="00480253"/>
    <w:rsid w:val="004805D6"/>
    <w:rsid w:val="00480B8A"/>
    <w:rsid w:val="00481C22"/>
    <w:rsid w:val="004825A3"/>
    <w:rsid w:val="00482DFE"/>
    <w:rsid w:val="004834BC"/>
    <w:rsid w:val="00484AD3"/>
    <w:rsid w:val="004851EA"/>
    <w:rsid w:val="0048573D"/>
    <w:rsid w:val="00485A63"/>
    <w:rsid w:val="004868DB"/>
    <w:rsid w:val="00486BF3"/>
    <w:rsid w:val="004872D2"/>
    <w:rsid w:val="00487AE4"/>
    <w:rsid w:val="00490B11"/>
    <w:rsid w:val="00490E21"/>
    <w:rsid w:val="00491AFA"/>
    <w:rsid w:val="00491FB6"/>
    <w:rsid w:val="004931A3"/>
    <w:rsid w:val="00493412"/>
    <w:rsid w:val="00493C3D"/>
    <w:rsid w:val="00494750"/>
    <w:rsid w:val="00495348"/>
    <w:rsid w:val="0049640D"/>
    <w:rsid w:val="00497168"/>
    <w:rsid w:val="004972DE"/>
    <w:rsid w:val="00497732"/>
    <w:rsid w:val="00497984"/>
    <w:rsid w:val="00497C57"/>
    <w:rsid w:val="00497D4F"/>
    <w:rsid w:val="004A02DC"/>
    <w:rsid w:val="004A0C09"/>
    <w:rsid w:val="004A126D"/>
    <w:rsid w:val="004A2333"/>
    <w:rsid w:val="004A29E4"/>
    <w:rsid w:val="004A32F1"/>
    <w:rsid w:val="004A33E9"/>
    <w:rsid w:val="004A371F"/>
    <w:rsid w:val="004A3EA6"/>
    <w:rsid w:val="004A3ECA"/>
    <w:rsid w:val="004A4BF6"/>
    <w:rsid w:val="004A5001"/>
    <w:rsid w:val="004A590B"/>
    <w:rsid w:val="004A5D5B"/>
    <w:rsid w:val="004A69AD"/>
    <w:rsid w:val="004A6D0D"/>
    <w:rsid w:val="004B04C6"/>
    <w:rsid w:val="004B08D3"/>
    <w:rsid w:val="004B1613"/>
    <w:rsid w:val="004B2572"/>
    <w:rsid w:val="004B2685"/>
    <w:rsid w:val="004B35F7"/>
    <w:rsid w:val="004B3D4B"/>
    <w:rsid w:val="004B4273"/>
    <w:rsid w:val="004B4E32"/>
    <w:rsid w:val="004B5321"/>
    <w:rsid w:val="004B5383"/>
    <w:rsid w:val="004B64B5"/>
    <w:rsid w:val="004B7076"/>
    <w:rsid w:val="004B74AF"/>
    <w:rsid w:val="004C049D"/>
    <w:rsid w:val="004C202B"/>
    <w:rsid w:val="004C26B8"/>
    <w:rsid w:val="004C26D2"/>
    <w:rsid w:val="004C4444"/>
    <w:rsid w:val="004C4CB2"/>
    <w:rsid w:val="004C4D5D"/>
    <w:rsid w:val="004C5F79"/>
    <w:rsid w:val="004C612A"/>
    <w:rsid w:val="004C637F"/>
    <w:rsid w:val="004C722F"/>
    <w:rsid w:val="004C7237"/>
    <w:rsid w:val="004D03FA"/>
    <w:rsid w:val="004D07E5"/>
    <w:rsid w:val="004D14A8"/>
    <w:rsid w:val="004D2992"/>
    <w:rsid w:val="004D2BAF"/>
    <w:rsid w:val="004D2C10"/>
    <w:rsid w:val="004D3202"/>
    <w:rsid w:val="004D469E"/>
    <w:rsid w:val="004D4741"/>
    <w:rsid w:val="004D48A5"/>
    <w:rsid w:val="004D4B44"/>
    <w:rsid w:val="004D4E20"/>
    <w:rsid w:val="004D7FEA"/>
    <w:rsid w:val="004E0C6B"/>
    <w:rsid w:val="004E0D06"/>
    <w:rsid w:val="004E183B"/>
    <w:rsid w:val="004E1C62"/>
    <w:rsid w:val="004E2497"/>
    <w:rsid w:val="004E24BC"/>
    <w:rsid w:val="004E2DFB"/>
    <w:rsid w:val="004E3363"/>
    <w:rsid w:val="004E3D51"/>
    <w:rsid w:val="004E3F63"/>
    <w:rsid w:val="004E4F5A"/>
    <w:rsid w:val="004E5131"/>
    <w:rsid w:val="004E5520"/>
    <w:rsid w:val="004E55BA"/>
    <w:rsid w:val="004E565E"/>
    <w:rsid w:val="004E67DD"/>
    <w:rsid w:val="004E7840"/>
    <w:rsid w:val="004E791A"/>
    <w:rsid w:val="004F07EF"/>
    <w:rsid w:val="004F0AE6"/>
    <w:rsid w:val="004F0C24"/>
    <w:rsid w:val="004F16D1"/>
    <w:rsid w:val="004F18F6"/>
    <w:rsid w:val="004F1AD1"/>
    <w:rsid w:val="004F344E"/>
    <w:rsid w:val="004F370D"/>
    <w:rsid w:val="004F3CFC"/>
    <w:rsid w:val="004F4A05"/>
    <w:rsid w:val="004F52B4"/>
    <w:rsid w:val="004F59BE"/>
    <w:rsid w:val="004F5D8B"/>
    <w:rsid w:val="004F63DF"/>
    <w:rsid w:val="004F6CAB"/>
    <w:rsid w:val="004F7887"/>
    <w:rsid w:val="004F79B7"/>
    <w:rsid w:val="005008CC"/>
    <w:rsid w:val="005010D2"/>
    <w:rsid w:val="005016B0"/>
    <w:rsid w:val="00501D0E"/>
    <w:rsid w:val="0050202E"/>
    <w:rsid w:val="00502774"/>
    <w:rsid w:val="00503B05"/>
    <w:rsid w:val="00503DFC"/>
    <w:rsid w:val="00503F34"/>
    <w:rsid w:val="005041F1"/>
    <w:rsid w:val="00504C1B"/>
    <w:rsid w:val="005063ED"/>
    <w:rsid w:val="0050642C"/>
    <w:rsid w:val="00506B0A"/>
    <w:rsid w:val="00506B3B"/>
    <w:rsid w:val="00506BF3"/>
    <w:rsid w:val="00506E8E"/>
    <w:rsid w:val="00507250"/>
    <w:rsid w:val="005076C2"/>
    <w:rsid w:val="00507FF6"/>
    <w:rsid w:val="00510671"/>
    <w:rsid w:val="00510B87"/>
    <w:rsid w:val="00511346"/>
    <w:rsid w:val="00511BC9"/>
    <w:rsid w:val="00511C57"/>
    <w:rsid w:val="0051274C"/>
    <w:rsid w:val="005128B6"/>
    <w:rsid w:val="00512E54"/>
    <w:rsid w:val="00513932"/>
    <w:rsid w:val="00513F5E"/>
    <w:rsid w:val="00514271"/>
    <w:rsid w:val="005148A3"/>
    <w:rsid w:val="00514F62"/>
    <w:rsid w:val="00515560"/>
    <w:rsid w:val="00516548"/>
    <w:rsid w:val="00517831"/>
    <w:rsid w:val="005216FD"/>
    <w:rsid w:val="00522232"/>
    <w:rsid w:val="00522383"/>
    <w:rsid w:val="005228C3"/>
    <w:rsid w:val="0052315E"/>
    <w:rsid w:val="005231BF"/>
    <w:rsid w:val="005234AF"/>
    <w:rsid w:val="00525787"/>
    <w:rsid w:val="00525DF4"/>
    <w:rsid w:val="0052705D"/>
    <w:rsid w:val="005270A5"/>
    <w:rsid w:val="005271CF"/>
    <w:rsid w:val="00527651"/>
    <w:rsid w:val="00530D42"/>
    <w:rsid w:val="00530E86"/>
    <w:rsid w:val="00530E90"/>
    <w:rsid w:val="00531247"/>
    <w:rsid w:val="005314AC"/>
    <w:rsid w:val="00531A41"/>
    <w:rsid w:val="005325CC"/>
    <w:rsid w:val="005335C3"/>
    <w:rsid w:val="005346FE"/>
    <w:rsid w:val="00534965"/>
    <w:rsid w:val="00534ECB"/>
    <w:rsid w:val="005358B4"/>
    <w:rsid w:val="0054064D"/>
    <w:rsid w:val="005406FD"/>
    <w:rsid w:val="0054089B"/>
    <w:rsid w:val="00540AC5"/>
    <w:rsid w:val="00540BE7"/>
    <w:rsid w:val="005426C2"/>
    <w:rsid w:val="005429BE"/>
    <w:rsid w:val="00542A11"/>
    <w:rsid w:val="00545A36"/>
    <w:rsid w:val="00546559"/>
    <w:rsid w:val="005465E0"/>
    <w:rsid w:val="005467EB"/>
    <w:rsid w:val="00546AA5"/>
    <w:rsid w:val="00547601"/>
    <w:rsid w:val="00547BA0"/>
    <w:rsid w:val="0055015D"/>
    <w:rsid w:val="0055058D"/>
    <w:rsid w:val="00550895"/>
    <w:rsid w:val="00551FFF"/>
    <w:rsid w:val="00553EB0"/>
    <w:rsid w:val="0055426F"/>
    <w:rsid w:val="00554678"/>
    <w:rsid w:val="00555222"/>
    <w:rsid w:val="00557809"/>
    <w:rsid w:val="00557C85"/>
    <w:rsid w:val="00560C19"/>
    <w:rsid w:val="00560ED1"/>
    <w:rsid w:val="00561B7D"/>
    <w:rsid w:val="00562D36"/>
    <w:rsid w:val="00562E23"/>
    <w:rsid w:val="00563170"/>
    <w:rsid w:val="00564F63"/>
    <w:rsid w:val="00565E32"/>
    <w:rsid w:val="005665B1"/>
    <w:rsid w:val="0056722B"/>
    <w:rsid w:val="00567C21"/>
    <w:rsid w:val="00567CDC"/>
    <w:rsid w:val="00570837"/>
    <w:rsid w:val="00570BDD"/>
    <w:rsid w:val="00572558"/>
    <w:rsid w:val="00573060"/>
    <w:rsid w:val="00573821"/>
    <w:rsid w:val="0057388C"/>
    <w:rsid w:val="0057413F"/>
    <w:rsid w:val="00574A2F"/>
    <w:rsid w:val="00575E3A"/>
    <w:rsid w:val="0057657D"/>
    <w:rsid w:val="00576614"/>
    <w:rsid w:val="005768F3"/>
    <w:rsid w:val="00576E52"/>
    <w:rsid w:val="005776D2"/>
    <w:rsid w:val="00577957"/>
    <w:rsid w:val="00577C14"/>
    <w:rsid w:val="00580123"/>
    <w:rsid w:val="0058095C"/>
    <w:rsid w:val="00580F2D"/>
    <w:rsid w:val="00581039"/>
    <w:rsid w:val="005814AC"/>
    <w:rsid w:val="00581D56"/>
    <w:rsid w:val="00581E19"/>
    <w:rsid w:val="00582246"/>
    <w:rsid w:val="00582436"/>
    <w:rsid w:val="0058309C"/>
    <w:rsid w:val="00584093"/>
    <w:rsid w:val="0058425B"/>
    <w:rsid w:val="00584758"/>
    <w:rsid w:val="00585AB6"/>
    <w:rsid w:val="00585AD7"/>
    <w:rsid w:val="00585C38"/>
    <w:rsid w:val="00585D17"/>
    <w:rsid w:val="00586018"/>
    <w:rsid w:val="00586FA1"/>
    <w:rsid w:val="0058707E"/>
    <w:rsid w:val="005879B7"/>
    <w:rsid w:val="005926A9"/>
    <w:rsid w:val="005926FE"/>
    <w:rsid w:val="00593133"/>
    <w:rsid w:val="00593A64"/>
    <w:rsid w:val="00593B3D"/>
    <w:rsid w:val="00593F1C"/>
    <w:rsid w:val="00594585"/>
    <w:rsid w:val="005950FE"/>
    <w:rsid w:val="00596CE0"/>
    <w:rsid w:val="00597509"/>
    <w:rsid w:val="00597CC7"/>
    <w:rsid w:val="005A0745"/>
    <w:rsid w:val="005A23B8"/>
    <w:rsid w:val="005A27B6"/>
    <w:rsid w:val="005A2E34"/>
    <w:rsid w:val="005A3212"/>
    <w:rsid w:val="005A3289"/>
    <w:rsid w:val="005A36A6"/>
    <w:rsid w:val="005A4372"/>
    <w:rsid w:val="005A4BB0"/>
    <w:rsid w:val="005A5697"/>
    <w:rsid w:val="005A5FB6"/>
    <w:rsid w:val="005A60A1"/>
    <w:rsid w:val="005A6369"/>
    <w:rsid w:val="005A6B2B"/>
    <w:rsid w:val="005A6F1D"/>
    <w:rsid w:val="005A7C0B"/>
    <w:rsid w:val="005A7EB7"/>
    <w:rsid w:val="005B02B8"/>
    <w:rsid w:val="005B02E3"/>
    <w:rsid w:val="005B09C4"/>
    <w:rsid w:val="005B0A27"/>
    <w:rsid w:val="005B1014"/>
    <w:rsid w:val="005B1521"/>
    <w:rsid w:val="005B325E"/>
    <w:rsid w:val="005B33EC"/>
    <w:rsid w:val="005B445D"/>
    <w:rsid w:val="005B5097"/>
    <w:rsid w:val="005B6768"/>
    <w:rsid w:val="005B6912"/>
    <w:rsid w:val="005B6C42"/>
    <w:rsid w:val="005B6FD5"/>
    <w:rsid w:val="005B71BC"/>
    <w:rsid w:val="005B77A5"/>
    <w:rsid w:val="005C01F5"/>
    <w:rsid w:val="005C029D"/>
    <w:rsid w:val="005C1110"/>
    <w:rsid w:val="005C1739"/>
    <w:rsid w:val="005C2B41"/>
    <w:rsid w:val="005C2EDD"/>
    <w:rsid w:val="005C331A"/>
    <w:rsid w:val="005C33EA"/>
    <w:rsid w:val="005C3832"/>
    <w:rsid w:val="005C41EB"/>
    <w:rsid w:val="005C473B"/>
    <w:rsid w:val="005C595F"/>
    <w:rsid w:val="005C5BF2"/>
    <w:rsid w:val="005C68C9"/>
    <w:rsid w:val="005C7BCB"/>
    <w:rsid w:val="005D0118"/>
    <w:rsid w:val="005D02B0"/>
    <w:rsid w:val="005D0483"/>
    <w:rsid w:val="005D0680"/>
    <w:rsid w:val="005D07D9"/>
    <w:rsid w:val="005D0F3E"/>
    <w:rsid w:val="005D1941"/>
    <w:rsid w:val="005D1BE9"/>
    <w:rsid w:val="005D238E"/>
    <w:rsid w:val="005D2895"/>
    <w:rsid w:val="005D3956"/>
    <w:rsid w:val="005D3CAB"/>
    <w:rsid w:val="005D3E5E"/>
    <w:rsid w:val="005D3EA9"/>
    <w:rsid w:val="005D44DC"/>
    <w:rsid w:val="005D466C"/>
    <w:rsid w:val="005D5B33"/>
    <w:rsid w:val="005D5DB2"/>
    <w:rsid w:val="005D63D7"/>
    <w:rsid w:val="005D6464"/>
    <w:rsid w:val="005D6C02"/>
    <w:rsid w:val="005D6FB7"/>
    <w:rsid w:val="005D733B"/>
    <w:rsid w:val="005D7830"/>
    <w:rsid w:val="005D7D69"/>
    <w:rsid w:val="005D7E3C"/>
    <w:rsid w:val="005E05A8"/>
    <w:rsid w:val="005E180C"/>
    <w:rsid w:val="005E1D4B"/>
    <w:rsid w:val="005E2168"/>
    <w:rsid w:val="005E22C7"/>
    <w:rsid w:val="005E2815"/>
    <w:rsid w:val="005E2EB3"/>
    <w:rsid w:val="005E3E9B"/>
    <w:rsid w:val="005E400D"/>
    <w:rsid w:val="005E4FD6"/>
    <w:rsid w:val="005E5415"/>
    <w:rsid w:val="005E59F9"/>
    <w:rsid w:val="005E5D06"/>
    <w:rsid w:val="005E5EBF"/>
    <w:rsid w:val="005E6632"/>
    <w:rsid w:val="005F01B6"/>
    <w:rsid w:val="005F0D2E"/>
    <w:rsid w:val="005F1F0E"/>
    <w:rsid w:val="005F1FC0"/>
    <w:rsid w:val="005F2467"/>
    <w:rsid w:val="005F2E1B"/>
    <w:rsid w:val="005F3BED"/>
    <w:rsid w:val="005F3E46"/>
    <w:rsid w:val="005F3E4D"/>
    <w:rsid w:val="005F4616"/>
    <w:rsid w:val="005F5357"/>
    <w:rsid w:val="005F5404"/>
    <w:rsid w:val="005F72D8"/>
    <w:rsid w:val="00600D77"/>
    <w:rsid w:val="00600D95"/>
    <w:rsid w:val="006013E0"/>
    <w:rsid w:val="006031AF"/>
    <w:rsid w:val="006041E2"/>
    <w:rsid w:val="006066F1"/>
    <w:rsid w:val="00606A68"/>
    <w:rsid w:val="00607796"/>
    <w:rsid w:val="006078F5"/>
    <w:rsid w:val="0061222E"/>
    <w:rsid w:val="006137C3"/>
    <w:rsid w:val="00613A81"/>
    <w:rsid w:val="00613B5D"/>
    <w:rsid w:val="00615041"/>
    <w:rsid w:val="0061649F"/>
    <w:rsid w:val="00616BA1"/>
    <w:rsid w:val="006170EF"/>
    <w:rsid w:val="00617A67"/>
    <w:rsid w:val="00617BEB"/>
    <w:rsid w:val="00621856"/>
    <w:rsid w:val="00622CF0"/>
    <w:rsid w:val="00623440"/>
    <w:rsid w:val="00623925"/>
    <w:rsid w:val="006240DA"/>
    <w:rsid w:val="00624689"/>
    <w:rsid w:val="00624CE0"/>
    <w:rsid w:val="00624EBB"/>
    <w:rsid w:val="00625499"/>
    <w:rsid w:val="00626C37"/>
    <w:rsid w:val="00626FDF"/>
    <w:rsid w:val="00627948"/>
    <w:rsid w:val="006279EF"/>
    <w:rsid w:val="00627C24"/>
    <w:rsid w:val="0063078B"/>
    <w:rsid w:val="00630D99"/>
    <w:rsid w:val="0063159E"/>
    <w:rsid w:val="00631648"/>
    <w:rsid w:val="006318E1"/>
    <w:rsid w:val="00631A6E"/>
    <w:rsid w:val="006332C7"/>
    <w:rsid w:val="00633518"/>
    <w:rsid w:val="00633DBA"/>
    <w:rsid w:val="00633F5E"/>
    <w:rsid w:val="00634247"/>
    <w:rsid w:val="0063428A"/>
    <w:rsid w:val="00634856"/>
    <w:rsid w:val="00634C05"/>
    <w:rsid w:val="00635858"/>
    <w:rsid w:val="00635BAA"/>
    <w:rsid w:val="00636540"/>
    <w:rsid w:val="00636B91"/>
    <w:rsid w:val="00636DBD"/>
    <w:rsid w:val="00637056"/>
    <w:rsid w:val="0064120B"/>
    <w:rsid w:val="00641433"/>
    <w:rsid w:val="00641937"/>
    <w:rsid w:val="00642021"/>
    <w:rsid w:val="0064218D"/>
    <w:rsid w:val="00642A99"/>
    <w:rsid w:val="00642FBC"/>
    <w:rsid w:val="0064322F"/>
    <w:rsid w:val="00644E45"/>
    <w:rsid w:val="00645377"/>
    <w:rsid w:val="0064643D"/>
    <w:rsid w:val="00646954"/>
    <w:rsid w:val="006473DB"/>
    <w:rsid w:val="0064773C"/>
    <w:rsid w:val="00647784"/>
    <w:rsid w:val="00647BE8"/>
    <w:rsid w:val="0065045C"/>
    <w:rsid w:val="00651154"/>
    <w:rsid w:val="006514F8"/>
    <w:rsid w:val="00651A47"/>
    <w:rsid w:val="00652251"/>
    <w:rsid w:val="00652533"/>
    <w:rsid w:val="00652BA1"/>
    <w:rsid w:val="0065300A"/>
    <w:rsid w:val="0065327D"/>
    <w:rsid w:val="00653B2B"/>
    <w:rsid w:val="00653B79"/>
    <w:rsid w:val="00654BBD"/>
    <w:rsid w:val="006550AF"/>
    <w:rsid w:val="006551E0"/>
    <w:rsid w:val="006559CC"/>
    <w:rsid w:val="00655B47"/>
    <w:rsid w:val="00655B8C"/>
    <w:rsid w:val="006575AC"/>
    <w:rsid w:val="00657C7C"/>
    <w:rsid w:val="00657DDA"/>
    <w:rsid w:val="0066023F"/>
    <w:rsid w:val="0066027B"/>
    <w:rsid w:val="00660442"/>
    <w:rsid w:val="00660A7D"/>
    <w:rsid w:val="0066108F"/>
    <w:rsid w:val="00661441"/>
    <w:rsid w:val="0066175C"/>
    <w:rsid w:val="006617C3"/>
    <w:rsid w:val="00661962"/>
    <w:rsid w:val="00661A4E"/>
    <w:rsid w:val="006620AD"/>
    <w:rsid w:val="00663397"/>
    <w:rsid w:val="00663FAD"/>
    <w:rsid w:val="006656A6"/>
    <w:rsid w:val="00665ECF"/>
    <w:rsid w:val="0066619E"/>
    <w:rsid w:val="00667089"/>
    <w:rsid w:val="00671777"/>
    <w:rsid w:val="006717A3"/>
    <w:rsid w:val="00671ECF"/>
    <w:rsid w:val="00672383"/>
    <w:rsid w:val="0067261D"/>
    <w:rsid w:val="006727AC"/>
    <w:rsid w:val="00672A2B"/>
    <w:rsid w:val="00672FEF"/>
    <w:rsid w:val="0067484C"/>
    <w:rsid w:val="00675156"/>
    <w:rsid w:val="006754A3"/>
    <w:rsid w:val="0067782A"/>
    <w:rsid w:val="0068033A"/>
    <w:rsid w:val="00680AAE"/>
    <w:rsid w:val="0068173C"/>
    <w:rsid w:val="006817AF"/>
    <w:rsid w:val="006820FF"/>
    <w:rsid w:val="00682184"/>
    <w:rsid w:val="006821CC"/>
    <w:rsid w:val="0068256D"/>
    <w:rsid w:val="00682795"/>
    <w:rsid w:val="00683592"/>
    <w:rsid w:val="006836AA"/>
    <w:rsid w:val="00683796"/>
    <w:rsid w:val="00684C07"/>
    <w:rsid w:val="0068542B"/>
    <w:rsid w:val="00685467"/>
    <w:rsid w:val="00685E82"/>
    <w:rsid w:val="006864D5"/>
    <w:rsid w:val="00686596"/>
    <w:rsid w:val="00686868"/>
    <w:rsid w:val="00686CA3"/>
    <w:rsid w:val="00687097"/>
    <w:rsid w:val="00687307"/>
    <w:rsid w:val="0069013E"/>
    <w:rsid w:val="006905FD"/>
    <w:rsid w:val="00690E47"/>
    <w:rsid w:val="00691370"/>
    <w:rsid w:val="0069195E"/>
    <w:rsid w:val="00691E3B"/>
    <w:rsid w:val="00692444"/>
    <w:rsid w:val="00693383"/>
    <w:rsid w:val="006934E4"/>
    <w:rsid w:val="00693D6C"/>
    <w:rsid w:val="006945C1"/>
    <w:rsid w:val="006946EF"/>
    <w:rsid w:val="00695A2C"/>
    <w:rsid w:val="00696BA6"/>
    <w:rsid w:val="006975E3"/>
    <w:rsid w:val="0069760B"/>
    <w:rsid w:val="0069792B"/>
    <w:rsid w:val="00697B51"/>
    <w:rsid w:val="00697E8F"/>
    <w:rsid w:val="006A0433"/>
    <w:rsid w:val="006A0757"/>
    <w:rsid w:val="006A08BD"/>
    <w:rsid w:val="006A0913"/>
    <w:rsid w:val="006A0BB6"/>
    <w:rsid w:val="006A0CA6"/>
    <w:rsid w:val="006A1512"/>
    <w:rsid w:val="006A18F3"/>
    <w:rsid w:val="006A1ECF"/>
    <w:rsid w:val="006A230B"/>
    <w:rsid w:val="006A351A"/>
    <w:rsid w:val="006A3B5A"/>
    <w:rsid w:val="006A411A"/>
    <w:rsid w:val="006A552D"/>
    <w:rsid w:val="006A5708"/>
    <w:rsid w:val="006A5A1C"/>
    <w:rsid w:val="006A6D52"/>
    <w:rsid w:val="006A77FC"/>
    <w:rsid w:val="006A7BD0"/>
    <w:rsid w:val="006B0266"/>
    <w:rsid w:val="006B11E8"/>
    <w:rsid w:val="006B12D2"/>
    <w:rsid w:val="006B14FF"/>
    <w:rsid w:val="006B1FC1"/>
    <w:rsid w:val="006B2086"/>
    <w:rsid w:val="006B2CA2"/>
    <w:rsid w:val="006B3C2A"/>
    <w:rsid w:val="006B695F"/>
    <w:rsid w:val="006B6E07"/>
    <w:rsid w:val="006B6E0B"/>
    <w:rsid w:val="006B780E"/>
    <w:rsid w:val="006B7ED4"/>
    <w:rsid w:val="006C0202"/>
    <w:rsid w:val="006C0438"/>
    <w:rsid w:val="006C0465"/>
    <w:rsid w:val="006C0877"/>
    <w:rsid w:val="006C09E5"/>
    <w:rsid w:val="006C0CD4"/>
    <w:rsid w:val="006C1139"/>
    <w:rsid w:val="006C15C1"/>
    <w:rsid w:val="006C15D0"/>
    <w:rsid w:val="006C1649"/>
    <w:rsid w:val="006C1ABB"/>
    <w:rsid w:val="006C2082"/>
    <w:rsid w:val="006C2BF9"/>
    <w:rsid w:val="006C2CF5"/>
    <w:rsid w:val="006C31B7"/>
    <w:rsid w:val="006C39DF"/>
    <w:rsid w:val="006C3B01"/>
    <w:rsid w:val="006C434A"/>
    <w:rsid w:val="006C4C14"/>
    <w:rsid w:val="006C60A7"/>
    <w:rsid w:val="006C63E7"/>
    <w:rsid w:val="006C6BFF"/>
    <w:rsid w:val="006C7006"/>
    <w:rsid w:val="006C770A"/>
    <w:rsid w:val="006C7D09"/>
    <w:rsid w:val="006D0BD2"/>
    <w:rsid w:val="006D0C10"/>
    <w:rsid w:val="006D0E54"/>
    <w:rsid w:val="006D23F8"/>
    <w:rsid w:val="006D2675"/>
    <w:rsid w:val="006D3119"/>
    <w:rsid w:val="006D50CD"/>
    <w:rsid w:val="006D5C60"/>
    <w:rsid w:val="006D63AB"/>
    <w:rsid w:val="006D68DC"/>
    <w:rsid w:val="006D7C72"/>
    <w:rsid w:val="006E004B"/>
    <w:rsid w:val="006E1197"/>
    <w:rsid w:val="006E15E3"/>
    <w:rsid w:val="006E17ED"/>
    <w:rsid w:val="006E2B29"/>
    <w:rsid w:val="006E2BE2"/>
    <w:rsid w:val="006E2F48"/>
    <w:rsid w:val="006E3028"/>
    <w:rsid w:val="006E3061"/>
    <w:rsid w:val="006E3C78"/>
    <w:rsid w:val="006E3F95"/>
    <w:rsid w:val="006E4152"/>
    <w:rsid w:val="006E51CE"/>
    <w:rsid w:val="006E54CD"/>
    <w:rsid w:val="006E6238"/>
    <w:rsid w:val="006E738B"/>
    <w:rsid w:val="006E743A"/>
    <w:rsid w:val="006E7C49"/>
    <w:rsid w:val="006F0457"/>
    <w:rsid w:val="006F0688"/>
    <w:rsid w:val="006F0D13"/>
    <w:rsid w:val="006F0E4F"/>
    <w:rsid w:val="006F193E"/>
    <w:rsid w:val="006F19DD"/>
    <w:rsid w:val="006F1D72"/>
    <w:rsid w:val="006F2C8F"/>
    <w:rsid w:val="006F2FA8"/>
    <w:rsid w:val="006F304C"/>
    <w:rsid w:val="006F31BB"/>
    <w:rsid w:val="006F3583"/>
    <w:rsid w:val="006F3EDF"/>
    <w:rsid w:val="006F62E6"/>
    <w:rsid w:val="006F6A79"/>
    <w:rsid w:val="006F794A"/>
    <w:rsid w:val="006F7B7B"/>
    <w:rsid w:val="006F7D06"/>
    <w:rsid w:val="0070068D"/>
    <w:rsid w:val="00700954"/>
    <w:rsid w:val="007034D0"/>
    <w:rsid w:val="00704899"/>
    <w:rsid w:val="00705643"/>
    <w:rsid w:val="00705867"/>
    <w:rsid w:val="00705BCE"/>
    <w:rsid w:val="007067B6"/>
    <w:rsid w:val="00706F3D"/>
    <w:rsid w:val="00707021"/>
    <w:rsid w:val="00707120"/>
    <w:rsid w:val="00707360"/>
    <w:rsid w:val="00707602"/>
    <w:rsid w:val="007101B4"/>
    <w:rsid w:val="00710424"/>
    <w:rsid w:val="00710591"/>
    <w:rsid w:val="00710D71"/>
    <w:rsid w:val="007114B7"/>
    <w:rsid w:val="007119A5"/>
    <w:rsid w:val="00711ED0"/>
    <w:rsid w:val="007122EA"/>
    <w:rsid w:val="007125AF"/>
    <w:rsid w:val="00712B97"/>
    <w:rsid w:val="0071373B"/>
    <w:rsid w:val="007137CC"/>
    <w:rsid w:val="00714273"/>
    <w:rsid w:val="007143DA"/>
    <w:rsid w:val="00714B40"/>
    <w:rsid w:val="00714E60"/>
    <w:rsid w:val="00715DF7"/>
    <w:rsid w:val="00715FBB"/>
    <w:rsid w:val="00716AC6"/>
    <w:rsid w:val="00716E1D"/>
    <w:rsid w:val="00717305"/>
    <w:rsid w:val="00717A01"/>
    <w:rsid w:val="00720767"/>
    <w:rsid w:val="0072177C"/>
    <w:rsid w:val="00721B0F"/>
    <w:rsid w:val="00722189"/>
    <w:rsid w:val="007224D0"/>
    <w:rsid w:val="00722F6F"/>
    <w:rsid w:val="00723405"/>
    <w:rsid w:val="00723882"/>
    <w:rsid w:val="007241BC"/>
    <w:rsid w:val="00724CEF"/>
    <w:rsid w:val="00725C97"/>
    <w:rsid w:val="0072706F"/>
    <w:rsid w:val="00727137"/>
    <w:rsid w:val="00727A17"/>
    <w:rsid w:val="00727BBA"/>
    <w:rsid w:val="007325A2"/>
    <w:rsid w:val="00732857"/>
    <w:rsid w:val="007328CF"/>
    <w:rsid w:val="00732D99"/>
    <w:rsid w:val="0073492C"/>
    <w:rsid w:val="00735048"/>
    <w:rsid w:val="00735526"/>
    <w:rsid w:val="007355D2"/>
    <w:rsid w:val="007360D9"/>
    <w:rsid w:val="00740BD9"/>
    <w:rsid w:val="00740D48"/>
    <w:rsid w:val="00741BD7"/>
    <w:rsid w:val="00741C47"/>
    <w:rsid w:val="00742AC3"/>
    <w:rsid w:val="00742C5C"/>
    <w:rsid w:val="00743347"/>
    <w:rsid w:val="00743842"/>
    <w:rsid w:val="00743C10"/>
    <w:rsid w:val="00744469"/>
    <w:rsid w:val="00744E00"/>
    <w:rsid w:val="00745108"/>
    <w:rsid w:val="00745483"/>
    <w:rsid w:val="00745AD8"/>
    <w:rsid w:val="00745DC4"/>
    <w:rsid w:val="0074699A"/>
    <w:rsid w:val="00750029"/>
    <w:rsid w:val="00750300"/>
    <w:rsid w:val="007516A5"/>
    <w:rsid w:val="00751780"/>
    <w:rsid w:val="00751949"/>
    <w:rsid w:val="00751D5F"/>
    <w:rsid w:val="007539E9"/>
    <w:rsid w:val="00753AB7"/>
    <w:rsid w:val="00754325"/>
    <w:rsid w:val="0075581F"/>
    <w:rsid w:val="00756238"/>
    <w:rsid w:val="0075742A"/>
    <w:rsid w:val="00760577"/>
    <w:rsid w:val="00760F13"/>
    <w:rsid w:val="00761915"/>
    <w:rsid w:val="00761A82"/>
    <w:rsid w:val="00762239"/>
    <w:rsid w:val="00763124"/>
    <w:rsid w:val="00763B79"/>
    <w:rsid w:val="00764032"/>
    <w:rsid w:val="007645FF"/>
    <w:rsid w:val="00765A34"/>
    <w:rsid w:val="00766BC9"/>
    <w:rsid w:val="00766FB9"/>
    <w:rsid w:val="0076762A"/>
    <w:rsid w:val="0076780C"/>
    <w:rsid w:val="00770188"/>
    <w:rsid w:val="00771DB9"/>
    <w:rsid w:val="007724D5"/>
    <w:rsid w:val="00772D6A"/>
    <w:rsid w:val="00773421"/>
    <w:rsid w:val="00773FE4"/>
    <w:rsid w:val="007745FE"/>
    <w:rsid w:val="00774BE8"/>
    <w:rsid w:val="00774E22"/>
    <w:rsid w:val="00775997"/>
    <w:rsid w:val="0077630F"/>
    <w:rsid w:val="00776ACD"/>
    <w:rsid w:val="00777AFE"/>
    <w:rsid w:val="00777F87"/>
    <w:rsid w:val="00780E61"/>
    <w:rsid w:val="00781B40"/>
    <w:rsid w:val="00781DEE"/>
    <w:rsid w:val="00782F93"/>
    <w:rsid w:val="00783280"/>
    <w:rsid w:val="0078348A"/>
    <w:rsid w:val="0078439E"/>
    <w:rsid w:val="00784FCF"/>
    <w:rsid w:val="0078567D"/>
    <w:rsid w:val="00786307"/>
    <w:rsid w:val="007909B3"/>
    <w:rsid w:val="007926D5"/>
    <w:rsid w:val="007933DD"/>
    <w:rsid w:val="007937C5"/>
    <w:rsid w:val="007942AD"/>
    <w:rsid w:val="00796363"/>
    <w:rsid w:val="00796BF0"/>
    <w:rsid w:val="00797C38"/>
    <w:rsid w:val="007A00D5"/>
    <w:rsid w:val="007A02DF"/>
    <w:rsid w:val="007A0429"/>
    <w:rsid w:val="007A0E66"/>
    <w:rsid w:val="007A106F"/>
    <w:rsid w:val="007A2498"/>
    <w:rsid w:val="007A29D4"/>
    <w:rsid w:val="007A3C20"/>
    <w:rsid w:val="007A4238"/>
    <w:rsid w:val="007A430C"/>
    <w:rsid w:val="007A5BDE"/>
    <w:rsid w:val="007A7334"/>
    <w:rsid w:val="007B062B"/>
    <w:rsid w:val="007B1D47"/>
    <w:rsid w:val="007B1E4F"/>
    <w:rsid w:val="007B2E46"/>
    <w:rsid w:val="007B348B"/>
    <w:rsid w:val="007B3B43"/>
    <w:rsid w:val="007B4778"/>
    <w:rsid w:val="007B48BA"/>
    <w:rsid w:val="007B4A01"/>
    <w:rsid w:val="007B4AFC"/>
    <w:rsid w:val="007B4F7A"/>
    <w:rsid w:val="007B5150"/>
    <w:rsid w:val="007B601C"/>
    <w:rsid w:val="007B6A7F"/>
    <w:rsid w:val="007B7908"/>
    <w:rsid w:val="007B7955"/>
    <w:rsid w:val="007C11F4"/>
    <w:rsid w:val="007C17FC"/>
    <w:rsid w:val="007C2155"/>
    <w:rsid w:val="007C2C4A"/>
    <w:rsid w:val="007C2DEA"/>
    <w:rsid w:val="007C32BD"/>
    <w:rsid w:val="007C33B5"/>
    <w:rsid w:val="007C34A5"/>
    <w:rsid w:val="007C4CD5"/>
    <w:rsid w:val="007C52B7"/>
    <w:rsid w:val="007C5542"/>
    <w:rsid w:val="007C58E4"/>
    <w:rsid w:val="007C5C1F"/>
    <w:rsid w:val="007C5EDE"/>
    <w:rsid w:val="007C61F7"/>
    <w:rsid w:val="007C6E99"/>
    <w:rsid w:val="007C7142"/>
    <w:rsid w:val="007C7AFB"/>
    <w:rsid w:val="007D01A0"/>
    <w:rsid w:val="007D04AD"/>
    <w:rsid w:val="007D0603"/>
    <w:rsid w:val="007D0A9F"/>
    <w:rsid w:val="007D0D66"/>
    <w:rsid w:val="007D1A82"/>
    <w:rsid w:val="007D25AD"/>
    <w:rsid w:val="007D40C4"/>
    <w:rsid w:val="007D41E2"/>
    <w:rsid w:val="007D4ED5"/>
    <w:rsid w:val="007D6641"/>
    <w:rsid w:val="007D7195"/>
    <w:rsid w:val="007D7349"/>
    <w:rsid w:val="007D76C4"/>
    <w:rsid w:val="007D78F4"/>
    <w:rsid w:val="007D7EEF"/>
    <w:rsid w:val="007D7FDE"/>
    <w:rsid w:val="007E05B5"/>
    <w:rsid w:val="007E06E3"/>
    <w:rsid w:val="007E0752"/>
    <w:rsid w:val="007E08B4"/>
    <w:rsid w:val="007E0AC6"/>
    <w:rsid w:val="007E0D7B"/>
    <w:rsid w:val="007E16E6"/>
    <w:rsid w:val="007E32BD"/>
    <w:rsid w:val="007E3511"/>
    <w:rsid w:val="007E656C"/>
    <w:rsid w:val="007E6919"/>
    <w:rsid w:val="007E79BB"/>
    <w:rsid w:val="007F09E0"/>
    <w:rsid w:val="007F0EBD"/>
    <w:rsid w:val="007F2CA7"/>
    <w:rsid w:val="007F2FA3"/>
    <w:rsid w:val="007F312E"/>
    <w:rsid w:val="007F31D9"/>
    <w:rsid w:val="007F353D"/>
    <w:rsid w:val="007F3847"/>
    <w:rsid w:val="007F3890"/>
    <w:rsid w:val="007F3975"/>
    <w:rsid w:val="007F4106"/>
    <w:rsid w:val="007F5D85"/>
    <w:rsid w:val="007F5E32"/>
    <w:rsid w:val="007F664B"/>
    <w:rsid w:val="007F722E"/>
    <w:rsid w:val="007F7693"/>
    <w:rsid w:val="008004F5"/>
    <w:rsid w:val="00800D8F"/>
    <w:rsid w:val="00801868"/>
    <w:rsid w:val="00801956"/>
    <w:rsid w:val="00801C13"/>
    <w:rsid w:val="00802183"/>
    <w:rsid w:val="00802A9E"/>
    <w:rsid w:val="00802F87"/>
    <w:rsid w:val="00803155"/>
    <w:rsid w:val="00803A06"/>
    <w:rsid w:val="00806401"/>
    <w:rsid w:val="008073E6"/>
    <w:rsid w:val="00807B58"/>
    <w:rsid w:val="00811DBB"/>
    <w:rsid w:val="00812210"/>
    <w:rsid w:val="0081223B"/>
    <w:rsid w:val="00812C84"/>
    <w:rsid w:val="00813336"/>
    <w:rsid w:val="00815AFF"/>
    <w:rsid w:val="00816354"/>
    <w:rsid w:val="00816666"/>
    <w:rsid w:val="00817EBC"/>
    <w:rsid w:val="0082003B"/>
    <w:rsid w:val="00820C60"/>
    <w:rsid w:val="00820E63"/>
    <w:rsid w:val="00821160"/>
    <w:rsid w:val="0082184D"/>
    <w:rsid w:val="00821983"/>
    <w:rsid w:val="0082199A"/>
    <w:rsid w:val="00822DD6"/>
    <w:rsid w:val="00822F6F"/>
    <w:rsid w:val="00823DE5"/>
    <w:rsid w:val="00823EFA"/>
    <w:rsid w:val="008246A6"/>
    <w:rsid w:val="00824C0F"/>
    <w:rsid w:val="00825C9C"/>
    <w:rsid w:val="00825F06"/>
    <w:rsid w:val="0082604B"/>
    <w:rsid w:val="0082614F"/>
    <w:rsid w:val="0082622E"/>
    <w:rsid w:val="0082661B"/>
    <w:rsid w:val="00826B58"/>
    <w:rsid w:val="00826D44"/>
    <w:rsid w:val="00827634"/>
    <w:rsid w:val="00827916"/>
    <w:rsid w:val="00827C0D"/>
    <w:rsid w:val="00827DC9"/>
    <w:rsid w:val="00827DE2"/>
    <w:rsid w:val="0083042C"/>
    <w:rsid w:val="0083058B"/>
    <w:rsid w:val="0083125D"/>
    <w:rsid w:val="0083186B"/>
    <w:rsid w:val="0083221A"/>
    <w:rsid w:val="008325C4"/>
    <w:rsid w:val="008325DA"/>
    <w:rsid w:val="00832D5A"/>
    <w:rsid w:val="00833A0C"/>
    <w:rsid w:val="00833A84"/>
    <w:rsid w:val="008344F7"/>
    <w:rsid w:val="008346FB"/>
    <w:rsid w:val="00834762"/>
    <w:rsid w:val="00834825"/>
    <w:rsid w:val="00834D94"/>
    <w:rsid w:val="0083547E"/>
    <w:rsid w:val="00835688"/>
    <w:rsid w:val="00835BBC"/>
    <w:rsid w:val="00837999"/>
    <w:rsid w:val="008379F4"/>
    <w:rsid w:val="008400A3"/>
    <w:rsid w:val="0084029C"/>
    <w:rsid w:val="008407EE"/>
    <w:rsid w:val="00842AB8"/>
    <w:rsid w:val="0084366E"/>
    <w:rsid w:val="0084390C"/>
    <w:rsid w:val="00843B31"/>
    <w:rsid w:val="00844D2C"/>
    <w:rsid w:val="00845B57"/>
    <w:rsid w:val="00845E27"/>
    <w:rsid w:val="00846510"/>
    <w:rsid w:val="008473C5"/>
    <w:rsid w:val="008504B5"/>
    <w:rsid w:val="00851B6E"/>
    <w:rsid w:val="00851DBD"/>
    <w:rsid w:val="00851ED1"/>
    <w:rsid w:val="00852392"/>
    <w:rsid w:val="008528CB"/>
    <w:rsid w:val="00853079"/>
    <w:rsid w:val="008533E4"/>
    <w:rsid w:val="00853CBC"/>
    <w:rsid w:val="00855149"/>
    <w:rsid w:val="008557C6"/>
    <w:rsid w:val="008577BA"/>
    <w:rsid w:val="00857F10"/>
    <w:rsid w:val="008607BD"/>
    <w:rsid w:val="00860A63"/>
    <w:rsid w:val="00860E74"/>
    <w:rsid w:val="00860E86"/>
    <w:rsid w:val="00862AF0"/>
    <w:rsid w:val="0086425D"/>
    <w:rsid w:val="00864620"/>
    <w:rsid w:val="00865A29"/>
    <w:rsid w:val="008660BF"/>
    <w:rsid w:val="00866C9F"/>
    <w:rsid w:val="008671A5"/>
    <w:rsid w:val="008674D7"/>
    <w:rsid w:val="00867752"/>
    <w:rsid w:val="008704DD"/>
    <w:rsid w:val="008735A9"/>
    <w:rsid w:val="0087389D"/>
    <w:rsid w:val="0087393D"/>
    <w:rsid w:val="00874D53"/>
    <w:rsid w:val="008750A7"/>
    <w:rsid w:val="00876C88"/>
    <w:rsid w:val="008770F6"/>
    <w:rsid w:val="008771D1"/>
    <w:rsid w:val="00877221"/>
    <w:rsid w:val="0088145B"/>
    <w:rsid w:val="008819DB"/>
    <w:rsid w:val="00881FD0"/>
    <w:rsid w:val="008824D7"/>
    <w:rsid w:val="00882754"/>
    <w:rsid w:val="008840E8"/>
    <w:rsid w:val="00884A19"/>
    <w:rsid w:val="00884DDB"/>
    <w:rsid w:val="00884E39"/>
    <w:rsid w:val="0088505E"/>
    <w:rsid w:val="00885A0C"/>
    <w:rsid w:val="00886365"/>
    <w:rsid w:val="00886A05"/>
    <w:rsid w:val="008870BF"/>
    <w:rsid w:val="0088731E"/>
    <w:rsid w:val="00887488"/>
    <w:rsid w:val="00887F4C"/>
    <w:rsid w:val="00890C24"/>
    <w:rsid w:val="00892A7A"/>
    <w:rsid w:val="00892CE1"/>
    <w:rsid w:val="00892D30"/>
    <w:rsid w:val="00892EE4"/>
    <w:rsid w:val="008931AC"/>
    <w:rsid w:val="00893809"/>
    <w:rsid w:val="00893925"/>
    <w:rsid w:val="00893EDA"/>
    <w:rsid w:val="008941B1"/>
    <w:rsid w:val="00894425"/>
    <w:rsid w:val="008944F4"/>
    <w:rsid w:val="00894BC8"/>
    <w:rsid w:val="00895293"/>
    <w:rsid w:val="00895E43"/>
    <w:rsid w:val="00895FC6"/>
    <w:rsid w:val="0089607C"/>
    <w:rsid w:val="00896312"/>
    <w:rsid w:val="00896515"/>
    <w:rsid w:val="00897342"/>
    <w:rsid w:val="008A0C9C"/>
    <w:rsid w:val="008A184F"/>
    <w:rsid w:val="008A1CBA"/>
    <w:rsid w:val="008A1F00"/>
    <w:rsid w:val="008A22C8"/>
    <w:rsid w:val="008A2B76"/>
    <w:rsid w:val="008A3AF4"/>
    <w:rsid w:val="008A448E"/>
    <w:rsid w:val="008A4DF1"/>
    <w:rsid w:val="008A52F1"/>
    <w:rsid w:val="008A6651"/>
    <w:rsid w:val="008A6CD6"/>
    <w:rsid w:val="008B0864"/>
    <w:rsid w:val="008B1424"/>
    <w:rsid w:val="008B1F2A"/>
    <w:rsid w:val="008B44A6"/>
    <w:rsid w:val="008B4A63"/>
    <w:rsid w:val="008B4AC5"/>
    <w:rsid w:val="008B4BB5"/>
    <w:rsid w:val="008B4FD3"/>
    <w:rsid w:val="008B50A5"/>
    <w:rsid w:val="008B57B9"/>
    <w:rsid w:val="008B595A"/>
    <w:rsid w:val="008B6246"/>
    <w:rsid w:val="008B629D"/>
    <w:rsid w:val="008B725E"/>
    <w:rsid w:val="008B79DF"/>
    <w:rsid w:val="008C02D0"/>
    <w:rsid w:val="008C0A72"/>
    <w:rsid w:val="008C154C"/>
    <w:rsid w:val="008C1716"/>
    <w:rsid w:val="008C2130"/>
    <w:rsid w:val="008C2800"/>
    <w:rsid w:val="008C2EDB"/>
    <w:rsid w:val="008C3CBE"/>
    <w:rsid w:val="008C4B42"/>
    <w:rsid w:val="008C7124"/>
    <w:rsid w:val="008C7E44"/>
    <w:rsid w:val="008C7EB7"/>
    <w:rsid w:val="008D14A9"/>
    <w:rsid w:val="008D1AAF"/>
    <w:rsid w:val="008D24DB"/>
    <w:rsid w:val="008D27B7"/>
    <w:rsid w:val="008D2E6F"/>
    <w:rsid w:val="008D31F4"/>
    <w:rsid w:val="008D37EC"/>
    <w:rsid w:val="008D3806"/>
    <w:rsid w:val="008D3987"/>
    <w:rsid w:val="008D449D"/>
    <w:rsid w:val="008D44AA"/>
    <w:rsid w:val="008D45C1"/>
    <w:rsid w:val="008D4C14"/>
    <w:rsid w:val="008D51E7"/>
    <w:rsid w:val="008D56B0"/>
    <w:rsid w:val="008D72E0"/>
    <w:rsid w:val="008D7771"/>
    <w:rsid w:val="008D7E8B"/>
    <w:rsid w:val="008E0A82"/>
    <w:rsid w:val="008E1D55"/>
    <w:rsid w:val="008E2245"/>
    <w:rsid w:val="008E2CA1"/>
    <w:rsid w:val="008E2FF5"/>
    <w:rsid w:val="008E3E7B"/>
    <w:rsid w:val="008E6069"/>
    <w:rsid w:val="008E6F7E"/>
    <w:rsid w:val="008E7C4D"/>
    <w:rsid w:val="008E7F17"/>
    <w:rsid w:val="008F01C0"/>
    <w:rsid w:val="008F16DE"/>
    <w:rsid w:val="008F1A4F"/>
    <w:rsid w:val="008F2722"/>
    <w:rsid w:val="008F33D5"/>
    <w:rsid w:val="008F3C1D"/>
    <w:rsid w:val="008F448C"/>
    <w:rsid w:val="008F4F52"/>
    <w:rsid w:val="008F569E"/>
    <w:rsid w:val="008F617D"/>
    <w:rsid w:val="008F649D"/>
    <w:rsid w:val="008F6A9C"/>
    <w:rsid w:val="008F7AF7"/>
    <w:rsid w:val="00900152"/>
    <w:rsid w:val="009003A0"/>
    <w:rsid w:val="00901E11"/>
    <w:rsid w:val="00902061"/>
    <w:rsid w:val="009020FD"/>
    <w:rsid w:val="00902516"/>
    <w:rsid w:val="00902EFF"/>
    <w:rsid w:val="0090394D"/>
    <w:rsid w:val="00904143"/>
    <w:rsid w:val="00904392"/>
    <w:rsid w:val="00905625"/>
    <w:rsid w:val="00905DCF"/>
    <w:rsid w:val="009062E4"/>
    <w:rsid w:val="0090637D"/>
    <w:rsid w:val="00906611"/>
    <w:rsid w:val="00907253"/>
    <w:rsid w:val="0090769B"/>
    <w:rsid w:val="00907B6A"/>
    <w:rsid w:val="0091058F"/>
    <w:rsid w:val="009108B8"/>
    <w:rsid w:val="00910B8F"/>
    <w:rsid w:val="00911F1B"/>
    <w:rsid w:val="00912426"/>
    <w:rsid w:val="00912704"/>
    <w:rsid w:val="00912A95"/>
    <w:rsid w:val="009130EC"/>
    <w:rsid w:val="009137E2"/>
    <w:rsid w:val="00913D87"/>
    <w:rsid w:val="009141A8"/>
    <w:rsid w:val="00915686"/>
    <w:rsid w:val="00916F2D"/>
    <w:rsid w:val="00917757"/>
    <w:rsid w:val="00917D1F"/>
    <w:rsid w:val="00920825"/>
    <w:rsid w:val="009208FB"/>
    <w:rsid w:val="00921080"/>
    <w:rsid w:val="00921B19"/>
    <w:rsid w:val="00922514"/>
    <w:rsid w:val="009228E3"/>
    <w:rsid w:val="00922AF0"/>
    <w:rsid w:val="009251D3"/>
    <w:rsid w:val="00925A8C"/>
    <w:rsid w:val="00925C4D"/>
    <w:rsid w:val="0092631F"/>
    <w:rsid w:val="009264DD"/>
    <w:rsid w:val="009264E7"/>
    <w:rsid w:val="0092695A"/>
    <w:rsid w:val="00926B60"/>
    <w:rsid w:val="0092700E"/>
    <w:rsid w:val="00927831"/>
    <w:rsid w:val="00927ECD"/>
    <w:rsid w:val="0093047E"/>
    <w:rsid w:val="00930FD8"/>
    <w:rsid w:val="009314EC"/>
    <w:rsid w:val="00932455"/>
    <w:rsid w:val="009326A8"/>
    <w:rsid w:val="009341B4"/>
    <w:rsid w:val="009342AC"/>
    <w:rsid w:val="009367D0"/>
    <w:rsid w:val="00937628"/>
    <w:rsid w:val="009407CD"/>
    <w:rsid w:val="00941491"/>
    <w:rsid w:val="00941528"/>
    <w:rsid w:val="00943520"/>
    <w:rsid w:val="0094372F"/>
    <w:rsid w:val="00943EDF"/>
    <w:rsid w:val="0094475D"/>
    <w:rsid w:val="00945AD3"/>
    <w:rsid w:val="00946866"/>
    <w:rsid w:val="00947733"/>
    <w:rsid w:val="00947A4C"/>
    <w:rsid w:val="00950395"/>
    <w:rsid w:val="0095040C"/>
    <w:rsid w:val="009508D9"/>
    <w:rsid w:val="00950B72"/>
    <w:rsid w:val="00950CC4"/>
    <w:rsid w:val="009514A1"/>
    <w:rsid w:val="00951B74"/>
    <w:rsid w:val="009526BA"/>
    <w:rsid w:val="0095365D"/>
    <w:rsid w:val="00953D66"/>
    <w:rsid w:val="00954235"/>
    <w:rsid w:val="00954470"/>
    <w:rsid w:val="00954471"/>
    <w:rsid w:val="00954845"/>
    <w:rsid w:val="009559E4"/>
    <w:rsid w:val="00955B9E"/>
    <w:rsid w:val="00955C8A"/>
    <w:rsid w:val="009563BB"/>
    <w:rsid w:val="00956640"/>
    <w:rsid w:val="00957271"/>
    <w:rsid w:val="009576E4"/>
    <w:rsid w:val="00957813"/>
    <w:rsid w:val="00957A04"/>
    <w:rsid w:val="00957E37"/>
    <w:rsid w:val="00957FC4"/>
    <w:rsid w:val="009603D0"/>
    <w:rsid w:val="00960BF0"/>
    <w:rsid w:val="00960F97"/>
    <w:rsid w:val="0096153B"/>
    <w:rsid w:val="00961623"/>
    <w:rsid w:val="009637A0"/>
    <w:rsid w:val="0096486F"/>
    <w:rsid w:val="00965AF2"/>
    <w:rsid w:val="00966D00"/>
    <w:rsid w:val="009716F2"/>
    <w:rsid w:val="00972F22"/>
    <w:rsid w:val="009734BD"/>
    <w:rsid w:val="00975C25"/>
    <w:rsid w:val="00975C85"/>
    <w:rsid w:val="009766A1"/>
    <w:rsid w:val="00976C98"/>
    <w:rsid w:val="00977552"/>
    <w:rsid w:val="00980D01"/>
    <w:rsid w:val="0098132C"/>
    <w:rsid w:val="009814DD"/>
    <w:rsid w:val="00981872"/>
    <w:rsid w:val="00982402"/>
    <w:rsid w:val="00983D5F"/>
    <w:rsid w:val="00985AB3"/>
    <w:rsid w:val="00985DD2"/>
    <w:rsid w:val="0098660E"/>
    <w:rsid w:val="0098677B"/>
    <w:rsid w:val="00986BBD"/>
    <w:rsid w:val="009874E6"/>
    <w:rsid w:val="00987987"/>
    <w:rsid w:val="00991EC1"/>
    <w:rsid w:val="009921AC"/>
    <w:rsid w:val="00995616"/>
    <w:rsid w:val="00995ED3"/>
    <w:rsid w:val="00996593"/>
    <w:rsid w:val="009969D7"/>
    <w:rsid w:val="00997118"/>
    <w:rsid w:val="009974CC"/>
    <w:rsid w:val="00997739"/>
    <w:rsid w:val="009978D4"/>
    <w:rsid w:val="00997EF3"/>
    <w:rsid w:val="00997F9E"/>
    <w:rsid w:val="009A00F9"/>
    <w:rsid w:val="009A031F"/>
    <w:rsid w:val="009A19F3"/>
    <w:rsid w:val="009A1F5D"/>
    <w:rsid w:val="009A1FF0"/>
    <w:rsid w:val="009A2085"/>
    <w:rsid w:val="009A2EF1"/>
    <w:rsid w:val="009A3696"/>
    <w:rsid w:val="009A3BC1"/>
    <w:rsid w:val="009A3F75"/>
    <w:rsid w:val="009A4537"/>
    <w:rsid w:val="009A4775"/>
    <w:rsid w:val="009A47E3"/>
    <w:rsid w:val="009A55CF"/>
    <w:rsid w:val="009A586D"/>
    <w:rsid w:val="009A67C9"/>
    <w:rsid w:val="009A6BC1"/>
    <w:rsid w:val="009A6D05"/>
    <w:rsid w:val="009A7820"/>
    <w:rsid w:val="009A7F14"/>
    <w:rsid w:val="009B04AF"/>
    <w:rsid w:val="009B0755"/>
    <w:rsid w:val="009B0DDF"/>
    <w:rsid w:val="009B20AD"/>
    <w:rsid w:val="009B31E6"/>
    <w:rsid w:val="009B3682"/>
    <w:rsid w:val="009B4A71"/>
    <w:rsid w:val="009B4BFB"/>
    <w:rsid w:val="009B4C6F"/>
    <w:rsid w:val="009B563C"/>
    <w:rsid w:val="009B5D6E"/>
    <w:rsid w:val="009B6791"/>
    <w:rsid w:val="009B764C"/>
    <w:rsid w:val="009B7955"/>
    <w:rsid w:val="009B7B83"/>
    <w:rsid w:val="009C06CA"/>
    <w:rsid w:val="009C09FE"/>
    <w:rsid w:val="009C1AE3"/>
    <w:rsid w:val="009C2B2F"/>
    <w:rsid w:val="009C463B"/>
    <w:rsid w:val="009C4710"/>
    <w:rsid w:val="009C4E2C"/>
    <w:rsid w:val="009C5A25"/>
    <w:rsid w:val="009C6033"/>
    <w:rsid w:val="009C6D75"/>
    <w:rsid w:val="009C76E3"/>
    <w:rsid w:val="009D0026"/>
    <w:rsid w:val="009D12BB"/>
    <w:rsid w:val="009D16EF"/>
    <w:rsid w:val="009D209A"/>
    <w:rsid w:val="009D3683"/>
    <w:rsid w:val="009D40CA"/>
    <w:rsid w:val="009D430B"/>
    <w:rsid w:val="009D5532"/>
    <w:rsid w:val="009D577D"/>
    <w:rsid w:val="009D5A45"/>
    <w:rsid w:val="009D5CA0"/>
    <w:rsid w:val="009D60C2"/>
    <w:rsid w:val="009D614B"/>
    <w:rsid w:val="009D68B9"/>
    <w:rsid w:val="009D6BE7"/>
    <w:rsid w:val="009D7551"/>
    <w:rsid w:val="009D7625"/>
    <w:rsid w:val="009D788B"/>
    <w:rsid w:val="009E0162"/>
    <w:rsid w:val="009E1083"/>
    <w:rsid w:val="009E1713"/>
    <w:rsid w:val="009E1838"/>
    <w:rsid w:val="009E2221"/>
    <w:rsid w:val="009E2A58"/>
    <w:rsid w:val="009E3156"/>
    <w:rsid w:val="009E4BA8"/>
    <w:rsid w:val="009E52D7"/>
    <w:rsid w:val="009E639B"/>
    <w:rsid w:val="009E682C"/>
    <w:rsid w:val="009E6A28"/>
    <w:rsid w:val="009E6EC6"/>
    <w:rsid w:val="009E7131"/>
    <w:rsid w:val="009E781A"/>
    <w:rsid w:val="009F1AFE"/>
    <w:rsid w:val="009F3324"/>
    <w:rsid w:val="009F5D22"/>
    <w:rsid w:val="009F7A1C"/>
    <w:rsid w:val="00A000CA"/>
    <w:rsid w:val="00A00639"/>
    <w:rsid w:val="00A01489"/>
    <w:rsid w:val="00A01B7C"/>
    <w:rsid w:val="00A01E00"/>
    <w:rsid w:val="00A0221A"/>
    <w:rsid w:val="00A0394D"/>
    <w:rsid w:val="00A04837"/>
    <w:rsid w:val="00A05DD2"/>
    <w:rsid w:val="00A064CC"/>
    <w:rsid w:val="00A075D5"/>
    <w:rsid w:val="00A104FC"/>
    <w:rsid w:val="00A108C3"/>
    <w:rsid w:val="00A10B2D"/>
    <w:rsid w:val="00A110F7"/>
    <w:rsid w:val="00A124D9"/>
    <w:rsid w:val="00A129F3"/>
    <w:rsid w:val="00A12E28"/>
    <w:rsid w:val="00A137F7"/>
    <w:rsid w:val="00A13982"/>
    <w:rsid w:val="00A13B42"/>
    <w:rsid w:val="00A142FF"/>
    <w:rsid w:val="00A147DB"/>
    <w:rsid w:val="00A14D09"/>
    <w:rsid w:val="00A14DE7"/>
    <w:rsid w:val="00A15A25"/>
    <w:rsid w:val="00A15B7C"/>
    <w:rsid w:val="00A160AD"/>
    <w:rsid w:val="00A161A9"/>
    <w:rsid w:val="00A1669E"/>
    <w:rsid w:val="00A16D17"/>
    <w:rsid w:val="00A16EFD"/>
    <w:rsid w:val="00A174D4"/>
    <w:rsid w:val="00A20BC5"/>
    <w:rsid w:val="00A21054"/>
    <w:rsid w:val="00A21497"/>
    <w:rsid w:val="00A2228C"/>
    <w:rsid w:val="00A22750"/>
    <w:rsid w:val="00A231DE"/>
    <w:rsid w:val="00A24DA0"/>
    <w:rsid w:val="00A24DBB"/>
    <w:rsid w:val="00A25B0F"/>
    <w:rsid w:val="00A26209"/>
    <w:rsid w:val="00A2713E"/>
    <w:rsid w:val="00A271B5"/>
    <w:rsid w:val="00A276D8"/>
    <w:rsid w:val="00A27CEB"/>
    <w:rsid w:val="00A27F1A"/>
    <w:rsid w:val="00A301EC"/>
    <w:rsid w:val="00A3041C"/>
    <w:rsid w:val="00A3172A"/>
    <w:rsid w:val="00A3172D"/>
    <w:rsid w:val="00A33336"/>
    <w:rsid w:val="00A33B5D"/>
    <w:rsid w:val="00A34F03"/>
    <w:rsid w:val="00A35435"/>
    <w:rsid w:val="00A374B1"/>
    <w:rsid w:val="00A400D9"/>
    <w:rsid w:val="00A413F7"/>
    <w:rsid w:val="00A41973"/>
    <w:rsid w:val="00A420CE"/>
    <w:rsid w:val="00A4271C"/>
    <w:rsid w:val="00A42774"/>
    <w:rsid w:val="00A43410"/>
    <w:rsid w:val="00A43695"/>
    <w:rsid w:val="00A43DB9"/>
    <w:rsid w:val="00A440C8"/>
    <w:rsid w:val="00A44630"/>
    <w:rsid w:val="00A44D94"/>
    <w:rsid w:val="00A44E07"/>
    <w:rsid w:val="00A45128"/>
    <w:rsid w:val="00A4517E"/>
    <w:rsid w:val="00A45357"/>
    <w:rsid w:val="00A463E7"/>
    <w:rsid w:val="00A47081"/>
    <w:rsid w:val="00A502E5"/>
    <w:rsid w:val="00A5076A"/>
    <w:rsid w:val="00A51B13"/>
    <w:rsid w:val="00A51DC1"/>
    <w:rsid w:val="00A52030"/>
    <w:rsid w:val="00A521F4"/>
    <w:rsid w:val="00A5313B"/>
    <w:rsid w:val="00A53B08"/>
    <w:rsid w:val="00A54254"/>
    <w:rsid w:val="00A544A4"/>
    <w:rsid w:val="00A54563"/>
    <w:rsid w:val="00A547C5"/>
    <w:rsid w:val="00A5547F"/>
    <w:rsid w:val="00A5727A"/>
    <w:rsid w:val="00A604A4"/>
    <w:rsid w:val="00A60894"/>
    <w:rsid w:val="00A6165A"/>
    <w:rsid w:val="00A627E3"/>
    <w:rsid w:val="00A6296B"/>
    <w:rsid w:val="00A62BF9"/>
    <w:rsid w:val="00A63363"/>
    <w:rsid w:val="00A640D3"/>
    <w:rsid w:val="00A644C5"/>
    <w:rsid w:val="00A654CA"/>
    <w:rsid w:val="00A662D6"/>
    <w:rsid w:val="00A675BA"/>
    <w:rsid w:val="00A67864"/>
    <w:rsid w:val="00A67EC1"/>
    <w:rsid w:val="00A67FF0"/>
    <w:rsid w:val="00A70962"/>
    <w:rsid w:val="00A70B4A"/>
    <w:rsid w:val="00A71494"/>
    <w:rsid w:val="00A71977"/>
    <w:rsid w:val="00A71B9D"/>
    <w:rsid w:val="00A72622"/>
    <w:rsid w:val="00A72AB9"/>
    <w:rsid w:val="00A72CD4"/>
    <w:rsid w:val="00A73240"/>
    <w:rsid w:val="00A7325E"/>
    <w:rsid w:val="00A7345B"/>
    <w:rsid w:val="00A7352E"/>
    <w:rsid w:val="00A7426B"/>
    <w:rsid w:val="00A76613"/>
    <w:rsid w:val="00A77DC2"/>
    <w:rsid w:val="00A816B2"/>
    <w:rsid w:val="00A82F5A"/>
    <w:rsid w:val="00A83598"/>
    <w:rsid w:val="00A83E10"/>
    <w:rsid w:val="00A84468"/>
    <w:rsid w:val="00A845C7"/>
    <w:rsid w:val="00A854A3"/>
    <w:rsid w:val="00A85EEF"/>
    <w:rsid w:val="00A861D2"/>
    <w:rsid w:val="00A8649F"/>
    <w:rsid w:val="00A90165"/>
    <w:rsid w:val="00A90C4D"/>
    <w:rsid w:val="00A90F20"/>
    <w:rsid w:val="00A9185E"/>
    <w:rsid w:val="00A91DBE"/>
    <w:rsid w:val="00A938F3"/>
    <w:rsid w:val="00A948E9"/>
    <w:rsid w:val="00A950DB"/>
    <w:rsid w:val="00A95D14"/>
    <w:rsid w:val="00A95E94"/>
    <w:rsid w:val="00A95F76"/>
    <w:rsid w:val="00A96DD3"/>
    <w:rsid w:val="00A97476"/>
    <w:rsid w:val="00A978EA"/>
    <w:rsid w:val="00A97CE2"/>
    <w:rsid w:val="00AA04B6"/>
    <w:rsid w:val="00AA0729"/>
    <w:rsid w:val="00AA2423"/>
    <w:rsid w:val="00AA282C"/>
    <w:rsid w:val="00AA2C91"/>
    <w:rsid w:val="00AA3F50"/>
    <w:rsid w:val="00AA42D6"/>
    <w:rsid w:val="00AA42EB"/>
    <w:rsid w:val="00AA4B9B"/>
    <w:rsid w:val="00AA7979"/>
    <w:rsid w:val="00AB0687"/>
    <w:rsid w:val="00AB1B38"/>
    <w:rsid w:val="00AB1EE4"/>
    <w:rsid w:val="00AB2E25"/>
    <w:rsid w:val="00AB33B7"/>
    <w:rsid w:val="00AB3936"/>
    <w:rsid w:val="00AB3BCE"/>
    <w:rsid w:val="00AB3C59"/>
    <w:rsid w:val="00AB3FF2"/>
    <w:rsid w:val="00AB4418"/>
    <w:rsid w:val="00AB4E95"/>
    <w:rsid w:val="00AB588A"/>
    <w:rsid w:val="00AB5E04"/>
    <w:rsid w:val="00AB6D2A"/>
    <w:rsid w:val="00AB717C"/>
    <w:rsid w:val="00AB72BA"/>
    <w:rsid w:val="00AB7AC9"/>
    <w:rsid w:val="00AC0073"/>
    <w:rsid w:val="00AC0FC8"/>
    <w:rsid w:val="00AC12E6"/>
    <w:rsid w:val="00AC18C7"/>
    <w:rsid w:val="00AC22CF"/>
    <w:rsid w:val="00AC3986"/>
    <w:rsid w:val="00AC65CC"/>
    <w:rsid w:val="00AC66D2"/>
    <w:rsid w:val="00AC757D"/>
    <w:rsid w:val="00AD1582"/>
    <w:rsid w:val="00AD272E"/>
    <w:rsid w:val="00AD279E"/>
    <w:rsid w:val="00AD2999"/>
    <w:rsid w:val="00AD36F9"/>
    <w:rsid w:val="00AD370F"/>
    <w:rsid w:val="00AD3812"/>
    <w:rsid w:val="00AD4377"/>
    <w:rsid w:val="00AD4F26"/>
    <w:rsid w:val="00AD5BB6"/>
    <w:rsid w:val="00AD644D"/>
    <w:rsid w:val="00AD6880"/>
    <w:rsid w:val="00AD736B"/>
    <w:rsid w:val="00AE042C"/>
    <w:rsid w:val="00AE068C"/>
    <w:rsid w:val="00AE0AA7"/>
    <w:rsid w:val="00AE0D89"/>
    <w:rsid w:val="00AE1ADA"/>
    <w:rsid w:val="00AE1C32"/>
    <w:rsid w:val="00AE2082"/>
    <w:rsid w:val="00AE2438"/>
    <w:rsid w:val="00AE2522"/>
    <w:rsid w:val="00AE256D"/>
    <w:rsid w:val="00AE27A6"/>
    <w:rsid w:val="00AE2ABD"/>
    <w:rsid w:val="00AE2D48"/>
    <w:rsid w:val="00AE3F60"/>
    <w:rsid w:val="00AE49D4"/>
    <w:rsid w:val="00AE540D"/>
    <w:rsid w:val="00AE553B"/>
    <w:rsid w:val="00AE5641"/>
    <w:rsid w:val="00AE5E67"/>
    <w:rsid w:val="00AE67F8"/>
    <w:rsid w:val="00AE779F"/>
    <w:rsid w:val="00AF015F"/>
    <w:rsid w:val="00AF09F9"/>
    <w:rsid w:val="00AF162A"/>
    <w:rsid w:val="00AF3096"/>
    <w:rsid w:val="00AF3E95"/>
    <w:rsid w:val="00AF4665"/>
    <w:rsid w:val="00AF5E0B"/>
    <w:rsid w:val="00AF6349"/>
    <w:rsid w:val="00AF6524"/>
    <w:rsid w:val="00AF6C57"/>
    <w:rsid w:val="00AF6EFE"/>
    <w:rsid w:val="00AF73DF"/>
    <w:rsid w:val="00AF7CC6"/>
    <w:rsid w:val="00B01809"/>
    <w:rsid w:val="00B01E6B"/>
    <w:rsid w:val="00B0265D"/>
    <w:rsid w:val="00B0283E"/>
    <w:rsid w:val="00B02BDD"/>
    <w:rsid w:val="00B02DF7"/>
    <w:rsid w:val="00B03021"/>
    <w:rsid w:val="00B033F4"/>
    <w:rsid w:val="00B04FEC"/>
    <w:rsid w:val="00B0688B"/>
    <w:rsid w:val="00B068B5"/>
    <w:rsid w:val="00B06DB1"/>
    <w:rsid w:val="00B06E0C"/>
    <w:rsid w:val="00B07126"/>
    <w:rsid w:val="00B10786"/>
    <w:rsid w:val="00B10909"/>
    <w:rsid w:val="00B10F10"/>
    <w:rsid w:val="00B11331"/>
    <w:rsid w:val="00B117F6"/>
    <w:rsid w:val="00B12047"/>
    <w:rsid w:val="00B12201"/>
    <w:rsid w:val="00B133D8"/>
    <w:rsid w:val="00B13833"/>
    <w:rsid w:val="00B14433"/>
    <w:rsid w:val="00B14A37"/>
    <w:rsid w:val="00B16CE4"/>
    <w:rsid w:val="00B16D1D"/>
    <w:rsid w:val="00B16E69"/>
    <w:rsid w:val="00B20494"/>
    <w:rsid w:val="00B2066F"/>
    <w:rsid w:val="00B208CD"/>
    <w:rsid w:val="00B226CD"/>
    <w:rsid w:val="00B2336A"/>
    <w:rsid w:val="00B234AD"/>
    <w:rsid w:val="00B23CA0"/>
    <w:rsid w:val="00B2594D"/>
    <w:rsid w:val="00B25F7A"/>
    <w:rsid w:val="00B26267"/>
    <w:rsid w:val="00B27215"/>
    <w:rsid w:val="00B2778E"/>
    <w:rsid w:val="00B30497"/>
    <w:rsid w:val="00B3257C"/>
    <w:rsid w:val="00B33383"/>
    <w:rsid w:val="00B33398"/>
    <w:rsid w:val="00B33DDD"/>
    <w:rsid w:val="00B36104"/>
    <w:rsid w:val="00B36132"/>
    <w:rsid w:val="00B3617A"/>
    <w:rsid w:val="00B36214"/>
    <w:rsid w:val="00B36B99"/>
    <w:rsid w:val="00B36D2C"/>
    <w:rsid w:val="00B36E89"/>
    <w:rsid w:val="00B40371"/>
    <w:rsid w:val="00B4062C"/>
    <w:rsid w:val="00B4075F"/>
    <w:rsid w:val="00B411E4"/>
    <w:rsid w:val="00B4167A"/>
    <w:rsid w:val="00B42576"/>
    <w:rsid w:val="00B437F9"/>
    <w:rsid w:val="00B446BF"/>
    <w:rsid w:val="00B44ADE"/>
    <w:rsid w:val="00B453A5"/>
    <w:rsid w:val="00B4597A"/>
    <w:rsid w:val="00B45A8F"/>
    <w:rsid w:val="00B468B0"/>
    <w:rsid w:val="00B50AB7"/>
    <w:rsid w:val="00B50EDD"/>
    <w:rsid w:val="00B531DA"/>
    <w:rsid w:val="00B53682"/>
    <w:rsid w:val="00B55B9F"/>
    <w:rsid w:val="00B56427"/>
    <w:rsid w:val="00B56764"/>
    <w:rsid w:val="00B56866"/>
    <w:rsid w:val="00B570D1"/>
    <w:rsid w:val="00B57E11"/>
    <w:rsid w:val="00B57ECB"/>
    <w:rsid w:val="00B57FB7"/>
    <w:rsid w:val="00B600A7"/>
    <w:rsid w:val="00B600FC"/>
    <w:rsid w:val="00B60473"/>
    <w:rsid w:val="00B607A0"/>
    <w:rsid w:val="00B6102A"/>
    <w:rsid w:val="00B6182C"/>
    <w:rsid w:val="00B61B79"/>
    <w:rsid w:val="00B61D96"/>
    <w:rsid w:val="00B61F69"/>
    <w:rsid w:val="00B623D5"/>
    <w:rsid w:val="00B62A94"/>
    <w:rsid w:val="00B62B0B"/>
    <w:rsid w:val="00B633E3"/>
    <w:rsid w:val="00B6354C"/>
    <w:rsid w:val="00B635C0"/>
    <w:rsid w:val="00B639AE"/>
    <w:rsid w:val="00B63BC5"/>
    <w:rsid w:val="00B6486A"/>
    <w:rsid w:val="00B64C69"/>
    <w:rsid w:val="00B64FE9"/>
    <w:rsid w:val="00B66ADA"/>
    <w:rsid w:val="00B67B3D"/>
    <w:rsid w:val="00B67E26"/>
    <w:rsid w:val="00B70A77"/>
    <w:rsid w:val="00B70FEA"/>
    <w:rsid w:val="00B7208B"/>
    <w:rsid w:val="00B72B19"/>
    <w:rsid w:val="00B72F87"/>
    <w:rsid w:val="00B7305B"/>
    <w:rsid w:val="00B73BA8"/>
    <w:rsid w:val="00B73F50"/>
    <w:rsid w:val="00B73F56"/>
    <w:rsid w:val="00B7423F"/>
    <w:rsid w:val="00B744FD"/>
    <w:rsid w:val="00B74770"/>
    <w:rsid w:val="00B750B3"/>
    <w:rsid w:val="00B7692B"/>
    <w:rsid w:val="00B772A4"/>
    <w:rsid w:val="00B80970"/>
    <w:rsid w:val="00B80B06"/>
    <w:rsid w:val="00B817CC"/>
    <w:rsid w:val="00B818F6"/>
    <w:rsid w:val="00B82E10"/>
    <w:rsid w:val="00B831BA"/>
    <w:rsid w:val="00B851E2"/>
    <w:rsid w:val="00B85C21"/>
    <w:rsid w:val="00B85F7C"/>
    <w:rsid w:val="00B85F87"/>
    <w:rsid w:val="00B867C7"/>
    <w:rsid w:val="00B86C71"/>
    <w:rsid w:val="00B87925"/>
    <w:rsid w:val="00B87AC9"/>
    <w:rsid w:val="00B87C77"/>
    <w:rsid w:val="00B92516"/>
    <w:rsid w:val="00B9360A"/>
    <w:rsid w:val="00B94BD5"/>
    <w:rsid w:val="00B95E56"/>
    <w:rsid w:val="00B96E0C"/>
    <w:rsid w:val="00BA05AF"/>
    <w:rsid w:val="00BA05CB"/>
    <w:rsid w:val="00BA1244"/>
    <w:rsid w:val="00BA1CE0"/>
    <w:rsid w:val="00BA20BF"/>
    <w:rsid w:val="00BA238B"/>
    <w:rsid w:val="00BA2EF0"/>
    <w:rsid w:val="00BA3D32"/>
    <w:rsid w:val="00BA3DCF"/>
    <w:rsid w:val="00BA714C"/>
    <w:rsid w:val="00BA72B1"/>
    <w:rsid w:val="00BA7DC0"/>
    <w:rsid w:val="00BA7DFB"/>
    <w:rsid w:val="00BB0D2B"/>
    <w:rsid w:val="00BB1F54"/>
    <w:rsid w:val="00BB23E7"/>
    <w:rsid w:val="00BB3C65"/>
    <w:rsid w:val="00BB47D6"/>
    <w:rsid w:val="00BB4BB2"/>
    <w:rsid w:val="00BC0290"/>
    <w:rsid w:val="00BC1675"/>
    <w:rsid w:val="00BC1AA8"/>
    <w:rsid w:val="00BC1F59"/>
    <w:rsid w:val="00BC2F5D"/>
    <w:rsid w:val="00BC3558"/>
    <w:rsid w:val="00BC41DA"/>
    <w:rsid w:val="00BC427A"/>
    <w:rsid w:val="00BC4D62"/>
    <w:rsid w:val="00BC53BD"/>
    <w:rsid w:val="00BC5673"/>
    <w:rsid w:val="00BC5D13"/>
    <w:rsid w:val="00BC62BA"/>
    <w:rsid w:val="00BC6D48"/>
    <w:rsid w:val="00BC6E6A"/>
    <w:rsid w:val="00BC7770"/>
    <w:rsid w:val="00BD0284"/>
    <w:rsid w:val="00BD0705"/>
    <w:rsid w:val="00BD140E"/>
    <w:rsid w:val="00BD1F1D"/>
    <w:rsid w:val="00BD2328"/>
    <w:rsid w:val="00BD275A"/>
    <w:rsid w:val="00BD2D08"/>
    <w:rsid w:val="00BD2DA1"/>
    <w:rsid w:val="00BD4497"/>
    <w:rsid w:val="00BD46C6"/>
    <w:rsid w:val="00BD4F67"/>
    <w:rsid w:val="00BD5B10"/>
    <w:rsid w:val="00BD62C1"/>
    <w:rsid w:val="00BD6D58"/>
    <w:rsid w:val="00BD6F03"/>
    <w:rsid w:val="00BD713D"/>
    <w:rsid w:val="00BD79F2"/>
    <w:rsid w:val="00BE052F"/>
    <w:rsid w:val="00BE0F84"/>
    <w:rsid w:val="00BE1B70"/>
    <w:rsid w:val="00BE269D"/>
    <w:rsid w:val="00BE26EE"/>
    <w:rsid w:val="00BE2C7E"/>
    <w:rsid w:val="00BE3EBD"/>
    <w:rsid w:val="00BE4D50"/>
    <w:rsid w:val="00BE5580"/>
    <w:rsid w:val="00BE563A"/>
    <w:rsid w:val="00BE5779"/>
    <w:rsid w:val="00BE5DA1"/>
    <w:rsid w:val="00BE624F"/>
    <w:rsid w:val="00BE681E"/>
    <w:rsid w:val="00BE780B"/>
    <w:rsid w:val="00BF011D"/>
    <w:rsid w:val="00BF0995"/>
    <w:rsid w:val="00BF0E04"/>
    <w:rsid w:val="00BF0F38"/>
    <w:rsid w:val="00BF14F4"/>
    <w:rsid w:val="00BF15FE"/>
    <w:rsid w:val="00BF167B"/>
    <w:rsid w:val="00BF1D74"/>
    <w:rsid w:val="00BF234A"/>
    <w:rsid w:val="00BF28A9"/>
    <w:rsid w:val="00BF2C8B"/>
    <w:rsid w:val="00BF332E"/>
    <w:rsid w:val="00BF3780"/>
    <w:rsid w:val="00BF3E41"/>
    <w:rsid w:val="00BF4F07"/>
    <w:rsid w:val="00BF4F5B"/>
    <w:rsid w:val="00BF54EF"/>
    <w:rsid w:val="00BF7AFA"/>
    <w:rsid w:val="00C00A53"/>
    <w:rsid w:val="00C00EC9"/>
    <w:rsid w:val="00C013B4"/>
    <w:rsid w:val="00C016BD"/>
    <w:rsid w:val="00C01862"/>
    <w:rsid w:val="00C01B45"/>
    <w:rsid w:val="00C02059"/>
    <w:rsid w:val="00C0250F"/>
    <w:rsid w:val="00C02639"/>
    <w:rsid w:val="00C02A7D"/>
    <w:rsid w:val="00C03391"/>
    <w:rsid w:val="00C046B1"/>
    <w:rsid w:val="00C049EB"/>
    <w:rsid w:val="00C0692C"/>
    <w:rsid w:val="00C070B3"/>
    <w:rsid w:val="00C077F1"/>
    <w:rsid w:val="00C07A30"/>
    <w:rsid w:val="00C07FB5"/>
    <w:rsid w:val="00C1044F"/>
    <w:rsid w:val="00C10A05"/>
    <w:rsid w:val="00C10BA4"/>
    <w:rsid w:val="00C10C88"/>
    <w:rsid w:val="00C10FFA"/>
    <w:rsid w:val="00C12E9C"/>
    <w:rsid w:val="00C12EDB"/>
    <w:rsid w:val="00C13086"/>
    <w:rsid w:val="00C142AB"/>
    <w:rsid w:val="00C145FF"/>
    <w:rsid w:val="00C15694"/>
    <w:rsid w:val="00C166F9"/>
    <w:rsid w:val="00C17097"/>
    <w:rsid w:val="00C179F7"/>
    <w:rsid w:val="00C17A37"/>
    <w:rsid w:val="00C200F7"/>
    <w:rsid w:val="00C206EB"/>
    <w:rsid w:val="00C209DF"/>
    <w:rsid w:val="00C21058"/>
    <w:rsid w:val="00C21104"/>
    <w:rsid w:val="00C217BA"/>
    <w:rsid w:val="00C21ABF"/>
    <w:rsid w:val="00C22942"/>
    <w:rsid w:val="00C229EC"/>
    <w:rsid w:val="00C22F96"/>
    <w:rsid w:val="00C24190"/>
    <w:rsid w:val="00C24351"/>
    <w:rsid w:val="00C247BD"/>
    <w:rsid w:val="00C25E2E"/>
    <w:rsid w:val="00C25F02"/>
    <w:rsid w:val="00C268CF"/>
    <w:rsid w:val="00C26D09"/>
    <w:rsid w:val="00C273DE"/>
    <w:rsid w:val="00C2764E"/>
    <w:rsid w:val="00C278CE"/>
    <w:rsid w:val="00C305AE"/>
    <w:rsid w:val="00C307A8"/>
    <w:rsid w:val="00C30E83"/>
    <w:rsid w:val="00C31267"/>
    <w:rsid w:val="00C334F9"/>
    <w:rsid w:val="00C3468B"/>
    <w:rsid w:val="00C34965"/>
    <w:rsid w:val="00C34A2C"/>
    <w:rsid w:val="00C359BC"/>
    <w:rsid w:val="00C35BF2"/>
    <w:rsid w:val="00C35F99"/>
    <w:rsid w:val="00C3622D"/>
    <w:rsid w:val="00C37044"/>
    <w:rsid w:val="00C3731B"/>
    <w:rsid w:val="00C374B5"/>
    <w:rsid w:val="00C374C9"/>
    <w:rsid w:val="00C37D45"/>
    <w:rsid w:val="00C40D94"/>
    <w:rsid w:val="00C411BC"/>
    <w:rsid w:val="00C427E9"/>
    <w:rsid w:val="00C429E3"/>
    <w:rsid w:val="00C42A4D"/>
    <w:rsid w:val="00C42BDE"/>
    <w:rsid w:val="00C43707"/>
    <w:rsid w:val="00C476FD"/>
    <w:rsid w:val="00C50A28"/>
    <w:rsid w:val="00C51B7C"/>
    <w:rsid w:val="00C51C29"/>
    <w:rsid w:val="00C52025"/>
    <w:rsid w:val="00C52A81"/>
    <w:rsid w:val="00C53EFD"/>
    <w:rsid w:val="00C5433E"/>
    <w:rsid w:val="00C54C3D"/>
    <w:rsid w:val="00C54D83"/>
    <w:rsid w:val="00C55103"/>
    <w:rsid w:val="00C553B5"/>
    <w:rsid w:val="00C55D5C"/>
    <w:rsid w:val="00C60540"/>
    <w:rsid w:val="00C60EE9"/>
    <w:rsid w:val="00C62F85"/>
    <w:rsid w:val="00C63C71"/>
    <w:rsid w:val="00C6435B"/>
    <w:rsid w:val="00C64827"/>
    <w:rsid w:val="00C649B2"/>
    <w:rsid w:val="00C65179"/>
    <w:rsid w:val="00C65929"/>
    <w:rsid w:val="00C67138"/>
    <w:rsid w:val="00C671B3"/>
    <w:rsid w:val="00C67698"/>
    <w:rsid w:val="00C701B3"/>
    <w:rsid w:val="00C706A5"/>
    <w:rsid w:val="00C70A4B"/>
    <w:rsid w:val="00C70B19"/>
    <w:rsid w:val="00C70D15"/>
    <w:rsid w:val="00C71138"/>
    <w:rsid w:val="00C714B3"/>
    <w:rsid w:val="00C72080"/>
    <w:rsid w:val="00C72318"/>
    <w:rsid w:val="00C72E31"/>
    <w:rsid w:val="00C73AF1"/>
    <w:rsid w:val="00C73C35"/>
    <w:rsid w:val="00C744C3"/>
    <w:rsid w:val="00C7475A"/>
    <w:rsid w:val="00C7506F"/>
    <w:rsid w:val="00C76249"/>
    <w:rsid w:val="00C77FF2"/>
    <w:rsid w:val="00C80E65"/>
    <w:rsid w:val="00C814E3"/>
    <w:rsid w:val="00C823BD"/>
    <w:rsid w:val="00C82FA2"/>
    <w:rsid w:val="00C85227"/>
    <w:rsid w:val="00C85D85"/>
    <w:rsid w:val="00C85F79"/>
    <w:rsid w:val="00C872A0"/>
    <w:rsid w:val="00C87EFC"/>
    <w:rsid w:val="00C900C9"/>
    <w:rsid w:val="00C91677"/>
    <w:rsid w:val="00C91CD1"/>
    <w:rsid w:val="00C929CE"/>
    <w:rsid w:val="00C93EAA"/>
    <w:rsid w:val="00C93FD8"/>
    <w:rsid w:val="00C94453"/>
    <w:rsid w:val="00C94A80"/>
    <w:rsid w:val="00C94E38"/>
    <w:rsid w:val="00C94F63"/>
    <w:rsid w:val="00C95A6B"/>
    <w:rsid w:val="00C95C1F"/>
    <w:rsid w:val="00C968CC"/>
    <w:rsid w:val="00C96A63"/>
    <w:rsid w:val="00C96AEA"/>
    <w:rsid w:val="00C96B1D"/>
    <w:rsid w:val="00C976F1"/>
    <w:rsid w:val="00C97B9F"/>
    <w:rsid w:val="00CA482A"/>
    <w:rsid w:val="00CA49CC"/>
    <w:rsid w:val="00CA51B4"/>
    <w:rsid w:val="00CA5870"/>
    <w:rsid w:val="00CA6364"/>
    <w:rsid w:val="00CA6989"/>
    <w:rsid w:val="00CA6F5A"/>
    <w:rsid w:val="00CA6F70"/>
    <w:rsid w:val="00CA71DA"/>
    <w:rsid w:val="00CA7EF6"/>
    <w:rsid w:val="00CB00C5"/>
    <w:rsid w:val="00CB07BB"/>
    <w:rsid w:val="00CB09C6"/>
    <w:rsid w:val="00CB1696"/>
    <w:rsid w:val="00CB2019"/>
    <w:rsid w:val="00CB2C1A"/>
    <w:rsid w:val="00CB3616"/>
    <w:rsid w:val="00CB3C08"/>
    <w:rsid w:val="00CB3CA9"/>
    <w:rsid w:val="00CB45B8"/>
    <w:rsid w:val="00CB53F3"/>
    <w:rsid w:val="00CB592A"/>
    <w:rsid w:val="00CB5DC1"/>
    <w:rsid w:val="00CB6356"/>
    <w:rsid w:val="00CB6AA0"/>
    <w:rsid w:val="00CB76EA"/>
    <w:rsid w:val="00CB773A"/>
    <w:rsid w:val="00CB7864"/>
    <w:rsid w:val="00CB7BC2"/>
    <w:rsid w:val="00CC30D7"/>
    <w:rsid w:val="00CC3DB6"/>
    <w:rsid w:val="00CC4490"/>
    <w:rsid w:val="00CC5917"/>
    <w:rsid w:val="00CC616C"/>
    <w:rsid w:val="00CC665B"/>
    <w:rsid w:val="00CC68C5"/>
    <w:rsid w:val="00CC77E4"/>
    <w:rsid w:val="00CD00FA"/>
    <w:rsid w:val="00CD1559"/>
    <w:rsid w:val="00CD1E97"/>
    <w:rsid w:val="00CD1F91"/>
    <w:rsid w:val="00CD259B"/>
    <w:rsid w:val="00CD3A9A"/>
    <w:rsid w:val="00CD3C0D"/>
    <w:rsid w:val="00CD4181"/>
    <w:rsid w:val="00CD4585"/>
    <w:rsid w:val="00CD5F53"/>
    <w:rsid w:val="00CD7B38"/>
    <w:rsid w:val="00CE003E"/>
    <w:rsid w:val="00CE05B0"/>
    <w:rsid w:val="00CE0A3F"/>
    <w:rsid w:val="00CE24DD"/>
    <w:rsid w:val="00CE25B4"/>
    <w:rsid w:val="00CE27F5"/>
    <w:rsid w:val="00CE2B11"/>
    <w:rsid w:val="00CE2D73"/>
    <w:rsid w:val="00CE38EE"/>
    <w:rsid w:val="00CE3AEF"/>
    <w:rsid w:val="00CE443B"/>
    <w:rsid w:val="00CE4D13"/>
    <w:rsid w:val="00CE5396"/>
    <w:rsid w:val="00CE555C"/>
    <w:rsid w:val="00CE6C38"/>
    <w:rsid w:val="00CE7872"/>
    <w:rsid w:val="00CF0017"/>
    <w:rsid w:val="00CF0163"/>
    <w:rsid w:val="00CF085E"/>
    <w:rsid w:val="00CF09A5"/>
    <w:rsid w:val="00CF10DF"/>
    <w:rsid w:val="00CF2D3B"/>
    <w:rsid w:val="00CF2E32"/>
    <w:rsid w:val="00CF3082"/>
    <w:rsid w:val="00CF3268"/>
    <w:rsid w:val="00CF3541"/>
    <w:rsid w:val="00CF38B5"/>
    <w:rsid w:val="00CF489B"/>
    <w:rsid w:val="00CF490A"/>
    <w:rsid w:val="00CF5E47"/>
    <w:rsid w:val="00CF6BB4"/>
    <w:rsid w:val="00CF6E6C"/>
    <w:rsid w:val="00CF6E70"/>
    <w:rsid w:val="00CF7444"/>
    <w:rsid w:val="00CF7B93"/>
    <w:rsid w:val="00D002B7"/>
    <w:rsid w:val="00D00FB0"/>
    <w:rsid w:val="00D02970"/>
    <w:rsid w:val="00D035C0"/>
    <w:rsid w:val="00D039D9"/>
    <w:rsid w:val="00D039E6"/>
    <w:rsid w:val="00D03E2E"/>
    <w:rsid w:val="00D04545"/>
    <w:rsid w:val="00D04DAB"/>
    <w:rsid w:val="00D05527"/>
    <w:rsid w:val="00D05A1E"/>
    <w:rsid w:val="00D05E8E"/>
    <w:rsid w:val="00D063DF"/>
    <w:rsid w:val="00D0784E"/>
    <w:rsid w:val="00D1034E"/>
    <w:rsid w:val="00D1059C"/>
    <w:rsid w:val="00D106D7"/>
    <w:rsid w:val="00D10EF1"/>
    <w:rsid w:val="00D1103E"/>
    <w:rsid w:val="00D1110F"/>
    <w:rsid w:val="00D113DE"/>
    <w:rsid w:val="00D11897"/>
    <w:rsid w:val="00D11FA6"/>
    <w:rsid w:val="00D12F92"/>
    <w:rsid w:val="00D13322"/>
    <w:rsid w:val="00D138F5"/>
    <w:rsid w:val="00D139C9"/>
    <w:rsid w:val="00D13A57"/>
    <w:rsid w:val="00D13B8F"/>
    <w:rsid w:val="00D13E89"/>
    <w:rsid w:val="00D141C7"/>
    <w:rsid w:val="00D148C8"/>
    <w:rsid w:val="00D15374"/>
    <w:rsid w:val="00D16D05"/>
    <w:rsid w:val="00D16EF0"/>
    <w:rsid w:val="00D16EF9"/>
    <w:rsid w:val="00D17130"/>
    <w:rsid w:val="00D17758"/>
    <w:rsid w:val="00D17965"/>
    <w:rsid w:val="00D20556"/>
    <w:rsid w:val="00D21428"/>
    <w:rsid w:val="00D21783"/>
    <w:rsid w:val="00D2225D"/>
    <w:rsid w:val="00D22459"/>
    <w:rsid w:val="00D22485"/>
    <w:rsid w:val="00D22CE6"/>
    <w:rsid w:val="00D2326A"/>
    <w:rsid w:val="00D23E6D"/>
    <w:rsid w:val="00D23F6C"/>
    <w:rsid w:val="00D243B7"/>
    <w:rsid w:val="00D24C8C"/>
    <w:rsid w:val="00D25B22"/>
    <w:rsid w:val="00D268A1"/>
    <w:rsid w:val="00D26D39"/>
    <w:rsid w:val="00D302B4"/>
    <w:rsid w:val="00D31987"/>
    <w:rsid w:val="00D319FE"/>
    <w:rsid w:val="00D323D1"/>
    <w:rsid w:val="00D326DA"/>
    <w:rsid w:val="00D33B2C"/>
    <w:rsid w:val="00D33BC0"/>
    <w:rsid w:val="00D33DDC"/>
    <w:rsid w:val="00D34415"/>
    <w:rsid w:val="00D3592B"/>
    <w:rsid w:val="00D35989"/>
    <w:rsid w:val="00D35B9B"/>
    <w:rsid w:val="00D35EAD"/>
    <w:rsid w:val="00D37DFB"/>
    <w:rsid w:val="00D40078"/>
    <w:rsid w:val="00D4022D"/>
    <w:rsid w:val="00D414F5"/>
    <w:rsid w:val="00D41CA0"/>
    <w:rsid w:val="00D41F51"/>
    <w:rsid w:val="00D42E22"/>
    <w:rsid w:val="00D43872"/>
    <w:rsid w:val="00D454E7"/>
    <w:rsid w:val="00D45527"/>
    <w:rsid w:val="00D46097"/>
    <w:rsid w:val="00D46521"/>
    <w:rsid w:val="00D47E28"/>
    <w:rsid w:val="00D523EB"/>
    <w:rsid w:val="00D52D57"/>
    <w:rsid w:val="00D53275"/>
    <w:rsid w:val="00D54358"/>
    <w:rsid w:val="00D54562"/>
    <w:rsid w:val="00D548B4"/>
    <w:rsid w:val="00D5512F"/>
    <w:rsid w:val="00D553C6"/>
    <w:rsid w:val="00D554E1"/>
    <w:rsid w:val="00D55501"/>
    <w:rsid w:val="00D5577E"/>
    <w:rsid w:val="00D55F1F"/>
    <w:rsid w:val="00D5614A"/>
    <w:rsid w:val="00D563AD"/>
    <w:rsid w:val="00D564E9"/>
    <w:rsid w:val="00D5679E"/>
    <w:rsid w:val="00D567AA"/>
    <w:rsid w:val="00D56FFA"/>
    <w:rsid w:val="00D57F34"/>
    <w:rsid w:val="00D604DA"/>
    <w:rsid w:val="00D61E66"/>
    <w:rsid w:val="00D61F21"/>
    <w:rsid w:val="00D62952"/>
    <w:rsid w:val="00D62B1A"/>
    <w:rsid w:val="00D6316F"/>
    <w:rsid w:val="00D63E9A"/>
    <w:rsid w:val="00D641F8"/>
    <w:rsid w:val="00D64A9F"/>
    <w:rsid w:val="00D66AE3"/>
    <w:rsid w:val="00D67390"/>
    <w:rsid w:val="00D673AA"/>
    <w:rsid w:val="00D70BAF"/>
    <w:rsid w:val="00D713A0"/>
    <w:rsid w:val="00D7152A"/>
    <w:rsid w:val="00D720AD"/>
    <w:rsid w:val="00D7233D"/>
    <w:rsid w:val="00D724DC"/>
    <w:rsid w:val="00D72738"/>
    <w:rsid w:val="00D72CF7"/>
    <w:rsid w:val="00D741FC"/>
    <w:rsid w:val="00D7524D"/>
    <w:rsid w:val="00D75C4F"/>
    <w:rsid w:val="00D7636E"/>
    <w:rsid w:val="00D768F3"/>
    <w:rsid w:val="00D76CA5"/>
    <w:rsid w:val="00D76ED3"/>
    <w:rsid w:val="00D77DC1"/>
    <w:rsid w:val="00D77E85"/>
    <w:rsid w:val="00D77F27"/>
    <w:rsid w:val="00D80A2B"/>
    <w:rsid w:val="00D80D6A"/>
    <w:rsid w:val="00D81D1D"/>
    <w:rsid w:val="00D83DDB"/>
    <w:rsid w:val="00D84084"/>
    <w:rsid w:val="00D8421B"/>
    <w:rsid w:val="00D84AA2"/>
    <w:rsid w:val="00D84BF3"/>
    <w:rsid w:val="00D85054"/>
    <w:rsid w:val="00D851B0"/>
    <w:rsid w:val="00D85FE2"/>
    <w:rsid w:val="00D90594"/>
    <w:rsid w:val="00D90AA2"/>
    <w:rsid w:val="00D90C0D"/>
    <w:rsid w:val="00D9112C"/>
    <w:rsid w:val="00D92B4D"/>
    <w:rsid w:val="00D93334"/>
    <w:rsid w:val="00D93A63"/>
    <w:rsid w:val="00D93D3C"/>
    <w:rsid w:val="00D93D73"/>
    <w:rsid w:val="00D93EB1"/>
    <w:rsid w:val="00D9452B"/>
    <w:rsid w:val="00D94ADC"/>
    <w:rsid w:val="00D96AB7"/>
    <w:rsid w:val="00D9730C"/>
    <w:rsid w:val="00D977C8"/>
    <w:rsid w:val="00DA00B8"/>
    <w:rsid w:val="00DA1780"/>
    <w:rsid w:val="00DA244B"/>
    <w:rsid w:val="00DA3198"/>
    <w:rsid w:val="00DA380F"/>
    <w:rsid w:val="00DA3867"/>
    <w:rsid w:val="00DA3E9A"/>
    <w:rsid w:val="00DA4DBD"/>
    <w:rsid w:val="00DA65F6"/>
    <w:rsid w:val="00DA6F31"/>
    <w:rsid w:val="00DA706E"/>
    <w:rsid w:val="00DA7137"/>
    <w:rsid w:val="00DA786A"/>
    <w:rsid w:val="00DA7D1B"/>
    <w:rsid w:val="00DB03ED"/>
    <w:rsid w:val="00DB06E9"/>
    <w:rsid w:val="00DB0E7C"/>
    <w:rsid w:val="00DB181D"/>
    <w:rsid w:val="00DB1B17"/>
    <w:rsid w:val="00DB1EDB"/>
    <w:rsid w:val="00DB210F"/>
    <w:rsid w:val="00DB220A"/>
    <w:rsid w:val="00DB2DBE"/>
    <w:rsid w:val="00DB32DE"/>
    <w:rsid w:val="00DB49B6"/>
    <w:rsid w:val="00DB5B40"/>
    <w:rsid w:val="00DB6DA6"/>
    <w:rsid w:val="00DC055B"/>
    <w:rsid w:val="00DC1302"/>
    <w:rsid w:val="00DC13E1"/>
    <w:rsid w:val="00DC1E47"/>
    <w:rsid w:val="00DC2397"/>
    <w:rsid w:val="00DC304F"/>
    <w:rsid w:val="00DC3545"/>
    <w:rsid w:val="00DC364B"/>
    <w:rsid w:val="00DC4B35"/>
    <w:rsid w:val="00DC4FBE"/>
    <w:rsid w:val="00DC5836"/>
    <w:rsid w:val="00DC5A31"/>
    <w:rsid w:val="00DC676B"/>
    <w:rsid w:val="00DD2026"/>
    <w:rsid w:val="00DD2648"/>
    <w:rsid w:val="00DD267B"/>
    <w:rsid w:val="00DD2A1E"/>
    <w:rsid w:val="00DD2A77"/>
    <w:rsid w:val="00DD5AD6"/>
    <w:rsid w:val="00DD6FD9"/>
    <w:rsid w:val="00DD79E3"/>
    <w:rsid w:val="00DE048F"/>
    <w:rsid w:val="00DE1206"/>
    <w:rsid w:val="00DE215D"/>
    <w:rsid w:val="00DE3C99"/>
    <w:rsid w:val="00DE4509"/>
    <w:rsid w:val="00DE491D"/>
    <w:rsid w:val="00DE552A"/>
    <w:rsid w:val="00DE58D7"/>
    <w:rsid w:val="00DE5A78"/>
    <w:rsid w:val="00DE5D94"/>
    <w:rsid w:val="00DE7FFC"/>
    <w:rsid w:val="00DF0119"/>
    <w:rsid w:val="00DF0528"/>
    <w:rsid w:val="00DF171F"/>
    <w:rsid w:val="00DF17F9"/>
    <w:rsid w:val="00DF1AB3"/>
    <w:rsid w:val="00DF1AB5"/>
    <w:rsid w:val="00DF221E"/>
    <w:rsid w:val="00DF2CD3"/>
    <w:rsid w:val="00DF369E"/>
    <w:rsid w:val="00DF62C2"/>
    <w:rsid w:val="00DF62E2"/>
    <w:rsid w:val="00DF7BAF"/>
    <w:rsid w:val="00E0008D"/>
    <w:rsid w:val="00E009EE"/>
    <w:rsid w:val="00E00A82"/>
    <w:rsid w:val="00E00CDF"/>
    <w:rsid w:val="00E0120D"/>
    <w:rsid w:val="00E01521"/>
    <w:rsid w:val="00E016C4"/>
    <w:rsid w:val="00E01FA1"/>
    <w:rsid w:val="00E0246A"/>
    <w:rsid w:val="00E02A34"/>
    <w:rsid w:val="00E02D6C"/>
    <w:rsid w:val="00E030B1"/>
    <w:rsid w:val="00E03768"/>
    <w:rsid w:val="00E03B67"/>
    <w:rsid w:val="00E040F3"/>
    <w:rsid w:val="00E0420B"/>
    <w:rsid w:val="00E042F5"/>
    <w:rsid w:val="00E061AE"/>
    <w:rsid w:val="00E07170"/>
    <w:rsid w:val="00E0719F"/>
    <w:rsid w:val="00E07465"/>
    <w:rsid w:val="00E07518"/>
    <w:rsid w:val="00E10FE2"/>
    <w:rsid w:val="00E1107E"/>
    <w:rsid w:val="00E11853"/>
    <w:rsid w:val="00E11BB7"/>
    <w:rsid w:val="00E11D10"/>
    <w:rsid w:val="00E11EBD"/>
    <w:rsid w:val="00E13405"/>
    <w:rsid w:val="00E1447C"/>
    <w:rsid w:val="00E1484A"/>
    <w:rsid w:val="00E14C9D"/>
    <w:rsid w:val="00E14DE9"/>
    <w:rsid w:val="00E1512A"/>
    <w:rsid w:val="00E159E6"/>
    <w:rsid w:val="00E163A1"/>
    <w:rsid w:val="00E16B60"/>
    <w:rsid w:val="00E16DF8"/>
    <w:rsid w:val="00E16EEC"/>
    <w:rsid w:val="00E1715A"/>
    <w:rsid w:val="00E1790A"/>
    <w:rsid w:val="00E204D1"/>
    <w:rsid w:val="00E2206C"/>
    <w:rsid w:val="00E22192"/>
    <w:rsid w:val="00E2224C"/>
    <w:rsid w:val="00E2269E"/>
    <w:rsid w:val="00E234D4"/>
    <w:rsid w:val="00E23C5E"/>
    <w:rsid w:val="00E25030"/>
    <w:rsid w:val="00E265E4"/>
    <w:rsid w:val="00E27CA7"/>
    <w:rsid w:val="00E27EA5"/>
    <w:rsid w:val="00E3029E"/>
    <w:rsid w:val="00E30F1C"/>
    <w:rsid w:val="00E31BAB"/>
    <w:rsid w:val="00E31E48"/>
    <w:rsid w:val="00E32127"/>
    <w:rsid w:val="00E3351C"/>
    <w:rsid w:val="00E33A89"/>
    <w:rsid w:val="00E3427F"/>
    <w:rsid w:val="00E34506"/>
    <w:rsid w:val="00E345E9"/>
    <w:rsid w:val="00E36F48"/>
    <w:rsid w:val="00E402B8"/>
    <w:rsid w:val="00E40EFD"/>
    <w:rsid w:val="00E41784"/>
    <w:rsid w:val="00E41794"/>
    <w:rsid w:val="00E41E05"/>
    <w:rsid w:val="00E41E0C"/>
    <w:rsid w:val="00E42A8D"/>
    <w:rsid w:val="00E4386C"/>
    <w:rsid w:val="00E44128"/>
    <w:rsid w:val="00E442A1"/>
    <w:rsid w:val="00E443E4"/>
    <w:rsid w:val="00E44723"/>
    <w:rsid w:val="00E45315"/>
    <w:rsid w:val="00E45773"/>
    <w:rsid w:val="00E461FA"/>
    <w:rsid w:val="00E46677"/>
    <w:rsid w:val="00E477A6"/>
    <w:rsid w:val="00E47D6F"/>
    <w:rsid w:val="00E50D58"/>
    <w:rsid w:val="00E5131F"/>
    <w:rsid w:val="00E5224B"/>
    <w:rsid w:val="00E522A7"/>
    <w:rsid w:val="00E531E7"/>
    <w:rsid w:val="00E53AD3"/>
    <w:rsid w:val="00E543BB"/>
    <w:rsid w:val="00E555EA"/>
    <w:rsid w:val="00E556A6"/>
    <w:rsid w:val="00E55C95"/>
    <w:rsid w:val="00E55FB3"/>
    <w:rsid w:val="00E56009"/>
    <w:rsid w:val="00E56675"/>
    <w:rsid w:val="00E571CC"/>
    <w:rsid w:val="00E57400"/>
    <w:rsid w:val="00E60F25"/>
    <w:rsid w:val="00E619E4"/>
    <w:rsid w:val="00E61B27"/>
    <w:rsid w:val="00E627F6"/>
    <w:rsid w:val="00E62E41"/>
    <w:rsid w:val="00E638BD"/>
    <w:rsid w:val="00E640FA"/>
    <w:rsid w:val="00E6452D"/>
    <w:rsid w:val="00E6458A"/>
    <w:rsid w:val="00E66872"/>
    <w:rsid w:val="00E67510"/>
    <w:rsid w:val="00E67EE4"/>
    <w:rsid w:val="00E7052B"/>
    <w:rsid w:val="00E707EF"/>
    <w:rsid w:val="00E709DF"/>
    <w:rsid w:val="00E70D2A"/>
    <w:rsid w:val="00E70FF3"/>
    <w:rsid w:val="00E7109F"/>
    <w:rsid w:val="00E71175"/>
    <w:rsid w:val="00E7128A"/>
    <w:rsid w:val="00E729D8"/>
    <w:rsid w:val="00E72FB5"/>
    <w:rsid w:val="00E73938"/>
    <w:rsid w:val="00E74131"/>
    <w:rsid w:val="00E74794"/>
    <w:rsid w:val="00E748EB"/>
    <w:rsid w:val="00E74ADC"/>
    <w:rsid w:val="00E74D5A"/>
    <w:rsid w:val="00E7611D"/>
    <w:rsid w:val="00E7678D"/>
    <w:rsid w:val="00E772C0"/>
    <w:rsid w:val="00E8457A"/>
    <w:rsid w:val="00E85462"/>
    <w:rsid w:val="00E85929"/>
    <w:rsid w:val="00E865C9"/>
    <w:rsid w:val="00E8680D"/>
    <w:rsid w:val="00E870DB"/>
    <w:rsid w:val="00E87A30"/>
    <w:rsid w:val="00E87D24"/>
    <w:rsid w:val="00E905BD"/>
    <w:rsid w:val="00E9062C"/>
    <w:rsid w:val="00E90BFC"/>
    <w:rsid w:val="00E90D68"/>
    <w:rsid w:val="00E91699"/>
    <w:rsid w:val="00E916F1"/>
    <w:rsid w:val="00E92BE9"/>
    <w:rsid w:val="00E92F9F"/>
    <w:rsid w:val="00E9347F"/>
    <w:rsid w:val="00E94716"/>
    <w:rsid w:val="00E9473C"/>
    <w:rsid w:val="00E94AC2"/>
    <w:rsid w:val="00E94CCB"/>
    <w:rsid w:val="00E95525"/>
    <w:rsid w:val="00E959B3"/>
    <w:rsid w:val="00E959E8"/>
    <w:rsid w:val="00E96060"/>
    <w:rsid w:val="00E96427"/>
    <w:rsid w:val="00E96E14"/>
    <w:rsid w:val="00E9702D"/>
    <w:rsid w:val="00E974FA"/>
    <w:rsid w:val="00E97A41"/>
    <w:rsid w:val="00EA0137"/>
    <w:rsid w:val="00EA1D6D"/>
    <w:rsid w:val="00EA1EEC"/>
    <w:rsid w:val="00EA2018"/>
    <w:rsid w:val="00EA205A"/>
    <w:rsid w:val="00EA3083"/>
    <w:rsid w:val="00EA3825"/>
    <w:rsid w:val="00EA3C3C"/>
    <w:rsid w:val="00EA4C22"/>
    <w:rsid w:val="00EA5580"/>
    <w:rsid w:val="00EA57D0"/>
    <w:rsid w:val="00EA7737"/>
    <w:rsid w:val="00EA79FB"/>
    <w:rsid w:val="00EB0609"/>
    <w:rsid w:val="00EB078A"/>
    <w:rsid w:val="00EB0D9D"/>
    <w:rsid w:val="00EB1F10"/>
    <w:rsid w:val="00EB284E"/>
    <w:rsid w:val="00EB2A0A"/>
    <w:rsid w:val="00EB2DD9"/>
    <w:rsid w:val="00EB2F99"/>
    <w:rsid w:val="00EB2FF9"/>
    <w:rsid w:val="00EB35F3"/>
    <w:rsid w:val="00EB3FFD"/>
    <w:rsid w:val="00EB409B"/>
    <w:rsid w:val="00EB41C4"/>
    <w:rsid w:val="00EB4313"/>
    <w:rsid w:val="00EB5488"/>
    <w:rsid w:val="00EB54B3"/>
    <w:rsid w:val="00EB5745"/>
    <w:rsid w:val="00EB5E7C"/>
    <w:rsid w:val="00EB61C0"/>
    <w:rsid w:val="00EB676E"/>
    <w:rsid w:val="00EB68B6"/>
    <w:rsid w:val="00EB6BE8"/>
    <w:rsid w:val="00EB6C77"/>
    <w:rsid w:val="00EB7213"/>
    <w:rsid w:val="00EB752B"/>
    <w:rsid w:val="00EC04CA"/>
    <w:rsid w:val="00EC0C5E"/>
    <w:rsid w:val="00EC1D43"/>
    <w:rsid w:val="00EC2700"/>
    <w:rsid w:val="00EC3105"/>
    <w:rsid w:val="00EC34C5"/>
    <w:rsid w:val="00EC42FA"/>
    <w:rsid w:val="00EC539C"/>
    <w:rsid w:val="00EC5534"/>
    <w:rsid w:val="00EC578A"/>
    <w:rsid w:val="00EC6555"/>
    <w:rsid w:val="00EC6CF7"/>
    <w:rsid w:val="00EC6F5C"/>
    <w:rsid w:val="00EC7546"/>
    <w:rsid w:val="00EC75B2"/>
    <w:rsid w:val="00EC7956"/>
    <w:rsid w:val="00ED0791"/>
    <w:rsid w:val="00ED0ED5"/>
    <w:rsid w:val="00ED2CEA"/>
    <w:rsid w:val="00ED2D7A"/>
    <w:rsid w:val="00ED2D83"/>
    <w:rsid w:val="00ED3373"/>
    <w:rsid w:val="00ED602D"/>
    <w:rsid w:val="00ED6B8F"/>
    <w:rsid w:val="00ED6E53"/>
    <w:rsid w:val="00ED7023"/>
    <w:rsid w:val="00ED71A4"/>
    <w:rsid w:val="00EE0397"/>
    <w:rsid w:val="00EE0655"/>
    <w:rsid w:val="00EE0EB8"/>
    <w:rsid w:val="00EE1923"/>
    <w:rsid w:val="00EE3490"/>
    <w:rsid w:val="00EE571A"/>
    <w:rsid w:val="00EE7131"/>
    <w:rsid w:val="00EE7955"/>
    <w:rsid w:val="00EF0475"/>
    <w:rsid w:val="00EF136E"/>
    <w:rsid w:val="00EF1E54"/>
    <w:rsid w:val="00EF24E6"/>
    <w:rsid w:val="00EF2C03"/>
    <w:rsid w:val="00EF2FA6"/>
    <w:rsid w:val="00EF2FFA"/>
    <w:rsid w:val="00EF3BCC"/>
    <w:rsid w:val="00EF4D2C"/>
    <w:rsid w:val="00EF5221"/>
    <w:rsid w:val="00EF59EE"/>
    <w:rsid w:val="00EF5A96"/>
    <w:rsid w:val="00EF7277"/>
    <w:rsid w:val="00EF772F"/>
    <w:rsid w:val="00F01210"/>
    <w:rsid w:val="00F017F1"/>
    <w:rsid w:val="00F02D27"/>
    <w:rsid w:val="00F04758"/>
    <w:rsid w:val="00F05015"/>
    <w:rsid w:val="00F061C4"/>
    <w:rsid w:val="00F06A6A"/>
    <w:rsid w:val="00F06B39"/>
    <w:rsid w:val="00F06F28"/>
    <w:rsid w:val="00F07166"/>
    <w:rsid w:val="00F078CD"/>
    <w:rsid w:val="00F07C41"/>
    <w:rsid w:val="00F1080E"/>
    <w:rsid w:val="00F10829"/>
    <w:rsid w:val="00F109BA"/>
    <w:rsid w:val="00F11462"/>
    <w:rsid w:val="00F119B5"/>
    <w:rsid w:val="00F12B69"/>
    <w:rsid w:val="00F16893"/>
    <w:rsid w:val="00F16BDC"/>
    <w:rsid w:val="00F17B9D"/>
    <w:rsid w:val="00F201E7"/>
    <w:rsid w:val="00F20644"/>
    <w:rsid w:val="00F20E5B"/>
    <w:rsid w:val="00F21FD0"/>
    <w:rsid w:val="00F2296F"/>
    <w:rsid w:val="00F23039"/>
    <w:rsid w:val="00F24882"/>
    <w:rsid w:val="00F24E95"/>
    <w:rsid w:val="00F27A8A"/>
    <w:rsid w:val="00F33CBB"/>
    <w:rsid w:val="00F34F90"/>
    <w:rsid w:val="00F35575"/>
    <w:rsid w:val="00F3570E"/>
    <w:rsid w:val="00F35DBC"/>
    <w:rsid w:val="00F3620D"/>
    <w:rsid w:val="00F3635D"/>
    <w:rsid w:val="00F372EB"/>
    <w:rsid w:val="00F37379"/>
    <w:rsid w:val="00F37422"/>
    <w:rsid w:val="00F37E61"/>
    <w:rsid w:val="00F406EF"/>
    <w:rsid w:val="00F409B1"/>
    <w:rsid w:val="00F40FCE"/>
    <w:rsid w:val="00F40FEE"/>
    <w:rsid w:val="00F41B9B"/>
    <w:rsid w:val="00F430E6"/>
    <w:rsid w:val="00F43C7B"/>
    <w:rsid w:val="00F44BD0"/>
    <w:rsid w:val="00F44CD1"/>
    <w:rsid w:val="00F4574D"/>
    <w:rsid w:val="00F45C72"/>
    <w:rsid w:val="00F45E1C"/>
    <w:rsid w:val="00F469DA"/>
    <w:rsid w:val="00F46B8D"/>
    <w:rsid w:val="00F477FE"/>
    <w:rsid w:val="00F50003"/>
    <w:rsid w:val="00F50CB9"/>
    <w:rsid w:val="00F52F0C"/>
    <w:rsid w:val="00F53CD4"/>
    <w:rsid w:val="00F5423D"/>
    <w:rsid w:val="00F556FF"/>
    <w:rsid w:val="00F56124"/>
    <w:rsid w:val="00F566D3"/>
    <w:rsid w:val="00F5750F"/>
    <w:rsid w:val="00F57895"/>
    <w:rsid w:val="00F6021D"/>
    <w:rsid w:val="00F60885"/>
    <w:rsid w:val="00F60DDE"/>
    <w:rsid w:val="00F61D79"/>
    <w:rsid w:val="00F625E1"/>
    <w:rsid w:val="00F6278E"/>
    <w:rsid w:val="00F628B0"/>
    <w:rsid w:val="00F62B6E"/>
    <w:rsid w:val="00F62D83"/>
    <w:rsid w:val="00F65398"/>
    <w:rsid w:val="00F654BE"/>
    <w:rsid w:val="00F656E6"/>
    <w:rsid w:val="00F65FAF"/>
    <w:rsid w:val="00F66008"/>
    <w:rsid w:val="00F663A6"/>
    <w:rsid w:val="00F66680"/>
    <w:rsid w:val="00F66C28"/>
    <w:rsid w:val="00F66E42"/>
    <w:rsid w:val="00F671C6"/>
    <w:rsid w:val="00F6757F"/>
    <w:rsid w:val="00F70F2A"/>
    <w:rsid w:val="00F70FE5"/>
    <w:rsid w:val="00F71ED3"/>
    <w:rsid w:val="00F727CB"/>
    <w:rsid w:val="00F733C9"/>
    <w:rsid w:val="00F749AF"/>
    <w:rsid w:val="00F752D4"/>
    <w:rsid w:val="00F75B3E"/>
    <w:rsid w:val="00F766B2"/>
    <w:rsid w:val="00F76B9D"/>
    <w:rsid w:val="00F77135"/>
    <w:rsid w:val="00F771F1"/>
    <w:rsid w:val="00F80338"/>
    <w:rsid w:val="00F80F35"/>
    <w:rsid w:val="00F811D5"/>
    <w:rsid w:val="00F81337"/>
    <w:rsid w:val="00F81E59"/>
    <w:rsid w:val="00F826E8"/>
    <w:rsid w:val="00F82FA0"/>
    <w:rsid w:val="00F8335D"/>
    <w:rsid w:val="00F83AD4"/>
    <w:rsid w:val="00F83BB0"/>
    <w:rsid w:val="00F83EC5"/>
    <w:rsid w:val="00F842FF"/>
    <w:rsid w:val="00F8477B"/>
    <w:rsid w:val="00F86A23"/>
    <w:rsid w:val="00F86AFB"/>
    <w:rsid w:val="00F86EAC"/>
    <w:rsid w:val="00F86FF5"/>
    <w:rsid w:val="00F87A5E"/>
    <w:rsid w:val="00F90C09"/>
    <w:rsid w:val="00F90E31"/>
    <w:rsid w:val="00F91655"/>
    <w:rsid w:val="00F93158"/>
    <w:rsid w:val="00F93DE9"/>
    <w:rsid w:val="00F9424E"/>
    <w:rsid w:val="00F95AB9"/>
    <w:rsid w:val="00F95B42"/>
    <w:rsid w:val="00F960F0"/>
    <w:rsid w:val="00F96227"/>
    <w:rsid w:val="00F975AA"/>
    <w:rsid w:val="00F97FE7"/>
    <w:rsid w:val="00FA00D7"/>
    <w:rsid w:val="00FA110B"/>
    <w:rsid w:val="00FA12E0"/>
    <w:rsid w:val="00FA1489"/>
    <w:rsid w:val="00FA174F"/>
    <w:rsid w:val="00FA1EC3"/>
    <w:rsid w:val="00FA2186"/>
    <w:rsid w:val="00FA28B5"/>
    <w:rsid w:val="00FA2D27"/>
    <w:rsid w:val="00FA2E00"/>
    <w:rsid w:val="00FA2E08"/>
    <w:rsid w:val="00FA3097"/>
    <w:rsid w:val="00FA338A"/>
    <w:rsid w:val="00FA33E5"/>
    <w:rsid w:val="00FA37C6"/>
    <w:rsid w:val="00FA3D42"/>
    <w:rsid w:val="00FA52FF"/>
    <w:rsid w:val="00FA5F0F"/>
    <w:rsid w:val="00FA5F3D"/>
    <w:rsid w:val="00FB3249"/>
    <w:rsid w:val="00FB444E"/>
    <w:rsid w:val="00FB45CC"/>
    <w:rsid w:val="00FB52FD"/>
    <w:rsid w:val="00FB5856"/>
    <w:rsid w:val="00FB5EC3"/>
    <w:rsid w:val="00FB6069"/>
    <w:rsid w:val="00FB60D3"/>
    <w:rsid w:val="00FB6520"/>
    <w:rsid w:val="00FB6CFF"/>
    <w:rsid w:val="00FB7CD3"/>
    <w:rsid w:val="00FC12D6"/>
    <w:rsid w:val="00FC1B5B"/>
    <w:rsid w:val="00FC1C3C"/>
    <w:rsid w:val="00FC2160"/>
    <w:rsid w:val="00FC2218"/>
    <w:rsid w:val="00FC2BA0"/>
    <w:rsid w:val="00FC2F5C"/>
    <w:rsid w:val="00FC312C"/>
    <w:rsid w:val="00FC336F"/>
    <w:rsid w:val="00FC370A"/>
    <w:rsid w:val="00FC3A1F"/>
    <w:rsid w:val="00FC4BB0"/>
    <w:rsid w:val="00FC4E57"/>
    <w:rsid w:val="00FC4F48"/>
    <w:rsid w:val="00FC5A60"/>
    <w:rsid w:val="00FC7126"/>
    <w:rsid w:val="00FC7143"/>
    <w:rsid w:val="00FC7505"/>
    <w:rsid w:val="00FC7C7F"/>
    <w:rsid w:val="00FD118E"/>
    <w:rsid w:val="00FD2441"/>
    <w:rsid w:val="00FD2958"/>
    <w:rsid w:val="00FD3616"/>
    <w:rsid w:val="00FD3A4D"/>
    <w:rsid w:val="00FD3F4C"/>
    <w:rsid w:val="00FD420D"/>
    <w:rsid w:val="00FD44AB"/>
    <w:rsid w:val="00FD4A4B"/>
    <w:rsid w:val="00FD4F07"/>
    <w:rsid w:val="00FD508C"/>
    <w:rsid w:val="00FD511B"/>
    <w:rsid w:val="00FD5C41"/>
    <w:rsid w:val="00FD5E2D"/>
    <w:rsid w:val="00FD617F"/>
    <w:rsid w:val="00FD7AD8"/>
    <w:rsid w:val="00FD7BFC"/>
    <w:rsid w:val="00FD7C67"/>
    <w:rsid w:val="00FD7CAB"/>
    <w:rsid w:val="00FD7DD0"/>
    <w:rsid w:val="00FE0E04"/>
    <w:rsid w:val="00FE0FCA"/>
    <w:rsid w:val="00FE12F6"/>
    <w:rsid w:val="00FE1AEA"/>
    <w:rsid w:val="00FE20AE"/>
    <w:rsid w:val="00FE322E"/>
    <w:rsid w:val="00FE3CBE"/>
    <w:rsid w:val="00FE416E"/>
    <w:rsid w:val="00FE4BDD"/>
    <w:rsid w:val="00FE5443"/>
    <w:rsid w:val="00FE6357"/>
    <w:rsid w:val="00FE639A"/>
    <w:rsid w:val="00FE6B1B"/>
    <w:rsid w:val="00FE772E"/>
    <w:rsid w:val="00FE7905"/>
    <w:rsid w:val="00FF1F1D"/>
    <w:rsid w:val="00FF27D2"/>
    <w:rsid w:val="00FF2FF6"/>
    <w:rsid w:val="00FF31FB"/>
    <w:rsid w:val="00FF34FD"/>
    <w:rsid w:val="00FF392F"/>
    <w:rsid w:val="00FF44FD"/>
    <w:rsid w:val="00FF53E4"/>
    <w:rsid w:val="00FF5A3D"/>
    <w:rsid w:val="00FF662E"/>
    <w:rsid w:val="00FF7050"/>
    <w:rsid w:val="00FF79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3EC5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F83EC5"/>
    <w:pPr>
      <w:keepNext/>
      <w:spacing w:before="240" w:after="60"/>
      <w:outlineLvl w:val="0"/>
    </w:pPr>
    <w:rPr>
      <w:rFonts w:ascii="Times New Roman" w:hAnsi="Times New Roman" w:cs="Times New Roman"/>
      <w:b/>
      <w:bCs/>
      <w:kern w:val="32"/>
      <w:sz w:val="28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652A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83EC5"/>
    <w:rPr>
      <w:b/>
      <w:bCs/>
      <w:kern w:val="32"/>
      <w:sz w:val="28"/>
      <w:szCs w:val="32"/>
    </w:rPr>
  </w:style>
  <w:style w:type="paragraph" w:styleId="TM1">
    <w:name w:val="toc 1"/>
    <w:basedOn w:val="Normal"/>
    <w:next w:val="Normal"/>
    <w:autoRedefine/>
    <w:uiPriority w:val="39"/>
    <w:qFormat/>
    <w:rsid w:val="00F83EC5"/>
    <w:pPr>
      <w:spacing w:before="120"/>
    </w:pPr>
    <w:rPr>
      <w:rFonts w:ascii="Calibri" w:hAnsi="Calibri" w:cs="Times New Roman"/>
      <w:b/>
      <w:bCs/>
      <w:i/>
      <w:iCs/>
      <w:szCs w:val="28"/>
    </w:rPr>
  </w:style>
  <w:style w:type="paragraph" w:styleId="TM2">
    <w:name w:val="toc 2"/>
    <w:basedOn w:val="Normal"/>
    <w:next w:val="Normal"/>
    <w:autoRedefine/>
    <w:uiPriority w:val="39"/>
    <w:semiHidden/>
    <w:qFormat/>
    <w:rsid w:val="00F83EC5"/>
    <w:pPr>
      <w:spacing w:before="120"/>
      <w:ind w:left="240"/>
    </w:pPr>
    <w:rPr>
      <w:rFonts w:ascii="Calibri" w:hAnsi="Calibri" w:cs="Times New Roman"/>
      <w:b/>
      <w:bCs/>
      <w:sz w:val="22"/>
      <w:szCs w:val="26"/>
    </w:rPr>
  </w:style>
  <w:style w:type="paragraph" w:styleId="TM3">
    <w:name w:val="toc 3"/>
    <w:basedOn w:val="Normal"/>
    <w:next w:val="Normal"/>
    <w:autoRedefine/>
    <w:uiPriority w:val="39"/>
    <w:semiHidden/>
    <w:qFormat/>
    <w:rsid w:val="00F83EC5"/>
    <w:pPr>
      <w:ind w:left="480"/>
    </w:pPr>
    <w:rPr>
      <w:rFonts w:ascii="Calibri" w:hAnsi="Calibri" w:cs="Times New Roman"/>
      <w:sz w:val="20"/>
    </w:rPr>
  </w:style>
  <w:style w:type="paragraph" w:styleId="Lgende">
    <w:name w:val="caption"/>
    <w:aliases w:val="Titre1+Rouge"/>
    <w:basedOn w:val="Normal"/>
    <w:next w:val="Normal"/>
    <w:qFormat/>
    <w:rsid w:val="00F83EC5"/>
    <w:rPr>
      <w:rFonts w:cs="Times New Roman"/>
    </w:rPr>
  </w:style>
  <w:style w:type="paragraph" w:styleId="Sansinterligne">
    <w:name w:val="No Spacing"/>
    <w:link w:val="SansinterligneCar"/>
    <w:uiPriority w:val="1"/>
    <w:qFormat/>
    <w:rsid w:val="00F83EC5"/>
    <w:rPr>
      <w:rFonts w:ascii="Calibri" w:hAnsi="Calibri" w:cs="Arial"/>
      <w:sz w:val="22"/>
      <w:szCs w:val="22"/>
      <w:lang w:eastAsia="en-US"/>
    </w:rPr>
  </w:style>
  <w:style w:type="character" w:customStyle="1" w:styleId="SansinterligneCar">
    <w:name w:val="Sans interligne Car"/>
    <w:basedOn w:val="Policepardfaut"/>
    <w:link w:val="Sansinterligne"/>
    <w:uiPriority w:val="1"/>
    <w:rsid w:val="00F83EC5"/>
    <w:rPr>
      <w:rFonts w:ascii="Calibri" w:hAnsi="Calibri" w:cs="Arial"/>
      <w:sz w:val="22"/>
      <w:szCs w:val="22"/>
      <w:lang w:val="fr-FR" w:eastAsia="en-US" w:bidi="ar-SA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83EC5"/>
    <w:pPr>
      <w:keepLines/>
      <w:widowControl/>
      <w:autoSpaceDE/>
      <w:autoSpaceDN/>
      <w:adjustRightInd/>
      <w:spacing w:before="480" w:after="0" w:line="276" w:lineRule="auto"/>
      <w:outlineLvl w:val="9"/>
    </w:pPr>
    <w:rPr>
      <w:rFonts w:ascii="Cambria" w:hAnsi="Cambria"/>
      <w:color w:val="365F91"/>
      <w:kern w:val="0"/>
      <w:szCs w:val="28"/>
      <w:lang w:eastAsia="en-US"/>
    </w:rPr>
  </w:style>
  <w:style w:type="paragraph" w:customStyle="1" w:styleId="titre2">
    <w:name w:val="titre2"/>
    <w:basedOn w:val="Normal"/>
    <w:qFormat/>
    <w:rsid w:val="00F83EC5"/>
    <w:pPr>
      <w:tabs>
        <w:tab w:val="left" w:pos="-720"/>
      </w:tabs>
      <w:spacing w:line="300" w:lineRule="atLeast"/>
      <w:jc w:val="both"/>
    </w:pPr>
    <w:rPr>
      <w:rFonts w:ascii="Univers" w:hAnsi="Univers" w:cs="Univers"/>
      <w:b/>
      <w:bCs/>
      <w:spacing w:val="-3"/>
    </w:rPr>
  </w:style>
  <w:style w:type="paragraph" w:customStyle="1" w:styleId="titre30">
    <w:name w:val="titre3"/>
    <w:basedOn w:val="Normal"/>
    <w:qFormat/>
    <w:rsid w:val="00F83EC5"/>
    <w:pPr>
      <w:tabs>
        <w:tab w:val="left" w:pos="-720"/>
      </w:tabs>
      <w:spacing w:line="300" w:lineRule="atLeast"/>
      <w:jc w:val="both"/>
    </w:pPr>
    <w:rPr>
      <w:rFonts w:ascii="Univers" w:hAnsi="Univers" w:cs="Univers"/>
      <w:b/>
      <w:bCs/>
      <w:spacing w:val="-3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9452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9452B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5D6C02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styleId="Lienhypertexte">
    <w:name w:val="Hyperlink"/>
    <w:basedOn w:val="Policepardfaut"/>
    <w:uiPriority w:val="99"/>
    <w:unhideWhenUsed/>
    <w:rsid w:val="005D6C02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5D6C0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centuation">
    <w:name w:val="Emphasis"/>
    <w:basedOn w:val="Policepardfaut"/>
    <w:uiPriority w:val="20"/>
    <w:qFormat/>
    <w:rsid w:val="00E9062C"/>
    <w:rPr>
      <w:i/>
      <w:iCs/>
    </w:rPr>
  </w:style>
  <w:style w:type="paragraph" w:styleId="En-tte">
    <w:name w:val="header"/>
    <w:basedOn w:val="Normal"/>
    <w:link w:val="En-tteCar"/>
    <w:uiPriority w:val="99"/>
    <w:unhideWhenUsed/>
    <w:rsid w:val="0046070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60705"/>
    <w:rPr>
      <w:rFonts w:ascii="Courier New" w:hAnsi="Courier New" w:cs="Courier New"/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46070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60705"/>
    <w:rPr>
      <w:rFonts w:ascii="Courier New" w:hAnsi="Courier New" w:cs="Courier New"/>
      <w:sz w:val="24"/>
      <w:szCs w:val="24"/>
    </w:rPr>
  </w:style>
  <w:style w:type="character" w:styleId="Marquedecommentaire">
    <w:name w:val="annotation reference"/>
    <w:basedOn w:val="Policepardfaut"/>
    <w:uiPriority w:val="99"/>
    <w:semiHidden/>
    <w:unhideWhenUsed/>
    <w:rsid w:val="00E265E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265E4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265E4"/>
    <w:rPr>
      <w:rFonts w:ascii="Courier New" w:hAnsi="Courier New" w:cs="Courier New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265E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265E4"/>
    <w:rPr>
      <w:rFonts w:ascii="Courier New" w:hAnsi="Courier New" w:cs="Courier New"/>
      <w:b/>
      <w:bCs/>
    </w:rPr>
  </w:style>
  <w:style w:type="character" w:customStyle="1" w:styleId="Titre3Car">
    <w:name w:val="Titre 3 Car"/>
    <w:basedOn w:val="Policepardfaut"/>
    <w:link w:val="Titre3"/>
    <w:uiPriority w:val="9"/>
    <w:semiHidden/>
    <w:rsid w:val="003652A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3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7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0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1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1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1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7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8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3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0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0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7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hyperlink" Target="http://www.hcp.ma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P\Desktop\ECM-2008-2020\2020\RESULTATS\resultatseECM(trim1-08-trim2-2020)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P\Desktop\ECM-2008-2020\2020\RESULTATS\resultatseECM(trim1-08-trim2-2020)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P\Desktop\ECM-2008-2020\2020\RESULTATS\resultatseECM(trim1-08-trim2-2020)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P\Desktop\ECM-2008-2020\2020\RESULTATS\resultatseECM(trim1-08-trim2-2020)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P\Desktop\ECM-2008-2020\2020\RESULTATS\resultatseECM(trim1-08-trim2-2020)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P\Desktop\ECM-2008-2020\2020\RESULTATS\resultatseECM(trim1-08-trim2-2020)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>
              <a:defRPr lang="en-US" sz="1400"/>
            </a:pPr>
            <a:r>
              <a:rPr lang="en-US" sz="1400"/>
              <a:t>Evolution de l'Indice de Confiance des Ménages</a:t>
            </a:r>
            <a:endParaRPr lang="fr-FR" sz="1400"/>
          </a:p>
        </c:rich>
      </c:tx>
    </c:title>
    <c:plotArea>
      <c:layout>
        <c:manualLayout>
          <c:layoutTarget val="inner"/>
          <c:xMode val="edge"/>
          <c:yMode val="edge"/>
          <c:x val="5.8132101279827819E-2"/>
          <c:y val="0.16145558924884768"/>
          <c:w val="0.91979999560854353"/>
          <c:h val="0.69816761827451879"/>
        </c:manualLayout>
      </c:layout>
      <c:barChart>
        <c:barDir val="col"/>
        <c:grouping val="clustered"/>
        <c:ser>
          <c:idx val="0"/>
          <c:order val="0"/>
          <c:spPr>
            <a:ln>
              <a:solidFill>
                <a:schemeClr val="accent1">
                  <a:lumMod val="20000"/>
                  <a:lumOff val="80000"/>
                </a:schemeClr>
              </a:solidFill>
            </a:ln>
          </c:spPr>
          <c:dLbls>
            <c:dLbl>
              <c:idx val="45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48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49"/>
              <c:showVal val="1"/>
              <c:extLst>
                <c:ext xmlns:c15="http://schemas.microsoft.com/office/drawing/2012/chart" uri="{CE6537A1-D6FC-4f65-9D91-7224C49458BB}"/>
              </c:extLst>
            </c:dLbl>
            <c:delete val="1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'tableau note fr'!$B$3:$AY$3</c:f>
              <c:strCache>
                <c:ptCount val="50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  <c:pt idx="44">
                  <c:v>T1/19</c:v>
                </c:pt>
                <c:pt idx="45">
                  <c:v>T2/19</c:v>
                </c:pt>
                <c:pt idx="46">
                  <c:v>T3/19</c:v>
                </c:pt>
                <c:pt idx="47">
                  <c:v>T4/19</c:v>
                </c:pt>
                <c:pt idx="48">
                  <c:v>T1/20</c:v>
                </c:pt>
                <c:pt idx="49">
                  <c:v>T2/20</c:v>
                </c:pt>
              </c:strCache>
            </c:strRef>
          </c:cat>
          <c:val>
            <c:numRef>
              <c:f>'tableau note fr'!$B$4:$AY$4</c:f>
              <c:numCache>
                <c:formatCode>0.0</c:formatCode>
                <c:ptCount val="50"/>
                <c:pt idx="0">
                  <c:v>85.866502294191648</c:v>
                </c:pt>
                <c:pt idx="1">
                  <c:v>77.678707955853085</c:v>
                </c:pt>
                <c:pt idx="2">
                  <c:v>75.552480635756396</c:v>
                </c:pt>
                <c:pt idx="3">
                  <c:v>80.136884034904497</c:v>
                </c:pt>
                <c:pt idx="4">
                  <c:v>76.902419880745626</c:v>
                </c:pt>
                <c:pt idx="5">
                  <c:v>77.636131881705708</c:v>
                </c:pt>
                <c:pt idx="6">
                  <c:v>79.135624759962667</c:v>
                </c:pt>
                <c:pt idx="7">
                  <c:v>79.463913413558046</c:v>
                </c:pt>
                <c:pt idx="8">
                  <c:v>80.136086093619156</c:v>
                </c:pt>
                <c:pt idx="9">
                  <c:v>78.833388330574252</c:v>
                </c:pt>
                <c:pt idx="10">
                  <c:v>78.629956901853419</c:v>
                </c:pt>
                <c:pt idx="11">
                  <c:v>74.744893710814793</c:v>
                </c:pt>
                <c:pt idx="12">
                  <c:v>78.406406130604807</c:v>
                </c:pt>
                <c:pt idx="13">
                  <c:v>85.78953263253257</c:v>
                </c:pt>
                <c:pt idx="14">
                  <c:v>86.506225251482533</c:v>
                </c:pt>
                <c:pt idx="15">
                  <c:v>84.477214694877063</c:v>
                </c:pt>
                <c:pt idx="16">
                  <c:v>82.88047854282155</c:v>
                </c:pt>
                <c:pt idx="17">
                  <c:v>80.673652783725359</c:v>
                </c:pt>
                <c:pt idx="18">
                  <c:v>77.553867036569372</c:v>
                </c:pt>
                <c:pt idx="19">
                  <c:v>78.403353681349557</c:v>
                </c:pt>
                <c:pt idx="20">
                  <c:v>75.830193123476278</c:v>
                </c:pt>
                <c:pt idx="21">
                  <c:v>74.26831493920966</c:v>
                </c:pt>
                <c:pt idx="22">
                  <c:v>75.40113716912164</c:v>
                </c:pt>
                <c:pt idx="23">
                  <c:v>74.15325435026638</c:v>
                </c:pt>
                <c:pt idx="24">
                  <c:v>74.110620959005999</c:v>
                </c:pt>
                <c:pt idx="25">
                  <c:v>74.014553099961631</c:v>
                </c:pt>
                <c:pt idx="26">
                  <c:v>73.148145370690258</c:v>
                </c:pt>
                <c:pt idx="27">
                  <c:v>71.583460003653727</c:v>
                </c:pt>
                <c:pt idx="28">
                  <c:v>73.659282965035374</c:v>
                </c:pt>
                <c:pt idx="29">
                  <c:v>76.125099572807883</c:v>
                </c:pt>
                <c:pt idx="30">
                  <c:v>76.315005733685979</c:v>
                </c:pt>
                <c:pt idx="31">
                  <c:v>77.131028825386352</c:v>
                </c:pt>
                <c:pt idx="32">
                  <c:v>71.648499016392478</c:v>
                </c:pt>
                <c:pt idx="33">
                  <c:v>75.703427371681059</c:v>
                </c:pt>
                <c:pt idx="34">
                  <c:v>73.804891243097046</c:v>
                </c:pt>
                <c:pt idx="35">
                  <c:v>73.539376287214708</c:v>
                </c:pt>
                <c:pt idx="36">
                  <c:v>78.230698468980961</c:v>
                </c:pt>
                <c:pt idx="37">
                  <c:v>85.8</c:v>
                </c:pt>
                <c:pt idx="38">
                  <c:v>85.5</c:v>
                </c:pt>
                <c:pt idx="39">
                  <c:v>85.9</c:v>
                </c:pt>
                <c:pt idx="40">
                  <c:v>87.317111388814197</c:v>
                </c:pt>
                <c:pt idx="41">
                  <c:v>87.279337774029258</c:v>
                </c:pt>
                <c:pt idx="42">
                  <c:v>82.473279380066572</c:v>
                </c:pt>
                <c:pt idx="43">
                  <c:v>79.8</c:v>
                </c:pt>
                <c:pt idx="44">
                  <c:v>79.104981863169769</c:v>
                </c:pt>
                <c:pt idx="45">
                  <c:v>74.905107002702309</c:v>
                </c:pt>
                <c:pt idx="46">
                  <c:v>74.821311833193917</c:v>
                </c:pt>
                <c:pt idx="47">
                  <c:v>77.783342120372509</c:v>
                </c:pt>
                <c:pt idx="48">
                  <c:v>75.733160637772471</c:v>
                </c:pt>
                <c:pt idx="49">
                  <c:v>65.597735117391409</c:v>
                </c:pt>
              </c:numCache>
            </c:numRef>
          </c:val>
        </c:ser>
        <c:axId val="102612352"/>
        <c:axId val="114304128"/>
      </c:barChart>
      <c:catAx>
        <c:axId val="102612352"/>
        <c:scaling>
          <c:orientation val="minMax"/>
        </c:scaling>
        <c:axPos val="b"/>
        <c:numFmt formatCode="General" sourceLinked="0"/>
        <c:tickLblPos val="nextTo"/>
        <c:txPr>
          <a:bodyPr/>
          <a:lstStyle/>
          <a:p>
            <a:pPr>
              <a:defRPr lang="en-US" sz="700"/>
            </a:pPr>
            <a:endParaRPr lang="fr-FR"/>
          </a:p>
        </c:txPr>
        <c:crossAx val="114304128"/>
        <c:crosses val="autoZero"/>
        <c:auto val="1"/>
        <c:lblAlgn val="ctr"/>
        <c:lblOffset val="100"/>
      </c:catAx>
      <c:valAx>
        <c:axId val="114304128"/>
        <c:scaling>
          <c:orientation val="minMax"/>
          <c:min val="50"/>
        </c:scaling>
        <c:axPos val="l"/>
        <c:numFmt formatCode="#,##0" sourceLinked="0"/>
        <c:tickLblPos val="nextTo"/>
        <c:txPr>
          <a:bodyPr/>
          <a:lstStyle/>
          <a:p>
            <a:pPr>
              <a:defRPr lang="en-US" sz="900"/>
            </a:pPr>
            <a:endParaRPr lang="fr-FR"/>
          </a:p>
        </c:txPr>
        <c:crossAx val="102612352"/>
        <c:crosses val="autoZero"/>
        <c:crossBetween val="between"/>
      </c:valAx>
    </c:plotArea>
    <c:plotVisOnly val="1"/>
    <c:dispBlanksAs val="gap"/>
  </c:chart>
  <c:spPr>
    <a:ln w="3175">
      <a:solidFill>
        <a:schemeClr val="tx1"/>
      </a:solidFill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lang="en-US"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fr-FR" sz="1400" b="1" i="0" baseline="0"/>
              <a:t>Perception par les ménages de l'évolution passée et future du niveau de vie</a:t>
            </a:r>
            <a:r>
              <a:rPr lang="fr-FR" sz="1800" b="1" i="0" baseline="0"/>
              <a:t> </a:t>
            </a:r>
            <a:r>
              <a:rPr lang="fr-FR" sz="1400" b="1" i="0" baseline="0"/>
              <a:t>(soldes d'opinions)</a:t>
            </a:r>
            <a:endParaRPr lang="fr-FR" sz="1400"/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lang="en-US"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fr-FR" sz="1400" b="1" i="0" baseline="0"/>
          </a:p>
        </c:rich>
      </c:tx>
    </c:title>
    <c:plotArea>
      <c:layout/>
      <c:lineChart>
        <c:grouping val="standard"/>
        <c:ser>
          <c:idx val="0"/>
          <c:order val="0"/>
          <c:tx>
            <c:strRef>
              <c:f>'tableau note fr'!$A$6</c:f>
              <c:strCache>
                <c:ptCount val="1"/>
                <c:pt idx="0">
                  <c:v>Evolution  passée du niveau de vie</c:v>
                </c:pt>
              </c:strCache>
            </c:strRef>
          </c:tx>
          <c:marker>
            <c:symbol val="circle"/>
            <c:size val="4"/>
          </c:marker>
          <c:cat>
            <c:strRef>
              <c:f>'tableau note fr'!$B$3:$AY$3</c:f>
              <c:strCache>
                <c:ptCount val="50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  <c:pt idx="44">
                  <c:v>T1/19</c:v>
                </c:pt>
                <c:pt idx="45">
                  <c:v>T2/19</c:v>
                </c:pt>
                <c:pt idx="46">
                  <c:v>T3/19</c:v>
                </c:pt>
                <c:pt idx="47">
                  <c:v>T4/19</c:v>
                </c:pt>
                <c:pt idx="48">
                  <c:v>T1/20</c:v>
                </c:pt>
                <c:pt idx="49">
                  <c:v>T2/20</c:v>
                </c:pt>
              </c:strCache>
            </c:strRef>
          </c:cat>
          <c:val>
            <c:numRef>
              <c:f>'tableau note fr'!$B$6:$AY$6</c:f>
              <c:numCache>
                <c:formatCode>#,##0.0</c:formatCode>
                <c:ptCount val="50"/>
                <c:pt idx="0">
                  <c:v>-10.399945582052929</c:v>
                </c:pt>
                <c:pt idx="1">
                  <c:v>-25.15337945599229</c:v>
                </c:pt>
                <c:pt idx="2">
                  <c:v>-31.141291421499723</c:v>
                </c:pt>
                <c:pt idx="3">
                  <c:v>-29.39384481866529</c:v>
                </c:pt>
                <c:pt idx="4">
                  <c:v>-36.652789359955584</c:v>
                </c:pt>
                <c:pt idx="5">
                  <c:v>-29.108394514506987</c:v>
                </c:pt>
                <c:pt idx="6">
                  <c:v>-25.702364309825629</c:v>
                </c:pt>
                <c:pt idx="7">
                  <c:v>-26.546435956901789</c:v>
                </c:pt>
                <c:pt idx="8">
                  <c:v>-25.723634629573009</c:v>
                </c:pt>
                <c:pt idx="9">
                  <c:v>-28.56499551903989</c:v>
                </c:pt>
                <c:pt idx="10">
                  <c:v>-27.930454212484364</c:v>
                </c:pt>
                <c:pt idx="11">
                  <c:v>-37.236760344983388</c:v>
                </c:pt>
                <c:pt idx="12">
                  <c:v>-26.050959167650063</c:v>
                </c:pt>
                <c:pt idx="13">
                  <c:v>-16.961438303130887</c:v>
                </c:pt>
                <c:pt idx="14">
                  <c:v>-13.439142519852011</c:v>
                </c:pt>
                <c:pt idx="15">
                  <c:v>-20.224270151200944</c:v>
                </c:pt>
                <c:pt idx="16">
                  <c:v>-26.170201326733839</c:v>
                </c:pt>
                <c:pt idx="17">
                  <c:v>-21.816848529134631</c:v>
                </c:pt>
                <c:pt idx="18">
                  <c:v>-27.85707555673623</c:v>
                </c:pt>
                <c:pt idx="19">
                  <c:v>-28.088708351168677</c:v>
                </c:pt>
                <c:pt idx="20">
                  <c:v>-29.212341127418195</c:v>
                </c:pt>
                <c:pt idx="21">
                  <c:v>-23.102864483982067</c:v>
                </c:pt>
                <c:pt idx="22">
                  <c:v>-21.158266803557588</c:v>
                </c:pt>
                <c:pt idx="23">
                  <c:v>-19.887264929132375</c:v>
                </c:pt>
                <c:pt idx="24">
                  <c:v>-18.060219769201886</c:v>
                </c:pt>
                <c:pt idx="25">
                  <c:v>-17.740461010850293</c:v>
                </c:pt>
                <c:pt idx="26">
                  <c:v>-17.387590506775634</c:v>
                </c:pt>
                <c:pt idx="27">
                  <c:v>-16.459915505713987</c:v>
                </c:pt>
                <c:pt idx="28">
                  <c:v>-14.108179132101393</c:v>
                </c:pt>
                <c:pt idx="29">
                  <c:v>-12.785821926678448</c:v>
                </c:pt>
                <c:pt idx="30">
                  <c:v>-15.129825087046068</c:v>
                </c:pt>
                <c:pt idx="31">
                  <c:v>-13.828410383657548</c:v>
                </c:pt>
                <c:pt idx="32">
                  <c:v>-22.864633579953789</c:v>
                </c:pt>
                <c:pt idx="33">
                  <c:v>-15.196177330129153</c:v>
                </c:pt>
                <c:pt idx="34">
                  <c:v>-17.372021059071617</c:v>
                </c:pt>
                <c:pt idx="35">
                  <c:v>-17.464225574589342</c:v>
                </c:pt>
                <c:pt idx="36">
                  <c:v>-11.990228520502576</c:v>
                </c:pt>
                <c:pt idx="37">
                  <c:v>-8.1644944099805006</c:v>
                </c:pt>
                <c:pt idx="38">
                  <c:v>-3.1370023233621227</c:v>
                </c:pt>
                <c:pt idx="39">
                  <c:v>-3.7719246964283601</c:v>
                </c:pt>
                <c:pt idx="40">
                  <c:v>-6.24696090915109</c:v>
                </c:pt>
                <c:pt idx="41" formatCode="General">
                  <c:v>-5.3830093381329069</c:v>
                </c:pt>
                <c:pt idx="42" formatCode="0.0">
                  <c:v>-9.5049571220917919</c:v>
                </c:pt>
                <c:pt idx="43" formatCode="0.0">
                  <c:v>-13.3</c:v>
                </c:pt>
                <c:pt idx="44" formatCode="0.0">
                  <c:v>-14.967427927122975</c:v>
                </c:pt>
                <c:pt idx="45" formatCode="0.0">
                  <c:v>-25.35300810689149</c:v>
                </c:pt>
                <c:pt idx="46" formatCode="0.0">
                  <c:v>-20.237097183526259</c:v>
                </c:pt>
                <c:pt idx="47" formatCode="0.0">
                  <c:v>-19.996896512157338</c:v>
                </c:pt>
                <c:pt idx="48" formatCode="0.0">
                  <c:v>-19.767991560587593</c:v>
                </c:pt>
                <c:pt idx="49" formatCode="0.0">
                  <c:v>-24.751522052511689</c:v>
                </c:pt>
              </c:numCache>
            </c:numRef>
          </c:val>
        </c:ser>
        <c:ser>
          <c:idx val="1"/>
          <c:order val="1"/>
          <c:tx>
            <c:strRef>
              <c:f>'tableau note fr'!$A$7</c:f>
              <c:strCache>
                <c:ptCount val="1"/>
                <c:pt idx="0">
                  <c:v>Perspective d'évolution du niveau de vie</c:v>
                </c:pt>
              </c:strCache>
            </c:strRef>
          </c:tx>
          <c:cat>
            <c:strRef>
              <c:f>'tableau note fr'!$B$3:$AY$3</c:f>
              <c:strCache>
                <c:ptCount val="50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  <c:pt idx="44">
                  <c:v>T1/19</c:v>
                </c:pt>
                <c:pt idx="45">
                  <c:v>T2/19</c:v>
                </c:pt>
                <c:pt idx="46">
                  <c:v>T3/19</c:v>
                </c:pt>
                <c:pt idx="47">
                  <c:v>T4/19</c:v>
                </c:pt>
                <c:pt idx="48">
                  <c:v>T1/20</c:v>
                </c:pt>
                <c:pt idx="49">
                  <c:v>T2/20</c:v>
                </c:pt>
              </c:strCache>
            </c:strRef>
          </c:cat>
          <c:val>
            <c:numRef>
              <c:f>'tableau note fr'!$B$7:$AY$7</c:f>
              <c:numCache>
                <c:formatCode>#,##0.0</c:formatCode>
                <c:ptCount val="50"/>
                <c:pt idx="0">
                  <c:v>14.440493946063453</c:v>
                </c:pt>
                <c:pt idx="1">
                  <c:v>-11.52673084245559</c:v>
                </c:pt>
                <c:pt idx="2">
                  <c:v>-21.380291437825413</c:v>
                </c:pt>
                <c:pt idx="3">
                  <c:v>-3.4692228168248267</c:v>
                </c:pt>
                <c:pt idx="4">
                  <c:v>-9.3118753956095954</c:v>
                </c:pt>
                <c:pt idx="5">
                  <c:v>-3.5223109272796771</c:v>
                </c:pt>
                <c:pt idx="6">
                  <c:v>8.4334302751112825E-2</c:v>
                </c:pt>
                <c:pt idx="7">
                  <c:v>2.1853913991610052</c:v>
                </c:pt>
                <c:pt idx="8">
                  <c:v>0.39154986438085609</c:v>
                </c:pt>
                <c:pt idx="9">
                  <c:v>2.7314646872285109</c:v>
                </c:pt>
                <c:pt idx="10">
                  <c:v>0.19418325799955116</c:v>
                </c:pt>
                <c:pt idx="11">
                  <c:v>-11.371112777150765</c:v>
                </c:pt>
                <c:pt idx="12">
                  <c:v>-1.8875512037963609</c:v>
                </c:pt>
                <c:pt idx="13">
                  <c:v>18.132139936578806</c:v>
                </c:pt>
                <c:pt idx="14">
                  <c:v>11.870106120928286</c:v>
                </c:pt>
                <c:pt idx="15">
                  <c:v>13.146309479543481</c:v>
                </c:pt>
                <c:pt idx="16">
                  <c:v>11.211772002164619</c:v>
                </c:pt>
                <c:pt idx="17">
                  <c:v>8.9776180181468028</c:v>
                </c:pt>
                <c:pt idx="18">
                  <c:v>-3.2327838268829292</c:v>
                </c:pt>
                <c:pt idx="19">
                  <c:v>-1.2159862376115478</c:v>
                </c:pt>
                <c:pt idx="20">
                  <c:v>-5.0957647237932591</c:v>
                </c:pt>
                <c:pt idx="21">
                  <c:v>-4.2068608448306435</c:v>
                </c:pt>
                <c:pt idx="22">
                  <c:v>-3.0973555754801207</c:v>
                </c:pt>
                <c:pt idx="23">
                  <c:v>-7.9340099346010531</c:v>
                </c:pt>
                <c:pt idx="24">
                  <c:v>-11.389732068783601</c:v>
                </c:pt>
                <c:pt idx="25">
                  <c:v>-13.063768224593518</c:v>
                </c:pt>
                <c:pt idx="26">
                  <c:v>-13.090700094553394</c:v>
                </c:pt>
                <c:pt idx="27">
                  <c:v>-12.672429336417755</c:v>
                </c:pt>
                <c:pt idx="28">
                  <c:v>-8.8537661336825266</c:v>
                </c:pt>
                <c:pt idx="29">
                  <c:v>-7.2727206831161801</c:v>
                </c:pt>
                <c:pt idx="30">
                  <c:v>-7.7131091840762114</c:v>
                </c:pt>
                <c:pt idx="31">
                  <c:v>-8.0828133778612727</c:v>
                </c:pt>
                <c:pt idx="32">
                  <c:v>-14.22824639578895</c:v>
                </c:pt>
                <c:pt idx="33">
                  <c:v>-7.5906192549525784</c:v>
                </c:pt>
                <c:pt idx="34">
                  <c:v>-7.0591296227720894</c:v>
                </c:pt>
                <c:pt idx="35">
                  <c:v>-2.3745123557304657</c:v>
                </c:pt>
                <c:pt idx="36">
                  <c:v>5.7386765593441833</c:v>
                </c:pt>
                <c:pt idx="37">
                  <c:v>11.056984366480341</c:v>
                </c:pt>
                <c:pt idx="38">
                  <c:v>10.513852464527606</c:v>
                </c:pt>
                <c:pt idx="39">
                  <c:v>11.534776778164916</c:v>
                </c:pt>
                <c:pt idx="40">
                  <c:v>16.612852585837704</c:v>
                </c:pt>
                <c:pt idx="41" formatCode="General">
                  <c:v>14.986375562038818</c:v>
                </c:pt>
                <c:pt idx="42" formatCode="0.0">
                  <c:v>11.908882798368182</c:v>
                </c:pt>
                <c:pt idx="43" formatCode="0.0">
                  <c:v>9</c:v>
                </c:pt>
                <c:pt idx="44" formatCode="0.0">
                  <c:v>9.9894562713734274</c:v>
                </c:pt>
                <c:pt idx="45" formatCode="0.0">
                  <c:v>4.7256177899689273</c:v>
                </c:pt>
                <c:pt idx="46" formatCode="0.0">
                  <c:v>-3.6764057837750337</c:v>
                </c:pt>
                <c:pt idx="47" formatCode="0.0">
                  <c:v>-2.1591381326741157</c:v>
                </c:pt>
                <c:pt idx="48" formatCode="0.0">
                  <c:v>-4.6486149345966226</c:v>
                </c:pt>
                <c:pt idx="49" formatCode="0.0">
                  <c:v>-11.439989639150372</c:v>
                </c:pt>
              </c:numCache>
            </c:numRef>
          </c:val>
        </c:ser>
        <c:marker val="1"/>
        <c:axId val="117650560"/>
        <c:axId val="117652096"/>
      </c:lineChart>
      <c:catAx>
        <c:axId val="117650560"/>
        <c:scaling>
          <c:orientation val="minMax"/>
        </c:scaling>
        <c:axPos val="b"/>
        <c:numFmt formatCode="General" sourceLinked="0"/>
        <c:majorTickMark val="none"/>
        <c:tickLblPos val="low"/>
        <c:txPr>
          <a:bodyPr/>
          <a:lstStyle/>
          <a:p>
            <a:pPr>
              <a:defRPr lang="en-US" sz="700"/>
            </a:pPr>
            <a:endParaRPr lang="fr-FR"/>
          </a:p>
        </c:txPr>
        <c:crossAx val="117652096"/>
        <c:crosses val="autoZero"/>
        <c:auto val="1"/>
        <c:lblAlgn val="ctr"/>
        <c:lblOffset val="100"/>
      </c:catAx>
      <c:valAx>
        <c:axId val="117652096"/>
        <c:scaling>
          <c:orientation val="minMax"/>
        </c:scaling>
        <c:axPos val="l"/>
        <c:majorGridlines/>
        <c:numFmt formatCode="#,##0" sourceLinked="0"/>
        <c:maj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lang="en-US" sz="900"/>
            </a:pPr>
            <a:endParaRPr lang="fr-FR"/>
          </a:p>
        </c:txPr>
        <c:crossAx val="117650560"/>
        <c:crosses val="autoZero"/>
        <c:crossBetween val="between"/>
      </c:valAx>
    </c:plotArea>
    <c:legend>
      <c:legendPos val="b"/>
      <c:txPr>
        <a:bodyPr/>
        <a:lstStyle/>
        <a:p>
          <a:pPr>
            <a:defRPr lang="en-US"/>
          </a:pPr>
          <a:endParaRPr lang="fr-FR"/>
        </a:p>
      </c:txPr>
    </c:legend>
    <c:plotVisOnly val="1"/>
    <c:dispBlanksAs val="gap"/>
  </c:chart>
  <c:spPr>
    <a:ln w="3175">
      <a:solidFill>
        <a:schemeClr val="tx1"/>
      </a:solidFill>
    </a:ln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 lang="en-US"/>
            </a:pPr>
            <a:r>
              <a:rPr lang="fr-FR" sz="1400"/>
              <a:t>Perception par les ménages de l'évolution du nombre de chômeurs</a:t>
            </a:r>
          </a:p>
          <a:p>
            <a:pPr>
              <a:defRPr lang="en-US"/>
            </a:pPr>
            <a:r>
              <a:rPr lang="fr-FR" sz="1400"/>
              <a:t> (soldes d'opinions)</a:t>
            </a:r>
          </a:p>
        </c:rich>
      </c:tx>
    </c:title>
    <c:plotArea>
      <c:layout/>
      <c:lineChart>
        <c:grouping val="standard"/>
        <c:ser>
          <c:idx val="0"/>
          <c:order val="0"/>
          <c:tx>
            <c:strRef>
              <c:f>'tableau note fr'!$A$5</c:f>
              <c:strCache>
                <c:ptCount val="1"/>
                <c:pt idx="0">
                  <c:v>Perspective d'évolution du nombre de chômeur</c:v>
                </c:pt>
              </c:strCache>
            </c:strRef>
          </c:tx>
          <c:marker>
            <c:symbol val="none"/>
          </c:marker>
          <c:cat>
            <c:strRef>
              <c:f>'tableau note fr'!$B$3:$AY$3</c:f>
              <c:strCache>
                <c:ptCount val="50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  <c:pt idx="44">
                  <c:v>T1/19</c:v>
                </c:pt>
                <c:pt idx="45">
                  <c:v>T2/19</c:v>
                </c:pt>
                <c:pt idx="46">
                  <c:v>T3/19</c:v>
                </c:pt>
                <c:pt idx="47">
                  <c:v>T4/19</c:v>
                </c:pt>
                <c:pt idx="48">
                  <c:v>T1/20</c:v>
                </c:pt>
                <c:pt idx="49">
                  <c:v>T2/20</c:v>
                </c:pt>
              </c:strCache>
            </c:strRef>
          </c:cat>
          <c:val>
            <c:numRef>
              <c:f>'tableau note fr'!$B$5:$AY$5</c:f>
              <c:numCache>
                <c:formatCode>#,##0.0</c:formatCode>
                <c:ptCount val="50"/>
                <c:pt idx="0">
                  <c:v>-52.09569227917919</c:v>
                </c:pt>
                <c:pt idx="1">
                  <c:v>-56.601297669293317</c:v>
                </c:pt>
                <c:pt idx="2">
                  <c:v>-51.593765595534528</c:v>
                </c:pt>
                <c:pt idx="3">
                  <c:v>-51.137343653505525</c:v>
                </c:pt>
                <c:pt idx="4">
                  <c:v>-50.999102607130283</c:v>
                </c:pt>
                <c:pt idx="5">
                  <c:v>-59.135165785990033</c:v>
                </c:pt>
                <c:pt idx="6">
                  <c:v>-57.930600458568478</c:v>
                </c:pt>
                <c:pt idx="7">
                  <c:v>-57.517749523976519</c:v>
                </c:pt>
                <c:pt idx="8">
                  <c:v>-59.239397454073007</c:v>
                </c:pt>
                <c:pt idx="9">
                  <c:v>-61.048152851769579</c:v>
                </c:pt>
                <c:pt idx="10">
                  <c:v>-56.106436371502731</c:v>
                </c:pt>
                <c:pt idx="11">
                  <c:v>-52.335316844022458</c:v>
                </c:pt>
                <c:pt idx="12">
                  <c:v>-52.408437207990296</c:v>
                </c:pt>
                <c:pt idx="13">
                  <c:v>-45.982278486233483</c:v>
                </c:pt>
                <c:pt idx="14">
                  <c:v>-40.986479794930496</c:v>
                </c:pt>
                <c:pt idx="15">
                  <c:v>-41.619683700101234</c:v>
                </c:pt>
                <c:pt idx="16">
                  <c:v>-44.058495214148614</c:v>
                </c:pt>
                <c:pt idx="17">
                  <c:v>-48.557155794606146</c:v>
                </c:pt>
                <c:pt idx="18">
                  <c:v>-56.657119953107134</c:v>
                </c:pt>
                <c:pt idx="19">
                  <c:v>-58.054676707354794</c:v>
                </c:pt>
                <c:pt idx="20">
                  <c:v>-61.683132655398175</c:v>
                </c:pt>
                <c:pt idx="21">
                  <c:v>-67.848891093145681</c:v>
                </c:pt>
                <c:pt idx="22">
                  <c:v>-69.816287861188869</c:v>
                </c:pt>
                <c:pt idx="23">
                  <c:v>-68.20001271186625</c:v>
                </c:pt>
                <c:pt idx="24">
                  <c:v>-69.100751044168078</c:v>
                </c:pt>
                <c:pt idx="25">
                  <c:v>-66.493969881109209</c:v>
                </c:pt>
                <c:pt idx="26">
                  <c:v>-68.825577821249908</c:v>
                </c:pt>
                <c:pt idx="27">
                  <c:v>-68.019160185663324</c:v>
                </c:pt>
                <c:pt idx="28">
                  <c:v>-65.155740215393664</c:v>
                </c:pt>
                <c:pt idx="29">
                  <c:v>-67.056481822589674</c:v>
                </c:pt>
                <c:pt idx="30">
                  <c:v>-66.189276460398091</c:v>
                </c:pt>
                <c:pt idx="31">
                  <c:v>-64.100777949741754</c:v>
                </c:pt>
                <c:pt idx="32">
                  <c:v>-67.734442836360955</c:v>
                </c:pt>
                <c:pt idx="33">
                  <c:v>-68.976178952187695</c:v>
                </c:pt>
                <c:pt idx="34">
                  <c:v>-70.599999999999994</c:v>
                </c:pt>
                <c:pt idx="35">
                  <c:v>-66.808709762830389</c:v>
                </c:pt>
                <c:pt idx="36">
                  <c:v>-64.932045987858601</c:v>
                </c:pt>
                <c:pt idx="37">
                  <c:v>-54.327058153454743</c:v>
                </c:pt>
                <c:pt idx="38">
                  <c:v>-59.886763094223141</c:v>
                </c:pt>
                <c:pt idx="39">
                  <c:v>-58.5</c:v>
                </c:pt>
                <c:pt idx="40">
                  <c:v>-54.525998602090162</c:v>
                </c:pt>
                <c:pt idx="41" formatCode="General">
                  <c:v>-61.706282712863526</c:v>
                </c:pt>
                <c:pt idx="42" formatCode="0.0">
                  <c:v>-65.247643368132074</c:v>
                </c:pt>
                <c:pt idx="43" formatCode="0.0">
                  <c:v>-70</c:v>
                </c:pt>
                <c:pt idx="44" formatCode="0.0">
                  <c:v>-75.565732444458845</c:v>
                </c:pt>
                <c:pt idx="45" formatCode="0.0">
                  <c:v>-76.905120512383789</c:v>
                </c:pt>
                <c:pt idx="46" formatCode="0.0">
                  <c:v>-71.817697941940466</c:v>
                </c:pt>
                <c:pt idx="47" formatCode="0.0">
                  <c:v>-71.645886731132009</c:v>
                </c:pt>
                <c:pt idx="48" formatCode="0.0">
                  <c:v>-70.7934404370435</c:v>
                </c:pt>
                <c:pt idx="49" formatCode="0.0">
                  <c:v>-75.168553605935344</c:v>
                </c:pt>
              </c:numCache>
            </c:numRef>
          </c:val>
        </c:ser>
        <c:marker val="1"/>
        <c:axId val="102705408"/>
        <c:axId val="102707200"/>
      </c:lineChart>
      <c:catAx>
        <c:axId val="102705408"/>
        <c:scaling>
          <c:orientation val="minMax"/>
        </c:scaling>
        <c:axPos val="b"/>
        <c:numFmt formatCode="General" sourceLinked="0"/>
        <c:majorTickMark val="none"/>
        <c:tickLblPos val="low"/>
        <c:txPr>
          <a:bodyPr/>
          <a:lstStyle/>
          <a:p>
            <a:pPr>
              <a:defRPr lang="en-US" sz="700"/>
            </a:pPr>
            <a:endParaRPr lang="fr-FR"/>
          </a:p>
        </c:txPr>
        <c:crossAx val="102707200"/>
        <c:crosses val="autoZero"/>
        <c:auto val="1"/>
        <c:lblAlgn val="ctr"/>
        <c:lblOffset val="100"/>
      </c:catAx>
      <c:valAx>
        <c:axId val="102707200"/>
        <c:scaling>
          <c:orientation val="minMax"/>
        </c:scaling>
        <c:axPos val="l"/>
        <c:majorGridlines/>
        <c:numFmt formatCode="#,##0" sourceLinked="0"/>
        <c:maj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lang="en-US" sz="900"/>
            </a:pPr>
            <a:endParaRPr lang="fr-FR"/>
          </a:p>
        </c:txPr>
        <c:crossAx val="102705408"/>
        <c:crosses val="autoZero"/>
        <c:crossBetween val="between"/>
      </c:valAx>
    </c:plotArea>
    <c:plotVisOnly val="1"/>
    <c:dispBlanksAs val="gap"/>
  </c:chart>
  <c:spPr>
    <a:ln w="3175">
      <a:solidFill>
        <a:schemeClr val="tx1"/>
      </a:solidFill>
    </a:ln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lang="en-US"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en-US" sz="1400" b="1" i="0" baseline="0"/>
              <a:t>Perception par les ménages de l'opportunité d'achat des biens durables</a:t>
            </a:r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lang="en-US"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fr-FR" sz="1400" b="1" i="0" baseline="0"/>
              <a:t> (soldes d'opinions)</a:t>
            </a:r>
            <a:endParaRPr lang="fr-FR" sz="1400"/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lang="en-US"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fr-FR" sz="1400" b="1" i="0" baseline="0"/>
              <a:t> </a:t>
            </a:r>
            <a:endParaRPr lang="fr-FR" sz="1400"/>
          </a:p>
        </c:rich>
      </c:tx>
    </c:title>
    <c:plotArea>
      <c:layout>
        <c:manualLayout>
          <c:layoutTarget val="inner"/>
          <c:xMode val="edge"/>
          <c:yMode val="edge"/>
          <c:x val="4.4033556097871122E-2"/>
          <c:y val="0.29728497617625216"/>
          <c:w val="0.9477279184814138"/>
          <c:h val="0.58713658806871327"/>
        </c:manualLayout>
      </c:layout>
      <c:lineChart>
        <c:grouping val="standard"/>
        <c:ser>
          <c:idx val="0"/>
          <c:order val="0"/>
          <c:tx>
            <c:strRef>
              <c:f>'tableau note fr'!$A$8</c:f>
              <c:strCache>
                <c:ptCount val="1"/>
                <c:pt idx="0">
                  <c:v>Opportunité d'achat</c:v>
                </c:pt>
              </c:strCache>
            </c:strRef>
          </c:tx>
          <c:marker>
            <c:symbol val="none"/>
          </c:marker>
          <c:cat>
            <c:strRef>
              <c:f>'tableau note fr'!$B$3:$AY$3</c:f>
              <c:strCache>
                <c:ptCount val="50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  <c:pt idx="44">
                  <c:v>T1/19</c:v>
                </c:pt>
                <c:pt idx="45">
                  <c:v>T2/19</c:v>
                </c:pt>
                <c:pt idx="46">
                  <c:v>T3/19</c:v>
                </c:pt>
                <c:pt idx="47">
                  <c:v>T4/19</c:v>
                </c:pt>
                <c:pt idx="48">
                  <c:v>T1/20</c:v>
                </c:pt>
                <c:pt idx="49">
                  <c:v>T2/20</c:v>
                </c:pt>
              </c:strCache>
            </c:strRef>
          </c:cat>
          <c:val>
            <c:numRef>
              <c:f>'tableau note fr'!$B$8:$AY$8</c:f>
              <c:numCache>
                <c:formatCode>#,##0.0</c:formatCode>
                <c:ptCount val="50"/>
                <c:pt idx="0">
                  <c:v>-30.018449770831797</c:v>
                </c:pt>
                <c:pt idx="1">
                  <c:v>-34.254528080670752</c:v>
                </c:pt>
                <c:pt idx="2">
                  <c:v>-37.471777984571169</c:v>
                </c:pt>
                <c:pt idx="3">
                  <c:v>-39.103064640682895</c:v>
                </c:pt>
                <c:pt idx="4">
                  <c:v>-41.765350509033929</c:v>
                </c:pt>
                <c:pt idx="5">
                  <c:v>-46.542730671354157</c:v>
                </c:pt>
                <c:pt idx="6">
                  <c:v>-43.408027388108131</c:v>
                </c:pt>
                <c:pt idx="7">
                  <c:v>-42.642623532569331</c:v>
                </c:pt>
                <c:pt idx="8">
                  <c:v>-34.756506471721572</c:v>
                </c:pt>
                <c:pt idx="9">
                  <c:v>-37.532519098271848</c:v>
                </c:pt>
                <c:pt idx="10">
                  <c:v>-36.012077907569903</c:v>
                </c:pt>
                <c:pt idx="11">
                  <c:v>-44.335673139521013</c:v>
                </c:pt>
                <c:pt idx="12">
                  <c:v>-39.860076277616734</c:v>
                </c:pt>
                <c:pt idx="13">
                  <c:v>-39.017818744674372</c:v>
                </c:pt>
                <c:pt idx="14">
                  <c:v>-36.350911088685244</c:v>
                </c:pt>
                <c:pt idx="15">
                  <c:v>-38.491211120248494</c:v>
                </c:pt>
                <c:pt idx="16">
                  <c:v>-32.485234146306901</c:v>
                </c:pt>
                <c:pt idx="17">
                  <c:v>-37.388587169100497</c:v>
                </c:pt>
                <c:pt idx="18">
                  <c:v>-29.521996232881474</c:v>
                </c:pt>
                <c:pt idx="19">
                  <c:v>-29.332441443088875</c:v>
                </c:pt>
                <c:pt idx="20">
                  <c:v>-28.348240299081702</c:v>
                </c:pt>
                <c:pt idx="21">
                  <c:v>-31.722199742496027</c:v>
                </c:pt>
                <c:pt idx="22">
                  <c:v>-29.53704552622213</c:v>
                </c:pt>
                <c:pt idx="23">
                  <c:v>-31.849081241594892</c:v>
                </c:pt>
                <c:pt idx="24">
                  <c:v>-31.319060011477994</c:v>
                </c:pt>
                <c:pt idx="25">
                  <c:v>-28.892463445062127</c:v>
                </c:pt>
                <c:pt idx="26">
                  <c:v>-33.067265037911191</c:v>
                </c:pt>
                <c:pt idx="27">
                  <c:v>-38.061946980941102</c:v>
                </c:pt>
                <c:pt idx="28">
                  <c:v>-36.986420638663795</c:v>
                </c:pt>
                <c:pt idx="29">
                  <c:v>-35.967938268219903</c:v>
                </c:pt>
                <c:pt idx="30">
                  <c:v>-34.247070009141204</c:v>
                </c:pt>
                <c:pt idx="31">
                  <c:v>-37.509325471422457</c:v>
                </c:pt>
                <c:pt idx="32">
                  <c:v>-40.239810197161113</c:v>
                </c:pt>
                <c:pt idx="33">
                  <c:v>-34.794169125290885</c:v>
                </c:pt>
                <c:pt idx="34">
                  <c:v>-40.511458517814845</c:v>
                </c:pt>
                <c:pt idx="35">
                  <c:v>-43.033835365277199</c:v>
                </c:pt>
                <c:pt idx="36">
                  <c:v>-39.999291784066429</c:v>
                </c:pt>
                <c:pt idx="37">
                  <c:v>-28.160977836062902</c:v>
                </c:pt>
                <c:pt idx="38">
                  <c:v>-31.475843594428088</c:v>
                </c:pt>
                <c:pt idx="39">
                  <c:v>-25.6</c:v>
                </c:pt>
                <c:pt idx="40">
                  <c:v>-27.189644342164545</c:v>
                </c:pt>
                <c:pt idx="41" formatCode="General">
                  <c:v>-25.753095123938731</c:v>
                </c:pt>
                <c:pt idx="42" formatCode="0.0">
                  <c:v>-30.193271317535196</c:v>
                </c:pt>
                <c:pt idx="43" formatCode="0.0">
                  <c:v>-36.800000000000004</c:v>
                </c:pt>
                <c:pt idx="44" formatCode="0.0">
                  <c:v>-36.294477943510053</c:v>
                </c:pt>
                <c:pt idx="45" formatCode="0.0">
                  <c:v>-41.423646990592751</c:v>
                </c:pt>
                <c:pt idx="46" formatCode="0.0">
                  <c:v>-37.73056747306839</c:v>
                </c:pt>
                <c:pt idx="47" formatCode="0.0">
                  <c:v>-29.21833531467249</c:v>
                </c:pt>
                <c:pt idx="48" formatCode="0.0">
                  <c:v>-32.611752500665851</c:v>
                </c:pt>
                <c:pt idx="49" formatCode="0.0">
                  <c:v>-67.951617125134092</c:v>
                </c:pt>
              </c:numCache>
            </c:numRef>
          </c:val>
        </c:ser>
        <c:marker val="1"/>
        <c:axId val="102718464"/>
        <c:axId val="102724352"/>
      </c:lineChart>
      <c:catAx>
        <c:axId val="102718464"/>
        <c:scaling>
          <c:orientation val="minMax"/>
        </c:scaling>
        <c:axPos val="b"/>
        <c:numFmt formatCode="General" sourceLinked="0"/>
        <c:majorTickMark val="none"/>
        <c:tickLblPos val="low"/>
        <c:txPr>
          <a:bodyPr/>
          <a:lstStyle/>
          <a:p>
            <a:pPr>
              <a:defRPr lang="en-US" sz="700"/>
            </a:pPr>
            <a:endParaRPr lang="fr-FR"/>
          </a:p>
        </c:txPr>
        <c:crossAx val="102724352"/>
        <c:crosses val="autoZero"/>
        <c:auto val="1"/>
        <c:lblAlgn val="ctr"/>
        <c:lblOffset val="100"/>
      </c:catAx>
      <c:valAx>
        <c:axId val="102724352"/>
        <c:scaling>
          <c:orientation val="minMax"/>
        </c:scaling>
        <c:axPos val="l"/>
        <c:majorGridlines/>
        <c:numFmt formatCode="#,##0" sourceLinked="0"/>
        <c:tickLblPos val="nextTo"/>
        <c:txPr>
          <a:bodyPr/>
          <a:lstStyle/>
          <a:p>
            <a:pPr>
              <a:defRPr lang="en-US" sz="900"/>
            </a:pPr>
            <a:endParaRPr lang="fr-FR"/>
          </a:p>
        </c:txPr>
        <c:crossAx val="102718464"/>
        <c:crosses val="autoZero"/>
        <c:crossBetween val="between"/>
      </c:valAx>
    </c:plotArea>
    <c:plotVisOnly val="1"/>
    <c:dispBlanksAs val="gap"/>
  </c:chart>
  <c:spPr>
    <a:ln w="3175">
      <a:solidFill>
        <a:schemeClr val="tx1"/>
      </a:solidFill>
    </a:ln>
  </c:sp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lang="en-US"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fr-FR" sz="1400" b="1" i="0" baseline="0"/>
              <a:t>Perception par les ménages de leurs situations financières</a:t>
            </a:r>
            <a:r>
              <a:rPr lang="fr-FR" sz="1800" b="1" i="0" baseline="0"/>
              <a:t> </a:t>
            </a:r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lang="en-US"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fr-FR" sz="1400" b="1" i="0" baseline="0"/>
              <a:t>(soldes d'opinions)</a:t>
            </a:r>
            <a:endParaRPr lang="fr-FR" sz="1400"/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lang="en-US"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fr-FR" sz="1400"/>
          </a:p>
        </c:rich>
      </c:tx>
    </c:title>
    <c:plotArea>
      <c:layout>
        <c:manualLayout>
          <c:layoutTarget val="inner"/>
          <c:xMode val="edge"/>
          <c:yMode val="edge"/>
          <c:x val="5.6863351819674883E-2"/>
          <c:y val="0.1425325966211804"/>
          <c:w val="0.91973204979759959"/>
          <c:h val="0.53862016475268149"/>
        </c:manualLayout>
      </c:layout>
      <c:lineChart>
        <c:grouping val="standard"/>
        <c:ser>
          <c:idx val="0"/>
          <c:order val="0"/>
          <c:tx>
            <c:strRef>
              <c:f>'tableau note fr'!$A$9</c:f>
              <c:strCache>
                <c:ptCount val="1"/>
                <c:pt idx="0">
                  <c:v>Situation financière actuelle des ménages</c:v>
                </c:pt>
              </c:strCache>
            </c:strRef>
          </c:tx>
          <c:marker>
            <c:symbol val="circle"/>
            <c:size val="4"/>
          </c:marker>
          <c:cat>
            <c:strRef>
              <c:f>'tableau note fr'!$B$3:$AY$3</c:f>
              <c:strCache>
                <c:ptCount val="50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  <c:pt idx="44">
                  <c:v>T1/19</c:v>
                </c:pt>
                <c:pt idx="45">
                  <c:v>T2/19</c:v>
                </c:pt>
                <c:pt idx="46">
                  <c:v>T3/19</c:v>
                </c:pt>
                <c:pt idx="47">
                  <c:v>T4/19</c:v>
                </c:pt>
                <c:pt idx="48">
                  <c:v>T1/20</c:v>
                </c:pt>
                <c:pt idx="49">
                  <c:v>T2/20</c:v>
                </c:pt>
              </c:strCache>
            </c:strRef>
          </c:cat>
          <c:val>
            <c:numRef>
              <c:f>'tableau note fr'!$B$9:$AY$9</c:f>
              <c:numCache>
                <c:formatCode>#,##0.0</c:formatCode>
                <c:ptCount val="50"/>
                <c:pt idx="0">
                  <c:v>-33.000396349797541</c:v>
                </c:pt>
                <c:pt idx="1">
                  <c:v>-32.92085732825101</c:v>
                </c:pt>
                <c:pt idx="2">
                  <c:v>-34.418326375664194</c:v>
                </c:pt>
                <c:pt idx="3">
                  <c:v>-33.119220631579381</c:v>
                </c:pt>
                <c:pt idx="4">
                  <c:v>-31.284887127595891</c:v>
                </c:pt>
                <c:pt idx="5">
                  <c:v>-26.871936633729426</c:v>
                </c:pt>
                <c:pt idx="6">
                  <c:v>-28.286909450889887</c:v>
                </c:pt>
                <c:pt idx="7">
                  <c:v>-25.297554133135563</c:v>
                </c:pt>
                <c:pt idx="8">
                  <c:v>-27.535808431365773</c:v>
                </c:pt>
                <c:pt idx="9">
                  <c:v>-27.628417792744592</c:v>
                </c:pt>
                <c:pt idx="10">
                  <c:v>-29.997502753451052</c:v>
                </c:pt>
                <c:pt idx="11">
                  <c:v>-28.062624892496316</c:v>
                </c:pt>
                <c:pt idx="12">
                  <c:v>-30.645498931903745</c:v>
                </c:pt>
                <c:pt idx="13">
                  <c:v>-27.092549889444335</c:v>
                </c:pt>
                <c:pt idx="14">
                  <c:v>-24.28899054728441</c:v>
                </c:pt>
                <c:pt idx="15">
                  <c:v>-25.669712181349741</c:v>
                </c:pt>
                <c:pt idx="16">
                  <c:v>-25.435462945688826</c:v>
                </c:pt>
                <c:pt idx="17">
                  <c:v>-31.040689498948886</c:v>
                </c:pt>
                <c:pt idx="18">
                  <c:v>-30.846093343724203</c:v>
                </c:pt>
                <c:pt idx="19">
                  <c:v>-29.426966691861271</c:v>
                </c:pt>
                <c:pt idx="20">
                  <c:v>-29.764200665198015</c:v>
                </c:pt>
                <c:pt idx="21">
                  <c:v>-30.168616451396016</c:v>
                </c:pt>
                <c:pt idx="22">
                  <c:v>-29.484131282651223</c:v>
                </c:pt>
                <c:pt idx="23">
                  <c:v>-29.485585569479962</c:v>
                </c:pt>
                <c:pt idx="24">
                  <c:v>-31.290770339915049</c:v>
                </c:pt>
                <c:pt idx="25">
                  <c:v>-29.704256665370011</c:v>
                </c:pt>
                <c:pt idx="26">
                  <c:v>-28.344504427944035</c:v>
                </c:pt>
                <c:pt idx="27">
                  <c:v>-30.637429411694047</c:v>
                </c:pt>
                <c:pt idx="28">
                  <c:v>-32.404955656558201</c:v>
                </c:pt>
                <c:pt idx="29">
                  <c:v>-28</c:v>
                </c:pt>
                <c:pt idx="30">
                  <c:v>-25.071467645625653</c:v>
                </c:pt>
                <c:pt idx="31">
                  <c:v>-25.699936983325873</c:v>
                </c:pt>
                <c:pt idx="32">
                  <c:v>-27.23268621238142</c:v>
                </c:pt>
                <c:pt idx="33">
                  <c:v>-22.997618165471859</c:v>
                </c:pt>
                <c:pt idx="34">
                  <c:v>-25.8</c:v>
                </c:pt>
                <c:pt idx="35">
                  <c:v>-28.725836843764057</c:v>
                </c:pt>
                <c:pt idx="36">
                  <c:v>-27.797585066069505</c:v>
                </c:pt>
                <c:pt idx="37">
                  <c:v>-25.340990239285759</c:v>
                </c:pt>
                <c:pt idx="38">
                  <c:v>-22.581783906285729</c:v>
                </c:pt>
                <c:pt idx="39">
                  <c:v>-24.392000147868323</c:v>
                </c:pt>
                <c:pt idx="40">
                  <c:v>-25.236685531801342</c:v>
                </c:pt>
                <c:pt idx="41" formatCode="General">
                  <c:v>-24.077817715725971</c:v>
                </c:pt>
                <c:pt idx="42" formatCode="0.0">
                  <c:v>-29.675061855859198</c:v>
                </c:pt>
                <c:pt idx="43" formatCode="0.0">
                  <c:v>-28.4</c:v>
                </c:pt>
                <c:pt idx="44" formatCode="0.0">
                  <c:v>-28.874306637901352</c:v>
                </c:pt>
                <c:pt idx="45" formatCode="0.0">
                  <c:v>-30.794330285810986</c:v>
                </c:pt>
                <c:pt idx="46" formatCode="0.0">
                  <c:v>-29.543474949783889</c:v>
                </c:pt>
                <c:pt idx="47" formatCode="0.0">
                  <c:v>-26.38685501138583</c:v>
                </c:pt>
                <c:pt idx="48" formatCode="0.0">
                  <c:v>-27.711995909750634</c:v>
                </c:pt>
                <c:pt idx="49" formatCode="0.0">
                  <c:v>-29.955220894721663</c:v>
                </c:pt>
              </c:numCache>
            </c:numRef>
          </c:val>
        </c:ser>
        <c:ser>
          <c:idx val="1"/>
          <c:order val="1"/>
          <c:tx>
            <c:strRef>
              <c:f>'tableau note fr'!$A$10</c:f>
              <c:strCache>
                <c:ptCount val="1"/>
                <c:pt idx="0">
                  <c:v>Evolution  passée de la situation financière des ménages</c:v>
                </c:pt>
              </c:strCache>
            </c:strRef>
          </c:tx>
          <c:cat>
            <c:strRef>
              <c:f>'tableau note fr'!$B$3:$AY$3</c:f>
              <c:strCache>
                <c:ptCount val="50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  <c:pt idx="44">
                  <c:v>T1/19</c:v>
                </c:pt>
                <c:pt idx="45">
                  <c:v>T2/19</c:v>
                </c:pt>
                <c:pt idx="46">
                  <c:v>T3/19</c:v>
                </c:pt>
                <c:pt idx="47">
                  <c:v>T4/19</c:v>
                </c:pt>
                <c:pt idx="48">
                  <c:v>T1/20</c:v>
                </c:pt>
                <c:pt idx="49">
                  <c:v>T2/20</c:v>
                </c:pt>
              </c:strCache>
            </c:strRef>
          </c:cat>
          <c:val>
            <c:numRef>
              <c:f>'tableau note fr'!$B$10:$AY$10</c:f>
              <c:numCache>
                <c:formatCode>#,##0.0</c:formatCode>
                <c:ptCount val="50"/>
                <c:pt idx="0">
                  <c:v>-11.760493904860514</c:v>
                </c:pt>
                <c:pt idx="1">
                  <c:v>-11.376439540974173</c:v>
                </c:pt>
                <c:pt idx="2">
                  <c:v>-11.707546774199251</c:v>
                </c:pt>
                <c:pt idx="3">
                  <c:v>-9.5250570435126427</c:v>
                </c:pt>
                <c:pt idx="4">
                  <c:v>-18.438210074457363</c:v>
                </c:pt>
                <c:pt idx="5">
                  <c:v>-13.353492384896761</c:v>
                </c:pt>
                <c:pt idx="6">
                  <c:v>-8.3398771422969418</c:v>
                </c:pt>
                <c:pt idx="7">
                  <c:v>-11.02764060888175</c:v>
                </c:pt>
                <c:pt idx="8">
                  <c:v>-9.9712946623485852</c:v>
                </c:pt>
                <c:pt idx="9">
                  <c:v>-7.900036816111526</c:v>
                </c:pt>
                <c:pt idx="10">
                  <c:v>-7.5448517126855705</c:v>
                </c:pt>
                <c:pt idx="11">
                  <c:v>-12.80990794833837</c:v>
                </c:pt>
                <c:pt idx="12">
                  <c:v>-10.526395373972909</c:v>
                </c:pt>
                <c:pt idx="13">
                  <c:v>-8.9058745431594577</c:v>
                </c:pt>
                <c:pt idx="14">
                  <c:v>-6.3663328535796895</c:v>
                </c:pt>
                <c:pt idx="15">
                  <c:v>-9.8004349690184043</c:v>
                </c:pt>
                <c:pt idx="16">
                  <c:v>-14.12986220998387</c:v>
                </c:pt>
                <c:pt idx="17">
                  <c:v>-16.595107957258964</c:v>
                </c:pt>
                <c:pt idx="18">
                  <c:v>-16.673706990082124</c:v>
                </c:pt>
                <c:pt idx="19">
                  <c:v>-15.707035536653336</c:v>
                </c:pt>
                <c:pt idx="20">
                  <c:v>-19.633449783694058</c:v>
                </c:pt>
                <c:pt idx="21">
                  <c:v>-23.788807201688929</c:v>
                </c:pt>
                <c:pt idx="22">
                  <c:v>-21.891965579068501</c:v>
                </c:pt>
                <c:pt idx="23">
                  <c:v>-21.870867995539985</c:v>
                </c:pt>
                <c:pt idx="24">
                  <c:v>-21.277780753263979</c:v>
                </c:pt>
                <c:pt idx="25">
                  <c:v>-23.337257864101161</c:v>
                </c:pt>
                <c:pt idx="26">
                  <c:v>-25.773771694272</c:v>
                </c:pt>
                <c:pt idx="27">
                  <c:v>-29.150994705705717</c:v>
                </c:pt>
                <c:pt idx="28">
                  <c:v>-26.965288381475769</c:v>
                </c:pt>
                <c:pt idx="29">
                  <c:v>-20.216971341645095</c:v>
                </c:pt>
                <c:pt idx="30">
                  <c:v>-20.789363149769279</c:v>
                </c:pt>
                <c:pt idx="31">
                  <c:v>-18.50333400384844</c:v>
                </c:pt>
                <c:pt idx="32">
                  <c:v>-27.398022856415224</c:v>
                </c:pt>
                <c:pt idx="33">
                  <c:v>-22.820131487915329</c:v>
                </c:pt>
                <c:pt idx="34">
                  <c:v>-26.987361336961197</c:v>
                </c:pt>
                <c:pt idx="35">
                  <c:v>-33.305012733303052</c:v>
                </c:pt>
                <c:pt idx="36">
                  <c:v>-26.764408087130526</c:v>
                </c:pt>
                <c:pt idx="37">
                  <c:v>-16.626704252959726</c:v>
                </c:pt>
                <c:pt idx="38">
                  <c:v>-14.506801572644619</c:v>
                </c:pt>
                <c:pt idx="39">
                  <c:v>-16.7</c:v>
                </c:pt>
                <c:pt idx="40">
                  <c:v>-18.12020796730943</c:v>
                </c:pt>
                <c:pt idx="41" formatCode="General">
                  <c:v>-15.241299993196511</c:v>
                </c:pt>
                <c:pt idx="42" formatCode="0.0">
                  <c:v>-18.212765523946558</c:v>
                </c:pt>
                <c:pt idx="43" formatCode="0.0">
                  <c:v>-20.7</c:v>
                </c:pt>
                <c:pt idx="44" formatCode="0.0">
                  <c:v>-21.239570741294095</c:v>
                </c:pt>
                <c:pt idx="45" formatCode="0.0">
                  <c:v>-24.187755596841431</c:v>
                </c:pt>
                <c:pt idx="46" formatCode="0.0">
                  <c:v>-26.020639530378268</c:v>
                </c:pt>
                <c:pt idx="47" formatCode="0.0">
                  <c:v>-22.058531326387186</c:v>
                </c:pt>
                <c:pt idx="48" formatCode="0.0">
                  <c:v>-22.878127876162285</c:v>
                </c:pt>
                <c:pt idx="49" formatCode="0.0">
                  <c:v>-26.986745192981459</c:v>
                </c:pt>
              </c:numCache>
            </c:numRef>
          </c:val>
        </c:ser>
        <c:ser>
          <c:idx val="2"/>
          <c:order val="2"/>
          <c:tx>
            <c:strRef>
              <c:f>'tableau note fr'!$A$11</c:f>
              <c:strCache>
                <c:ptCount val="1"/>
                <c:pt idx="0">
                  <c:v>Evolution  future de la situation financière des ménages</c:v>
                </c:pt>
              </c:strCache>
            </c:strRef>
          </c:tx>
          <c:cat>
            <c:strRef>
              <c:f>'tableau note fr'!$B$3:$AY$3</c:f>
              <c:strCache>
                <c:ptCount val="50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  <c:pt idx="44">
                  <c:v>T1/19</c:v>
                </c:pt>
                <c:pt idx="45">
                  <c:v>T2/19</c:v>
                </c:pt>
                <c:pt idx="46">
                  <c:v>T3/19</c:v>
                </c:pt>
                <c:pt idx="47">
                  <c:v>T4/19</c:v>
                </c:pt>
                <c:pt idx="48">
                  <c:v>T1/20</c:v>
                </c:pt>
                <c:pt idx="49">
                  <c:v>T2/20</c:v>
                </c:pt>
              </c:strCache>
            </c:strRef>
          </c:cat>
          <c:val>
            <c:numRef>
              <c:f>'tableau note fr'!$B$11:$AY$11</c:f>
              <c:numCache>
                <c:formatCode>#,##0.0</c:formatCode>
                <c:ptCount val="50"/>
                <c:pt idx="0">
                  <c:v>23.9</c:v>
                </c:pt>
                <c:pt idx="1">
                  <c:v>15.58418860861071</c:v>
                </c:pt>
                <c:pt idx="2">
                  <c:v>16.580364039590329</c:v>
                </c:pt>
                <c:pt idx="3">
                  <c:v>26.705941849103187</c:v>
                </c:pt>
                <c:pt idx="4">
                  <c:v>26.769154239001928</c:v>
                </c:pt>
                <c:pt idx="5">
                  <c:v>21.986954089697061</c:v>
                </c:pt>
                <c:pt idx="6">
                  <c:v>17.532817766676494</c:v>
                </c:pt>
                <c:pt idx="7">
                  <c:v>17.09400625121032</c:v>
                </c:pt>
                <c:pt idx="8">
                  <c:v>17.787694440036187</c:v>
                </c:pt>
                <c:pt idx="9">
                  <c:v>11.776375704730505</c:v>
                </c:pt>
                <c:pt idx="10">
                  <c:v>7.8068380126684715</c:v>
                </c:pt>
                <c:pt idx="11">
                  <c:v>9.3656519222157506</c:v>
                </c:pt>
                <c:pt idx="12">
                  <c:v>10.223761077165181</c:v>
                </c:pt>
                <c:pt idx="13">
                  <c:v>20.354548457792724</c:v>
                </c:pt>
                <c:pt idx="14">
                  <c:v>15.105327443781253</c:v>
                </c:pt>
                <c:pt idx="15">
                  <c:v>13.999505506513676</c:v>
                </c:pt>
                <c:pt idx="16">
                  <c:v>11.23083364045033</c:v>
                </c:pt>
                <c:pt idx="17">
                  <c:v>11.136340416980383</c:v>
                </c:pt>
                <c:pt idx="18">
                  <c:v>7.6658451594012957</c:v>
                </c:pt>
                <c:pt idx="19">
                  <c:v>10.649290737183625</c:v>
                </c:pt>
                <c:pt idx="20">
                  <c:v>4.5484811189173895</c:v>
                </c:pt>
                <c:pt idx="21">
                  <c:v>0.71644439200690369</c:v>
                </c:pt>
                <c:pt idx="22">
                  <c:v>2.7930128120198785</c:v>
                </c:pt>
                <c:pt idx="23">
                  <c:v>-1.7003971659207198</c:v>
                </c:pt>
                <c:pt idx="24">
                  <c:v>1.2126606998519158</c:v>
                </c:pt>
                <c:pt idx="25">
                  <c:v>-2.6659512091834952</c:v>
                </c:pt>
                <c:pt idx="26">
                  <c:v>-1.4735728224612341</c:v>
                </c:pt>
                <c:pt idx="27">
                  <c:v>-3.9139038482871569</c:v>
                </c:pt>
                <c:pt idx="28">
                  <c:v>8.9330913123193523E-2</c:v>
                </c:pt>
                <c:pt idx="29">
                  <c:v>4.1756310519058966</c:v>
                </c:pt>
                <c:pt idx="30">
                  <c:v>3.3451516718598637</c:v>
                </c:pt>
                <c:pt idx="31">
                  <c:v>7.6417999475620588</c:v>
                </c:pt>
                <c:pt idx="32">
                  <c:v>1.2373351928094007</c:v>
                </c:pt>
                <c:pt idx="33">
                  <c:v>2.2988859177154</c:v>
                </c:pt>
                <c:pt idx="34">
                  <c:v>4.9642092382991612</c:v>
                </c:pt>
                <c:pt idx="35">
                  <c:v>6.4877666459978194</c:v>
                </c:pt>
                <c:pt idx="36">
                  <c:v>13.359772169150252</c:v>
                </c:pt>
                <c:pt idx="37">
                  <c:v>22.123807522802235</c:v>
                </c:pt>
                <c:pt idx="38">
                  <c:v>19.596485843359812</c:v>
                </c:pt>
                <c:pt idx="39">
                  <c:v>19.180868333171652</c:v>
                </c:pt>
                <c:pt idx="40">
                  <c:v>25.926424488378224</c:v>
                </c:pt>
                <c:pt idx="41" formatCode="General">
                  <c:v>28.130493740025226</c:v>
                </c:pt>
                <c:pt idx="42" formatCode="0.0">
                  <c:v>18.237772049662329</c:v>
                </c:pt>
                <c:pt idx="43" formatCode="0.0">
                  <c:v>19.100000000000001</c:v>
                </c:pt>
                <c:pt idx="44" formatCode="0.0">
                  <c:v>20.686932465103727</c:v>
                </c:pt>
                <c:pt idx="45" formatCode="0.0">
                  <c:v>18.273992721467774</c:v>
                </c:pt>
                <c:pt idx="46" formatCode="0.0">
                  <c:v>12.775065694831193</c:v>
                </c:pt>
                <c:pt idx="47" formatCode="0.0">
                  <c:v>15.949037871016623</c:v>
                </c:pt>
                <c:pt idx="48" formatCode="0.0">
                  <c:v>8.5440476832129519</c:v>
                </c:pt>
                <c:pt idx="49" formatCode="0.0">
                  <c:v>-4.5622056678242258</c:v>
                </c:pt>
              </c:numCache>
            </c:numRef>
          </c:val>
        </c:ser>
        <c:marker val="1"/>
        <c:axId val="102757888"/>
        <c:axId val="102759424"/>
      </c:lineChart>
      <c:catAx>
        <c:axId val="102757888"/>
        <c:scaling>
          <c:orientation val="minMax"/>
        </c:scaling>
        <c:axPos val="b"/>
        <c:numFmt formatCode="General" sourceLinked="0"/>
        <c:majorTickMark val="none"/>
        <c:tickLblPos val="low"/>
        <c:txPr>
          <a:bodyPr/>
          <a:lstStyle/>
          <a:p>
            <a:pPr>
              <a:defRPr lang="en-US" sz="700"/>
            </a:pPr>
            <a:endParaRPr lang="fr-FR"/>
          </a:p>
        </c:txPr>
        <c:crossAx val="102759424"/>
        <c:crosses val="autoZero"/>
        <c:auto val="1"/>
        <c:lblAlgn val="ctr"/>
        <c:lblOffset val="100"/>
      </c:catAx>
      <c:valAx>
        <c:axId val="102759424"/>
        <c:scaling>
          <c:orientation val="minMax"/>
        </c:scaling>
        <c:axPos val="l"/>
        <c:majorGridlines/>
        <c:numFmt formatCode="#,##0" sourceLinked="0"/>
        <c:maj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lang="en-US" sz="900"/>
            </a:pPr>
            <a:endParaRPr lang="fr-FR"/>
          </a:p>
        </c:txPr>
        <c:crossAx val="102757888"/>
        <c:crosses val="autoZero"/>
        <c:crossBetween val="between"/>
      </c:valAx>
    </c:plotArea>
    <c:legend>
      <c:legendPos val="b"/>
      <c:txPr>
        <a:bodyPr/>
        <a:lstStyle/>
        <a:p>
          <a:pPr>
            <a:defRPr lang="en-US"/>
          </a:pPr>
          <a:endParaRPr lang="fr-FR"/>
        </a:p>
      </c:txPr>
    </c:legend>
    <c:plotVisOnly val="1"/>
    <c:dispBlanksAs val="gap"/>
  </c:chart>
  <c:spPr>
    <a:ln w="3175">
      <a:solidFill>
        <a:schemeClr val="tx1"/>
      </a:solidFill>
    </a:ln>
  </c:sp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lang="en-US"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fr-FR" sz="1400" b="1" i="0" baseline="0"/>
              <a:t>Perception par les ménages des évolutions passée et future des prix des produits alimentaires  (soldes d'opinions)</a:t>
            </a:r>
            <a:endParaRPr lang="fr-FR" sz="1400"/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lang="en-US"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fr-FR" sz="1400"/>
          </a:p>
        </c:rich>
      </c:tx>
      <c:layout>
        <c:manualLayout>
          <c:xMode val="edge"/>
          <c:yMode val="edge"/>
          <c:x val="0.13624361023608397"/>
          <c:y val="2.1465163303846953E-2"/>
        </c:manualLayout>
      </c:layout>
    </c:title>
    <c:plotArea>
      <c:layout>
        <c:manualLayout>
          <c:layoutTarget val="inner"/>
          <c:xMode val="edge"/>
          <c:yMode val="edge"/>
          <c:x val="7.5035168444331543E-2"/>
          <c:y val="0.17448188899857822"/>
          <c:w val="0.91007862895562319"/>
          <c:h val="0.53428380945537268"/>
        </c:manualLayout>
      </c:layout>
      <c:lineChart>
        <c:grouping val="standard"/>
        <c:ser>
          <c:idx val="0"/>
          <c:order val="0"/>
          <c:tx>
            <c:strRef>
              <c:f>'tableau note fr'!$A$13</c:f>
              <c:strCache>
                <c:ptCount val="1"/>
                <c:pt idx="0">
                  <c:v>Evolution future des prix des produits alimentaires</c:v>
                </c:pt>
              </c:strCache>
            </c:strRef>
          </c:tx>
          <c:marker>
            <c:symbol val="circle"/>
            <c:size val="4"/>
          </c:marker>
          <c:cat>
            <c:strRef>
              <c:f>'tableau note fr'!$B$3:$AY$3</c:f>
              <c:strCache>
                <c:ptCount val="50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  <c:pt idx="44">
                  <c:v>T1/19</c:v>
                </c:pt>
                <c:pt idx="45">
                  <c:v>T2/19</c:v>
                </c:pt>
                <c:pt idx="46">
                  <c:v>T3/19</c:v>
                </c:pt>
                <c:pt idx="47">
                  <c:v>T4/19</c:v>
                </c:pt>
                <c:pt idx="48">
                  <c:v>T1/20</c:v>
                </c:pt>
                <c:pt idx="49">
                  <c:v>T2/20</c:v>
                </c:pt>
              </c:strCache>
            </c:strRef>
          </c:cat>
          <c:val>
            <c:numRef>
              <c:f>'tableau note fr'!$B$13:$AY$13</c:f>
              <c:numCache>
                <c:formatCode>#,##0.0</c:formatCode>
                <c:ptCount val="50"/>
                <c:pt idx="0">
                  <c:v>-74.061389031284818</c:v>
                </c:pt>
                <c:pt idx="1">
                  <c:v>-77.716574651610344</c:v>
                </c:pt>
                <c:pt idx="2">
                  <c:v>-78.940542419693813</c:v>
                </c:pt>
                <c:pt idx="3">
                  <c:v>-49.653420650313549</c:v>
                </c:pt>
                <c:pt idx="4">
                  <c:v>-34.869529990694446</c:v>
                </c:pt>
                <c:pt idx="5">
                  <c:v>-33.523065681383365</c:v>
                </c:pt>
                <c:pt idx="6">
                  <c:v>-50.919242344766445</c:v>
                </c:pt>
                <c:pt idx="7">
                  <c:v>-47.87194786445459</c:v>
                </c:pt>
                <c:pt idx="8">
                  <c:v>-46.51502281152581</c:v>
                </c:pt>
                <c:pt idx="9">
                  <c:v>-56.832932011427921</c:v>
                </c:pt>
                <c:pt idx="10">
                  <c:v>-62.176731306136915</c:v>
                </c:pt>
                <c:pt idx="11">
                  <c:v>-70.131788082404199</c:v>
                </c:pt>
                <c:pt idx="12">
                  <c:v>-73.4127471825839</c:v>
                </c:pt>
                <c:pt idx="13">
                  <c:v>-58.832065504603946</c:v>
                </c:pt>
                <c:pt idx="14">
                  <c:v>-72.59048616904964</c:v>
                </c:pt>
                <c:pt idx="15">
                  <c:v>-72.965887012435019</c:v>
                </c:pt>
                <c:pt idx="16">
                  <c:v>-69.834720496858949</c:v>
                </c:pt>
                <c:pt idx="17">
                  <c:v>-71.450027411204985</c:v>
                </c:pt>
                <c:pt idx="18">
                  <c:v>-73.578371466433921</c:v>
                </c:pt>
                <c:pt idx="19">
                  <c:v>-70.049698245525676</c:v>
                </c:pt>
                <c:pt idx="20">
                  <c:v>-76.096296687300608</c:v>
                </c:pt>
                <c:pt idx="21">
                  <c:v>-73.375476646911594</c:v>
                </c:pt>
                <c:pt idx="22">
                  <c:v>-76.007455926126042</c:v>
                </c:pt>
                <c:pt idx="23">
                  <c:v>-76.048555842624523</c:v>
                </c:pt>
                <c:pt idx="24">
                  <c:v>-77.551787041299889</c:v>
                </c:pt>
                <c:pt idx="25">
                  <c:v>-78.042355521266373</c:v>
                </c:pt>
                <c:pt idx="26">
                  <c:v>-76.898841721729795</c:v>
                </c:pt>
                <c:pt idx="27">
                  <c:v>-77.2</c:v>
                </c:pt>
                <c:pt idx="28">
                  <c:v>-77.231717010323948</c:v>
                </c:pt>
                <c:pt idx="29">
                  <c:v>-75.641194802119557</c:v>
                </c:pt>
                <c:pt idx="30">
                  <c:v>-75.301499740412396</c:v>
                </c:pt>
                <c:pt idx="31">
                  <c:v>-75.201077205088083</c:v>
                </c:pt>
                <c:pt idx="32">
                  <c:v>-79.25874198980361</c:v>
                </c:pt>
                <c:pt idx="33">
                  <c:v>-77.326465444648022</c:v>
                </c:pt>
                <c:pt idx="34">
                  <c:v>-77.900000000000006</c:v>
                </c:pt>
                <c:pt idx="35">
                  <c:v>-77.33590195130148</c:v>
                </c:pt>
                <c:pt idx="36">
                  <c:v>-77.664169536728878</c:v>
                </c:pt>
                <c:pt idx="37">
                  <c:v>-74.5</c:v>
                </c:pt>
                <c:pt idx="38">
                  <c:v>-73.964173414184586</c:v>
                </c:pt>
                <c:pt idx="39">
                  <c:v>-79.602800137507884</c:v>
                </c:pt>
                <c:pt idx="40">
                  <c:v>-82.909090889011466</c:v>
                </c:pt>
                <c:pt idx="41" formatCode="General">
                  <c:v>-84.024833717392056</c:v>
                </c:pt>
                <c:pt idx="42">
                  <c:v>-82.078038176837381</c:v>
                </c:pt>
                <c:pt idx="43">
                  <c:v>-86.6</c:v>
                </c:pt>
                <c:pt idx="44">
                  <c:v>-87.54271632969234</c:v>
                </c:pt>
                <c:pt idx="45">
                  <c:v>-86.508482649196509</c:v>
                </c:pt>
                <c:pt idx="46">
                  <c:v>-83.288697742697579</c:v>
                </c:pt>
                <c:pt idx="47">
                  <c:v>-82.220036585575144</c:v>
                </c:pt>
                <c:pt idx="48">
                  <c:v>-82.585609750348496</c:v>
                </c:pt>
                <c:pt idx="49">
                  <c:v>-69.044082249116016</c:v>
                </c:pt>
              </c:numCache>
            </c:numRef>
          </c:val>
        </c:ser>
        <c:ser>
          <c:idx val="1"/>
          <c:order val="1"/>
          <c:tx>
            <c:strRef>
              <c:f>'tableau note fr'!$A$14</c:f>
              <c:strCache>
                <c:ptCount val="1"/>
                <c:pt idx="0">
                  <c:v>Evolution  passée des prix des produits alimentaires</c:v>
                </c:pt>
              </c:strCache>
            </c:strRef>
          </c:tx>
          <c:cat>
            <c:strRef>
              <c:f>'tableau note fr'!$B$3:$AY$3</c:f>
              <c:strCache>
                <c:ptCount val="50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  <c:pt idx="44">
                  <c:v>T1/19</c:v>
                </c:pt>
                <c:pt idx="45">
                  <c:v>T2/19</c:v>
                </c:pt>
                <c:pt idx="46">
                  <c:v>T3/19</c:v>
                </c:pt>
                <c:pt idx="47">
                  <c:v>T4/19</c:v>
                </c:pt>
                <c:pt idx="48">
                  <c:v>T1/20</c:v>
                </c:pt>
                <c:pt idx="49">
                  <c:v>T2/20</c:v>
                </c:pt>
              </c:strCache>
            </c:strRef>
          </c:cat>
          <c:val>
            <c:numRef>
              <c:f>'tableau note fr'!$B$14:$AY$14</c:f>
              <c:numCache>
                <c:formatCode>#,##0.0</c:formatCode>
                <c:ptCount val="50"/>
                <c:pt idx="0">
                  <c:v>-93.561530615416999</c:v>
                </c:pt>
                <c:pt idx="1">
                  <c:v>-95.947220816722407</c:v>
                </c:pt>
                <c:pt idx="2">
                  <c:v>-98.048475442965014</c:v>
                </c:pt>
                <c:pt idx="3">
                  <c:v>-96.216541508823312</c:v>
                </c:pt>
                <c:pt idx="4">
                  <c:v>-93.990402062896209</c:v>
                </c:pt>
                <c:pt idx="5">
                  <c:v>-87.215803326852651</c:v>
                </c:pt>
                <c:pt idx="6">
                  <c:v>-85.738329527783449</c:v>
                </c:pt>
                <c:pt idx="7">
                  <c:v>-83.278098478101455</c:v>
                </c:pt>
                <c:pt idx="8">
                  <c:v>-79.493520436579956</c:v>
                </c:pt>
                <c:pt idx="9">
                  <c:v>-87.814557184919167</c:v>
                </c:pt>
                <c:pt idx="10">
                  <c:v>-89.729007404339953</c:v>
                </c:pt>
                <c:pt idx="11">
                  <c:v>-90.967802162493527</c:v>
                </c:pt>
                <c:pt idx="12">
                  <c:v>-95.526783459398686</c:v>
                </c:pt>
                <c:pt idx="13">
                  <c:v>-87.197236284295727</c:v>
                </c:pt>
                <c:pt idx="14">
                  <c:v>-89.924388392526083</c:v>
                </c:pt>
                <c:pt idx="15">
                  <c:v>-92.495216554147746</c:v>
                </c:pt>
                <c:pt idx="16">
                  <c:v>-91.625316584481823</c:v>
                </c:pt>
                <c:pt idx="17">
                  <c:v>-91.140544889708991</c:v>
                </c:pt>
                <c:pt idx="18">
                  <c:v>-91.653648288633619</c:v>
                </c:pt>
                <c:pt idx="19">
                  <c:v>-90.602273539903038</c:v>
                </c:pt>
                <c:pt idx="20">
                  <c:v>-91.630328830979664</c:v>
                </c:pt>
                <c:pt idx="21">
                  <c:v>-88.947630714849396</c:v>
                </c:pt>
                <c:pt idx="22">
                  <c:v>-90.507981291878522</c:v>
                </c:pt>
                <c:pt idx="23">
                  <c:v>-90.842402571703019</c:v>
                </c:pt>
                <c:pt idx="24">
                  <c:v>-89.421972084851788</c:v>
                </c:pt>
                <c:pt idx="25">
                  <c:v>-84.135715875789074</c:v>
                </c:pt>
                <c:pt idx="26">
                  <c:v>-81.763249669623747</c:v>
                </c:pt>
                <c:pt idx="27">
                  <c:v>-84.521199779532196</c:v>
                </c:pt>
                <c:pt idx="28">
                  <c:v>-87.223881643150108</c:v>
                </c:pt>
                <c:pt idx="29">
                  <c:v>-85.304961002513068</c:v>
                </c:pt>
                <c:pt idx="30">
                  <c:v>-84.284507159523756</c:v>
                </c:pt>
                <c:pt idx="31">
                  <c:v>-85.427496568127424</c:v>
                </c:pt>
                <c:pt idx="32">
                  <c:v>-85.452277394276848</c:v>
                </c:pt>
                <c:pt idx="33">
                  <c:v>-87.871778057968157</c:v>
                </c:pt>
                <c:pt idx="34">
                  <c:v>-87.672521775530925</c:v>
                </c:pt>
                <c:pt idx="35">
                  <c:v>-87.308587775463366</c:v>
                </c:pt>
                <c:pt idx="36">
                  <c:v>-86.771015006658288</c:v>
                </c:pt>
                <c:pt idx="37">
                  <c:v>-86.4</c:v>
                </c:pt>
                <c:pt idx="38">
                  <c:v>-82.80501829248945</c:v>
                </c:pt>
                <c:pt idx="39">
                  <c:v>-88.513579156072012</c:v>
                </c:pt>
                <c:pt idx="40">
                  <c:v>-86.694812387811382</c:v>
                </c:pt>
                <c:pt idx="41" formatCode="General">
                  <c:v>-88.182833745436668</c:v>
                </c:pt>
                <c:pt idx="42">
                  <c:v>-88.119908444008828</c:v>
                </c:pt>
                <c:pt idx="43">
                  <c:v>-90.3</c:v>
                </c:pt>
                <c:pt idx="44">
                  <c:v>-88.136419421127727</c:v>
                </c:pt>
                <c:pt idx="45">
                  <c:v>-88.912542109472369</c:v>
                </c:pt>
                <c:pt idx="46">
                  <c:v>-83.748311328811582</c:v>
                </c:pt>
                <c:pt idx="47">
                  <c:v>-85.084964738360227</c:v>
                </c:pt>
                <c:pt idx="48">
                  <c:v>-82.774085672956858</c:v>
                </c:pt>
                <c:pt idx="49">
                  <c:v>-67.616999612935103</c:v>
                </c:pt>
              </c:numCache>
            </c:numRef>
          </c:val>
        </c:ser>
        <c:marker val="1"/>
        <c:axId val="104881536"/>
        <c:axId val="104895616"/>
      </c:lineChart>
      <c:catAx>
        <c:axId val="104881536"/>
        <c:scaling>
          <c:orientation val="minMax"/>
        </c:scaling>
        <c:axPos val="b"/>
        <c:numFmt formatCode="General" sourceLinked="0"/>
        <c:majorTickMark val="none"/>
        <c:tickLblPos val="low"/>
        <c:txPr>
          <a:bodyPr/>
          <a:lstStyle/>
          <a:p>
            <a:pPr>
              <a:defRPr lang="en-US" sz="700"/>
            </a:pPr>
            <a:endParaRPr lang="fr-FR"/>
          </a:p>
        </c:txPr>
        <c:crossAx val="104895616"/>
        <c:crosses val="autoZero"/>
        <c:auto val="1"/>
        <c:lblAlgn val="ctr"/>
        <c:lblOffset val="100"/>
      </c:catAx>
      <c:valAx>
        <c:axId val="104895616"/>
        <c:scaling>
          <c:orientation val="minMax"/>
        </c:scaling>
        <c:axPos val="l"/>
        <c:majorGridlines/>
        <c:numFmt formatCode="#,##0" sourceLinked="0"/>
        <c:maj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lang="en-US" sz="900"/>
            </a:pPr>
            <a:endParaRPr lang="fr-FR"/>
          </a:p>
        </c:txPr>
        <c:crossAx val="104881536"/>
        <c:crosses val="autoZero"/>
        <c:crossBetween val="between"/>
      </c:valAx>
    </c:plotArea>
    <c:legend>
      <c:legendPos val="b"/>
      <c:txPr>
        <a:bodyPr/>
        <a:lstStyle/>
        <a:p>
          <a:pPr>
            <a:defRPr lang="en-US"/>
          </a:pPr>
          <a:endParaRPr lang="fr-FR"/>
        </a:p>
      </c:txPr>
    </c:legend>
    <c:plotVisOnly val="1"/>
    <c:dispBlanksAs val="gap"/>
  </c:chart>
  <c:spPr>
    <a:ln w="3175">
      <a:solidFill>
        <a:schemeClr val="tx1"/>
      </a:solidFill>
    </a:ln>
  </c:sp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74B22B-CEE9-4BEF-B01A-029EEA7309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1419</Words>
  <Characters>7805</Characters>
  <Application>Microsoft Office Word</Application>
  <DocSecurity>0</DocSecurity>
  <Lines>65</Lines>
  <Paragraphs>18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9206</CharactersWithSpaces>
  <SharedDoc>false</SharedDoc>
  <HLinks>
    <vt:vector size="6" baseType="variant">
      <vt:variant>
        <vt:i4>7405692</vt:i4>
      </vt:variant>
      <vt:variant>
        <vt:i4>0</vt:i4>
      </vt:variant>
      <vt:variant>
        <vt:i4>0</vt:i4>
      </vt:variant>
      <vt:variant>
        <vt:i4>5</vt:i4>
      </vt:variant>
      <vt:variant>
        <vt:lpwstr>http://www.hcp.ma/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Administrateur</dc:creator>
  <cp:lastModifiedBy>User</cp:lastModifiedBy>
  <cp:revision>2</cp:revision>
  <cp:lastPrinted>2020-07-06T10:14:00Z</cp:lastPrinted>
  <dcterms:created xsi:type="dcterms:W3CDTF">2020-07-08T11:38:00Z</dcterms:created>
  <dcterms:modified xsi:type="dcterms:W3CDTF">2020-07-08T11:38:00Z</dcterms:modified>
</cp:coreProperties>
</file>