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306" w:rsidRDefault="00C75306" w:rsidP="009A084A">
      <w:pPr>
        <w:autoSpaceDE w:val="0"/>
        <w:autoSpaceDN w:val="0"/>
        <w:adjustRightInd w:val="0"/>
        <w:spacing w:line="360" w:lineRule="auto"/>
        <w:jc w:val="center"/>
        <w:rPr>
          <w:rFonts w:cs="Calibri"/>
          <w:b/>
          <w:bCs/>
          <w:color w:val="000000"/>
          <w:sz w:val="28"/>
          <w:szCs w:val="28"/>
        </w:rPr>
      </w:pPr>
      <w:r>
        <w:rPr>
          <w:rFonts w:cs="Calibri"/>
          <w:b/>
          <w:bCs/>
          <w:color w:val="000000"/>
          <w:sz w:val="28"/>
          <w:szCs w:val="28"/>
        </w:rPr>
        <w:t xml:space="preserve">Note d’information à l’attention </w:t>
      </w:r>
    </w:p>
    <w:p w:rsidR="00480176" w:rsidRDefault="00C75306" w:rsidP="009A084A">
      <w:pPr>
        <w:autoSpaceDE w:val="0"/>
        <w:autoSpaceDN w:val="0"/>
        <w:adjustRightInd w:val="0"/>
        <w:spacing w:line="360" w:lineRule="auto"/>
        <w:jc w:val="center"/>
        <w:rPr>
          <w:rFonts w:cs="Calibri"/>
          <w:b/>
          <w:bCs/>
          <w:color w:val="000000"/>
          <w:sz w:val="28"/>
          <w:szCs w:val="28"/>
        </w:rPr>
      </w:pPr>
      <w:r>
        <w:rPr>
          <w:rFonts w:cs="Calibri"/>
          <w:b/>
          <w:bCs/>
          <w:color w:val="000000"/>
          <w:sz w:val="28"/>
          <w:szCs w:val="28"/>
        </w:rPr>
        <w:t>des utilisateurs de l’indice de</w:t>
      </w:r>
      <w:r w:rsidR="00FD788E">
        <w:rPr>
          <w:rFonts w:cs="Calibri"/>
          <w:b/>
          <w:bCs/>
          <w:color w:val="000000"/>
          <w:sz w:val="28"/>
          <w:szCs w:val="28"/>
        </w:rPr>
        <w:t>s</w:t>
      </w:r>
      <w:r>
        <w:rPr>
          <w:rFonts w:cs="Calibri"/>
          <w:b/>
          <w:bCs/>
          <w:color w:val="000000"/>
          <w:sz w:val="28"/>
          <w:szCs w:val="28"/>
        </w:rPr>
        <w:t xml:space="preserve"> prix à la consommation</w:t>
      </w:r>
    </w:p>
    <w:p w:rsidR="00480176" w:rsidRPr="006D20D8" w:rsidRDefault="006E161E" w:rsidP="009A084A">
      <w:pPr>
        <w:autoSpaceDE w:val="0"/>
        <w:autoSpaceDN w:val="0"/>
        <w:adjustRightInd w:val="0"/>
        <w:spacing w:line="360" w:lineRule="auto"/>
        <w:jc w:val="center"/>
        <w:rPr>
          <w:rFonts w:cs="Calibri"/>
          <w:b/>
          <w:bCs/>
          <w:color w:val="000000"/>
          <w:sz w:val="28"/>
          <w:szCs w:val="28"/>
        </w:rPr>
      </w:pPr>
      <w:r>
        <w:rPr>
          <w:rFonts w:cs="Calibri"/>
          <w:b/>
          <w:bCs/>
          <w:color w:val="000000"/>
          <w:sz w:val="28"/>
          <w:szCs w:val="28"/>
        </w:rPr>
        <w:t xml:space="preserve">                      </w:t>
      </w:r>
    </w:p>
    <w:p w:rsidR="00480176" w:rsidRPr="00C75306" w:rsidRDefault="00C75306" w:rsidP="00C75306">
      <w:pPr>
        <w:autoSpaceDE w:val="0"/>
        <w:autoSpaceDN w:val="0"/>
        <w:adjustRightInd w:val="0"/>
        <w:spacing w:line="360" w:lineRule="auto"/>
        <w:rPr>
          <w:rFonts w:cs="Calibri"/>
          <w:color w:val="000000"/>
        </w:rPr>
      </w:pPr>
      <w:r w:rsidRPr="00C75306">
        <w:rPr>
          <w:rFonts w:cs="Calibri"/>
          <w:b/>
          <w:bCs/>
          <w:color w:val="000000"/>
        </w:rPr>
        <w:t>Objet :</w:t>
      </w:r>
      <w:r>
        <w:rPr>
          <w:rFonts w:cs="Calibri"/>
          <w:color w:val="000000"/>
        </w:rPr>
        <w:t xml:space="preserve"> </w:t>
      </w:r>
      <w:r w:rsidR="00480176" w:rsidRPr="00C75306">
        <w:rPr>
          <w:rFonts w:cs="Calibri"/>
          <w:color w:val="000000"/>
        </w:rPr>
        <w:t>Conditions de</w:t>
      </w:r>
      <w:r w:rsidR="00CE5F6F">
        <w:rPr>
          <w:rFonts w:cs="Calibri"/>
          <w:color w:val="000000"/>
        </w:rPr>
        <w:t xml:space="preserve"> la</w:t>
      </w:r>
      <w:r w:rsidR="000E5662" w:rsidRPr="00C75306">
        <w:rPr>
          <w:rFonts w:cs="Calibri"/>
          <w:color w:val="000000"/>
        </w:rPr>
        <w:t xml:space="preserve"> </w:t>
      </w:r>
      <w:r w:rsidR="00480176" w:rsidRPr="00C75306">
        <w:rPr>
          <w:rFonts w:cs="Calibri"/>
          <w:color w:val="000000"/>
        </w:rPr>
        <w:t>réalisation</w:t>
      </w:r>
      <w:r w:rsidR="000E5662" w:rsidRPr="00C75306">
        <w:rPr>
          <w:rFonts w:cs="Calibri"/>
          <w:color w:val="000000"/>
        </w:rPr>
        <w:t xml:space="preserve"> de l’enquête </w:t>
      </w:r>
      <w:r w:rsidR="00480176" w:rsidRPr="00C75306">
        <w:rPr>
          <w:rFonts w:cs="Calibri"/>
          <w:color w:val="000000"/>
        </w:rPr>
        <w:t>permanente sur les prix à la consommation au cours de la période de confinement sanitaire de la COVID-19</w:t>
      </w:r>
    </w:p>
    <w:p w:rsidR="00480176" w:rsidRDefault="00480176" w:rsidP="009A084A">
      <w:pPr>
        <w:autoSpaceDE w:val="0"/>
        <w:autoSpaceDN w:val="0"/>
        <w:adjustRightInd w:val="0"/>
        <w:spacing w:line="360" w:lineRule="auto"/>
        <w:jc w:val="center"/>
        <w:rPr>
          <w:rFonts w:cs="Calibri"/>
          <w:b/>
          <w:bCs/>
          <w:color w:val="000000"/>
          <w:sz w:val="28"/>
          <w:szCs w:val="28"/>
        </w:rPr>
      </w:pPr>
      <w:r>
        <w:rPr>
          <w:rFonts w:cs="Calibri"/>
          <w:b/>
          <w:bCs/>
          <w:color w:val="000000"/>
          <w:sz w:val="28"/>
          <w:szCs w:val="28"/>
        </w:rPr>
        <w:t xml:space="preserve"> </w:t>
      </w:r>
    </w:p>
    <w:p w:rsidR="009A084A" w:rsidRPr="00DB7F51" w:rsidRDefault="00F01003" w:rsidP="00AD09F6">
      <w:pPr>
        <w:autoSpaceDE w:val="0"/>
        <w:autoSpaceDN w:val="0"/>
        <w:adjustRightInd w:val="0"/>
        <w:spacing w:line="360" w:lineRule="auto"/>
        <w:ind w:firstLine="708"/>
        <w:jc w:val="both"/>
        <w:rPr>
          <w:rFonts w:cs="Calibri"/>
          <w:color w:val="000000"/>
        </w:rPr>
      </w:pPr>
      <w:r w:rsidRPr="00F01003">
        <w:rPr>
          <w:rFonts w:cs="Calibri"/>
          <w:color w:val="000000"/>
        </w:rPr>
        <w:t>Comme déjà annoncé dans sa note d’information « Adaptation de l’activité statistique aux exigences de la conjoncture nationale</w:t>
      </w:r>
      <w:r>
        <w:rPr>
          <w:rFonts w:cs="Calibri"/>
          <w:color w:val="000000"/>
        </w:rPr>
        <w:t> », l</w:t>
      </w:r>
      <w:r w:rsidR="009A084A" w:rsidRPr="00DB7F51">
        <w:rPr>
          <w:rFonts w:cs="Calibri"/>
          <w:color w:val="000000"/>
        </w:rPr>
        <w:t>e Haut</w:t>
      </w:r>
      <w:r w:rsidR="00480176" w:rsidRPr="00DB7F51">
        <w:rPr>
          <w:rFonts w:cs="Calibri"/>
          <w:color w:val="000000"/>
        </w:rPr>
        <w:t>-</w:t>
      </w:r>
      <w:r w:rsidR="009A084A" w:rsidRPr="00DB7F51">
        <w:rPr>
          <w:rFonts w:cs="Calibri"/>
          <w:color w:val="000000"/>
        </w:rPr>
        <w:t xml:space="preserve">Commissariat au Plan </w:t>
      </w:r>
      <w:r w:rsidR="00AD09F6">
        <w:rPr>
          <w:rFonts w:cs="Calibri"/>
          <w:color w:val="000000"/>
        </w:rPr>
        <w:t xml:space="preserve">continue de </w:t>
      </w:r>
      <w:r w:rsidR="00480176" w:rsidRPr="00DB7F51">
        <w:rPr>
          <w:rFonts w:cs="Calibri"/>
          <w:color w:val="000000"/>
        </w:rPr>
        <w:t>publier</w:t>
      </w:r>
      <w:r w:rsidR="009A084A" w:rsidRPr="00DB7F51">
        <w:rPr>
          <w:rFonts w:cs="Calibri"/>
          <w:color w:val="000000"/>
        </w:rPr>
        <w:t xml:space="preserve"> l’indice des prix à la consommation</w:t>
      </w:r>
      <w:r>
        <w:rPr>
          <w:rFonts w:cs="Calibri"/>
          <w:color w:val="000000"/>
        </w:rPr>
        <w:t>,</w:t>
      </w:r>
      <w:r w:rsidR="009A084A" w:rsidRPr="00DB7F51">
        <w:rPr>
          <w:rFonts w:cs="Calibri"/>
          <w:color w:val="000000"/>
        </w:rPr>
        <w:t xml:space="preserve"> au cours de la période de</w:t>
      </w:r>
      <w:r w:rsidR="00480176" w:rsidRPr="00DB7F51">
        <w:rPr>
          <w:rFonts w:cs="Calibri"/>
          <w:color w:val="000000"/>
        </w:rPr>
        <w:t xml:space="preserve"> confinement sanitaire de</w:t>
      </w:r>
      <w:r w:rsidR="009A084A" w:rsidRPr="00DB7F51">
        <w:rPr>
          <w:rFonts w:cs="Calibri"/>
          <w:color w:val="000000"/>
        </w:rPr>
        <w:t xml:space="preserve"> la Covid-19</w:t>
      </w:r>
      <w:r>
        <w:rPr>
          <w:rFonts w:cs="Calibri"/>
          <w:color w:val="000000"/>
        </w:rPr>
        <w:t xml:space="preserve">, </w:t>
      </w:r>
      <w:r w:rsidRPr="00F01003">
        <w:rPr>
          <w:rFonts w:cs="Calibri"/>
          <w:color w:val="000000"/>
        </w:rPr>
        <w:t>avec un calendrier conforme à la NSDD</w:t>
      </w:r>
      <w:r w:rsidR="009A084A" w:rsidRPr="00DB7F51">
        <w:rPr>
          <w:rFonts w:cs="Calibri"/>
          <w:color w:val="000000"/>
        </w:rPr>
        <w:t>.</w:t>
      </w:r>
      <w:r w:rsidR="00DB7F51">
        <w:rPr>
          <w:rFonts w:cs="Calibri"/>
          <w:color w:val="000000"/>
        </w:rPr>
        <w:t xml:space="preserve"> </w:t>
      </w:r>
      <w:r w:rsidR="00480176" w:rsidRPr="00DB7F51">
        <w:rPr>
          <w:rFonts w:cs="Calibri"/>
          <w:color w:val="000000"/>
        </w:rPr>
        <w:t>L</w:t>
      </w:r>
      <w:r w:rsidR="009A084A" w:rsidRPr="00DB7F51">
        <w:rPr>
          <w:rFonts w:cs="Calibri"/>
          <w:color w:val="000000"/>
        </w:rPr>
        <w:t xml:space="preserve">a collecte des prix à la consommation au cours du mois d’avril 2020 a continué </w:t>
      </w:r>
      <w:r w:rsidR="00480176" w:rsidRPr="00DB7F51">
        <w:rPr>
          <w:rFonts w:cs="Calibri"/>
          <w:color w:val="000000"/>
        </w:rPr>
        <w:t>dans</w:t>
      </w:r>
      <w:r w:rsidR="009A084A" w:rsidRPr="00DB7F51">
        <w:rPr>
          <w:rFonts w:cs="Calibri"/>
          <w:color w:val="000000"/>
        </w:rPr>
        <w:t xml:space="preserve"> les points de vente ouvert</w:t>
      </w:r>
      <w:r w:rsidR="00480176" w:rsidRPr="00DB7F51">
        <w:rPr>
          <w:rFonts w:cs="Calibri"/>
          <w:color w:val="000000"/>
        </w:rPr>
        <w:t>s</w:t>
      </w:r>
      <w:r w:rsidR="009A084A" w:rsidRPr="00DB7F51">
        <w:rPr>
          <w:rFonts w:cs="Calibri"/>
          <w:color w:val="000000"/>
        </w:rPr>
        <w:t xml:space="preserve"> </w:t>
      </w:r>
      <w:r w:rsidR="00AD09F6">
        <w:rPr>
          <w:rFonts w:cs="Calibri"/>
          <w:color w:val="000000"/>
        </w:rPr>
        <w:t>en période</w:t>
      </w:r>
      <w:r w:rsidR="009A084A" w:rsidRPr="00DB7F51">
        <w:rPr>
          <w:rFonts w:cs="Calibri"/>
          <w:color w:val="000000"/>
        </w:rPr>
        <w:t xml:space="preserve"> d</w:t>
      </w:r>
      <w:r w:rsidR="00AD09F6">
        <w:rPr>
          <w:rFonts w:cs="Calibri"/>
          <w:color w:val="000000"/>
        </w:rPr>
        <w:t>e</w:t>
      </w:r>
      <w:r w:rsidR="009A084A" w:rsidRPr="00DB7F51">
        <w:rPr>
          <w:rFonts w:cs="Calibri"/>
          <w:color w:val="000000"/>
        </w:rPr>
        <w:t xml:space="preserve"> confinement. </w:t>
      </w:r>
      <w:r w:rsidR="00AD09F6">
        <w:rPr>
          <w:rFonts w:cs="Calibri"/>
          <w:color w:val="000000"/>
        </w:rPr>
        <w:t>Concernant les prix non relevés</w:t>
      </w:r>
      <w:r>
        <w:rPr>
          <w:rFonts w:cs="Calibri"/>
          <w:color w:val="000000"/>
        </w:rPr>
        <w:t>,</w:t>
      </w:r>
      <w:r w:rsidR="00AD09F6">
        <w:rPr>
          <w:rFonts w:cs="Calibri"/>
          <w:color w:val="000000"/>
        </w:rPr>
        <w:t xml:space="preserve"> des imputations des données manquantes ont été réalisées.</w:t>
      </w:r>
      <w:r w:rsidR="009A084A" w:rsidRPr="00DB7F51">
        <w:rPr>
          <w:rFonts w:cs="Calibri"/>
          <w:color w:val="000000"/>
        </w:rPr>
        <w:t xml:space="preserve"> </w:t>
      </w:r>
    </w:p>
    <w:p w:rsidR="009A084A" w:rsidRPr="00DB7F51" w:rsidRDefault="009A084A" w:rsidP="009A084A">
      <w:pPr>
        <w:autoSpaceDE w:val="0"/>
        <w:autoSpaceDN w:val="0"/>
        <w:adjustRightInd w:val="0"/>
        <w:spacing w:line="360" w:lineRule="auto"/>
        <w:jc w:val="both"/>
        <w:rPr>
          <w:rFonts w:cs="Calibri"/>
          <w:color w:val="000000"/>
        </w:rPr>
      </w:pPr>
    </w:p>
    <w:p w:rsidR="009A084A" w:rsidRPr="00DB7F51" w:rsidRDefault="009A084A" w:rsidP="009A084A">
      <w:pPr>
        <w:pStyle w:val="Paragraphedeliste"/>
        <w:numPr>
          <w:ilvl w:val="0"/>
          <w:numId w:val="4"/>
        </w:numPr>
        <w:autoSpaceDE w:val="0"/>
        <w:autoSpaceDN w:val="0"/>
        <w:bidi w:val="0"/>
        <w:adjustRightInd w:val="0"/>
        <w:spacing w:after="200" w:line="360" w:lineRule="auto"/>
        <w:contextualSpacing/>
        <w:jc w:val="both"/>
        <w:rPr>
          <w:rFonts w:cs="Calibri"/>
          <w:color w:val="000000"/>
          <w:sz w:val="24"/>
          <w:szCs w:val="24"/>
        </w:rPr>
      </w:pPr>
      <w:r w:rsidRPr="00DB7F51">
        <w:rPr>
          <w:b/>
          <w:bCs/>
          <w:sz w:val="24"/>
          <w:szCs w:val="24"/>
        </w:rPr>
        <w:t>La collecte des données</w:t>
      </w:r>
    </w:p>
    <w:p w:rsidR="009A084A" w:rsidRPr="00DB7F51" w:rsidRDefault="009A084A" w:rsidP="009A084A">
      <w:pPr>
        <w:pStyle w:val="Paragraphedeliste"/>
        <w:rPr>
          <w:b/>
          <w:bCs/>
          <w:sz w:val="24"/>
          <w:szCs w:val="24"/>
        </w:rPr>
      </w:pPr>
    </w:p>
    <w:p w:rsidR="00DA452A" w:rsidRPr="00DB7F51" w:rsidRDefault="00F01003" w:rsidP="00CE4D4C">
      <w:pPr>
        <w:autoSpaceDE w:val="0"/>
        <w:autoSpaceDN w:val="0"/>
        <w:adjustRightInd w:val="0"/>
        <w:spacing w:line="360" w:lineRule="auto"/>
        <w:jc w:val="both"/>
        <w:rPr>
          <w:rFonts w:cs="Calibri"/>
          <w:color w:val="000000"/>
        </w:rPr>
      </w:pPr>
      <w:r>
        <w:rPr>
          <w:rFonts w:cs="Calibri"/>
          <w:color w:val="000000"/>
        </w:rPr>
        <w:t>T</w:t>
      </w:r>
      <w:r w:rsidRPr="00DB7F51">
        <w:rPr>
          <w:rFonts w:cs="Calibri"/>
          <w:color w:val="000000"/>
        </w:rPr>
        <w:t>out en observant les mesures de précautions sanitaires</w:t>
      </w:r>
      <w:r>
        <w:rPr>
          <w:rFonts w:cs="Calibri"/>
          <w:color w:val="000000"/>
        </w:rPr>
        <w:t>, l</w:t>
      </w:r>
      <w:r w:rsidR="009A084A" w:rsidRPr="00DB7F51">
        <w:rPr>
          <w:rFonts w:cs="Calibri"/>
          <w:color w:val="000000"/>
        </w:rPr>
        <w:t xml:space="preserve">a collecte </w:t>
      </w:r>
      <w:r>
        <w:rPr>
          <w:rFonts w:cs="Calibri"/>
          <w:color w:val="000000"/>
        </w:rPr>
        <w:t xml:space="preserve">des données </w:t>
      </w:r>
      <w:r w:rsidR="008D6BE0" w:rsidRPr="00DB7F51">
        <w:rPr>
          <w:rFonts w:cs="Calibri"/>
          <w:color w:val="000000"/>
        </w:rPr>
        <w:t xml:space="preserve">a </w:t>
      </w:r>
      <w:r w:rsidR="009A084A" w:rsidRPr="00DB7F51">
        <w:rPr>
          <w:rFonts w:cs="Calibri"/>
          <w:color w:val="000000"/>
        </w:rPr>
        <w:t>continu</w:t>
      </w:r>
      <w:r w:rsidR="008D6BE0" w:rsidRPr="00DB7F51">
        <w:rPr>
          <w:rFonts w:cs="Calibri"/>
          <w:color w:val="000000"/>
        </w:rPr>
        <w:t>é</w:t>
      </w:r>
      <w:r w:rsidR="009A084A" w:rsidRPr="00DB7F51">
        <w:rPr>
          <w:rFonts w:cs="Calibri"/>
          <w:color w:val="000000"/>
        </w:rPr>
        <w:t xml:space="preserve"> dans les points de vente ouvert</w:t>
      </w:r>
      <w:r>
        <w:rPr>
          <w:rFonts w:cs="Calibri"/>
          <w:color w:val="000000"/>
        </w:rPr>
        <w:t xml:space="preserve">s </w:t>
      </w:r>
      <w:r w:rsidR="00CE4D4C">
        <w:rPr>
          <w:rFonts w:cs="Calibri"/>
          <w:color w:val="000000"/>
        </w:rPr>
        <w:t xml:space="preserve">: </w:t>
      </w:r>
    </w:p>
    <w:p w:rsidR="00CE4D4C" w:rsidRPr="00DB7F51" w:rsidRDefault="00CE4D4C" w:rsidP="00CE4D4C">
      <w:pPr>
        <w:numPr>
          <w:ilvl w:val="0"/>
          <w:numId w:val="5"/>
        </w:numPr>
        <w:autoSpaceDE w:val="0"/>
        <w:autoSpaceDN w:val="0"/>
        <w:adjustRightInd w:val="0"/>
        <w:spacing w:line="360" w:lineRule="auto"/>
        <w:jc w:val="both"/>
        <w:rPr>
          <w:rFonts w:cs="Calibri"/>
          <w:color w:val="000000"/>
        </w:rPr>
      </w:pPr>
      <w:r w:rsidRPr="00DB7F51">
        <w:rPr>
          <w:rFonts w:cs="Calibri"/>
          <w:color w:val="000000"/>
        </w:rPr>
        <w:t xml:space="preserve">La collecte des prix hebdomadaires (les viandes, les fruits, les légumes et les poissons) a atteint environ 98%.  </w:t>
      </w:r>
    </w:p>
    <w:p w:rsidR="008D6BE0" w:rsidRPr="00DB7F51" w:rsidRDefault="008D6BE0" w:rsidP="008D6BE0">
      <w:pPr>
        <w:numPr>
          <w:ilvl w:val="0"/>
          <w:numId w:val="5"/>
        </w:numPr>
        <w:autoSpaceDE w:val="0"/>
        <w:autoSpaceDN w:val="0"/>
        <w:adjustRightInd w:val="0"/>
        <w:spacing w:line="360" w:lineRule="auto"/>
        <w:jc w:val="both"/>
        <w:rPr>
          <w:rFonts w:cs="Calibri"/>
          <w:color w:val="000000"/>
        </w:rPr>
      </w:pPr>
      <w:r w:rsidRPr="00DB7F51">
        <w:rPr>
          <w:rFonts w:cs="Calibri"/>
          <w:color w:val="000000"/>
        </w:rPr>
        <w:t xml:space="preserve">La collecte des prix mensuels (certains produits d’alimentation, </w:t>
      </w:r>
      <w:r w:rsidR="00F01003">
        <w:rPr>
          <w:rFonts w:cs="Calibri"/>
          <w:color w:val="000000"/>
        </w:rPr>
        <w:t>les</w:t>
      </w:r>
      <w:r w:rsidRPr="00DB7F51">
        <w:rPr>
          <w:rFonts w:cs="Calibri"/>
          <w:color w:val="000000"/>
        </w:rPr>
        <w:t xml:space="preserve"> produits d’entretien courant des maisons, </w:t>
      </w:r>
      <w:r w:rsidR="00F01003">
        <w:rPr>
          <w:rFonts w:cs="Calibri"/>
          <w:color w:val="000000"/>
        </w:rPr>
        <w:t>l</w:t>
      </w:r>
      <w:r w:rsidRPr="00DB7F51">
        <w:rPr>
          <w:rFonts w:cs="Calibri"/>
          <w:color w:val="000000"/>
        </w:rPr>
        <w:t xml:space="preserve">es stations de distributions des carburants, </w:t>
      </w:r>
      <w:r w:rsidR="00F01003">
        <w:rPr>
          <w:rFonts w:cs="Calibri"/>
          <w:color w:val="000000"/>
        </w:rPr>
        <w:t>l</w:t>
      </w:r>
      <w:r w:rsidRPr="00DB7F51">
        <w:rPr>
          <w:rFonts w:cs="Calibri"/>
          <w:color w:val="000000"/>
        </w:rPr>
        <w:t>es pharmacies, l’habillement et la chaussure, la coiffure, les cafés, les restaurants, ect.) a atteint environ 55</w:t>
      </w:r>
      <w:r w:rsidR="00DA452A" w:rsidRPr="00DB7F51">
        <w:rPr>
          <w:rFonts w:cs="Calibri"/>
          <w:color w:val="000000"/>
        </w:rPr>
        <w:t>%</w:t>
      </w:r>
      <w:r w:rsidRPr="00DB7F51">
        <w:rPr>
          <w:rFonts w:cs="Calibri"/>
          <w:color w:val="000000"/>
        </w:rPr>
        <w:t>.</w:t>
      </w:r>
    </w:p>
    <w:p w:rsidR="008D6BE0" w:rsidRPr="00DB7F51" w:rsidRDefault="008D6BE0" w:rsidP="009A084A">
      <w:pPr>
        <w:autoSpaceDE w:val="0"/>
        <w:autoSpaceDN w:val="0"/>
        <w:adjustRightInd w:val="0"/>
        <w:spacing w:line="360" w:lineRule="auto"/>
        <w:jc w:val="both"/>
        <w:rPr>
          <w:rFonts w:cs="Calibri"/>
          <w:color w:val="000000"/>
        </w:rPr>
      </w:pPr>
    </w:p>
    <w:p w:rsidR="009A084A" w:rsidRPr="00DB7F51" w:rsidRDefault="009A084A" w:rsidP="009A084A">
      <w:pPr>
        <w:pStyle w:val="Paragraphedeliste"/>
        <w:numPr>
          <w:ilvl w:val="0"/>
          <w:numId w:val="4"/>
        </w:numPr>
        <w:autoSpaceDE w:val="0"/>
        <w:autoSpaceDN w:val="0"/>
        <w:bidi w:val="0"/>
        <w:adjustRightInd w:val="0"/>
        <w:spacing w:after="200" w:line="360" w:lineRule="auto"/>
        <w:contextualSpacing/>
        <w:jc w:val="both"/>
        <w:rPr>
          <w:rFonts w:cs="Calibri"/>
          <w:color w:val="000000"/>
          <w:sz w:val="24"/>
          <w:szCs w:val="24"/>
        </w:rPr>
      </w:pPr>
      <w:r w:rsidRPr="00DB7F51">
        <w:rPr>
          <w:b/>
          <w:bCs/>
          <w:sz w:val="24"/>
          <w:szCs w:val="24"/>
        </w:rPr>
        <w:t xml:space="preserve"> Les approches de traitements des données manquantes</w:t>
      </w:r>
    </w:p>
    <w:p w:rsidR="000E45FA" w:rsidRDefault="009A084A" w:rsidP="00CE4D4C">
      <w:pPr>
        <w:autoSpaceDE w:val="0"/>
        <w:autoSpaceDN w:val="0"/>
        <w:adjustRightInd w:val="0"/>
        <w:spacing w:line="360" w:lineRule="auto"/>
        <w:jc w:val="both"/>
        <w:rPr>
          <w:rFonts w:cs="Calibri"/>
          <w:color w:val="000000"/>
        </w:rPr>
      </w:pPr>
      <w:r w:rsidRPr="00DB7F51">
        <w:rPr>
          <w:rFonts w:cs="Calibri"/>
          <w:color w:val="000000"/>
        </w:rPr>
        <w:t>L’indice des prix à la consommation demeure un indice à panier fixe. Les produits qui ne sont pas observés sont imputés conformément aux directives du manuel de l’indice des prix à la consommation</w:t>
      </w:r>
      <w:r w:rsidR="00DA452A" w:rsidRPr="00DB7F51">
        <w:rPr>
          <w:rFonts w:cs="Calibri"/>
          <w:color w:val="000000"/>
        </w:rPr>
        <w:t>.</w:t>
      </w:r>
      <w:r w:rsidRPr="00DB7F51">
        <w:rPr>
          <w:rFonts w:cs="Calibri"/>
          <w:color w:val="000000"/>
        </w:rPr>
        <w:t xml:space="preserve"> </w:t>
      </w:r>
    </w:p>
    <w:p w:rsidR="000E45FA" w:rsidRDefault="000E45FA" w:rsidP="00CE4D4C">
      <w:pPr>
        <w:autoSpaceDE w:val="0"/>
        <w:autoSpaceDN w:val="0"/>
        <w:adjustRightInd w:val="0"/>
        <w:spacing w:line="360" w:lineRule="auto"/>
        <w:jc w:val="both"/>
        <w:rPr>
          <w:rFonts w:cs="Calibri"/>
          <w:color w:val="000000"/>
        </w:rPr>
      </w:pPr>
    </w:p>
    <w:p w:rsidR="009A084A" w:rsidRPr="00DB7F51" w:rsidRDefault="009A084A" w:rsidP="00CE4D4C">
      <w:pPr>
        <w:autoSpaceDE w:val="0"/>
        <w:autoSpaceDN w:val="0"/>
        <w:adjustRightInd w:val="0"/>
        <w:spacing w:line="360" w:lineRule="auto"/>
        <w:jc w:val="both"/>
        <w:rPr>
          <w:rFonts w:cs="Calibri"/>
          <w:color w:val="000000"/>
        </w:rPr>
      </w:pPr>
      <w:r w:rsidRPr="00DB7F51">
        <w:rPr>
          <w:rFonts w:cs="Calibri"/>
          <w:color w:val="000000"/>
        </w:rPr>
        <w:lastRenderedPageBreak/>
        <w:t>Ces techniques sont axées sur :</w:t>
      </w:r>
    </w:p>
    <w:p w:rsidR="009A084A" w:rsidRPr="00DB7F51" w:rsidRDefault="009A084A" w:rsidP="009A084A">
      <w:pPr>
        <w:pStyle w:val="Paragraphedeliste"/>
        <w:numPr>
          <w:ilvl w:val="0"/>
          <w:numId w:val="3"/>
        </w:numPr>
        <w:autoSpaceDE w:val="0"/>
        <w:autoSpaceDN w:val="0"/>
        <w:bidi w:val="0"/>
        <w:adjustRightInd w:val="0"/>
        <w:spacing w:after="200" w:line="360" w:lineRule="auto"/>
        <w:contextualSpacing/>
        <w:jc w:val="both"/>
        <w:rPr>
          <w:rFonts w:cs="Calibri"/>
          <w:color w:val="000000"/>
          <w:sz w:val="24"/>
          <w:szCs w:val="24"/>
        </w:rPr>
      </w:pPr>
      <w:r w:rsidRPr="00DB7F51">
        <w:rPr>
          <w:rFonts w:cs="Calibri"/>
          <w:color w:val="000000"/>
          <w:sz w:val="24"/>
          <w:szCs w:val="24"/>
        </w:rPr>
        <w:t>Le report des prix manquants dans certains cas particuliers comme les tarifs de l’eau, de l’électricité, les frais de scolarités, les tarifs de visite technique, les honoraires des médecins et les livres scolaires etc.</w:t>
      </w:r>
    </w:p>
    <w:p w:rsidR="009A084A" w:rsidRPr="00DB7F51" w:rsidRDefault="009A084A" w:rsidP="009A084A">
      <w:pPr>
        <w:pStyle w:val="Paragraphedeliste"/>
        <w:numPr>
          <w:ilvl w:val="0"/>
          <w:numId w:val="3"/>
        </w:numPr>
        <w:autoSpaceDE w:val="0"/>
        <w:autoSpaceDN w:val="0"/>
        <w:bidi w:val="0"/>
        <w:adjustRightInd w:val="0"/>
        <w:spacing w:after="200" w:line="360" w:lineRule="auto"/>
        <w:contextualSpacing/>
        <w:jc w:val="both"/>
        <w:rPr>
          <w:rFonts w:cs="Calibri"/>
          <w:color w:val="000000"/>
          <w:sz w:val="24"/>
          <w:szCs w:val="24"/>
        </w:rPr>
      </w:pPr>
      <w:r w:rsidRPr="00DB7F51">
        <w:rPr>
          <w:rFonts w:cs="Calibri"/>
          <w:color w:val="000000"/>
          <w:sz w:val="24"/>
          <w:szCs w:val="24"/>
        </w:rPr>
        <w:t>L’imputation des prix basée sur la variation historique de l’année dernière notamment au niveau des divisions dont le nombre de relevé des prix est jugé insuffisant</w:t>
      </w:r>
      <w:r w:rsidR="009038FD" w:rsidRPr="00DB7F51">
        <w:rPr>
          <w:rFonts w:cs="Calibri"/>
          <w:color w:val="000000"/>
          <w:sz w:val="24"/>
          <w:szCs w:val="24"/>
        </w:rPr>
        <w:t>.</w:t>
      </w:r>
      <w:r w:rsidRPr="00DB7F51">
        <w:rPr>
          <w:rFonts w:cs="Calibri"/>
          <w:color w:val="000000"/>
          <w:sz w:val="24"/>
          <w:szCs w:val="24"/>
        </w:rPr>
        <w:t xml:space="preserve"> </w:t>
      </w:r>
      <w:r w:rsidR="009038FD" w:rsidRPr="00DB7F51">
        <w:rPr>
          <w:rFonts w:cs="Calibri"/>
          <w:color w:val="000000"/>
          <w:sz w:val="24"/>
          <w:szCs w:val="24"/>
        </w:rPr>
        <w:t>I</w:t>
      </w:r>
      <w:r w:rsidRPr="00DB7F51">
        <w:rPr>
          <w:rFonts w:cs="Calibri"/>
          <w:color w:val="000000"/>
          <w:sz w:val="24"/>
          <w:szCs w:val="24"/>
        </w:rPr>
        <w:t>l s’agit des divisions de l’habillement et des chaussures et de la division des équipements ménagers.</w:t>
      </w:r>
    </w:p>
    <w:p w:rsidR="009A084A" w:rsidRPr="00DB7F51" w:rsidRDefault="009A084A" w:rsidP="00CE4D4C">
      <w:pPr>
        <w:pStyle w:val="Paragraphedeliste"/>
        <w:numPr>
          <w:ilvl w:val="0"/>
          <w:numId w:val="3"/>
        </w:numPr>
        <w:autoSpaceDE w:val="0"/>
        <w:autoSpaceDN w:val="0"/>
        <w:bidi w:val="0"/>
        <w:adjustRightInd w:val="0"/>
        <w:spacing w:after="200" w:line="360" w:lineRule="auto"/>
        <w:contextualSpacing/>
        <w:jc w:val="both"/>
        <w:rPr>
          <w:rFonts w:cs="Calibri"/>
          <w:color w:val="000000"/>
          <w:sz w:val="24"/>
          <w:szCs w:val="24"/>
        </w:rPr>
      </w:pPr>
      <w:r w:rsidRPr="00DB7F51">
        <w:rPr>
          <w:rFonts w:cs="Calibri"/>
          <w:color w:val="000000"/>
          <w:sz w:val="24"/>
          <w:szCs w:val="24"/>
        </w:rPr>
        <w:t>L’imputation basée sur les produits similaires selon les différentes structures de la classification COI</w:t>
      </w:r>
      <w:r w:rsidR="009038FD" w:rsidRPr="00DB7F51">
        <w:rPr>
          <w:rFonts w:cs="Calibri"/>
          <w:color w:val="000000"/>
          <w:sz w:val="24"/>
          <w:szCs w:val="24"/>
        </w:rPr>
        <w:t>C</w:t>
      </w:r>
      <w:r w:rsidRPr="00DB7F51">
        <w:rPr>
          <w:rFonts w:cs="Calibri"/>
          <w:color w:val="000000"/>
          <w:sz w:val="24"/>
          <w:szCs w:val="24"/>
        </w:rPr>
        <w:t>OP.</w:t>
      </w:r>
      <w:r w:rsidRPr="00CE4D4C">
        <w:rPr>
          <w:rFonts w:cs="Calibri"/>
          <w:color w:val="000000"/>
          <w:sz w:val="24"/>
          <w:szCs w:val="24"/>
        </w:rPr>
        <w:t xml:space="preserve"> </w:t>
      </w:r>
      <w:r w:rsidR="00DA452A" w:rsidRPr="00DB7F51">
        <w:rPr>
          <w:rFonts w:cs="Calibri"/>
          <w:color w:val="000000"/>
          <w:sz w:val="24"/>
          <w:szCs w:val="24"/>
        </w:rPr>
        <w:t>L</w:t>
      </w:r>
      <w:r w:rsidRPr="00DB7F51">
        <w:rPr>
          <w:rFonts w:cs="Calibri"/>
          <w:color w:val="000000"/>
          <w:sz w:val="24"/>
          <w:szCs w:val="24"/>
        </w:rPr>
        <w:t>’imputation des prix manquants se fait en utilisant la moyenne des variations des prix des produits de l’agrégat élémentaire qui sont disponibles. Si l’indice d’un agrégat est entièrement indisponible, l’imputation se base alors sur l’agrégat qui lui est immédiatement supérieur.</w:t>
      </w:r>
    </w:p>
    <w:p w:rsidR="009A084A" w:rsidRPr="00CE4D4C" w:rsidRDefault="009A084A" w:rsidP="00CE4D4C">
      <w:pPr>
        <w:pStyle w:val="Paragraphedeliste"/>
        <w:autoSpaceDE w:val="0"/>
        <w:autoSpaceDN w:val="0"/>
        <w:bidi w:val="0"/>
        <w:adjustRightInd w:val="0"/>
        <w:spacing w:line="360" w:lineRule="auto"/>
        <w:ind w:left="360"/>
        <w:jc w:val="both"/>
        <w:rPr>
          <w:rFonts w:cs="Calibri"/>
          <w:color w:val="000000"/>
          <w:sz w:val="24"/>
          <w:szCs w:val="24"/>
        </w:rPr>
      </w:pPr>
      <w:r w:rsidRPr="00CE4D4C">
        <w:rPr>
          <w:rFonts w:cs="Calibri"/>
          <w:color w:val="000000"/>
          <w:sz w:val="24"/>
          <w:szCs w:val="24"/>
        </w:rPr>
        <w:t>Le tableau suivant présente les différents taux d’imputation des produits mensuels en % par divisions de produits :</w:t>
      </w:r>
    </w:p>
    <w:tbl>
      <w:tblPr>
        <w:tblW w:w="90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6"/>
        <w:gridCol w:w="3680"/>
      </w:tblGrid>
      <w:tr w:rsidR="009A084A" w:rsidRPr="00CE4D4C" w:rsidTr="00DA452A">
        <w:tc>
          <w:tcPr>
            <w:tcW w:w="5386" w:type="dxa"/>
          </w:tcPr>
          <w:p w:rsidR="009A084A" w:rsidRPr="00CE4D4C" w:rsidRDefault="009A084A" w:rsidP="009A084A">
            <w:pPr>
              <w:autoSpaceDE w:val="0"/>
              <w:autoSpaceDN w:val="0"/>
              <w:adjustRightInd w:val="0"/>
              <w:spacing w:line="360" w:lineRule="auto"/>
              <w:jc w:val="center"/>
              <w:rPr>
                <w:rFonts w:cs="Calibri"/>
                <w:b/>
                <w:bCs/>
                <w:color w:val="000000"/>
              </w:rPr>
            </w:pPr>
            <w:r w:rsidRPr="00CE4D4C">
              <w:rPr>
                <w:rFonts w:cs="Calibri"/>
                <w:b/>
                <w:bCs/>
                <w:color w:val="000000"/>
              </w:rPr>
              <w:t xml:space="preserve">Divisions </w:t>
            </w:r>
          </w:p>
        </w:tc>
        <w:tc>
          <w:tcPr>
            <w:tcW w:w="3680" w:type="dxa"/>
          </w:tcPr>
          <w:p w:rsidR="009A084A" w:rsidRPr="00CE4D4C" w:rsidRDefault="009A084A" w:rsidP="00DA452A">
            <w:pPr>
              <w:autoSpaceDE w:val="0"/>
              <w:autoSpaceDN w:val="0"/>
              <w:adjustRightInd w:val="0"/>
              <w:spacing w:line="360" w:lineRule="auto"/>
              <w:jc w:val="both"/>
              <w:rPr>
                <w:rFonts w:cs="Calibri"/>
                <w:b/>
                <w:bCs/>
                <w:color w:val="000000"/>
              </w:rPr>
            </w:pPr>
            <w:r w:rsidRPr="00CE4D4C">
              <w:rPr>
                <w:rFonts w:cs="Calibri"/>
                <w:b/>
                <w:bCs/>
                <w:color w:val="000000"/>
              </w:rPr>
              <w:t>Taux d’imputation (en %)</w:t>
            </w:r>
          </w:p>
        </w:tc>
      </w:tr>
      <w:tr w:rsidR="009A084A" w:rsidRPr="00CE4D4C" w:rsidTr="00DA452A">
        <w:tc>
          <w:tcPr>
            <w:tcW w:w="5386" w:type="dxa"/>
            <w:vAlign w:val="center"/>
          </w:tcPr>
          <w:p w:rsidR="009A084A" w:rsidRPr="00CE4D4C" w:rsidRDefault="009A084A" w:rsidP="00D764A2">
            <w:r w:rsidRPr="00CE4D4C">
              <w:t>01 - Produits alimentaires et boissons non alcoolisées</w:t>
            </w:r>
          </w:p>
        </w:tc>
        <w:tc>
          <w:tcPr>
            <w:tcW w:w="3680" w:type="dxa"/>
          </w:tcPr>
          <w:p w:rsidR="009A084A" w:rsidRPr="00CE4D4C" w:rsidRDefault="009A084A" w:rsidP="009A084A">
            <w:pPr>
              <w:autoSpaceDE w:val="0"/>
              <w:autoSpaceDN w:val="0"/>
              <w:adjustRightInd w:val="0"/>
              <w:spacing w:line="360" w:lineRule="auto"/>
              <w:jc w:val="center"/>
              <w:rPr>
                <w:rFonts w:cs="Calibri"/>
                <w:color w:val="000000"/>
              </w:rPr>
            </w:pPr>
            <w:r w:rsidRPr="00CE4D4C">
              <w:rPr>
                <w:rFonts w:cs="Calibri"/>
                <w:color w:val="000000"/>
              </w:rPr>
              <w:t>5,2</w:t>
            </w:r>
          </w:p>
        </w:tc>
      </w:tr>
      <w:tr w:rsidR="009A084A" w:rsidRPr="00CE4D4C" w:rsidTr="00DA452A">
        <w:tc>
          <w:tcPr>
            <w:tcW w:w="5386" w:type="dxa"/>
            <w:vAlign w:val="center"/>
          </w:tcPr>
          <w:p w:rsidR="009A084A" w:rsidRPr="00CE4D4C" w:rsidRDefault="009A084A" w:rsidP="00D764A2">
            <w:r w:rsidRPr="00CE4D4C">
              <w:t>02 - Boissons alcoolisées et tabac</w:t>
            </w:r>
          </w:p>
        </w:tc>
        <w:tc>
          <w:tcPr>
            <w:tcW w:w="3680" w:type="dxa"/>
          </w:tcPr>
          <w:p w:rsidR="009A084A" w:rsidRPr="00CE4D4C" w:rsidRDefault="009A084A" w:rsidP="009A084A">
            <w:pPr>
              <w:autoSpaceDE w:val="0"/>
              <w:autoSpaceDN w:val="0"/>
              <w:adjustRightInd w:val="0"/>
              <w:spacing w:line="360" w:lineRule="auto"/>
              <w:jc w:val="center"/>
              <w:rPr>
                <w:rFonts w:cs="Calibri"/>
                <w:color w:val="000000"/>
              </w:rPr>
            </w:pPr>
            <w:r w:rsidRPr="00CE4D4C">
              <w:rPr>
                <w:rFonts w:cs="Calibri"/>
                <w:color w:val="000000"/>
              </w:rPr>
              <w:t>20,8</w:t>
            </w:r>
          </w:p>
        </w:tc>
      </w:tr>
      <w:tr w:rsidR="009A084A" w:rsidRPr="00CE4D4C" w:rsidTr="00DA452A">
        <w:tc>
          <w:tcPr>
            <w:tcW w:w="5386" w:type="dxa"/>
            <w:vAlign w:val="center"/>
          </w:tcPr>
          <w:p w:rsidR="009A084A" w:rsidRPr="00CE4D4C" w:rsidRDefault="009A084A" w:rsidP="00D764A2">
            <w:r w:rsidRPr="00CE4D4C">
              <w:t>03 - Articles d'habillements et chaussures</w:t>
            </w:r>
          </w:p>
        </w:tc>
        <w:tc>
          <w:tcPr>
            <w:tcW w:w="3680" w:type="dxa"/>
          </w:tcPr>
          <w:p w:rsidR="009A084A" w:rsidRPr="00CE4D4C" w:rsidRDefault="009A084A" w:rsidP="009A084A">
            <w:pPr>
              <w:autoSpaceDE w:val="0"/>
              <w:autoSpaceDN w:val="0"/>
              <w:adjustRightInd w:val="0"/>
              <w:spacing w:line="360" w:lineRule="auto"/>
              <w:jc w:val="center"/>
              <w:rPr>
                <w:rFonts w:cs="Calibri"/>
                <w:color w:val="000000"/>
              </w:rPr>
            </w:pPr>
            <w:r w:rsidRPr="00CE4D4C">
              <w:rPr>
                <w:rFonts w:cs="Calibri"/>
                <w:color w:val="000000"/>
              </w:rPr>
              <w:t>90,2</w:t>
            </w:r>
          </w:p>
        </w:tc>
      </w:tr>
      <w:tr w:rsidR="009A084A" w:rsidRPr="00CE4D4C" w:rsidTr="00DA452A">
        <w:tc>
          <w:tcPr>
            <w:tcW w:w="5386" w:type="dxa"/>
            <w:vAlign w:val="center"/>
          </w:tcPr>
          <w:p w:rsidR="009A084A" w:rsidRPr="00CE4D4C" w:rsidRDefault="009A084A" w:rsidP="00D764A2">
            <w:r w:rsidRPr="00CE4D4C">
              <w:t>04 - Logements, eau, électricité et autres combustibles</w:t>
            </w:r>
          </w:p>
        </w:tc>
        <w:tc>
          <w:tcPr>
            <w:tcW w:w="3680" w:type="dxa"/>
          </w:tcPr>
          <w:p w:rsidR="009A084A" w:rsidRPr="00CE4D4C" w:rsidRDefault="009A084A" w:rsidP="009A084A">
            <w:pPr>
              <w:autoSpaceDE w:val="0"/>
              <w:autoSpaceDN w:val="0"/>
              <w:adjustRightInd w:val="0"/>
              <w:spacing w:line="360" w:lineRule="auto"/>
              <w:jc w:val="center"/>
              <w:rPr>
                <w:rFonts w:cs="Calibri"/>
                <w:color w:val="000000"/>
              </w:rPr>
            </w:pPr>
            <w:r w:rsidRPr="00CE4D4C">
              <w:rPr>
                <w:rFonts w:cs="Calibri"/>
                <w:color w:val="000000"/>
              </w:rPr>
              <w:t>39,1</w:t>
            </w:r>
          </w:p>
        </w:tc>
      </w:tr>
      <w:tr w:rsidR="009A084A" w:rsidRPr="00CE4D4C" w:rsidTr="00DA452A">
        <w:tc>
          <w:tcPr>
            <w:tcW w:w="5386" w:type="dxa"/>
            <w:vAlign w:val="center"/>
          </w:tcPr>
          <w:p w:rsidR="009A084A" w:rsidRPr="00CE4D4C" w:rsidRDefault="009A084A" w:rsidP="00D764A2">
            <w:r w:rsidRPr="00CE4D4C">
              <w:t>05 - Meubles, articles de ménages et entretien courant du foyer</w:t>
            </w:r>
          </w:p>
        </w:tc>
        <w:tc>
          <w:tcPr>
            <w:tcW w:w="3680" w:type="dxa"/>
          </w:tcPr>
          <w:p w:rsidR="009A084A" w:rsidRPr="00CE4D4C" w:rsidRDefault="009A084A" w:rsidP="009A084A">
            <w:pPr>
              <w:autoSpaceDE w:val="0"/>
              <w:autoSpaceDN w:val="0"/>
              <w:adjustRightInd w:val="0"/>
              <w:spacing w:line="360" w:lineRule="auto"/>
              <w:jc w:val="center"/>
              <w:rPr>
                <w:rFonts w:cs="Calibri"/>
                <w:color w:val="000000"/>
              </w:rPr>
            </w:pPr>
            <w:r w:rsidRPr="00CE4D4C">
              <w:rPr>
                <w:rFonts w:cs="Calibri"/>
                <w:color w:val="000000"/>
              </w:rPr>
              <w:t>56,4</w:t>
            </w:r>
          </w:p>
        </w:tc>
      </w:tr>
      <w:tr w:rsidR="009A084A" w:rsidRPr="00CE4D4C" w:rsidTr="00DA452A">
        <w:tc>
          <w:tcPr>
            <w:tcW w:w="5386" w:type="dxa"/>
            <w:vAlign w:val="center"/>
          </w:tcPr>
          <w:p w:rsidR="009A084A" w:rsidRPr="00CE4D4C" w:rsidRDefault="009A084A" w:rsidP="00D764A2">
            <w:r w:rsidRPr="00CE4D4C">
              <w:t>06 - Santé</w:t>
            </w:r>
          </w:p>
        </w:tc>
        <w:tc>
          <w:tcPr>
            <w:tcW w:w="3680" w:type="dxa"/>
          </w:tcPr>
          <w:p w:rsidR="009A084A" w:rsidRPr="00CE4D4C" w:rsidRDefault="009A084A" w:rsidP="009A084A">
            <w:pPr>
              <w:autoSpaceDE w:val="0"/>
              <w:autoSpaceDN w:val="0"/>
              <w:adjustRightInd w:val="0"/>
              <w:spacing w:line="360" w:lineRule="auto"/>
              <w:jc w:val="center"/>
              <w:rPr>
                <w:rFonts w:cs="Calibri"/>
                <w:color w:val="000000"/>
              </w:rPr>
            </w:pPr>
            <w:r w:rsidRPr="00CE4D4C">
              <w:rPr>
                <w:rFonts w:cs="Calibri"/>
                <w:color w:val="000000"/>
              </w:rPr>
              <w:t>40,6</w:t>
            </w:r>
          </w:p>
        </w:tc>
      </w:tr>
      <w:tr w:rsidR="009A084A" w:rsidRPr="00CE4D4C" w:rsidTr="00DA452A">
        <w:tc>
          <w:tcPr>
            <w:tcW w:w="5386" w:type="dxa"/>
            <w:vAlign w:val="center"/>
          </w:tcPr>
          <w:p w:rsidR="009A084A" w:rsidRPr="00CE4D4C" w:rsidRDefault="009A084A" w:rsidP="00D764A2">
            <w:r w:rsidRPr="00CE4D4C">
              <w:t>07 - Transport</w:t>
            </w:r>
          </w:p>
        </w:tc>
        <w:tc>
          <w:tcPr>
            <w:tcW w:w="3680" w:type="dxa"/>
          </w:tcPr>
          <w:p w:rsidR="009A084A" w:rsidRPr="00CE4D4C" w:rsidRDefault="009A084A" w:rsidP="009A084A">
            <w:pPr>
              <w:autoSpaceDE w:val="0"/>
              <w:autoSpaceDN w:val="0"/>
              <w:adjustRightInd w:val="0"/>
              <w:spacing w:line="360" w:lineRule="auto"/>
              <w:jc w:val="center"/>
              <w:rPr>
                <w:rFonts w:cs="Calibri"/>
                <w:color w:val="000000"/>
              </w:rPr>
            </w:pPr>
            <w:r w:rsidRPr="00CE4D4C">
              <w:rPr>
                <w:rFonts w:cs="Calibri"/>
                <w:color w:val="000000"/>
              </w:rPr>
              <w:t>51,8</w:t>
            </w:r>
          </w:p>
        </w:tc>
      </w:tr>
      <w:tr w:rsidR="009A084A" w:rsidRPr="00CE4D4C" w:rsidTr="00DA452A">
        <w:tc>
          <w:tcPr>
            <w:tcW w:w="5386" w:type="dxa"/>
            <w:vAlign w:val="center"/>
          </w:tcPr>
          <w:p w:rsidR="009A084A" w:rsidRPr="00CE4D4C" w:rsidRDefault="009A084A" w:rsidP="00D764A2">
            <w:r w:rsidRPr="00CE4D4C">
              <w:t>08 - Communication</w:t>
            </w:r>
          </w:p>
        </w:tc>
        <w:tc>
          <w:tcPr>
            <w:tcW w:w="3680" w:type="dxa"/>
          </w:tcPr>
          <w:p w:rsidR="009A084A" w:rsidRPr="00CE4D4C" w:rsidRDefault="009A084A" w:rsidP="009A084A">
            <w:pPr>
              <w:autoSpaceDE w:val="0"/>
              <w:autoSpaceDN w:val="0"/>
              <w:adjustRightInd w:val="0"/>
              <w:spacing w:line="360" w:lineRule="auto"/>
              <w:jc w:val="center"/>
              <w:rPr>
                <w:rFonts w:cs="Calibri"/>
                <w:color w:val="000000"/>
              </w:rPr>
            </w:pPr>
            <w:r w:rsidRPr="00CE4D4C">
              <w:rPr>
                <w:rFonts w:cs="Calibri"/>
                <w:color w:val="000000"/>
              </w:rPr>
              <w:t>24,3</w:t>
            </w:r>
          </w:p>
        </w:tc>
      </w:tr>
      <w:tr w:rsidR="009A084A" w:rsidRPr="00CE4D4C" w:rsidTr="00DA452A">
        <w:tc>
          <w:tcPr>
            <w:tcW w:w="5386" w:type="dxa"/>
            <w:vAlign w:val="center"/>
          </w:tcPr>
          <w:p w:rsidR="009A084A" w:rsidRPr="00CE4D4C" w:rsidRDefault="009A084A" w:rsidP="00D764A2">
            <w:r w:rsidRPr="00CE4D4C">
              <w:t>09 - Loisirs et culture</w:t>
            </w:r>
          </w:p>
        </w:tc>
        <w:tc>
          <w:tcPr>
            <w:tcW w:w="3680" w:type="dxa"/>
          </w:tcPr>
          <w:p w:rsidR="009A084A" w:rsidRPr="00CE4D4C" w:rsidRDefault="009A084A" w:rsidP="009A084A">
            <w:pPr>
              <w:autoSpaceDE w:val="0"/>
              <w:autoSpaceDN w:val="0"/>
              <w:adjustRightInd w:val="0"/>
              <w:spacing w:line="360" w:lineRule="auto"/>
              <w:jc w:val="center"/>
              <w:rPr>
                <w:rFonts w:cs="Calibri"/>
                <w:color w:val="000000"/>
              </w:rPr>
            </w:pPr>
            <w:r w:rsidRPr="00CE4D4C">
              <w:rPr>
                <w:rFonts w:cs="Calibri"/>
                <w:color w:val="000000"/>
              </w:rPr>
              <w:t>74,2</w:t>
            </w:r>
          </w:p>
        </w:tc>
      </w:tr>
      <w:tr w:rsidR="009A084A" w:rsidRPr="00CE4D4C" w:rsidTr="00DA452A">
        <w:tc>
          <w:tcPr>
            <w:tcW w:w="5386" w:type="dxa"/>
            <w:vAlign w:val="center"/>
          </w:tcPr>
          <w:p w:rsidR="009A084A" w:rsidRPr="00CE4D4C" w:rsidRDefault="009A084A" w:rsidP="00D764A2">
            <w:r w:rsidRPr="00CE4D4C">
              <w:t>10 - Enseignement</w:t>
            </w:r>
          </w:p>
        </w:tc>
        <w:tc>
          <w:tcPr>
            <w:tcW w:w="3680" w:type="dxa"/>
          </w:tcPr>
          <w:p w:rsidR="009A084A" w:rsidRPr="00CE4D4C" w:rsidRDefault="009A084A" w:rsidP="009A084A">
            <w:pPr>
              <w:autoSpaceDE w:val="0"/>
              <w:autoSpaceDN w:val="0"/>
              <w:adjustRightInd w:val="0"/>
              <w:spacing w:line="360" w:lineRule="auto"/>
              <w:jc w:val="center"/>
              <w:rPr>
                <w:rFonts w:cs="Calibri"/>
                <w:color w:val="000000"/>
              </w:rPr>
            </w:pPr>
            <w:r w:rsidRPr="00CE4D4C">
              <w:rPr>
                <w:rFonts w:cs="Calibri"/>
                <w:color w:val="000000"/>
              </w:rPr>
              <w:t>74,8</w:t>
            </w:r>
          </w:p>
        </w:tc>
      </w:tr>
      <w:tr w:rsidR="009A084A" w:rsidRPr="00CE4D4C" w:rsidTr="00DA452A">
        <w:tc>
          <w:tcPr>
            <w:tcW w:w="5386" w:type="dxa"/>
            <w:vAlign w:val="center"/>
          </w:tcPr>
          <w:p w:rsidR="009A084A" w:rsidRPr="00CE4D4C" w:rsidRDefault="009A084A" w:rsidP="00D764A2">
            <w:r w:rsidRPr="00CE4D4C">
              <w:t>11 - Restaurants et hôtels</w:t>
            </w:r>
          </w:p>
        </w:tc>
        <w:tc>
          <w:tcPr>
            <w:tcW w:w="3680" w:type="dxa"/>
          </w:tcPr>
          <w:p w:rsidR="009A084A" w:rsidRPr="00CE4D4C" w:rsidRDefault="009A084A" w:rsidP="009A084A">
            <w:pPr>
              <w:autoSpaceDE w:val="0"/>
              <w:autoSpaceDN w:val="0"/>
              <w:adjustRightInd w:val="0"/>
              <w:spacing w:line="360" w:lineRule="auto"/>
              <w:jc w:val="center"/>
              <w:rPr>
                <w:rFonts w:cs="Calibri"/>
                <w:color w:val="000000"/>
              </w:rPr>
            </w:pPr>
            <w:r w:rsidRPr="00CE4D4C">
              <w:rPr>
                <w:rFonts w:cs="Calibri"/>
                <w:color w:val="000000"/>
              </w:rPr>
              <w:t>94,5</w:t>
            </w:r>
          </w:p>
        </w:tc>
      </w:tr>
      <w:tr w:rsidR="009A084A" w:rsidRPr="00CE4D4C" w:rsidTr="00DA452A">
        <w:tc>
          <w:tcPr>
            <w:tcW w:w="5386" w:type="dxa"/>
            <w:vAlign w:val="center"/>
          </w:tcPr>
          <w:p w:rsidR="009A084A" w:rsidRPr="00CE4D4C" w:rsidRDefault="009A084A" w:rsidP="00D764A2">
            <w:r w:rsidRPr="00CE4D4C">
              <w:t>12 - Biens et services divers</w:t>
            </w:r>
          </w:p>
        </w:tc>
        <w:tc>
          <w:tcPr>
            <w:tcW w:w="3680" w:type="dxa"/>
          </w:tcPr>
          <w:p w:rsidR="009A084A" w:rsidRPr="00CE4D4C" w:rsidRDefault="009A084A" w:rsidP="009A084A">
            <w:pPr>
              <w:autoSpaceDE w:val="0"/>
              <w:autoSpaceDN w:val="0"/>
              <w:adjustRightInd w:val="0"/>
              <w:spacing w:line="360" w:lineRule="auto"/>
              <w:jc w:val="center"/>
              <w:rPr>
                <w:rFonts w:cs="Calibri"/>
                <w:color w:val="000000"/>
              </w:rPr>
            </w:pPr>
            <w:r w:rsidRPr="00CE4D4C">
              <w:rPr>
                <w:rFonts w:cs="Calibri"/>
                <w:color w:val="000000"/>
              </w:rPr>
              <w:t>51,0</w:t>
            </w:r>
          </w:p>
        </w:tc>
      </w:tr>
      <w:tr w:rsidR="009A084A" w:rsidRPr="00CE4D4C" w:rsidTr="00DA452A">
        <w:tc>
          <w:tcPr>
            <w:tcW w:w="5386" w:type="dxa"/>
            <w:vAlign w:val="center"/>
          </w:tcPr>
          <w:p w:rsidR="009A084A" w:rsidRPr="00CE4D4C" w:rsidRDefault="009A084A" w:rsidP="009A084A">
            <w:pPr>
              <w:jc w:val="center"/>
              <w:rPr>
                <w:b/>
                <w:bCs/>
              </w:rPr>
            </w:pPr>
            <w:r w:rsidRPr="00CE4D4C">
              <w:rPr>
                <w:b/>
                <w:bCs/>
              </w:rPr>
              <w:t>Ensemble</w:t>
            </w:r>
          </w:p>
        </w:tc>
        <w:tc>
          <w:tcPr>
            <w:tcW w:w="3680" w:type="dxa"/>
          </w:tcPr>
          <w:p w:rsidR="009A084A" w:rsidRPr="00CE4D4C" w:rsidRDefault="009A084A" w:rsidP="009A084A">
            <w:pPr>
              <w:autoSpaceDE w:val="0"/>
              <w:autoSpaceDN w:val="0"/>
              <w:adjustRightInd w:val="0"/>
              <w:spacing w:line="360" w:lineRule="auto"/>
              <w:jc w:val="center"/>
              <w:rPr>
                <w:rFonts w:cs="Calibri"/>
                <w:b/>
                <w:bCs/>
                <w:color w:val="000000"/>
              </w:rPr>
            </w:pPr>
            <w:r w:rsidRPr="00CE4D4C">
              <w:rPr>
                <w:rFonts w:cs="Calibri"/>
                <w:b/>
                <w:bCs/>
                <w:color w:val="000000"/>
              </w:rPr>
              <w:t>45,3</w:t>
            </w:r>
          </w:p>
        </w:tc>
      </w:tr>
    </w:tbl>
    <w:p w:rsidR="003B04F3" w:rsidRDefault="003B04F3" w:rsidP="003B04F3">
      <w:pPr>
        <w:autoSpaceDE w:val="0"/>
        <w:autoSpaceDN w:val="0"/>
        <w:adjustRightInd w:val="0"/>
        <w:spacing w:line="360" w:lineRule="auto"/>
        <w:jc w:val="both"/>
        <w:rPr>
          <w:rFonts w:cs="Calibri"/>
          <w:color w:val="000000"/>
        </w:rPr>
      </w:pPr>
      <w:r>
        <w:rPr>
          <w:rFonts w:cs="Calibri"/>
          <w:color w:val="000000"/>
        </w:rPr>
        <w:lastRenderedPageBreak/>
        <w:t xml:space="preserve">C’est dans ces conditions que l’enquête </w:t>
      </w:r>
      <w:r w:rsidRPr="00C75306">
        <w:rPr>
          <w:rFonts w:cs="Calibri"/>
          <w:color w:val="000000"/>
        </w:rPr>
        <w:t>permanente sur les prix à la consommation</w:t>
      </w:r>
      <w:r>
        <w:rPr>
          <w:rFonts w:cs="Calibri"/>
          <w:color w:val="000000"/>
        </w:rPr>
        <w:t xml:space="preserve"> </w:t>
      </w:r>
      <w:r w:rsidR="000E45FA">
        <w:rPr>
          <w:rFonts w:cs="Calibri"/>
          <w:color w:val="000000"/>
        </w:rPr>
        <w:t xml:space="preserve">relative </w:t>
      </w:r>
      <w:r>
        <w:rPr>
          <w:rFonts w:cs="Calibri"/>
          <w:color w:val="000000"/>
        </w:rPr>
        <w:t>au mois d’avril a été réalisée. Les résultats de l’indice des prix du mois d’avril seront publiés le 20 mai 2020, conformément à la NSDD.</w:t>
      </w:r>
    </w:p>
    <w:p w:rsidR="003B04F3" w:rsidRPr="003B04F3" w:rsidRDefault="003B04F3" w:rsidP="003B04F3">
      <w:pPr>
        <w:bidi/>
        <w:jc w:val="center"/>
        <w:rPr>
          <w:rFonts w:cs="Simplified Arabic" w:hint="cs"/>
          <w:b/>
          <w:bCs/>
          <w:sz w:val="36"/>
          <w:szCs w:val="40"/>
        </w:rPr>
      </w:pPr>
    </w:p>
    <w:sectPr w:rsidR="003B04F3" w:rsidRPr="003B04F3" w:rsidSect="00A55583">
      <w:headerReference w:type="default" r:id="rId7"/>
      <w:footerReference w:type="default" r:id="rId8"/>
      <w:pgSz w:w="11906" w:h="16838"/>
      <w:pgMar w:top="3119" w:right="1418" w:bottom="66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C76" w:rsidRDefault="00603C76">
      <w:r>
        <w:separator/>
      </w:r>
    </w:p>
  </w:endnote>
  <w:endnote w:type="continuationSeparator" w:id="0">
    <w:p w:rsidR="00603C76" w:rsidRDefault="00603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14E" w:rsidRDefault="009A084A">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3" type="#_x0000_t65" style="position:absolute;margin-left:524.6pt;margin-top:796.3pt;width:29pt;height:21.6pt;z-index:251658240;mso-position-horizontal-relative:page;mso-position-vertical-relative:page" o:allowincell="f" adj="14135" strokecolor="gray" strokeweight=".25pt">
          <v:textbox style="mso-next-textbox:#_x0000_s2053">
            <w:txbxContent>
              <w:p w:rsidR="009A084A" w:rsidRDefault="009A084A">
                <w:pPr>
                  <w:jc w:val="center"/>
                </w:pPr>
                <w:fldSimple w:instr=" PAGE    \* MERGEFORMAT ">
                  <w:r w:rsidR="006E161E" w:rsidRPr="006E161E">
                    <w:rPr>
                      <w:noProof/>
                      <w:sz w:val="16"/>
                      <w:szCs w:val="16"/>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C76" w:rsidRDefault="00603C76">
      <w:r>
        <w:separator/>
      </w:r>
    </w:p>
  </w:footnote>
  <w:footnote w:type="continuationSeparator" w:id="0">
    <w:p w:rsidR="00603C76" w:rsidRDefault="00603C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14E" w:rsidRDefault="006E161E">
    <w:pPr>
      <w:pStyle w:val="En-tte"/>
    </w:pPr>
    <w:r>
      <w:rPr>
        <w:noProof/>
        <w:lang w:bidi="ar-SA"/>
      </w:rPr>
      <w:drawing>
        <wp:anchor distT="0" distB="0" distL="114300" distR="114300" simplePos="0" relativeHeight="251657216" behindDoc="0" locked="0" layoutInCell="1" allowOverlap="1">
          <wp:simplePos x="0" y="0"/>
          <wp:positionH relativeFrom="page">
            <wp:posOffset>-9779</wp:posOffset>
          </wp:positionH>
          <wp:positionV relativeFrom="page">
            <wp:posOffset>-66548</wp:posOffset>
          </wp:positionV>
          <wp:extent cx="7562977" cy="10820527"/>
          <wp:effectExtent l="95250" t="76200" r="95123" b="76073"/>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
                  <pic:cNvPicPr preferRelativeResize="0">
                    <a:picLocks noChangeArrowheads="1"/>
                  </pic:cNvPicPr>
                </pic:nvPicPr>
                <pic:blipFill>
                  <a:blip r:embed="rId1"/>
                  <a:srcRect/>
                  <a:stretch>
                    <a:fillRect/>
                  </a:stretch>
                </pic:blipFill>
                <pic:spPr bwMode="auto">
                  <a:xfrm>
                    <a:off x="0" y="0"/>
                    <a:ext cx="7562977" cy="1082052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864A7"/>
    <w:multiLevelType w:val="hybridMultilevel"/>
    <w:tmpl w:val="E3C80E82"/>
    <w:lvl w:ilvl="0" w:tplc="29D63A24">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
    <w:nsid w:val="2D5601E7"/>
    <w:multiLevelType w:val="hybridMultilevel"/>
    <w:tmpl w:val="6A523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4A3C2D"/>
    <w:multiLevelType w:val="hybridMultilevel"/>
    <w:tmpl w:val="A630F916"/>
    <w:lvl w:ilvl="0" w:tplc="12906AE0">
      <w:numFmt w:val="bullet"/>
      <w:lvlText w:val="-"/>
      <w:lvlJc w:val="left"/>
      <w:pPr>
        <w:ind w:left="720" w:hanging="360"/>
      </w:pPr>
      <w:rPr>
        <w:rFonts w:ascii="Times New Roman" w:eastAsia="Times New Roman" w:hAnsi="Times New Roman" w:cs="Times New Roman"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
    <w:nsid w:val="362C75A4"/>
    <w:multiLevelType w:val="hybridMultilevel"/>
    <w:tmpl w:val="9938876C"/>
    <w:lvl w:ilvl="0" w:tplc="14E0170E">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
    <w:nsid w:val="5CB83FFB"/>
    <w:multiLevelType w:val="hybridMultilevel"/>
    <w:tmpl w:val="927419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FB3146"/>
    <w:rsid w:val="000071DE"/>
    <w:rsid w:val="0001164F"/>
    <w:rsid w:val="00014F27"/>
    <w:rsid w:val="00015134"/>
    <w:rsid w:val="00016F5A"/>
    <w:rsid w:val="00021742"/>
    <w:rsid w:val="00036CDA"/>
    <w:rsid w:val="00045FA0"/>
    <w:rsid w:val="0005114E"/>
    <w:rsid w:val="00072489"/>
    <w:rsid w:val="0007472C"/>
    <w:rsid w:val="000756FF"/>
    <w:rsid w:val="000830D9"/>
    <w:rsid w:val="000A3E3A"/>
    <w:rsid w:val="000B0696"/>
    <w:rsid w:val="000E45FA"/>
    <w:rsid w:val="000E5662"/>
    <w:rsid w:val="00107CBC"/>
    <w:rsid w:val="00112E60"/>
    <w:rsid w:val="00114255"/>
    <w:rsid w:val="001147EA"/>
    <w:rsid w:val="00117255"/>
    <w:rsid w:val="00153E96"/>
    <w:rsid w:val="00193557"/>
    <w:rsid w:val="001946D9"/>
    <w:rsid w:val="001A5E0C"/>
    <w:rsid w:val="001B1D57"/>
    <w:rsid w:val="001E57B0"/>
    <w:rsid w:val="001E61BB"/>
    <w:rsid w:val="002139AB"/>
    <w:rsid w:val="0021427F"/>
    <w:rsid w:val="0022274B"/>
    <w:rsid w:val="002228A3"/>
    <w:rsid w:val="002232D4"/>
    <w:rsid w:val="002242E5"/>
    <w:rsid w:val="0022551A"/>
    <w:rsid w:val="00235E15"/>
    <w:rsid w:val="002373C8"/>
    <w:rsid w:val="00245613"/>
    <w:rsid w:val="0027359B"/>
    <w:rsid w:val="00276574"/>
    <w:rsid w:val="00286F79"/>
    <w:rsid w:val="002A0665"/>
    <w:rsid w:val="002A2DA6"/>
    <w:rsid w:val="002B4D45"/>
    <w:rsid w:val="002C3686"/>
    <w:rsid w:val="002D1CB5"/>
    <w:rsid w:val="002E0948"/>
    <w:rsid w:val="002F14A0"/>
    <w:rsid w:val="00306562"/>
    <w:rsid w:val="00311FBE"/>
    <w:rsid w:val="00314DCF"/>
    <w:rsid w:val="00326754"/>
    <w:rsid w:val="0033102C"/>
    <w:rsid w:val="0033708B"/>
    <w:rsid w:val="00345DEB"/>
    <w:rsid w:val="00350CD2"/>
    <w:rsid w:val="00355964"/>
    <w:rsid w:val="003571D0"/>
    <w:rsid w:val="00362A46"/>
    <w:rsid w:val="00364AD9"/>
    <w:rsid w:val="00380229"/>
    <w:rsid w:val="00382534"/>
    <w:rsid w:val="00394ED1"/>
    <w:rsid w:val="003A244F"/>
    <w:rsid w:val="003B04F3"/>
    <w:rsid w:val="003B4362"/>
    <w:rsid w:val="003C127A"/>
    <w:rsid w:val="003C5956"/>
    <w:rsid w:val="003C718E"/>
    <w:rsid w:val="003D3187"/>
    <w:rsid w:val="003E078E"/>
    <w:rsid w:val="003E1412"/>
    <w:rsid w:val="004057BE"/>
    <w:rsid w:val="004075E1"/>
    <w:rsid w:val="004470FE"/>
    <w:rsid w:val="004509DE"/>
    <w:rsid w:val="00455429"/>
    <w:rsid w:val="00460B5F"/>
    <w:rsid w:val="00471E4B"/>
    <w:rsid w:val="00480176"/>
    <w:rsid w:val="004903A8"/>
    <w:rsid w:val="0049392D"/>
    <w:rsid w:val="004A5DA0"/>
    <w:rsid w:val="004C01AE"/>
    <w:rsid w:val="004C7547"/>
    <w:rsid w:val="004D0C36"/>
    <w:rsid w:val="004F60A8"/>
    <w:rsid w:val="00501B4B"/>
    <w:rsid w:val="00502CBC"/>
    <w:rsid w:val="00536372"/>
    <w:rsid w:val="0057490E"/>
    <w:rsid w:val="00580626"/>
    <w:rsid w:val="005B14A2"/>
    <w:rsid w:val="005C4FD6"/>
    <w:rsid w:val="005D7964"/>
    <w:rsid w:val="005F5B5C"/>
    <w:rsid w:val="00603C76"/>
    <w:rsid w:val="006042F3"/>
    <w:rsid w:val="00615F89"/>
    <w:rsid w:val="00640A18"/>
    <w:rsid w:val="00666928"/>
    <w:rsid w:val="00694C46"/>
    <w:rsid w:val="006B1873"/>
    <w:rsid w:val="006B5F32"/>
    <w:rsid w:val="006B7306"/>
    <w:rsid w:val="006D20D8"/>
    <w:rsid w:val="006D22D8"/>
    <w:rsid w:val="006D5607"/>
    <w:rsid w:val="006E06B2"/>
    <w:rsid w:val="006E161E"/>
    <w:rsid w:val="006E19CD"/>
    <w:rsid w:val="006F29A3"/>
    <w:rsid w:val="006F4439"/>
    <w:rsid w:val="0074316E"/>
    <w:rsid w:val="007543D9"/>
    <w:rsid w:val="0079780D"/>
    <w:rsid w:val="007A4C78"/>
    <w:rsid w:val="007B2533"/>
    <w:rsid w:val="007B3C8D"/>
    <w:rsid w:val="007C3AFE"/>
    <w:rsid w:val="007D1B90"/>
    <w:rsid w:val="007E1299"/>
    <w:rsid w:val="007F3C8A"/>
    <w:rsid w:val="007F5550"/>
    <w:rsid w:val="007F7502"/>
    <w:rsid w:val="00810F59"/>
    <w:rsid w:val="00825AE9"/>
    <w:rsid w:val="00843A58"/>
    <w:rsid w:val="00847B7C"/>
    <w:rsid w:val="00866386"/>
    <w:rsid w:val="00880C1B"/>
    <w:rsid w:val="008A1EC4"/>
    <w:rsid w:val="008A2651"/>
    <w:rsid w:val="008D6BE0"/>
    <w:rsid w:val="008E6286"/>
    <w:rsid w:val="008F181F"/>
    <w:rsid w:val="008F1ABA"/>
    <w:rsid w:val="009038FD"/>
    <w:rsid w:val="009254BC"/>
    <w:rsid w:val="00930146"/>
    <w:rsid w:val="009320B7"/>
    <w:rsid w:val="009431FA"/>
    <w:rsid w:val="0094533A"/>
    <w:rsid w:val="00957650"/>
    <w:rsid w:val="0096231E"/>
    <w:rsid w:val="00976E5B"/>
    <w:rsid w:val="00996E9A"/>
    <w:rsid w:val="009A084A"/>
    <w:rsid w:val="009D1150"/>
    <w:rsid w:val="009D3A9E"/>
    <w:rsid w:val="00A01BE0"/>
    <w:rsid w:val="00A2194E"/>
    <w:rsid w:val="00A55583"/>
    <w:rsid w:val="00A81BE7"/>
    <w:rsid w:val="00A81E0C"/>
    <w:rsid w:val="00AA527D"/>
    <w:rsid w:val="00AB2AA0"/>
    <w:rsid w:val="00AB2DFF"/>
    <w:rsid w:val="00AD09F6"/>
    <w:rsid w:val="00AD0A86"/>
    <w:rsid w:val="00AE0C96"/>
    <w:rsid w:val="00AF24DE"/>
    <w:rsid w:val="00AF56E8"/>
    <w:rsid w:val="00AF60F6"/>
    <w:rsid w:val="00B11CCF"/>
    <w:rsid w:val="00B13333"/>
    <w:rsid w:val="00B15AE0"/>
    <w:rsid w:val="00B747F9"/>
    <w:rsid w:val="00B8127D"/>
    <w:rsid w:val="00B81A6E"/>
    <w:rsid w:val="00B84662"/>
    <w:rsid w:val="00B96C51"/>
    <w:rsid w:val="00BA0584"/>
    <w:rsid w:val="00BB1A21"/>
    <w:rsid w:val="00BB71C8"/>
    <w:rsid w:val="00BC5AAF"/>
    <w:rsid w:val="00BD4227"/>
    <w:rsid w:val="00BD52E3"/>
    <w:rsid w:val="00BD777D"/>
    <w:rsid w:val="00BF0EDF"/>
    <w:rsid w:val="00BF5A00"/>
    <w:rsid w:val="00C00AD0"/>
    <w:rsid w:val="00C05E74"/>
    <w:rsid w:val="00C06FBF"/>
    <w:rsid w:val="00C109AF"/>
    <w:rsid w:val="00C26498"/>
    <w:rsid w:val="00C650DD"/>
    <w:rsid w:val="00C75306"/>
    <w:rsid w:val="00C9791C"/>
    <w:rsid w:val="00CA7330"/>
    <w:rsid w:val="00CC078F"/>
    <w:rsid w:val="00CC41E5"/>
    <w:rsid w:val="00CD1DB0"/>
    <w:rsid w:val="00CE456E"/>
    <w:rsid w:val="00CE4D4C"/>
    <w:rsid w:val="00CE5F6F"/>
    <w:rsid w:val="00D0265A"/>
    <w:rsid w:val="00D22FC2"/>
    <w:rsid w:val="00D3304C"/>
    <w:rsid w:val="00D463A6"/>
    <w:rsid w:val="00D605DD"/>
    <w:rsid w:val="00D616AF"/>
    <w:rsid w:val="00D66BD5"/>
    <w:rsid w:val="00D764A2"/>
    <w:rsid w:val="00D84C10"/>
    <w:rsid w:val="00DA12FB"/>
    <w:rsid w:val="00DA2A1F"/>
    <w:rsid w:val="00DA452A"/>
    <w:rsid w:val="00DA7895"/>
    <w:rsid w:val="00DB0AC2"/>
    <w:rsid w:val="00DB4E75"/>
    <w:rsid w:val="00DB65ED"/>
    <w:rsid w:val="00DB7F51"/>
    <w:rsid w:val="00DC3164"/>
    <w:rsid w:val="00DD3471"/>
    <w:rsid w:val="00DD4D98"/>
    <w:rsid w:val="00DD4DA4"/>
    <w:rsid w:val="00DE75C2"/>
    <w:rsid w:val="00DF6B29"/>
    <w:rsid w:val="00E0747E"/>
    <w:rsid w:val="00E24712"/>
    <w:rsid w:val="00E271EA"/>
    <w:rsid w:val="00E36053"/>
    <w:rsid w:val="00E47307"/>
    <w:rsid w:val="00E549A3"/>
    <w:rsid w:val="00EA6F66"/>
    <w:rsid w:val="00EB795D"/>
    <w:rsid w:val="00EE21E2"/>
    <w:rsid w:val="00EE39A7"/>
    <w:rsid w:val="00EE51BD"/>
    <w:rsid w:val="00EF1A71"/>
    <w:rsid w:val="00F01003"/>
    <w:rsid w:val="00F3288F"/>
    <w:rsid w:val="00F45AEA"/>
    <w:rsid w:val="00F47D70"/>
    <w:rsid w:val="00F562F3"/>
    <w:rsid w:val="00F60BFF"/>
    <w:rsid w:val="00F828FF"/>
    <w:rsid w:val="00FA618A"/>
    <w:rsid w:val="00FB0FE7"/>
    <w:rsid w:val="00FB3146"/>
    <w:rsid w:val="00FB5408"/>
    <w:rsid w:val="00FB7F03"/>
    <w:rsid w:val="00FC18A7"/>
    <w:rsid w:val="00FC7B11"/>
    <w:rsid w:val="00FD788E"/>
    <w:rsid w:val="00FE726A"/>
    <w:rsid w:val="00FF2FD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583"/>
    <w:rPr>
      <w:sz w:val="24"/>
      <w:szCs w:val="24"/>
      <w:lang w:bidi="ar-MA"/>
    </w:rPr>
  </w:style>
  <w:style w:type="paragraph" w:styleId="Titre1">
    <w:name w:val="heading 1"/>
    <w:basedOn w:val="Normal"/>
    <w:next w:val="Normal"/>
    <w:link w:val="Titre1Car"/>
    <w:qFormat/>
    <w:rsid w:val="00A55583"/>
    <w:pPr>
      <w:keepNext/>
      <w:outlineLvl w:val="0"/>
    </w:pPr>
    <w:rPr>
      <w:b/>
      <w:bCs/>
      <w:lang w:bidi="ar-SA"/>
    </w:rPr>
  </w:style>
  <w:style w:type="paragraph" w:styleId="Titre2">
    <w:name w:val="heading 2"/>
    <w:basedOn w:val="Normal"/>
    <w:next w:val="Normal"/>
    <w:qFormat/>
    <w:rsid w:val="00A55583"/>
    <w:pPr>
      <w:keepNext/>
      <w:jc w:val="both"/>
      <w:outlineLvl w:val="1"/>
    </w:pPr>
    <w:rPr>
      <w:b/>
      <w:bCs/>
      <w:lang w:bidi="ar-SA"/>
    </w:rPr>
  </w:style>
  <w:style w:type="paragraph" w:styleId="Titre3">
    <w:name w:val="heading 3"/>
    <w:basedOn w:val="Normal"/>
    <w:next w:val="Normal"/>
    <w:qFormat/>
    <w:rsid w:val="00A55583"/>
    <w:pPr>
      <w:keepNext/>
      <w:outlineLvl w:val="2"/>
    </w:pPr>
    <w:rPr>
      <w:rFonts w:cs="Traditional Arabic"/>
      <w:sz w:val="26"/>
      <w:szCs w:val="31"/>
      <w:lang w:bidi="ar-SA"/>
    </w:rPr>
  </w:style>
  <w:style w:type="paragraph" w:styleId="Titre5">
    <w:name w:val="heading 5"/>
    <w:basedOn w:val="Normal"/>
    <w:next w:val="Normal"/>
    <w:link w:val="Titre5Car"/>
    <w:uiPriority w:val="9"/>
    <w:unhideWhenUsed/>
    <w:qFormat/>
    <w:rsid w:val="009320B7"/>
    <w:pPr>
      <w:spacing w:before="240" w:after="60"/>
      <w:outlineLvl w:val="4"/>
    </w:pPr>
    <w:rPr>
      <w:rFonts w:ascii="Calibri" w:hAnsi="Calibri" w:cs="Arial"/>
      <w:b/>
      <w:bCs/>
      <w:i/>
      <w:iCs/>
      <w:sz w:val="26"/>
      <w:szCs w:val="26"/>
      <w:lang/>
    </w:rPr>
  </w:style>
  <w:style w:type="paragraph" w:styleId="Titre9">
    <w:name w:val="heading 9"/>
    <w:basedOn w:val="Normal"/>
    <w:next w:val="Normal"/>
    <w:link w:val="Titre9Car"/>
    <w:uiPriority w:val="9"/>
    <w:semiHidden/>
    <w:unhideWhenUsed/>
    <w:qFormat/>
    <w:rsid w:val="009320B7"/>
    <w:pPr>
      <w:spacing w:before="240" w:after="60"/>
      <w:outlineLvl w:val="8"/>
    </w:pPr>
    <w:rPr>
      <w:rFonts w:ascii="Cambria" w:hAnsi="Cambria"/>
      <w:sz w:val="22"/>
      <w:szCs w:val="22"/>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A55583"/>
    <w:pPr>
      <w:tabs>
        <w:tab w:val="center" w:pos="4153"/>
        <w:tab w:val="right" w:pos="8306"/>
      </w:tabs>
    </w:pPr>
  </w:style>
  <w:style w:type="paragraph" w:styleId="Pieddepage">
    <w:name w:val="footer"/>
    <w:basedOn w:val="Normal"/>
    <w:semiHidden/>
    <w:rsid w:val="00A55583"/>
    <w:pPr>
      <w:tabs>
        <w:tab w:val="center" w:pos="4153"/>
        <w:tab w:val="right" w:pos="8306"/>
      </w:tabs>
    </w:pPr>
  </w:style>
  <w:style w:type="character" w:styleId="Lienhypertexte">
    <w:name w:val="Hyperlink"/>
    <w:semiHidden/>
    <w:rsid w:val="00A55583"/>
    <w:rPr>
      <w:color w:val="0000FF"/>
      <w:u w:val="single"/>
    </w:rPr>
  </w:style>
  <w:style w:type="paragraph" w:styleId="Corpsdetexte3">
    <w:name w:val="Body Text 3"/>
    <w:basedOn w:val="Normal"/>
    <w:semiHidden/>
    <w:rsid w:val="00A55583"/>
    <w:pPr>
      <w:jc w:val="lowKashida"/>
    </w:pPr>
    <w:rPr>
      <w:lang w:bidi="ar-SA"/>
    </w:rPr>
  </w:style>
  <w:style w:type="paragraph" w:styleId="Titre">
    <w:name w:val="Title"/>
    <w:basedOn w:val="Normal"/>
    <w:link w:val="TitreCar"/>
    <w:qFormat/>
    <w:rsid w:val="00A55583"/>
    <w:pPr>
      <w:jc w:val="center"/>
    </w:pPr>
    <w:rPr>
      <w:b/>
      <w:bCs/>
      <w:sz w:val="28"/>
      <w:szCs w:val="28"/>
      <w:lang w:bidi="ar-SA"/>
    </w:rPr>
  </w:style>
  <w:style w:type="paragraph" w:styleId="Corpsdetexte2">
    <w:name w:val="Body Text 2"/>
    <w:basedOn w:val="Normal"/>
    <w:semiHidden/>
    <w:rsid w:val="00A55583"/>
    <w:pPr>
      <w:jc w:val="lowKashida"/>
    </w:pPr>
    <w:rPr>
      <w:b/>
      <w:bCs/>
      <w:i/>
      <w:iCs/>
      <w:sz w:val="28"/>
      <w:lang w:bidi="ar-SA"/>
    </w:rPr>
  </w:style>
  <w:style w:type="paragraph" w:styleId="Corpsdetexte">
    <w:name w:val="Body Text"/>
    <w:basedOn w:val="Normal"/>
    <w:rsid w:val="00A55583"/>
    <w:pPr>
      <w:bidi/>
      <w:jc w:val="both"/>
    </w:pPr>
    <w:rPr>
      <w:sz w:val="28"/>
      <w:szCs w:val="28"/>
      <w:lang w:bidi="ar-SA"/>
    </w:rPr>
  </w:style>
  <w:style w:type="character" w:customStyle="1" w:styleId="Titre5Car">
    <w:name w:val="Titre 5 Car"/>
    <w:link w:val="Titre5"/>
    <w:uiPriority w:val="9"/>
    <w:semiHidden/>
    <w:rsid w:val="009320B7"/>
    <w:rPr>
      <w:rFonts w:ascii="Calibri" w:eastAsia="Times New Roman" w:hAnsi="Calibri" w:cs="Arial"/>
      <w:b/>
      <w:bCs/>
      <w:i/>
      <w:iCs/>
      <w:sz w:val="26"/>
      <w:szCs w:val="26"/>
      <w:lang w:bidi="ar-MA"/>
    </w:rPr>
  </w:style>
  <w:style w:type="character" w:customStyle="1" w:styleId="Titre9Car">
    <w:name w:val="Titre 9 Car"/>
    <w:link w:val="Titre9"/>
    <w:uiPriority w:val="9"/>
    <w:semiHidden/>
    <w:rsid w:val="009320B7"/>
    <w:rPr>
      <w:rFonts w:ascii="Cambria" w:eastAsia="Times New Roman" w:hAnsi="Cambria" w:cs="Times New Roman"/>
      <w:sz w:val="22"/>
      <w:szCs w:val="22"/>
      <w:lang w:bidi="ar-MA"/>
    </w:rPr>
  </w:style>
  <w:style w:type="paragraph" w:styleId="Textedebulles">
    <w:name w:val="Balloon Text"/>
    <w:basedOn w:val="Normal"/>
    <w:link w:val="TextedebullesCar"/>
    <w:uiPriority w:val="99"/>
    <w:semiHidden/>
    <w:unhideWhenUsed/>
    <w:rsid w:val="00C00AD0"/>
    <w:rPr>
      <w:rFonts w:ascii="Tahoma" w:hAnsi="Tahoma" w:cs="Tahoma"/>
      <w:sz w:val="16"/>
      <w:szCs w:val="16"/>
      <w:lang/>
    </w:rPr>
  </w:style>
  <w:style w:type="character" w:customStyle="1" w:styleId="TextedebullesCar">
    <w:name w:val="Texte de bulles Car"/>
    <w:link w:val="Textedebulles"/>
    <w:uiPriority w:val="99"/>
    <w:semiHidden/>
    <w:rsid w:val="00C00AD0"/>
    <w:rPr>
      <w:rFonts w:ascii="Tahoma" w:hAnsi="Tahoma" w:cs="Tahoma"/>
      <w:sz w:val="16"/>
      <w:szCs w:val="16"/>
      <w:lang w:bidi="ar-MA"/>
    </w:rPr>
  </w:style>
  <w:style w:type="paragraph" w:styleId="Paragraphedeliste">
    <w:name w:val="List Paragraph"/>
    <w:basedOn w:val="Normal"/>
    <w:uiPriority w:val="34"/>
    <w:qFormat/>
    <w:rsid w:val="00BB1A21"/>
    <w:pPr>
      <w:bidi/>
      <w:ind w:left="708"/>
    </w:pPr>
    <w:rPr>
      <w:rFonts w:cs="Traditional Arabic"/>
      <w:sz w:val="20"/>
      <w:szCs w:val="20"/>
      <w:lang w:bidi="ar-SA"/>
    </w:rPr>
  </w:style>
  <w:style w:type="character" w:customStyle="1" w:styleId="Titre1Car">
    <w:name w:val="Titre 1 Car"/>
    <w:link w:val="Titre1"/>
    <w:rsid w:val="004F60A8"/>
    <w:rPr>
      <w:b/>
      <w:bCs/>
      <w:sz w:val="24"/>
      <w:szCs w:val="24"/>
    </w:rPr>
  </w:style>
  <w:style w:type="character" w:customStyle="1" w:styleId="TitreCar">
    <w:name w:val="Titre Car"/>
    <w:link w:val="Titre"/>
    <w:rsid w:val="004F60A8"/>
    <w:rPr>
      <w:b/>
      <w:bCs/>
      <w:sz w:val="28"/>
      <w:szCs w:val="28"/>
    </w:rPr>
  </w:style>
  <w:style w:type="character" w:styleId="lev">
    <w:name w:val="Strong"/>
    <w:qFormat/>
    <w:rsid w:val="00930146"/>
    <w:rPr>
      <w:b/>
      <w:bCs/>
    </w:rPr>
  </w:style>
  <w:style w:type="table" w:styleId="Grilledutableau">
    <w:name w:val="Table Grid"/>
    <w:basedOn w:val="TableauNormal"/>
    <w:uiPriority w:val="59"/>
    <w:rsid w:val="009A084A"/>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raji\Application%20Data\Microsoft\Mod&#232;les\entete_0c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entete_0ct</Template>
  <TotalTime>2</TotalTime>
  <Pages>3</Pages>
  <Words>522</Words>
  <Characters>2872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HCP</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moraji</dc:creator>
  <cp:lastModifiedBy>HCP</cp:lastModifiedBy>
  <cp:revision>2</cp:revision>
  <cp:lastPrinted>2020-05-18T17:29:00Z</cp:lastPrinted>
  <dcterms:created xsi:type="dcterms:W3CDTF">2020-05-19T18:05:00Z</dcterms:created>
  <dcterms:modified xsi:type="dcterms:W3CDTF">2020-05-19T18:05:00Z</dcterms:modified>
</cp:coreProperties>
</file>