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4E" w:rsidRPr="00464907" w:rsidRDefault="006E0AD1" w:rsidP="00340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center"/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</w:rPr>
        <w:t xml:space="preserve">                      </w:t>
      </w:r>
    </w:p>
    <w:p w:rsidR="00B06067" w:rsidRPr="00464907" w:rsidRDefault="0030660E" w:rsidP="007D3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center"/>
        <w:rPr>
          <w:rFonts w:ascii="Simplified Arabic" w:hAnsi="Simplified Arabic" w:cs="Simplified Arabic"/>
          <w:color w:val="984806" w:themeColor="accent6" w:themeShade="80"/>
          <w:sz w:val="28"/>
          <w:szCs w:val="28"/>
          <w:rtl/>
        </w:rPr>
      </w:pPr>
      <w:r w:rsidRPr="00464907"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</w:rPr>
        <w:t>مذكرة</w:t>
      </w:r>
      <w:r w:rsidRPr="00464907">
        <w:rPr>
          <w:rFonts w:ascii="Simplified Arabic" w:hAnsi="Simplified Arabic" w:cs="Simplified Arabic" w:hint="cs"/>
          <w:b/>
          <w:bCs/>
          <w:color w:val="984806" w:themeColor="accent6" w:themeShade="80"/>
          <w:sz w:val="28"/>
          <w:szCs w:val="28"/>
          <w:rtl/>
        </w:rPr>
        <w:t xml:space="preserve"> </w:t>
      </w:r>
      <w:r w:rsidRPr="00464907"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</w:rPr>
        <w:t xml:space="preserve">إخبارية </w:t>
      </w:r>
      <w:r w:rsidRPr="00464907">
        <w:rPr>
          <w:rFonts w:ascii="Simplified Arabic" w:hAnsi="Simplified Arabic" w:cs="Simplified Arabic" w:hint="cs"/>
          <w:b/>
          <w:bCs/>
          <w:color w:val="984806" w:themeColor="accent6" w:themeShade="80"/>
          <w:sz w:val="28"/>
          <w:szCs w:val="28"/>
          <w:rtl/>
        </w:rPr>
        <w:t>ل</w:t>
      </w:r>
      <w:r w:rsidRPr="00464907"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</w:rPr>
        <w:t>لمندوبية السامية للتخطيط</w:t>
      </w:r>
    </w:p>
    <w:p w:rsidR="00340BDC" w:rsidRPr="00464907" w:rsidRDefault="00D418A3" w:rsidP="00340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center"/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</w:rPr>
      </w:pPr>
      <w:r w:rsidRPr="00464907">
        <w:rPr>
          <w:rFonts w:ascii="Simplified Arabic" w:hAnsi="Simplified Arabic" w:cs="Simplified Arabic" w:hint="cs"/>
          <w:b/>
          <w:bCs/>
          <w:color w:val="984806" w:themeColor="accent6" w:themeShade="80"/>
          <w:sz w:val="28"/>
          <w:szCs w:val="28"/>
          <w:rtl/>
        </w:rPr>
        <w:t>بمناسبة اليوم العالمي للمرأة</w:t>
      </w:r>
      <w:r w:rsidR="00A83FF5" w:rsidRPr="00464907">
        <w:rPr>
          <w:rFonts w:ascii="Simplified Arabic" w:hAnsi="Simplified Arabic" w:cs="Simplified Arabic" w:hint="cs"/>
          <w:b/>
          <w:bCs/>
          <w:color w:val="984806" w:themeColor="accent6" w:themeShade="80"/>
          <w:sz w:val="28"/>
          <w:szCs w:val="28"/>
          <w:rtl/>
        </w:rPr>
        <w:t xml:space="preserve"> </w:t>
      </w:r>
      <w:r w:rsidR="00A83FF5" w:rsidRPr="00464907"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</w:rPr>
        <w:t>(</w:t>
      </w:r>
      <w:r w:rsidRPr="00464907">
        <w:rPr>
          <w:rFonts w:ascii="Simplified Arabic" w:hAnsi="Simplified Arabic" w:cs="Simplified Arabic" w:hint="cs"/>
          <w:b/>
          <w:bCs/>
          <w:color w:val="984806" w:themeColor="accent6" w:themeShade="80"/>
          <w:sz w:val="28"/>
          <w:szCs w:val="28"/>
          <w:rtl/>
        </w:rPr>
        <w:t>8 مارس 2020</w:t>
      </w:r>
      <w:r w:rsidR="00A83FF5" w:rsidRPr="00464907"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</w:rPr>
        <w:t>)</w:t>
      </w:r>
      <w:r w:rsidR="00ED50AB" w:rsidRPr="00464907">
        <w:rPr>
          <w:rFonts w:ascii="Simplified Arabic" w:hAnsi="Simplified Arabic" w:cs="Simplified Arabic" w:hint="cs"/>
          <w:b/>
          <w:bCs/>
          <w:color w:val="984806" w:themeColor="accent6" w:themeShade="80"/>
          <w:sz w:val="28"/>
          <w:szCs w:val="28"/>
          <w:rtl/>
        </w:rPr>
        <w:t xml:space="preserve">      </w:t>
      </w:r>
    </w:p>
    <w:p w:rsidR="0030660E" w:rsidRPr="00EE2ED8" w:rsidRDefault="00ED50AB" w:rsidP="00340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center"/>
        <w:rPr>
          <w:rFonts w:ascii="Simplified Arabic" w:hAnsi="Simplified Arabic" w:cs="Simplified Arabic"/>
          <w:b/>
          <w:bCs/>
          <w:color w:val="548DD4"/>
          <w:sz w:val="28"/>
          <w:szCs w:val="28"/>
          <w:rtl/>
        </w:rPr>
      </w:pPr>
      <w:r w:rsidRPr="00EE2ED8">
        <w:rPr>
          <w:rFonts w:ascii="Simplified Arabic" w:hAnsi="Simplified Arabic" w:cs="Simplified Arabic" w:hint="cs"/>
          <w:b/>
          <w:bCs/>
          <w:color w:val="548DD4"/>
          <w:sz w:val="28"/>
          <w:szCs w:val="28"/>
          <w:rtl/>
        </w:rPr>
        <w:t xml:space="preserve">  </w:t>
      </w:r>
    </w:p>
    <w:p w:rsidR="00CF1F6B" w:rsidRPr="00340BDC" w:rsidRDefault="009240E2" w:rsidP="00611B98">
      <w:pPr>
        <w:autoSpaceDE w:val="0"/>
        <w:autoSpaceDN w:val="0"/>
        <w:bidi/>
        <w:adjustRightInd w:val="0"/>
        <w:spacing w:after="120"/>
        <w:jc w:val="both"/>
        <w:rPr>
          <w:rFonts w:ascii="Simplified Arabic" w:hAnsi="Simplified Arabic" w:cs="Simplified Arabic"/>
          <w:b/>
          <w:bCs/>
          <w:color w:val="365F91" w:themeColor="accent1" w:themeShade="BF"/>
          <w:sz w:val="28"/>
          <w:szCs w:val="28"/>
        </w:rPr>
      </w:pPr>
      <w:r w:rsidRPr="00340BDC">
        <w:rPr>
          <w:rFonts w:ascii="Simplified Arabic" w:hAnsi="Simplified Arabic" w:cs="Simplified Arabic" w:hint="cs"/>
          <w:b/>
          <w:bCs/>
          <w:color w:val="365F91" w:themeColor="accent1" w:themeShade="BF"/>
          <w:sz w:val="28"/>
          <w:szCs w:val="28"/>
          <w:rtl/>
        </w:rPr>
        <w:t xml:space="preserve">يحتفل العالم يوم 8 مارس من كل سنة باليوم العامي للمرأة. موضوع هذه  السنة: </w:t>
      </w:r>
      <w:r w:rsidRPr="00340BDC">
        <w:rPr>
          <w:rFonts w:ascii="Simplified Arabic" w:hAnsi="Simplified Arabic" w:cs="Simplified Arabic"/>
          <w:b/>
          <w:bCs/>
          <w:color w:val="365F91" w:themeColor="accent1" w:themeShade="BF"/>
          <w:sz w:val="28"/>
          <w:szCs w:val="28"/>
          <w:rtl/>
        </w:rPr>
        <w:t>«</w:t>
      </w:r>
      <w:r w:rsidRPr="00340BDC">
        <w:rPr>
          <w:rFonts w:ascii="Simplified Arabic" w:hAnsi="Simplified Arabic" w:cs="Simplified Arabic" w:hint="cs"/>
          <w:b/>
          <w:bCs/>
          <w:color w:val="365F91" w:themeColor="accent1" w:themeShade="BF"/>
          <w:sz w:val="28"/>
          <w:szCs w:val="28"/>
          <w:rtl/>
        </w:rPr>
        <w:t>أنا جيل المساواة: إعمال حقوق المرأة</w:t>
      </w:r>
      <w:r w:rsidRPr="00340BDC">
        <w:rPr>
          <w:rFonts w:ascii="Simplified Arabic" w:hAnsi="Simplified Arabic" w:cs="Simplified Arabic"/>
          <w:b/>
          <w:bCs/>
          <w:color w:val="365F91" w:themeColor="accent1" w:themeShade="BF"/>
          <w:sz w:val="28"/>
          <w:szCs w:val="28"/>
          <w:rtl/>
        </w:rPr>
        <w:t>»</w:t>
      </w:r>
      <w:r w:rsidRPr="00340BDC">
        <w:rPr>
          <w:rFonts w:ascii="Simplified Arabic" w:hAnsi="Simplified Arabic" w:cs="Simplified Arabic" w:hint="cs"/>
          <w:b/>
          <w:bCs/>
          <w:color w:val="365F91" w:themeColor="accent1" w:themeShade="BF"/>
          <w:sz w:val="28"/>
          <w:szCs w:val="28"/>
          <w:rtl/>
        </w:rPr>
        <w:t>. بهذه  المناسبة، تعرض المندوبية السامية للتخطيط وضعية المرأة بالمغرب تجاه سوق الشغل.</w:t>
      </w:r>
    </w:p>
    <w:p w:rsidR="00785706" w:rsidRPr="00340BDC" w:rsidRDefault="00940058" w:rsidP="00611B98">
      <w:pPr>
        <w:autoSpaceDE w:val="0"/>
        <w:autoSpaceDN w:val="0"/>
        <w:bidi/>
        <w:adjustRightInd w:val="0"/>
        <w:spacing w:before="240" w:after="120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>
        <w:rPr>
          <w:rFonts w:ascii="Book Antiqua" w:hAnsi="Book Antiqua" w:cstheme="majorBidi" w:hint="cs"/>
          <w:sz w:val="28"/>
          <w:szCs w:val="28"/>
          <w:rtl/>
          <w:lang w:bidi="ar-MA"/>
        </w:rPr>
        <w:t>خلال</w:t>
      </w:r>
      <w:r w:rsidR="00D418A3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2019، </w:t>
      </w:r>
      <w:r w:rsidR="00696DE8" w:rsidRPr="00340BDC">
        <w:rPr>
          <w:rFonts w:ascii="Book Antiqua" w:hAnsi="Book Antiqua" w:cstheme="majorBidi"/>
          <w:sz w:val="28"/>
          <w:szCs w:val="28"/>
          <w:rtl/>
          <w:lang w:bidi="ar-MA"/>
        </w:rPr>
        <w:t>بلغ</w:t>
      </w:r>
      <w:r w:rsidR="00696DE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696DE8" w:rsidRPr="00340BDC">
        <w:rPr>
          <w:rFonts w:ascii="Book Antiqua" w:hAnsi="Book Antiqua" w:cstheme="majorBidi"/>
          <w:sz w:val="28"/>
          <w:szCs w:val="28"/>
          <w:rtl/>
          <w:lang w:bidi="ar-MA"/>
        </w:rPr>
        <w:t>عدد</w:t>
      </w:r>
      <w:r w:rsidR="00696DE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النساء بالمغرب </w:t>
      </w:r>
      <w:r w:rsidR="00696DE8" w:rsidRPr="00340BDC">
        <w:rPr>
          <w:rFonts w:ascii="Book Antiqua" w:hAnsi="Book Antiqua" w:cstheme="majorBidi"/>
          <w:sz w:val="28"/>
          <w:szCs w:val="28"/>
          <w:lang w:bidi="ar-MA"/>
        </w:rPr>
        <w:t>17,9</w:t>
      </w:r>
      <w:r w:rsidR="00696DE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مليون</w:t>
      </w:r>
      <w:r w:rsidR="00696DE8" w:rsidRPr="00340BDC">
        <w:rPr>
          <w:rFonts w:ascii="Book Antiqua" w:hAnsi="Book Antiqua" w:cstheme="majorBidi"/>
          <w:sz w:val="28"/>
          <w:szCs w:val="28"/>
          <w:lang w:bidi="ar-MA"/>
        </w:rPr>
        <w:t xml:space="preserve">(50,3%) </w:t>
      </w:r>
      <w:r w:rsidR="00696DE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منهن</w:t>
      </w:r>
      <w:r w:rsidR="00696DE8" w:rsidRPr="00340BDC">
        <w:rPr>
          <w:rFonts w:ascii="Book Antiqua" w:hAnsi="Book Antiqua" w:cstheme="majorBidi"/>
          <w:sz w:val="28"/>
          <w:szCs w:val="28"/>
          <w:lang w:bidi="ar-MA"/>
        </w:rPr>
        <w:t xml:space="preserve"> 13,4 </w:t>
      </w:r>
      <w:r w:rsidR="00696DE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مليون في سن النشاط </w:t>
      </w:r>
      <w:r w:rsidR="00696DE8" w:rsidRPr="00340BDC">
        <w:rPr>
          <w:rFonts w:ascii="Book Antiqua" w:hAnsi="Book Antiqua" w:cstheme="majorBidi"/>
          <w:sz w:val="28"/>
          <w:szCs w:val="28"/>
          <w:rtl/>
          <w:lang w:bidi="ar-MA"/>
        </w:rPr>
        <w:t>(</w:t>
      </w:r>
      <w:r w:rsidR="00696DE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15سنة فما فوق</w:t>
      </w:r>
      <w:r w:rsidR="00696DE8" w:rsidRPr="00340BDC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346B77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. 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ويتين أن 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="00346B77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ضعية النساء 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تجاه </w:t>
      </w:r>
      <w:r w:rsidR="00346B77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سوق الشغل 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تتميز ب</w:t>
      </w:r>
      <w:r w:rsidR="00346B77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ضعف مشاركتهن 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في </w:t>
      </w:r>
      <w:r w:rsidR="00346B77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النشاط الاقتصادي. 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حيت بلغ </w:t>
      </w:r>
      <w:r w:rsidR="00346B77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معدل نشاط النساء</w:t>
      </w:r>
      <w:r w:rsidR="00785706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785706" w:rsidRPr="00340BDC">
        <w:rPr>
          <w:rFonts w:ascii="Book Antiqua" w:hAnsi="Book Antiqua" w:cstheme="majorBidi"/>
          <w:sz w:val="28"/>
          <w:szCs w:val="28"/>
          <w:lang w:bidi="ar-MA"/>
        </w:rPr>
        <w:t>21,5%</w:t>
      </w:r>
      <w:r w:rsidR="00785706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أقل بكثير 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من 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نظيره 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>لدى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الرجال</w:t>
      </w:r>
      <w:r w:rsidR="00BD6BAA" w:rsidRPr="00340BDC">
        <w:rPr>
          <w:rFonts w:ascii="Book Antiqua" w:hAnsi="Book Antiqua" w:cstheme="majorBidi"/>
          <w:sz w:val="28"/>
          <w:szCs w:val="28"/>
          <w:lang w:bidi="ar-MA"/>
        </w:rPr>
        <w:t>(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>71%</w:t>
      </w:r>
      <w:r w:rsidR="00BD6BAA" w:rsidRPr="00340BDC">
        <w:rPr>
          <w:rFonts w:ascii="Book Antiqua" w:hAnsi="Book Antiqua" w:cstheme="majorBidi"/>
          <w:sz w:val="28"/>
          <w:szCs w:val="28"/>
          <w:lang w:bidi="ar-MA"/>
        </w:rPr>
        <w:t>)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. ويبلغ </w:t>
      </w:r>
      <w:r w:rsidR="009240E2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هذا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المع</w:t>
      </w:r>
      <w:r w:rsidR="00340BDC">
        <w:rPr>
          <w:rFonts w:ascii="Book Antiqua" w:hAnsi="Book Antiqua" w:cstheme="majorBidi" w:hint="cs"/>
          <w:sz w:val="28"/>
          <w:szCs w:val="28"/>
          <w:rtl/>
          <w:lang w:bidi="ar-MA"/>
        </w:rPr>
        <w:t>د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ل 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>27,1%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بالوسط القروي مقابل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 xml:space="preserve"> 18,5% 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بالوسط الحضري.</w:t>
      </w:r>
    </w:p>
    <w:p w:rsidR="00BD6BAA" w:rsidRPr="00340BDC" w:rsidRDefault="00BD6BAA" w:rsidP="008C7E94">
      <w:pPr>
        <w:autoSpaceDE w:val="0"/>
        <w:autoSpaceDN w:val="0"/>
        <w:bidi/>
        <w:adjustRightInd w:val="0"/>
        <w:spacing w:after="120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ويبلغ عدد 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نساء خارج سوق الشغل</w:t>
      </w:r>
      <w:r w:rsidR="00321E61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>10,5</w:t>
      </w:r>
      <w:r w:rsidR="00321E61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مليون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حيث يمثلن 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>78,5%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من مجموع النساء البالغات من العمر 15 سنة فما فوق 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>81,5%)</w:t>
      </w:r>
      <w:r w:rsidR="00321E61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بالوسط الحضري و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>72,9%</w:t>
      </w:r>
      <w:r w:rsidR="00321E61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بالوسط القروي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>(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. 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كما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أ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ن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غلبيتهن ربات بيوت 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(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>75,2%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)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أو تلمي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ذ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ات أو طالبات 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(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>14,1%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)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.</w:t>
      </w:r>
    </w:p>
    <w:p w:rsidR="00A83FF5" w:rsidRPr="00EE2ED8" w:rsidRDefault="00BD6BAA" w:rsidP="008C7E94">
      <w:pPr>
        <w:autoSpaceDE w:val="0"/>
        <w:autoSpaceDN w:val="0"/>
        <w:bidi/>
        <w:adjustRightInd w:val="0"/>
        <w:spacing w:after="120"/>
        <w:jc w:val="center"/>
        <w:rPr>
          <w:rFonts w:ascii="Simplified Arabic" w:hAnsi="Simplified Arabic" w:cs="Simplified Arabic"/>
          <w:b/>
          <w:bCs/>
          <w:color w:val="212121"/>
          <w:sz w:val="28"/>
          <w:szCs w:val="28"/>
          <w:rtl/>
        </w:rPr>
      </w:pPr>
      <w:r w:rsidRPr="00EE2ED8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>مبيان1</w:t>
      </w:r>
      <w:r w:rsidR="00321E61" w:rsidRPr="00EE2ED8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> </w:t>
      </w:r>
      <w:r w:rsidR="00321E61" w:rsidRPr="00EE2ED8">
        <w:rPr>
          <w:rFonts w:ascii="Simplified Arabic" w:hAnsi="Simplified Arabic" w:cs="Simplified Arabic"/>
          <w:b/>
          <w:bCs/>
          <w:color w:val="212121"/>
          <w:sz w:val="28"/>
          <w:szCs w:val="28"/>
        </w:rPr>
        <w:t>:</w:t>
      </w:r>
      <w:r w:rsidRPr="00EE2ED8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 xml:space="preserve"> </w:t>
      </w:r>
      <w:r w:rsidR="00A83FF5" w:rsidRPr="00EE2ED8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 xml:space="preserve">السكان البالغين 15 سنة فما فوق خارج سوق الشغل حسب الجنس </w:t>
      </w:r>
      <w:r w:rsidR="00A83FF5" w:rsidRPr="00EE2ED8">
        <w:rPr>
          <w:rFonts w:ascii="Simplified Arabic" w:hAnsi="Simplified Arabic" w:cs="Simplified Arabic"/>
          <w:b/>
          <w:bCs/>
          <w:color w:val="212121"/>
          <w:sz w:val="28"/>
          <w:szCs w:val="28"/>
        </w:rPr>
        <w:t>(%)</w:t>
      </w:r>
    </w:p>
    <w:p w:rsidR="00335222" w:rsidRDefault="00A83FF5" w:rsidP="00EE2ED8">
      <w:pPr>
        <w:autoSpaceDE w:val="0"/>
        <w:autoSpaceDN w:val="0"/>
        <w:bidi/>
        <w:adjustRightInd w:val="0"/>
        <w:spacing w:after="240" w:line="312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EE2ED8">
        <w:rPr>
          <w:rFonts w:ascii="Simplified Arabic" w:hAnsi="Simplified Arabic" w:cs="Simplified Arabic"/>
          <w:noProof/>
          <w:color w:val="212121"/>
          <w:sz w:val="28"/>
          <w:szCs w:val="28"/>
          <w:rtl/>
        </w:rPr>
        <w:drawing>
          <wp:inline distT="0" distB="0" distL="0" distR="0">
            <wp:extent cx="5825159" cy="2033629"/>
            <wp:effectExtent l="19050" t="0" r="23191" b="4721"/>
            <wp:docPr id="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40BDC" w:rsidRPr="00340BDC" w:rsidRDefault="00BD6BAA" w:rsidP="004965C9">
      <w:pPr>
        <w:autoSpaceDE w:val="0"/>
        <w:autoSpaceDN w:val="0"/>
        <w:bidi/>
        <w:adjustRightInd w:val="0"/>
        <w:spacing w:after="120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من بين </w:t>
      </w:r>
      <w:r w:rsidR="00A83FF5" w:rsidRPr="00340BDC">
        <w:rPr>
          <w:rFonts w:ascii="Book Antiqua" w:hAnsi="Book Antiqua" w:cstheme="majorBidi"/>
          <w:sz w:val="28"/>
          <w:szCs w:val="28"/>
          <w:lang w:bidi="ar-MA"/>
        </w:rPr>
        <w:t>10,97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A83FF5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مليون 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نشيط </w:t>
      </w:r>
      <w:r w:rsidR="00A83FF5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مشتغل،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نجد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أن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A83FF5" w:rsidRPr="00340BDC">
        <w:rPr>
          <w:rFonts w:ascii="Book Antiqua" w:hAnsi="Book Antiqua" w:cstheme="majorBidi"/>
          <w:sz w:val="28"/>
          <w:szCs w:val="28"/>
          <w:lang w:bidi="ar-MA"/>
        </w:rPr>
        <w:t>2,49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A83FF5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مليون 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منهم 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هن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نساء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>،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أي ما</w:t>
      </w:r>
      <w:r w:rsidR="00A83FF5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يم</w:t>
      </w:r>
      <w:r w:rsidR="00A83FF5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ا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ثل</w:t>
      </w:r>
      <w:r w:rsidR="00A83FF5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A83FF5" w:rsidRPr="00340BDC">
        <w:rPr>
          <w:rFonts w:ascii="Book Antiqua" w:hAnsi="Book Antiqua" w:cstheme="majorBidi"/>
          <w:sz w:val="28"/>
          <w:szCs w:val="28"/>
          <w:lang w:bidi="ar-MA"/>
        </w:rPr>
        <w:t>22,7%</w:t>
      </w:r>
      <w:r w:rsidR="00A83FF5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.</w:t>
      </w:r>
      <w:r w:rsidR="00340BDC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 و</w:t>
      </w:r>
      <w:r w:rsidR="00340BDC" w:rsidRPr="00340BDC">
        <w:rPr>
          <w:rFonts w:ascii="Book Antiqua" w:hAnsi="Book Antiqua" w:cstheme="majorBidi"/>
          <w:sz w:val="28"/>
          <w:szCs w:val="28"/>
          <w:lang w:bidi="ar-MA"/>
        </w:rPr>
        <w:t xml:space="preserve">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يبلغ 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معدل 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>شغل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لدى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النساء </w:t>
      </w:r>
      <w:r w:rsidR="00A83FF5" w:rsidRPr="00340BDC">
        <w:rPr>
          <w:rFonts w:ascii="Book Antiqua" w:hAnsi="Book Antiqua" w:cstheme="majorBidi"/>
          <w:sz w:val="28"/>
          <w:szCs w:val="28"/>
          <w:lang w:bidi="ar-MA"/>
        </w:rPr>
        <w:t>18,6%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مقابل </w:t>
      </w:r>
      <w:r w:rsidR="004965C9">
        <w:rPr>
          <w:rFonts w:ascii="Book Antiqua" w:hAnsi="Book Antiqua" w:cstheme="majorBidi"/>
          <w:sz w:val="28"/>
          <w:szCs w:val="28"/>
          <w:lang w:bidi="ar-MA"/>
        </w:rPr>
        <w:t>65,5%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> 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لدى الرجال. ويبقى </w:t>
      </w:r>
      <w:r w:rsidR="009240E2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هذا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المعل </w:t>
      </w:r>
      <w:r w:rsidR="00A83FF5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مرتفعا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بالوسط القروي </w:t>
      </w:r>
      <w:r w:rsidR="00EE2ED8" w:rsidRPr="00340BDC">
        <w:rPr>
          <w:rFonts w:ascii="Book Antiqua" w:hAnsi="Book Antiqua" w:cstheme="majorBidi"/>
          <w:sz w:val="28"/>
          <w:szCs w:val="28"/>
          <w:lang w:bidi="ar-MA"/>
        </w:rPr>
        <w:t>(26,3%)</w:t>
      </w:r>
      <w:r w:rsidR="00EE2ED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مقارنة بالوسط الحضري</w:t>
      </w:r>
      <w:r w:rsidR="00EE2ED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EE2ED8" w:rsidRPr="00340BDC">
        <w:rPr>
          <w:rFonts w:ascii="Book Antiqua" w:hAnsi="Book Antiqua" w:cstheme="majorBidi"/>
          <w:sz w:val="28"/>
          <w:szCs w:val="28"/>
          <w:lang w:bidi="ar-MA"/>
        </w:rPr>
        <w:t>(14,5%)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. كما يبقى مرتفعا لدى النساء المطلقات</w:t>
      </w:r>
      <w:r w:rsidR="00EE2ED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EE2ED8" w:rsidRPr="00340BDC">
        <w:rPr>
          <w:rFonts w:ascii="Book Antiqua" w:hAnsi="Book Antiqua" w:cstheme="majorBidi"/>
          <w:sz w:val="28"/>
          <w:szCs w:val="28"/>
          <w:lang w:bidi="ar-MA"/>
        </w:rPr>
        <w:t>(38,6%)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و العازبات</w:t>
      </w:r>
      <w:r w:rsidR="00EE2ED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EE2ED8" w:rsidRPr="00340BDC">
        <w:rPr>
          <w:rFonts w:ascii="Book Antiqua" w:hAnsi="Book Antiqua" w:cstheme="majorBidi"/>
          <w:sz w:val="28"/>
          <w:szCs w:val="28"/>
          <w:lang w:bidi="ar-MA"/>
        </w:rPr>
        <w:t>(19,3%)</w:t>
      </w:r>
      <w:r w:rsidR="00EE2ED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.</w:t>
      </w:r>
    </w:p>
    <w:p w:rsidR="00340BDC" w:rsidRPr="00340BDC" w:rsidRDefault="00340BDC" w:rsidP="00340BDC">
      <w:pPr>
        <w:autoSpaceDE w:val="0"/>
        <w:autoSpaceDN w:val="0"/>
        <w:bidi/>
        <w:adjustRightInd w:val="0"/>
        <w:spacing w:after="120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br w:type="page"/>
      </w:r>
    </w:p>
    <w:p w:rsidR="00EE2ED8" w:rsidRPr="00EE2ED8" w:rsidRDefault="00EE2ED8" w:rsidP="004965C9">
      <w:pPr>
        <w:autoSpaceDE w:val="0"/>
        <w:autoSpaceDN w:val="0"/>
        <w:bidi/>
        <w:adjustRightInd w:val="0"/>
        <w:spacing w:after="120" w:line="312" w:lineRule="auto"/>
        <w:jc w:val="center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EE2ED8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lastRenderedPageBreak/>
        <w:t>مبيان2 </w:t>
      </w:r>
      <w:r w:rsidRPr="00EE2ED8">
        <w:rPr>
          <w:rFonts w:ascii="Simplified Arabic" w:hAnsi="Simplified Arabic" w:cs="Simplified Arabic"/>
          <w:b/>
          <w:bCs/>
          <w:color w:val="212121"/>
          <w:sz w:val="28"/>
          <w:szCs w:val="28"/>
        </w:rPr>
        <w:t>:</w:t>
      </w:r>
      <w:r w:rsidRPr="00EE2ED8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 xml:space="preserve"> معدل الشغل حسب الجنس والحالة الزواجية </w:t>
      </w:r>
      <w:r w:rsidRPr="00EE2ED8">
        <w:rPr>
          <w:rFonts w:ascii="Simplified Arabic" w:hAnsi="Simplified Arabic" w:cs="Simplified Arabic"/>
          <w:b/>
          <w:bCs/>
          <w:color w:val="212121"/>
          <w:sz w:val="28"/>
          <w:szCs w:val="28"/>
        </w:rPr>
        <w:t>(%)</w:t>
      </w:r>
    </w:p>
    <w:p w:rsidR="004965C9" w:rsidRDefault="004965C9" w:rsidP="004965C9">
      <w:pPr>
        <w:autoSpaceDE w:val="0"/>
        <w:autoSpaceDN w:val="0"/>
        <w:bidi/>
        <w:adjustRightInd w:val="0"/>
        <w:jc w:val="center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4965C9">
        <w:rPr>
          <w:rFonts w:ascii="Book Antiqua" w:hAnsi="Book Antiqua"/>
          <w:noProof/>
          <w:sz w:val="28"/>
          <w:szCs w:val="28"/>
          <w:rtl/>
        </w:rPr>
        <w:drawing>
          <wp:inline distT="0" distB="0" distL="0" distR="0">
            <wp:extent cx="4575561" cy="2011680"/>
            <wp:effectExtent l="19050" t="0" r="15489" b="762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965C9" w:rsidRDefault="004965C9" w:rsidP="004965C9">
      <w:pPr>
        <w:autoSpaceDE w:val="0"/>
        <w:autoSpaceDN w:val="0"/>
        <w:bidi/>
        <w:adjustRightInd w:val="0"/>
        <w:jc w:val="center"/>
        <w:rPr>
          <w:rFonts w:ascii="Book Antiqua" w:hAnsi="Book Antiqua" w:cstheme="majorBidi"/>
          <w:sz w:val="28"/>
          <w:szCs w:val="28"/>
          <w:rtl/>
          <w:lang w:bidi="ar-MA"/>
        </w:rPr>
      </w:pPr>
    </w:p>
    <w:p w:rsidR="00BD6BAA" w:rsidRDefault="00BD6BAA" w:rsidP="008C7E94">
      <w:pPr>
        <w:autoSpaceDE w:val="0"/>
        <w:autoSpaceDN w:val="0"/>
        <w:bidi/>
        <w:adjustRightInd w:val="0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ويرتفع معدل </w:t>
      </w:r>
      <w:r w:rsidR="00340BDC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 w:rsidR="00EE2ED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ش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غل </w:t>
      </w:r>
      <w:r w:rsidR="00340BDC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لدى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النساء 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>بارتفاع السن،</w:t>
      </w:r>
      <w:r w:rsidR="00321E61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حيث ينتقل من </w:t>
      </w:r>
      <w:r w:rsidR="00EE2ED8" w:rsidRPr="00340BDC">
        <w:rPr>
          <w:rFonts w:ascii="Book Antiqua" w:hAnsi="Book Antiqua" w:cstheme="majorBidi"/>
          <w:sz w:val="28"/>
          <w:szCs w:val="28"/>
          <w:lang w:bidi="ar-MA"/>
        </w:rPr>
        <w:t>8,8%</w:t>
      </w:r>
      <w:r w:rsidR="00321E61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لدى النساء البالغات 15 إلى 24 سنة إلى </w:t>
      </w:r>
      <w:r w:rsidR="00EE2ED8" w:rsidRPr="00340BDC">
        <w:rPr>
          <w:rFonts w:ascii="Book Antiqua" w:hAnsi="Book Antiqua" w:cstheme="majorBidi"/>
          <w:sz w:val="28"/>
          <w:szCs w:val="28"/>
          <w:lang w:bidi="ar-MA"/>
        </w:rPr>
        <w:t>18,7%</w:t>
      </w:r>
      <w:r w:rsidR="00321E61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لدى النساء البالغات من العمر 45 سنة فما فوق، مرورا ب</w:t>
      </w:r>
      <w:r w:rsidR="00EE2ED8" w:rsidRPr="00340BDC">
        <w:rPr>
          <w:rFonts w:ascii="Book Antiqua" w:hAnsi="Book Antiqua" w:cstheme="majorBidi"/>
          <w:sz w:val="28"/>
          <w:szCs w:val="28"/>
          <w:lang w:bidi="ar-MA"/>
        </w:rPr>
        <w:t xml:space="preserve"> 22,3%</w:t>
      </w:r>
      <w:r w:rsidR="00335222" w:rsidRPr="00340BDC">
        <w:rPr>
          <w:rFonts w:ascii="Book Antiqua" w:hAnsi="Book Antiqua" w:cstheme="majorBidi"/>
          <w:sz w:val="28"/>
          <w:szCs w:val="28"/>
          <w:lang w:bidi="ar-MA"/>
        </w:rPr>
        <w:t xml:space="preserve"> </w:t>
      </w:r>
      <w:r w:rsidR="00321E61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EE2ED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لدى المتراوحة أعمارهن ما بين 25 و 34 سنة و </w:t>
      </w:r>
      <w:r w:rsidR="00EE2ED8" w:rsidRPr="00340BDC">
        <w:rPr>
          <w:rFonts w:ascii="Book Antiqua" w:hAnsi="Book Antiqua" w:cstheme="majorBidi"/>
          <w:sz w:val="28"/>
          <w:szCs w:val="28"/>
          <w:lang w:bidi="ar-MA"/>
        </w:rPr>
        <w:t>25,4%</w:t>
      </w:r>
      <w:r w:rsidR="00EE2ED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321E61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لدى</w:t>
      </w:r>
      <w:r w:rsidR="00EE2ED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المتراوحة أعمارهن ما بين 35 و 44 سنة.</w:t>
      </w:r>
    </w:p>
    <w:p w:rsidR="00340BDC" w:rsidRPr="00EE2ED8" w:rsidRDefault="00340BDC" w:rsidP="00340BDC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</w:p>
    <w:p w:rsidR="00EE2ED8" w:rsidRPr="00EE2ED8" w:rsidRDefault="00EE2ED8" w:rsidP="00FA1C2A">
      <w:pPr>
        <w:autoSpaceDE w:val="0"/>
        <w:autoSpaceDN w:val="0"/>
        <w:bidi/>
        <w:adjustRightInd w:val="0"/>
        <w:spacing w:after="120" w:line="312" w:lineRule="auto"/>
        <w:jc w:val="center"/>
        <w:rPr>
          <w:rFonts w:ascii="Simplified Arabic" w:hAnsi="Simplified Arabic" w:cs="Simplified Arabic"/>
          <w:b/>
          <w:bCs/>
          <w:color w:val="212121"/>
          <w:sz w:val="28"/>
          <w:szCs w:val="28"/>
          <w:rtl/>
        </w:rPr>
      </w:pPr>
      <w:r w:rsidRPr="00EE2ED8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>مبيان3 </w:t>
      </w:r>
      <w:r w:rsidRPr="00EE2ED8">
        <w:rPr>
          <w:rFonts w:ascii="Simplified Arabic" w:hAnsi="Simplified Arabic" w:cs="Simplified Arabic"/>
          <w:b/>
          <w:bCs/>
          <w:color w:val="212121"/>
          <w:sz w:val="28"/>
          <w:szCs w:val="28"/>
        </w:rPr>
        <w:t>:</w:t>
      </w:r>
      <w:r w:rsidRPr="00EE2ED8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 xml:space="preserve"> معدل الشغل لدى النساء حسب الفئات العمرية </w:t>
      </w:r>
      <w:r w:rsidRPr="00EE2ED8">
        <w:rPr>
          <w:rFonts w:ascii="Simplified Arabic" w:hAnsi="Simplified Arabic" w:cs="Simplified Arabic"/>
          <w:b/>
          <w:bCs/>
          <w:color w:val="212121"/>
          <w:sz w:val="28"/>
          <w:szCs w:val="28"/>
        </w:rPr>
        <w:t>(%)</w:t>
      </w:r>
      <w:r w:rsidRPr="00EE2ED8">
        <w:rPr>
          <w:rFonts w:ascii="Simplified Arabic" w:hAnsi="Simplified Arabic" w:cs="Simplified Arabic"/>
          <w:b/>
          <w:bCs/>
          <w:noProof/>
          <w:color w:val="212121"/>
          <w:sz w:val="28"/>
          <w:szCs w:val="28"/>
          <w:rtl/>
        </w:rPr>
        <w:drawing>
          <wp:inline distT="0" distB="0" distL="0" distR="0">
            <wp:extent cx="4577466" cy="1860605"/>
            <wp:effectExtent l="19050" t="0" r="13584" b="6295"/>
            <wp:docPr id="6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40BDC" w:rsidRDefault="00515817" w:rsidP="008C7E94">
      <w:pPr>
        <w:autoSpaceDE w:val="0"/>
        <w:autoSpaceDN w:val="0"/>
        <w:bidi/>
        <w:adjustRightInd w:val="0"/>
        <w:spacing w:after="240" w:line="312" w:lineRule="auto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تنتمي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النشيطات المشتغلات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الى فئة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الشباب، حيث أن </w:t>
      </w:r>
      <w:r w:rsidR="00335222" w:rsidRPr="00340BDC">
        <w:rPr>
          <w:rFonts w:ascii="Book Antiqua" w:hAnsi="Book Antiqua" w:cstheme="majorBidi"/>
          <w:sz w:val="28"/>
          <w:szCs w:val="28"/>
          <w:lang w:bidi="ar-MA"/>
        </w:rPr>
        <w:t>36,2%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منهن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يبلغ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>ن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AA2C0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أق</w:t>
      </w:r>
      <w:r w:rsidR="00AA2C0A" w:rsidRPr="00340BDC">
        <w:rPr>
          <w:rFonts w:ascii="Book Antiqua" w:hAnsi="Book Antiqua" w:cstheme="majorBidi" w:hint="eastAsia"/>
          <w:sz w:val="28"/>
          <w:szCs w:val="28"/>
          <w:rtl/>
          <w:lang w:bidi="ar-MA"/>
        </w:rPr>
        <w:t>ل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من 35 سنة. كما يتميزن بضعف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التكوين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، حيث نجد 6 نساء نشيطات مشتغلات من بين 10 لا</w:t>
      </w:r>
      <w:r w:rsidR="00335222" w:rsidRPr="00340BDC">
        <w:rPr>
          <w:rFonts w:ascii="Book Antiqua" w:hAnsi="Book Antiqua" w:cstheme="majorBidi"/>
          <w:sz w:val="28"/>
          <w:szCs w:val="28"/>
          <w:lang w:bidi="ar-MA"/>
        </w:rPr>
        <w:t xml:space="preserve">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يتوفرن على شهادة</w:t>
      </w:r>
      <w:r w:rsidR="00335222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335222" w:rsidRPr="00340BDC">
        <w:rPr>
          <w:rFonts w:ascii="Book Antiqua" w:hAnsi="Book Antiqua" w:cstheme="majorBidi"/>
          <w:sz w:val="28"/>
          <w:szCs w:val="28"/>
          <w:lang w:bidi="ar-MA"/>
        </w:rPr>
        <w:t>(61%)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مقابل </w:t>
      </w:r>
      <w:r w:rsidR="00335222" w:rsidRPr="00340BDC">
        <w:rPr>
          <w:rFonts w:ascii="Book Antiqua" w:hAnsi="Book Antiqua" w:cstheme="majorBidi"/>
          <w:sz w:val="28"/>
          <w:szCs w:val="28"/>
          <w:lang w:bidi="ar-MA"/>
        </w:rPr>
        <w:t>53,8%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لدى الرجال. </w:t>
      </w:r>
      <w:r w:rsidR="009240E2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هذه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النسبة تخفي تباين حسب وسط الإقامة، حيث تبلغ 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89,8%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بالوسط القروي مقابل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 xml:space="preserve"> 33,2%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بالوسط الحضري</w:t>
      </w:r>
      <w:r w:rsidR="00335222" w:rsidRPr="00340BDC">
        <w:rPr>
          <w:rFonts w:ascii="Book Antiqua" w:hAnsi="Book Antiqua" w:cstheme="majorBidi"/>
          <w:sz w:val="28"/>
          <w:szCs w:val="28"/>
          <w:lang w:bidi="ar-MA"/>
        </w:rPr>
        <w:t>.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</w:p>
    <w:p w:rsidR="00CF1F6B" w:rsidRPr="00CF1F6B" w:rsidRDefault="00CF1F6B" w:rsidP="00AA2C0A">
      <w:pPr>
        <w:spacing w:after="200" w:line="276" w:lineRule="auto"/>
        <w:jc w:val="right"/>
        <w:rPr>
          <w:rFonts w:ascii="Simplified Arabic" w:hAnsi="Simplified Arabic" w:cs="Simplified Arabic"/>
          <w:b/>
          <w:bCs/>
          <w:color w:val="212121"/>
          <w:sz w:val="28"/>
          <w:szCs w:val="28"/>
          <w:rtl/>
        </w:rPr>
      </w:pPr>
      <w:r w:rsidRPr="00AA2C0A">
        <w:rPr>
          <w:rFonts w:ascii="Book Antiqua" w:hAnsi="Book Antiqua" w:cstheme="majorBidi" w:hint="cs"/>
          <w:b/>
          <w:bCs/>
          <w:color w:val="0070C0"/>
          <w:sz w:val="36"/>
          <w:szCs w:val="36"/>
          <w:rtl/>
          <w:lang w:bidi="ar-MA"/>
        </w:rPr>
        <w:t>المميزات المهنية للنساء النشيطات المشتغلات</w:t>
      </w:r>
    </w:p>
    <w:p w:rsidR="00CF1F6B" w:rsidRPr="00340BDC" w:rsidRDefault="00CF1F6B" w:rsidP="00C9003B">
      <w:pPr>
        <w:bidi/>
        <w:spacing w:before="120" w:after="120" w:line="276" w:lineRule="auto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>على المستوى الوطني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تسجل النساء حضورا مهما بقطاع 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>"الفلاحة والغابات والصيد"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حيث يشغل هذا القطاع 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46,9%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من مجموع النساء النشيطات المشتغلات.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 xml:space="preserve">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C9003B">
        <w:rPr>
          <w:rFonts w:ascii="Book Antiqua" w:hAnsi="Book Antiqua" w:cstheme="majorBidi" w:hint="cs"/>
          <w:sz w:val="28"/>
          <w:szCs w:val="28"/>
          <w:rtl/>
          <w:lang w:bidi="ar-MA"/>
        </w:rPr>
        <w:t>وي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أتي</w:t>
      </w:r>
      <w:r w:rsidR="00C9003B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قطاع 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الخدمات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C9003B">
        <w:rPr>
          <w:rFonts w:ascii="Book Antiqua" w:hAnsi="Book Antiqua" w:cstheme="majorBidi" w:hint="cs"/>
          <w:sz w:val="28"/>
          <w:szCs w:val="28"/>
          <w:rtl/>
          <w:lang w:bidi="ar-MA"/>
        </w:rPr>
        <w:t>ك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ثاني قطاع مشغل للنساء بنسبة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 xml:space="preserve">38,5%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متبوعا بقطاع 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الصناعة بما فيها الصناعة التقليدية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بنسبة 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14%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.</w:t>
      </w:r>
    </w:p>
    <w:p w:rsidR="00CF1F6B" w:rsidRPr="00340BDC" w:rsidRDefault="004965C9" w:rsidP="008C7E94">
      <w:pPr>
        <w:bidi/>
        <w:spacing w:before="120" w:after="120" w:line="276" w:lineRule="auto"/>
        <w:jc w:val="both"/>
        <w:rPr>
          <w:rFonts w:ascii="Book Antiqua" w:hAnsi="Book Antiqua" w:cstheme="majorBidi"/>
          <w:sz w:val="28"/>
          <w:szCs w:val="28"/>
          <w:lang w:bidi="ar-MA"/>
        </w:rPr>
      </w:pPr>
      <w:r>
        <w:rPr>
          <w:rFonts w:ascii="Book Antiqua" w:hAnsi="Book Antiqua" w:cstheme="majorBidi" w:hint="cs"/>
          <w:sz w:val="28"/>
          <w:szCs w:val="28"/>
          <w:rtl/>
          <w:lang w:bidi="ar-MA"/>
        </w:rPr>
        <w:lastRenderedPageBreak/>
        <w:t>و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يخفي 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توزيع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ا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لشغل حسب قطاعات الأنشطة الاقتصادية فوارق حسب وسط الاقامة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. وهكذا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بالوسط القروي،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ت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شتغل غالبية النساء 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النشيطات 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بقطاع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"الفلاحة والغابات والصيد"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(90,7%)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؛ في حين بالوسط الحضري،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ت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شتغل النساء أساسا بقطاع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الخدمات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(71%)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.</w:t>
      </w:r>
    </w:p>
    <w:p w:rsidR="00CF1F6B" w:rsidRPr="00340BDC" w:rsidRDefault="00CF1F6B" w:rsidP="00C9003B">
      <w:pPr>
        <w:bidi/>
        <w:spacing w:before="120" w:after="120" w:line="276" w:lineRule="auto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يسجل توزيع الشغل حسب القطاعات بالنسبة للرجال اختلافا ملموسا مقارنة بالنساء. يمثل 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>قطاع "البناء والأشغال العمومية"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،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ا</w:t>
      </w:r>
      <w:r w:rsidR="00C9003B">
        <w:rPr>
          <w:rFonts w:ascii="Book Antiqua" w:hAnsi="Book Antiqua" w:cstheme="majorBidi" w:hint="cs"/>
          <w:sz w:val="28"/>
          <w:szCs w:val="28"/>
          <w:rtl/>
          <w:lang w:bidi="ar-MA"/>
        </w:rPr>
        <w:t>ل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ذي يشغل نسبة ضئيلة من النساء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، قطاع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>ا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مهما في توفير مناصب </w:t>
      </w:r>
      <w:r w:rsidR="00C9003B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شغل للرجال، وخصوصا بالوسط الحضري حيث يشتغل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 xml:space="preserve">14,5%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من النشيطين المشتغلين الذكور. </w:t>
      </w:r>
    </w:p>
    <w:p w:rsidR="00CF1F6B" w:rsidRPr="00340BDC" w:rsidRDefault="00AA2C0A" w:rsidP="008C7E94">
      <w:pPr>
        <w:bidi/>
        <w:spacing w:before="120" w:after="120" w:line="276" w:lineRule="auto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كما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يتضح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من خلال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توزيع النساء النشيطات المشتغلات حسب المجموعات الكبرى للمهن أن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أكثر من الثلث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(37,7%)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يشتغلن ضمن مجموعة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"العمال والعمال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اليدويون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في الفلاحة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الغابة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والصيد"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و  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13,2%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بمجموعة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"العمال 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اليدويون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غير الفلاح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ي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ين، الحمالون و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عمال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ال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مهن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الصغرى"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، و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11,2%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كمستخدمات،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10,8%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بمجموعة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"الحرفي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ي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ن والعمال المؤهل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ي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ن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في المهن الحرفية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" 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9%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ضمن مجموعة 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مستغلون 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فلاحيون، صيادو السمك، الغابويون والقناصون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.</w:t>
      </w:r>
    </w:p>
    <w:p w:rsidR="00CF1F6B" w:rsidRPr="00340BDC" w:rsidRDefault="00AA2C0A" w:rsidP="008C7E94">
      <w:pPr>
        <w:bidi/>
        <w:spacing w:before="120" w:after="120" w:line="276" w:lineRule="auto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يسجل توزيع النساء النشيطات المشتغلات حسب المجموعات الكبرى للمهن اختلافا ملموسا بين وسطي الإقامة. بالوسط القروي، تشتغل 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72,9%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من النساء النشيطات المشتغلات ضمن مجموعة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"العمال والعمال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اليدويون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في الفلاحة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الغابة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والصيد"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و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17,7%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ضمن مجموعة 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مستغلون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فلاحيون، صيادو السمك، الغابويون والقناصون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. وفي المقابل، بالوسط الحضري،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ت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شتغل 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23,4%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 من النساء النشيطات المشتغلات ضمن مجموعة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"العمال 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اليدويون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غير الفلاح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ي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ين، الحمالون و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عمال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ال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مهن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الصغرى"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، و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21%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كمستخدمات،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17,5%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بمجموعة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"الحرفي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ي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ن والعمال المؤهل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ي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ن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في المهن الحرفية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و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15%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بمجموعة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الأطر العليا و أعضاء المهن الحرة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.</w:t>
      </w:r>
    </w:p>
    <w:p w:rsidR="00CF1F6B" w:rsidRPr="00340BDC" w:rsidRDefault="00CF1F6B" w:rsidP="00AA2C0A">
      <w:pPr>
        <w:bidi/>
        <w:spacing w:before="120" w:after="120" w:line="276" w:lineRule="auto"/>
        <w:jc w:val="both"/>
        <w:rPr>
          <w:rFonts w:ascii="Book Antiqua" w:hAnsi="Book Antiqua" w:cstheme="majorBidi"/>
          <w:sz w:val="28"/>
          <w:szCs w:val="28"/>
          <w:lang w:bidi="ar-MA"/>
        </w:rPr>
      </w:pP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وكذلك يسجل توزيع النساء النشيطات المشتغلات حسب الحالة في المهنة اختلافا بين وسطي الإقامة. وهكذا، بالوسط القروي، تشتغل النساء أساسا كمساعدات عائليات 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(70%)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أو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مستقلات 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(19,7%)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. في حين، بالوسط الحضري، أكثر من 8 نساء نشيطات مشتغلات من بين 10 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(81,2%)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هن مستأجرات و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12,2%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هن مستقلات.</w:t>
      </w:r>
    </w:p>
    <w:p w:rsidR="00340BDC" w:rsidRPr="00AA2C0A" w:rsidRDefault="00340BDC" w:rsidP="00340BDC">
      <w:pPr>
        <w:autoSpaceDE w:val="0"/>
        <w:autoSpaceDN w:val="0"/>
        <w:bidi/>
        <w:adjustRightInd w:val="0"/>
        <w:spacing w:after="240"/>
        <w:jc w:val="both"/>
        <w:rPr>
          <w:rFonts w:ascii="Book Antiqua" w:hAnsi="Book Antiqua" w:cstheme="majorBidi"/>
          <w:b/>
          <w:bCs/>
          <w:color w:val="0070C0"/>
          <w:sz w:val="36"/>
          <w:szCs w:val="36"/>
          <w:rtl/>
          <w:lang w:bidi="ar-MA"/>
        </w:rPr>
      </w:pPr>
      <w:r w:rsidRPr="00AA2C0A">
        <w:rPr>
          <w:rFonts w:ascii="Book Antiqua" w:hAnsi="Book Antiqua" w:cstheme="majorBidi" w:hint="cs"/>
          <w:b/>
          <w:bCs/>
          <w:color w:val="0070C0"/>
          <w:sz w:val="36"/>
          <w:szCs w:val="36"/>
          <w:rtl/>
          <w:lang w:bidi="ar-MA"/>
        </w:rPr>
        <w:t>النساء في حالة بطالة</w:t>
      </w:r>
    </w:p>
    <w:p w:rsidR="00340BDC" w:rsidRPr="00B56AFD" w:rsidRDefault="00340BDC" w:rsidP="008C7E94">
      <w:pPr>
        <w:autoSpaceDE w:val="0"/>
        <w:autoSpaceDN w:val="0"/>
        <w:bidi/>
        <w:adjustRightInd w:val="0"/>
        <w:spacing w:after="240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بلغ حجم النساء في حالة بطالة 388 ألف شخص،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أ</w:t>
      </w: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ي بنسة  </w:t>
      </w:r>
      <w:r w:rsidRPr="00B56AFD">
        <w:rPr>
          <w:rFonts w:ascii="Book Antiqua" w:hAnsi="Book Antiqua" w:cstheme="majorBidi"/>
          <w:sz w:val="28"/>
          <w:szCs w:val="28"/>
          <w:lang w:bidi="ar-MA"/>
        </w:rPr>
        <w:t>35%</w:t>
      </w: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من مجموع العاطلين، حيث أن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غالبيته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ن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من فئة الشباب البالغة أعمارهم أقل من 35 سنة </w:t>
      </w:r>
      <w:r w:rsidRPr="00B56AFD">
        <w:rPr>
          <w:rFonts w:ascii="Book Antiqua" w:hAnsi="Book Antiqua" w:cstheme="majorBidi"/>
          <w:sz w:val="28"/>
          <w:szCs w:val="28"/>
          <w:lang w:bidi="ar-MA"/>
        </w:rPr>
        <w:t>(82,6%)</w:t>
      </w: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ومن الحاصلين على شهادة </w:t>
      </w:r>
      <w:r w:rsidRPr="00B56AFD">
        <w:rPr>
          <w:rFonts w:ascii="Book Antiqua" w:hAnsi="Book Antiqua" w:cstheme="majorBidi"/>
          <w:sz w:val="28"/>
          <w:szCs w:val="28"/>
          <w:lang w:bidi="ar-MA"/>
        </w:rPr>
        <w:t>(88,1%)</w:t>
      </w: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. كما أن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ثلاثة ارباع</w:t>
      </w: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العاطلات </w:t>
      </w:r>
      <w:r w:rsidRPr="00B56AFD">
        <w:rPr>
          <w:rFonts w:ascii="Book Antiqua" w:hAnsi="Book Antiqua" w:cstheme="majorBidi"/>
          <w:sz w:val="28"/>
          <w:szCs w:val="28"/>
          <w:lang w:bidi="ar-MA"/>
        </w:rPr>
        <w:t xml:space="preserve">(75,9%) </w:t>
      </w: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تفوق أو تعادل مدة بطالتهن السنة (مقابل  </w:t>
      </w:r>
      <w:r w:rsidRPr="00B56AFD">
        <w:rPr>
          <w:rFonts w:ascii="Book Antiqua" w:hAnsi="Book Antiqua" w:cstheme="majorBidi"/>
          <w:sz w:val="28"/>
          <w:szCs w:val="28"/>
          <w:lang w:bidi="ar-MA"/>
        </w:rPr>
        <w:t>63,5%</w:t>
      </w: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لدى الرجال) و </w:t>
      </w:r>
      <w:r w:rsidRPr="00B56AFD">
        <w:rPr>
          <w:rFonts w:ascii="Book Antiqua" w:hAnsi="Book Antiqua" w:cstheme="majorBidi"/>
          <w:sz w:val="28"/>
          <w:szCs w:val="28"/>
          <w:lang w:bidi="ar-MA"/>
        </w:rPr>
        <w:t>69%</w:t>
      </w: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لم يسبق لهن أن إشتغلن (مقابل </w:t>
      </w:r>
      <w:r w:rsidRPr="00B56AFD">
        <w:rPr>
          <w:rFonts w:ascii="Book Antiqua" w:hAnsi="Book Antiqua" w:cstheme="majorBidi"/>
          <w:sz w:val="28"/>
          <w:szCs w:val="28"/>
          <w:lang w:bidi="ar-MA"/>
        </w:rPr>
        <w:t>50,9%</w:t>
      </w: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لدى الرجال).</w:t>
      </w:r>
    </w:p>
    <w:p w:rsidR="00340BDC" w:rsidRPr="00AE7147" w:rsidRDefault="00340BDC" w:rsidP="00C9003B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وتبقى البطالة أكثر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ا</w:t>
      </w:r>
      <w:r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رتفاعا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بين النساء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حيث يبلغ معدل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بطال</w:t>
      </w:r>
      <w:r w:rsidR="00C9003B">
        <w:rPr>
          <w:rFonts w:ascii="Book Antiqua" w:hAnsi="Book Antiqua" w:cstheme="majorBidi" w:hint="cs"/>
          <w:sz w:val="28"/>
          <w:szCs w:val="28"/>
          <w:rtl/>
          <w:lang w:bidi="ar-MA"/>
        </w:rPr>
        <w:t>ة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134122">
        <w:rPr>
          <w:rFonts w:ascii="Book Antiqua" w:hAnsi="Book Antiqua" w:cstheme="majorBidi" w:hint="cs"/>
          <w:sz w:val="28"/>
          <w:szCs w:val="28"/>
          <w:rtl/>
          <w:lang w:bidi="ar-MA"/>
        </w:rPr>
        <w:t>لدي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هن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%13,5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مقابل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%7,8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لدى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الرجال،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خصوصا في المناطق الحضرية، حيث يبلغ معدلها %21,8 لدى النساء مقابل %10,3 لدى الرجال.</w:t>
      </w:r>
    </w:p>
    <w:p w:rsidR="00340BDC" w:rsidRPr="00CF1F6B" w:rsidRDefault="00340BDC" w:rsidP="00340BDC">
      <w:pPr>
        <w:bidi/>
        <w:spacing w:before="120" w:after="120" w:line="276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ar-MA"/>
        </w:rPr>
      </w:pPr>
    </w:p>
    <w:p w:rsidR="00CF1F6B" w:rsidRPr="00EE2ED8" w:rsidRDefault="00CF1F6B" w:rsidP="00CF1F6B">
      <w:pPr>
        <w:autoSpaceDE w:val="0"/>
        <w:autoSpaceDN w:val="0"/>
        <w:bidi/>
        <w:adjustRightInd w:val="0"/>
        <w:spacing w:before="120" w:after="120" w:line="276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</w:p>
    <w:sectPr w:rsidR="00CF1F6B" w:rsidRPr="00EE2ED8" w:rsidSect="0020078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879" w:rsidRDefault="00635879" w:rsidP="00C04C3D">
      <w:r>
        <w:separator/>
      </w:r>
    </w:p>
  </w:endnote>
  <w:endnote w:type="continuationSeparator" w:id="1">
    <w:p w:rsidR="00635879" w:rsidRDefault="00635879" w:rsidP="00C04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5418"/>
      <w:docPartObj>
        <w:docPartGallery w:val="Page Numbers (Bottom of Page)"/>
        <w:docPartUnique/>
      </w:docPartObj>
    </w:sdtPr>
    <w:sdtContent>
      <w:p w:rsidR="00321E61" w:rsidRDefault="00321E61">
        <w:pPr>
          <w:pStyle w:val="Pieddepage"/>
          <w:jc w:val="center"/>
          <w:rPr>
            <w:rtl/>
          </w:rPr>
        </w:pPr>
      </w:p>
      <w:p w:rsidR="00321E61" w:rsidRDefault="00D33DF7">
        <w:pPr>
          <w:pStyle w:val="Pieddepage"/>
          <w:jc w:val="center"/>
        </w:pPr>
        <w:fldSimple w:instr=" PAGE   \* MERGEFORMAT ">
          <w:r w:rsidR="006E0AD1">
            <w:rPr>
              <w:noProof/>
            </w:rPr>
            <w:t>1</w:t>
          </w:r>
        </w:fldSimple>
      </w:p>
    </w:sdtContent>
  </w:sdt>
  <w:p w:rsidR="00321E61" w:rsidRDefault="00321E6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879" w:rsidRDefault="00635879" w:rsidP="00C04C3D">
      <w:r>
        <w:separator/>
      </w:r>
    </w:p>
  </w:footnote>
  <w:footnote w:type="continuationSeparator" w:id="1">
    <w:p w:rsidR="00635879" w:rsidRDefault="00635879" w:rsidP="00C04C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052"/>
    <w:rsid w:val="00001891"/>
    <w:rsid w:val="00002873"/>
    <w:rsid w:val="00013313"/>
    <w:rsid w:val="0006138D"/>
    <w:rsid w:val="00076506"/>
    <w:rsid w:val="00086A7A"/>
    <w:rsid w:val="000D4A3C"/>
    <w:rsid w:val="000E2AB9"/>
    <w:rsid w:val="000F662D"/>
    <w:rsid w:val="00101E46"/>
    <w:rsid w:val="00105774"/>
    <w:rsid w:val="00125CF4"/>
    <w:rsid w:val="00130F11"/>
    <w:rsid w:val="00134122"/>
    <w:rsid w:val="00144463"/>
    <w:rsid w:val="001609AC"/>
    <w:rsid w:val="001647A6"/>
    <w:rsid w:val="00186A9A"/>
    <w:rsid w:val="001932C9"/>
    <w:rsid w:val="001A1DDE"/>
    <w:rsid w:val="001D4241"/>
    <w:rsid w:val="001D75AC"/>
    <w:rsid w:val="001F27EF"/>
    <w:rsid w:val="00200783"/>
    <w:rsid w:val="0020690A"/>
    <w:rsid w:val="00206C0D"/>
    <w:rsid w:val="002879A7"/>
    <w:rsid w:val="002D7781"/>
    <w:rsid w:val="002E0BE4"/>
    <w:rsid w:val="002E44BD"/>
    <w:rsid w:val="002F4342"/>
    <w:rsid w:val="002F47F5"/>
    <w:rsid w:val="002F69C4"/>
    <w:rsid w:val="0030660E"/>
    <w:rsid w:val="0030703E"/>
    <w:rsid w:val="003107D6"/>
    <w:rsid w:val="003169B1"/>
    <w:rsid w:val="00321E61"/>
    <w:rsid w:val="00327280"/>
    <w:rsid w:val="00335222"/>
    <w:rsid w:val="003402A4"/>
    <w:rsid w:val="003407D4"/>
    <w:rsid w:val="00340BDC"/>
    <w:rsid w:val="003416B2"/>
    <w:rsid w:val="00346B77"/>
    <w:rsid w:val="00390F59"/>
    <w:rsid w:val="003C71C7"/>
    <w:rsid w:val="003D7022"/>
    <w:rsid w:val="003E6EE7"/>
    <w:rsid w:val="003F1A60"/>
    <w:rsid w:val="003F4F35"/>
    <w:rsid w:val="00403165"/>
    <w:rsid w:val="00427C66"/>
    <w:rsid w:val="00433073"/>
    <w:rsid w:val="004539FF"/>
    <w:rsid w:val="00464907"/>
    <w:rsid w:val="0047170E"/>
    <w:rsid w:val="004736FB"/>
    <w:rsid w:val="004743E6"/>
    <w:rsid w:val="004751F9"/>
    <w:rsid w:val="004866BF"/>
    <w:rsid w:val="004965C9"/>
    <w:rsid w:val="004D0296"/>
    <w:rsid w:val="004D78E9"/>
    <w:rsid w:val="00501A6F"/>
    <w:rsid w:val="00515817"/>
    <w:rsid w:val="005452E9"/>
    <w:rsid w:val="00562900"/>
    <w:rsid w:val="005671F8"/>
    <w:rsid w:val="00584586"/>
    <w:rsid w:val="005C088E"/>
    <w:rsid w:val="005C491A"/>
    <w:rsid w:val="005C7E57"/>
    <w:rsid w:val="005E3FBC"/>
    <w:rsid w:val="005F6265"/>
    <w:rsid w:val="006032C8"/>
    <w:rsid w:val="00610330"/>
    <w:rsid w:val="00611B98"/>
    <w:rsid w:val="006149F3"/>
    <w:rsid w:val="00615F02"/>
    <w:rsid w:val="006229DE"/>
    <w:rsid w:val="00625559"/>
    <w:rsid w:val="00627381"/>
    <w:rsid w:val="00635879"/>
    <w:rsid w:val="0064057A"/>
    <w:rsid w:val="00646F4E"/>
    <w:rsid w:val="00670563"/>
    <w:rsid w:val="00696DE8"/>
    <w:rsid w:val="00697924"/>
    <w:rsid w:val="006C479E"/>
    <w:rsid w:val="006D359C"/>
    <w:rsid w:val="006E0AD1"/>
    <w:rsid w:val="00703D0B"/>
    <w:rsid w:val="00737860"/>
    <w:rsid w:val="00737C89"/>
    <w:rsid w:val="00747123"/>
    <w:rsid w:val="0075097D"/>
    <w:rsid w:val="00757FB9"/>
    <w:rsid w:val="007712A2"/>
    <w:rsid w:val="00775A90"/>
    <w:rsid w:val="00776536"/>
    <w:rsid w:val="00781143"/>
    <w:rsid w:val="00785706"/>
    <w:rsid w:val="007A63CA"/>
    <w:rsid w:val="007B094B"/>
    <w:rsid w:val="007D354E"/>
    <w:rsid w:val="007D6AC0"/>
    <w:rsid w:val="00802A5B"/>
    <w:rsid w:val="008044F9"/>
    <w:rsid w:val="00816B3C"/>
    <w:rsid w:val="008306C2"/>
    <w:rsid w:val="00841B00"/>
    <w:rsid w:val="00857CE0"/>
    <w:rsid w:val="00862A8C"/>
    <w:rsid w:val="00865AAC"/>
    <w:rsid w:val="00866E77"/>
    <w:rsid w:val="00867ECF"/>
    <w:rsid w:val="0088153B"/>
    <w:rsid w:val="00893052"/>
    <w:rsid w:val="00897B84"/>
    <w:rsid w:val="008A09CE"/>
    <w:rsid w:val="008A0FAA"/>
    <w:rsid w:val="008A169E"/>
    <w:rsid w:val="008A1C30"/>
    <w:rsid w:val="008A28A3"/>
    <w:rsid w:val="008A6BD9"/>
    <w:rsid w:val="008B2E55"/>
    <w:rsid w:val="008B2FDB"/>
    <w:rsid w:val="008C5763"/>
    <w:rsid w:val="008C7E94"/>
    <w:rsid w:val="008D0A92"/>
    <w:rsid w:val="008E23A0"/>
    <w:rsid w:val="008F28D0"/>
    <w:rsid w:val="008F725A"/>
    <w:rsid w:val="00900B67"/>
    <w:rsid w:val="00913807"/>
    <w:rsid w:val="009240E2"/>
    <w:rsid w:val="00931EA5"/>
    <w:rsid w:val="00940058"/>
    <w:rsid w:val="0095565B"/>
    <w:rsid w:val="00956671"/>
    <w:rsid w:val="009669F7"/>
    <w:rsid w:val="00967E0F"/>
    <w:rsid w:val="009714D6"/>
    <w:rsid w:val="00971748"/>
    <w:rsid w:val="00974EEB"/>
    <w:rsid w:val="00977FC4"/>
    <w:rsid w:val="0098204E"/>
    <w:rsid w:val="00985579"/>
    <w:rsid w:val="00986650"/>
    <w:rsid w:val="009A32AB"/>
    <w:rsid w:val="009B2D74"/>
    <w:rsid w:val="009C189C"/>
    <w:rsid w:val="009C442E"/>
    <w:rsid w:val="009F4EAF"/>
    <w:rsid w:val="00A00802"/>
    <w:rsid w:val="00A04E70"/>
    <w:rsid w:val="00A25F02"/>
    <w:rsid w:val="00A26A60"/>
    <w:rsid w:val="00A569A2"/>
    <w:rsid w:val="00A57CC5"/>
    <w:rsid w:val="00A67248"/>
    <w:rsid w:val="00A83FF5"/>
    <w:rsid w:val="00A8757C"/>
    <w:rsid w:val="00A96F69"/>
    <w:rsid w:val="00AA2C0A"/>
    <w:rsid w:val="00AB0258"/>
    <w:rsid w:val="00AB1BDC"/>
    <w:rsid w:val="00AC5937"/>
    <w:rsid w:val="00AF0B3B"/>
    <w:rsid w:val="00AF2442"/>
    <w:rsid w:val="00B0371D"/>
    <w:rsid w:val="00B05F5E"/>
    <w:rsid w:val="00B06067"/>
    <w:rsid w:val="00B12DEB"/>
    <w:rsid w:val="00B236E6"/>
    <w:rsid w:val="00B26927"/>
    <w:rsid w:val="00B320D7"/>
    <w:rsid w:val="00B501F6"/>
    <w:rsid w:val="00B91C7D"/>
    <w:rsid w:val="00BD1B91"/>
    <w:rsid w:val="00BD6BAA"/>
    <w:rsid w:val="00BE3AF2"/>
    <w:rsid w:val="00BF629C"/>
    <w:rsid w:val="00C04C3D"/>
    <w:rsid w:val="00C0520A"/>
    <w:rsid w:val="00C06CEA"/>
    <w:rsid w:val="00C207AD"/>
    <w:rsid w:val="00C23FA8"/>
    <w:rsid w:val="00C55358"/>
    <w:rsid w:val="00C55860"/>
    <w:rsid w:val="00C636C4"/>
    <w:rsid w:val="00C86115"/>
    <w:rsid w:val="00C9003B"/>
    <w:rsid w:val="00C94B06"/>
    <w:rsid w:val="00CC60EA"/>
    <w:rsid w:val="00CF1F6B"/>
    <w:rsid w:val="00D07FFC"/>
    <w:rsid w:val="00D30522"/>
    <w:rsid w:val="00D335BB"/>
    <w:rsid w:val="00D33DF7"/>
    <w:rsid w:val="00D357A2"/>
    <w:rsid w:val="00D418A3"/>
    <w:rsid w:val="00D46C79"/>
    <w:rsid w:val="00D64A47"/>
    <w:rsid w:val="00D70679"/>
    <w:rsid w:val="00D81741"/>
    <w:rsid w:val="00DC4DBA"/>
    <w:rsid w:val="00DC7E94"/>
    <w:rsid w:val="00DD35EC"/>
    <w:rsid w:val="00E1559D"/>
    <w:rsid w:val="00E35BFD"/>
    <w:rsid w:val="00E45A0A"/>
    <w:rsid w:val="00E60352"/>
    <w:rsid w:val="00E62C94"/>
    <w:rsid w:val="00E6300B"/>
    <w:rsid w:val="00E73D8F"/>
    <w:rsid w:val="00E77DE8"/>
    <w:rsid w:val="00E86F36"/>
    <w:rsid w:val="00E95E30"/>
    <w:rsid w:val="00EB0318"/>
    <w:rsid w:val="00EC1856"/>
    <w:rsid w:val="00EC6B79"/>
    <w:rsid w:val="00ED50AB"/>
    <w:rsid w:val="00EE2ED8"/>
    <w:rsid w:val="00EE5D43"/>
    <w:rsid w:val="00EF1501"/>
    <w:rsid w:val="00F012C4"/>
    <w:rsid w:val="00F10856"/>
    <w:rsid w:val="00F22768"/>
    <w:rsid w:val="00F23AF7"/>
    <w:rsid w:val="00F302CC"/>
    <w:rsid w:val="00F409BA"/>
    <w:rsid w:val="00F62C6E"/>
    <w:rsid w:val="00F65C78"/>
    <w:rsid w:val="00F8256C"/>
    <w:rsid w:val="00F97CF3"/>
    <w:rsid w:val="00FA1C2A"/>
    <w:rsid w:val="00FA4ADE"/>
    <w:rsid w:val="00FE2593"/>
    <w:rsid w:val="00FF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893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9305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09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9BA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rsid w:val="00C04C3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04C3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04C3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04C3D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6149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49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149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49F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825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25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8256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25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256C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696D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sabri\Desktop\GrapheS-A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GrapheS-AR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sabri\Desktop\GrapheS-A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8"/>
  <c:chart>
    <c:plotArea>
      <c:layout/>
      <c:barChart>
        <c:barDir val="bar"/>
        <c:grouping val="percentStacked"/>
        <c:ser>
          <c:idx val="0"/>
          <c:order val="0"/>
          <c:tx>
            <c:strRef>
              <c:f>ميان1!$B$46</c:f>
              <c:strCache>
                <c:ptCount val="1"/>
                <c:pt idx="0">
                  <c:v>ربة بيت</c:v>
                </c:pt>
              </c:strCache>
            </c:strRef>
          </c:tx>
          <c:spPr>
            <a:solidFill>
              <a:srgbClr val="F48618"/>
            </a:solidFill>
          </c:spPr>
          <c:dLbls>
            <c:dLbl>
              <c:idx val="1"/>
              <c:delete val="1"/>
            </c:dLbl>
            <c:showVal val="1"/>
          </c:dLbls>
          <c:cat>
            <c:strRef>
              <c:f>ميان1!$C$45:$E$45</c:f>
              <c:strCache>
                <c:ptCount val="3"/>
                <c:pt idx="0">
                  <c:v>المجموع</c:v>
                </c:pt>
                <c:pt idx="1">
                  <c:v>الرجال</c:v>
                </c:pt>
                <c:pt idx="2">
                  <c:v>النساء</c:v>
                </c:pt>
              </c:strCache>
            </c:strRef>
          </c:cat>
          <c:val>
            <c:numRef>
              <c:f>ميان1!$C$46:$E$46</c:f>
              <c:numCache>
                <c:formatCode>0.0</c:formatCode>
                <c:ptCount val="3"/>
                <c:pt idx="0">
                  <c:v>55.446174755965707</c:v>
                </c:pt>
                <c:pt idx="1">
                  <c:v>2.5174885267916602E-3</c:v>
                </c:pt>
                <c:pt idx="2">
                  <c:v>75.238745285825004</c:v>
                </c:pt>
              </c:numCache>
            </c:numRef>
          </c:val>
        </c:ser>
        <c:ser>
          <c:idx val="1"/>
          <c:order val="1"/>
          <c:tx>
            <c:strRef>
              <c:f>ميان1!$B$47</c:f>
              <c:strCache>
                <c:ptCount val="1"/>
                <c:pt idx="0">
                  <c:v>تلميذ أوطالب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strRef>
              <c:f>ميان1!$C$45:$E$45</c:f>
              <c:strCache>
                <c:ptCount val="3"/>
                <c:pt idx="0">
                  <c:v>المجموع</c:v>
                </c:pt>
                <c:pt idx="1">
                  <c:v>الرجال</c:v>
                </c:pt>
                <c:pt idx="2">
                  <c:v>النساء</c:v>
                </c:pt>
              </c:strCache>
            </c:strRef>
          </c:cat>
          <c:val>
            <c:numRef>
              <c:f>ميان1!$C$47:$E$47</c:f>
              <c:numCache>
                <c:formatCode>0.0</c:formatCode>
                <c:ptCount val="3"/>
                <c:pt idx="0">
                  <c:v>23.584743594888426</c:v>
                </c:pt>
                <c:pt idx="1">
                  <c:v>50.034031764028626</c:v>
                </c:pt>
                <c:pt idx="2">
                  <c:v>14.142736567340254</c:v>
                </c:pt>
              </c:numCache>
            </c:numRef>
          </c:val>
        </c:ser>
        <c:ser>
          <c:idx val="2"/>
          <c:order val="2"/>
          <c:tx>
            <c:strRef>
              <c:f>ميان1!$B$48</c:f>
              <c:strCache>
                <c:ptCount val="1"/>
                <c:pt idx="0">
                  <c:v>متقاعد</c:v>
                </c:pt>
              </c:strCache>
            </c:strRef>
          </c:tx>
          <c:spPr>
            <a:solidFill>
              <a:srgbClr val="A0AA22"/>
            </a:solidFill>
          </c:spPr>
          <c:dLbls>
            <c:showVal val="1"/>
          </c:dLbls>
          <c:cat>
            <c:strRef>
              <c:f>ميان1!$C$45:$E$45</c:f>
              <c:strCache>
                <c:ptCount val="3"/>
                <c:pt idx="0">
                  <c:v>المجموع</c:v>
                </c:pt>
                <c:pt idx="1">
                  <c:v>الرجال</c:v>
                </c:pt>
                <c:pt idx="2">
                  <c:v>النساء</c:v>
                </c:pt>
              </c:strCache>
            </c:strRef>
          </c:cat>
          <c:val>
            <c:numRef>
              <c:f>ميان1!$C$48:$E$48</c:f>
              <c:numCache>
                <c:formatCode>0.0</c:formatCode>
                <c:ptCount val="3"/>
                <c:pt idx="0">
                  <c:v>6.9825222646321832</c:v>
                </c:pt>
                <c:pt idx="1">
                  <c:v>22.435871170452831</c:v>
                </c:pt>
                <c:pt idx="2">
                  <c:v>1.4659038953653216</c:v>
                </c:pt>
              </c:numCache>
            </c:numRef>
          </c:val>
        </c:ser>
        <c:ser>
          <c:idx val="3"/>
          <c:order val="3"/>
          <c:tx>
            <c:strRef>
              <c:f>ميان1!$B$49</c:f>
              <c:strCache>
                <c:ptCount val="1"/>
                <c:pt idx="0">
                  <c:v>عاجز أو مريض</c:v>
                </c:pt>
              </c:strCache>
            </c:strRef>
          </c:tx>
          <c:spPr>
            <a:solidFill>
              <a:srgbClr val="DCB656"/>
            </a:solidFill>
          </c:spPr>
          <c:dLbls>
            <c:dLbl>
              <c:idx val="2"/>
              <c:layout>
                <c:manualLayout>
                  <c:x val="2.1801979997455971E-3"/>
                  <c:y val="-4.3714954890985716E-2"/>
                </c:manualLayout>
              </c:layout>
              <c:showVal val="1"/>
            </c:dLbl>
            <c:showVal val="1"/>
          </c:dLbls>
          <c:cat>
            <c:strRef>
              <c:f>ميان1!$C$45:$E$45</c:f>
              <c:strCache>
                <c:ptCount val="3"/>
                <c:pt idx="0">
                  <c:v>المجموع</c:v>
                </c:pt>
                <c:pt idx="1">
                  <c:v>الرجال</c:v>
                </c:pt>
                <c:pt idx="2">
                  <c:v>النساء</c:v>
                </c:pt>
              </c:strCache>
            </c:strRef>
          </c:cat>
          <c:val>
            <c:numRef>
              <c:f>ميان1!$C$49:$E$49</c:f>
              <c:numCache>
                <c:formatCode>0.0</c:formatCode>
                <c:ptCount val="3"/>
                <c:pt idx="0">
                  <c:v>6.4710587236542638</c:v>
                </c:pt>
                <c:pt idx="1">
                  <c:v>15.6077936136122</c:v>
                </c:pt>
                <c:pt idx="2">
                  <c:v>3.2093786932452768</c:v>
                </c:pt>
              </c:numCache>
            </c:numRef>
          </c:val>
        </c:ser>
        <c:ser>
          <c:idx val="4"/>
          <c:order val="4"/>
          <c:tx>
            <c:strRef>
              <c:f>ميان1!$B$50</c:f>
              <c:strCache>
                <c:ptCount val="1"/>
                <c:pt idx="0">
                  <c:v>مسن</c:v>
                </c:pt>
              </c:strCache>
            </c:strRef>
          </c:tx>
          <c:spPr>
            <a:solidFill>
              <a:srgbClr val="DBC0AF"/>
            </a:solidFill>
          </c:spPr>
          <c:dLbls>
            <c:showVal val="1"/>
          </c:dLbls>
          <c:cat>
            <c:strRef>
              <c:f>ميان1!$C$45:$E$45</c:f>
              <c:strCache>
                <c:ptCount val="3"/>
                <c:pt idx="0">
                  <c:v>المجموع</c:v>
                </c:pt>
                <c:pt idx="1">
                  <c:v>الرجال</c:v>
                </c:pt>
                <c:pt idx="2">
                  <c:v>النساء</c:v>
                </c:pt>
              </c:strCache>
            </c:strRef>
          </c:cat>
          <c:val>
            <c:numRef>
              <c:f>ميان1!$C$50:$E$50</c:f>
              <c:numCache>
                <c:formatCode>0.0</c:formatCode>
                <c:ptCount val="3"/>
                <c:pt idx="0">
                  <c:v>6.0638912356759818</c:v>
                </c:pt>
                <c:pt idx="1">
                  <c:v>7.6208403211819045</c:v>
                </c:pt>
                <c:pt idx="2">
                  <c:v>5.5080833019101094</c:v>
                </c:pt>
              </c:numCache>
            </c:numRef>
          </c:val>
        </c:ser>
        <c:ser>
          <c:idx val="5"/>
          <c:order val="5"/>
          <c:tx>
            <c:strRef>
              <c:f>ميان1!$B$51</c:f>
              <c:strCache>
                <c:ptCount val="1"/>
                <c:pt idx="0">
                  <c:v>ملاك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</c:spPr>
          <c:dLbls>
            <c:dLbl>
              <c:idx val="0"/>
              <c:layout>
                <c:manualLayout>
                  <c:x val="0"/>
                  <c:y val="-8.742990978197103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8.1184916226115636E-2"/>
                </c:manualLayout>
              </c:layout>
              <c:showVal val="1"/>
            </c:dLbl>
            <c:dLbl>
              <c:idx val="2"/>
              <c:layout>
                <c:manualLayout>
                  <c:x val="-2.1801979997455971E-3"/>
                  <c:y val="-6.8694929114405834E-2"/>
                </c:manualLayout>
              </c:layout>
              <c:showVal val="1"/>
            </c:dLbl>
            <c:showVal val="1"/>
          </c:dLbls>
          <c:cat>
            <c:strRef>
              <c:f>ميان1!$C$45:$E$45</c:f>
              <c:strCache>
                <c:ptCount val="3"/>
                <c:pt idx="0">
                  <c:v>المجموع</c:v>
                </c:pt>
                <c:pt idx="1">
                  <c:v>الرجال</c:v>
                </c:pt>
                <c:pt idx="2">
                  <c:v>النساء</c:v>
                </c:pt>
              </c:strCache>
            </c:strRef>
          </c:cat>
          <c:val>
            <c:numRef>
              <c:f>ميان1!$C$51:$E$51</c:f>
              <c:numCache>
                <c:formatCode>0.0</c:formatCode>
                <c:ptCount val="3"/>
                <c:pt idx="0">
                  <c:v>0.77349758090193887</c:v>
                </c:pt>
                <c:pt idx="1">
                  <c:v>1.9992979325608711</c:v>
                </c:pt>
                <c:pt idx="2">
                  <c:v>0.33590487667795227</c:v>
                </c:pt>
              </c:numCache>
            </c:numRef>
          </c:val>
        </c:ser>
        <c:ser>
          <c:idx val="6"/>
          <c:order val="6"/>
          <c:tx>
            <c:strRef>
              <c:f>ميان1!$B$52</c:f>
              <c:strCache>
                <c:ptCount val="1"/>
                <c:pt idx="0">
                  <c:v>غير نشيط اخر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</c:spPr>
          <c:dLbls>
            <c:dLbl>
              <c:idx val="0"/>
              <c:layout>
                <c:manualLayout>
                  <c:x val="6.6137250502518513E-3"/>
                  <c:y val="6.2961336605644432E-3"/>
                </c:manualLayout>
              </c:layout>
              <c:showVal val="1"/>
            </c:dLbl>
            <c:dLbl>
              <c:idx val="1"/>
              <c:layout>
                <c:manualLayout>
                  <c:x val="1.3227450100503703E-2"/>
                  <c:y val="-6.1771345707599401E-3"/>
                </c:manualLayout>
              </c:layout>
              <c:showVal val="1"/>
            </c:dLbl>
            <c:dLbl>
              <c:idx val="2"/>
              <c:layout>
                <c:manualLayout>
                  <c:x val="4.1018622839308167E-3"/>
                  <c:y val="5.1140104709364377E-5"/>
                </c:manualLayout>
              </c:layout>
              <c:showVal val="1"/>
            </c:dLbl>
            <c:showVal val="1"/>
          </c:dLbls>
          <c:cat>
            <c:strRef>
              <c:f>ميان1!$C$45:$E$45</c:f>
              <c:strCache>
                <c:ptCount val="3"/>
                <c:pt idx="0">
                  <c:v>المجموع</c:v>
                </c:pt>
                <c:pt idx="1">
                  <c:v>الرجال</c:v>
                </c:pt>
                <c:pt idx="2">
                  <c:v>النساء</c:v>
                </c:pt>
              </c:strCache>
            </c:strRef>
          </c:cat>
          <c:val>
            <c:numRef>
              <c:f>ميان1!$C$52:$E$52</c:f>
              <c:numCache>
                <c:formatCode>0.0</c:formatCode>
                <c:ptCount val="3"/>
                <c:pt idx="0">
                  <c:v>0.6773880793003737</c:v>
                </c:pt>
                <c:pt idx="1">
                  <c:v>2.2996477096329202</c:v>
                </c:pt>
                <c:pt idx="2">
                  <c:v>9.826524120529366E-2</c:v>
                </c:pt>
              </c:numCache>
            </c:numRef>
          </c:val>
        </c:ser>
        <c:dLbls>
          <c:showVal val="1"/>
        </c:dLbls>
        <c:gapWidth val="75"/>
        <c:overlap val="100"/>
        <c:axId val="97347072"/>
        <c:axId val="97348608"/>
      </c:barChart>
      <c:catAx>
        <c:axId val="97347072"/>
        <c:scaling>
          <c:orientation val="minMax"/>
        </c:scaling>
        <c:axPos val="l"/>
        <c:majorTickMark val="none"/>
        <c:tickLblPos val="nextTo"/>
        <c:crossAx val="97348608"/>
        <c:crosses val="autoZero"/>
        <c:auto val="1"/>
        <c:lblAlgn val="ctr"/>
        <c:lblOffset val="100"/>
      </c:catAx>
      <c:valAx>
        <c:axId val="97348608"/>
        <c:scaling>
          <c:orientation val="minMax"/>
        </c:scaling>
        <c:delete val="1"/>
        <c:axPos val="b"/>
        <c:numFmt formatCode="0%" sourceLinked="1"/>
        <c:majorTickMark val="none"/>
        <c:tickLblPos val="none"/>
        <c:crossAx val="9734707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مبيان2!$D$6</c:f>
              <c:strCache>
                <c:ptCount val="1"/>
                <c:pt idx="0">
                  <c:v>الرجال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strRef>
              <c:f>مبيان2!$C$7:$C$11</c:f>
              <c:strCache>
                <c:ptCount val="5"/>
                <c:pt idx="0">
                  <c:v>أعزب(ة)</c:v>
                </c:pt>
                <c:pt idx="1">
                  <c:v>متزوج(ة)</c:v>
                </c:pt>
                <c:pt idx="2">
                  <c:v>أرمل(ة)</c:v>
                </c:pt>
                <c:pt idx="3">
                  <c:v>مطلق (ة)</c:v>
                </c:pt>
                <c:pt idx="4">
                  <c:v>المجموع</c:v>
                </c:pt>
              </c:strCache>
            </c:strRef>
          </c:cat>
          <c:val>
            <c:numRef>
              <c:f>مبيان2!$D$7:$D$11</c:f>
              <c:numCache>
                <c:formatCode>General</c:formatCode>
                <c:ptCount val="5"/>
                <c:pt idx="0">
                  <c:v>45.5</c:v>
                </c:pt>
                <c:pt idx="1">
                  <c:v>79.7</c:v>
                </c:pt>
                <c:pt idx="2">
                  <c:v>23.5</c:v>
                </c:pt>
                <c:pt idx="3">
                  <c:v>67.400000000000006</c:v>
                </c:pt>
                <c:pt idx="4">
                  <c:v>65.5</c:v>
                </c:pt>
              </c:numCache>
            </c:numRef>
          </c:val>
        </c:ser>
        <c:ser>
          <c:idx val="1"/>
          <c:order val="1"/>
          <c:tx>
            <c:strRef>
              <c:f>مبيان2!$E$6</c:f>
              <c:strCache>
                <c:ptCount val="1"/>
                <c:pt idx="0">
                  <c:v>النساء</c:v>
                </c:pt>
              </c:strCache>
            </c:strRef>
          </c:tx>
          <c:dLbls>
            <c:showVal val="1"/>
          </c:dLbls>
          <c:cat>
            <c:strRef>
              <c:f>مبيان2!$C$7:$C$11</c:f>
              <c:strCache>
                <c:ptCount val="5"/>
                <c:pt idx="0">
                  <c:v>أعزب(ة)</c:v>
                </c:pt>
                <c:pt idx="1">
                  <c:v>متزوج(ة)</c:v>
                </c:pt>
                <c:pt idx="2">
                  <c:v>أرمل(ة)</c:v>
                </c:pt>
                <c:pt idx="3">
                  <c:v>مطلق (ة)</c:v>
                </c:pt>
                <c:pt idx="4">
                  <c:v>المجموع</c:v>
                </c:pt>
              </c:strCache>
            </c:strRef>
          </c:cat>
          <c:val>
            <c:numRef>
              <c:f>مبيان2!$E$7:$E$11</c:f>
              <c:numCache>
                <c:formatCode>General</c:formatCode>
                <c:ptCount val="5"/>
                <c:pt idx="0">
                  <c:v>19.3</c:v>
                </c:pt>
                <c:pt idx="1">
                  <c:v>18.2</c:v>
                </c:pt>
                <c:pt idx="2">
                  <c:v>12.4</c:v>
                </c:pt>
                <c:pt idx="3">
                  <c:v>38.6</c:v>
                </c:pt>
                <c:pt idx="4">
                  <c:v>18.600000000000001</c:v>
                </c:pt>
              </c:numCache>
            </c:numRef>
          </c:val>
        </c:ser>
        <c:ser>
          <c:idx val="2"/>
          <c:order val="2"/>
          <c:tx>
            <c:strRef>
              <c:f>مبيان2!$F$6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F79B4F"/>
            </a:solidFill>
          </c:spPr>
          <c:dLbls>
            <c:showVal val="1"/>
          </c:dLbls>
          <c:cat>
            <c:strRef>
              <c:f>مبيان2!$C$7:$C$11</c:f>
              <c:strCache>
                <c:ptCount val="5"/>
                <c:pt idx="0">
                  <c:v>أعزب(ة)</c:v>
                </c:pt>
                <c:pt idx="1">
                  <c:v>متزوج(ة)</c:v>
                </c:pt>
                <c:pt idx="2">
                  <c:v>أرمل(ة)</c:v>
                </c:pt>
                <c:pt idx="3">
                  <c:v>مطلق (ة)</c:v>
                </c:pt>
                <c:pt idx="4">
                  <c:v>المجموع</c:v>
                </c:pt>
              </c:strCache>
            </c:strRef>
          </c:cat>
          <c:val>
            <c:numRef>
              <c:f>مبيان2!$F$7:$F$11</c:f>
              <c:numCache>
                <c:formatCode>General</c:formatCode>
                <c:ptCount val="5"/>
                <c:pt idx="0">
                  <c:v>34.5</c:v>
                </c:pt>
                <c:pt idx="1">
                  <c:v>48.5</c:v>
                </c:pt>
                <c:pt idx="2">
                  <c:v>13.2</c:v>
                </c:pt>
                <c:pt idx="3">
                  <c:v>44.5</c:v>
                </c:pt>
                <c:pt idx="4">
                  <c:v>41.6</c:v>
                </c:pt>
              </c:numCache>
            </c:numRef>
          </c:val>
        </c:ser>
        <c:dLbls>
          <c:showVal val="1"/>
        </c:dLbls>
        <c:gapWidth val="75"/>
        <c:axId val="97469568"/>
        <c:axId val="97471104"/>
      </c:barChart>
      <c:catAx>
        <c:axId val="97469568"/>
        <c:scaling>
          <c:orientation val="minMax"/>
        </c:scaling>
        <c:axPos val="b"/>
        <c:majorTickMark val="none"/>
        <c:tickLblPos val="nextTo"/>
        <c:crossAx val="97471104"/>
        <c:crosses val="autoZero"/>
        <c:auto val="1"/>
        <c:lblAlgn val="ctr"/>
        <c:lblOffset val="100"/>
      </c:catAx>
      <c:valAx>
        <c:axId val="9747110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9746956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4"/>
  <c:chart>
    <c:autoTitleDeleted val="1"/>
    <c:plotArea>
      <c:layout/>
      <c:lineChart>
        <c:grouping val="standard"/>
        <c:ser>
          <c:idx val="0"/>
          <c:order val="0"/>
          <c:marker>
            <c:symbol val="none"/>
          </c:marker>
          <c:dLbls>
            <c:showVal val="1"/>
          </c:dLbls>
          <c:cat>
            <c:strRef>
              <c:f>مبيان3!$B$8:$B$11</c:f>
              <c:strCache>
                <c:ptCount val="4"/>
                <c:pt idx="0">
                  <c:v>   24 – 15  سنـة</c:v>
                </c:pt>
                <c:pt idx="1">
                  <c:v>   34 – 25  سنـة</c:v>
                </c:pt>
                <c:pt idx="2">
                  <c:v>   44 – 35  سنـة</c:v>
                </c:pt>
                <c:pt idx="3">
                  <c:v>   45  سنـة فأكثـر</c:v>
                </c:pt>
              </c:strCache>
            </c:strRef>
          </c:cat>
          <c:val>
            <c:numRef>
              <c:f>مبيان3!$C$8:$C$11</c:f>
              <c:numCache>
                <c:formatCode>General</c:formatCode>
                <c:ptCount val="4"/>
                <c:pt idx="0">
                  <c:v>8.8000000000000007</c:v>
                </c:pt>
                <c:pt idx="1">
                  <c:v>22.3</c:v>
                </c:pt>
                <c:pt idx="2">
                  <c:v>25.4</c:v>
                </c:pt>
                <c:pt idx="3">
                  <c:v>18.7</c:v>
                </c:pt>
              </c:numCache>
            </c:numRef>
          </c:val>
        </c:ser>
        <c:marker val="1"/>
        <c:axId val="117598464"/>
        <c:axId val="117616640"/>
      </c:lineChart>
      <c:catAx>
        <c:axId val="117598464"/>
        <c:scaling>
          <c:orientation val="minMax"/>
        </c:scaling>
        <c:axPos val="b"/>
        <c:majorTickMark val="none"/>
        <c:tickLblPos val="nextTo"/>
        <c:crossAx val="117616640"/>
        <c:crosses val="autoZero"/>
        <c:auto val="1"/>
        <c:lblAlgn val="ctr"/>
        <c:lblOffset val="100"/>
      </c:catAx>
      <c:valAx>
        <c:axId val="11761664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1759846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C3612-A72B-4AAC-8DF3-D722F5F0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maittaleb</dc:creator>
  <cp:lastModifiedBy>User</cp:lastModifiedBy>
  <cp:revision>2</cp:revision>
  <cp:lastPrinted>2020-03-06T15:55:00Z</cp:lastPrinted>
  <dcterms:created xsi:type="dcterms:W3CDTF">2020-03-06T19:01:00Z</dcterms:created>
  <dcterms:modified xsi:type="dcterms:W3CDTF">2020-03-06T19:01:00Z</dcterms:modified>
</cp:coreProperties>
</file>