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154" w:rsidRPr="00DA2AC1" w:rsidRDefault="00016667" w:rsidP="00795089">
      <w:pPr>
        <w:spacing w:line="360" w:lineRule="auto"/>
        <w:jc w:val="both"/>
        <w:rPr>
          <w:rFonts w:ascii="Times New Roman" w:hAnsi="Times New Roman" w:cs="Simplified Arabic"/>
          <w:b/>
          <w:bCs/>
          <w:color w:val="943634" w:themeColor="accent2" w:themeShade="BF"/>
          <w:sz w:val="28"/>
          <w:szCs w:val="28"/>
          <w:lang w:bidi="ar-MA"/>
        </w:rPr>
      </w:pPr>
      <w:r>
        <w:rPr>
          <w:sz w:val="28"/>
          <w:szCs w:val="28"/>
          <w:lang w:bidi="ar-MA"/>
        </w:rPr>
        <w:t xml:space="preserve">               </w:t>
      </w:r>
      <w:r w:rsidR="00B224E6" w:rsidRPr="00DA2AC1">
        <w:rPr>
          <w:sz w:val="28"/>
          <w:szCs w:val="28"/>
          <w:lang w:bidi="ar-MA"/>
        </w:rPr>
        <w:t xml:space="preserve">               </w:t>
      </w:r>
      <w:r w:rsidR="00A00E87" w:rsidRPr="00DA2AC1">
        <w:rPr>
          <w:sz w:val="28"/>
          <w:szCs w:val="28"/>
          <w:lang w:bidi="ar-MA"/>
        </w:rPr>
        <w:t xml:space="preserve">         </w:t>
      </w:r>
      <w:r w:rsidR="001C58AD" w:rsidRPr="00DA2AC1">
        <w:rPr>
          <w:sz w:val="28"/>
          <w:szCs w:val="28"/>
          <w:lang w:bidi="ar-MA"/>
        </w:rPr>
        <w:t xml:space="preserve">           </w:t>
      </w:r>
      <w:r w:rsidR="00A73D72" w:rsidRPr="00DA2AC1">
        <w:rPr>
          <w:sz w:val="28"/>
          <w:szCs w:val="28"/>
          <w:lang w:bidi="ar-MA"/>
        </w:rPr>
        <w:t xml:space="preserve">                       </w:t>
      </w:r>
      <w:r w:rsidR="002908FC" w:rsidRPr="00DA2AC1">
        <w:rPr>
          <w:sz w:val="28"/>
          <w:szCs w:val="28"/>
          <w:lang w:bidi="ar-MA"/>
        </w:rPr>
        <w:t xml:space="preserve">                  </w:t>
      </w:r>
      <w:r w:rsidR="00986B14" w:rsidRPr="00DA2AC1">
        <w:rPr>
          <w:sz w:val="28"/>
          <w:szCs w:val="28"/>
          <w:lang w:bidi="ar-MA"/>
        </w:rPr>
        <w:t xml:space="preserve"> </w:t>
      </w:r>
      <w:r w:rsidR="006225D1" w:rsidRPr="00DA2AC1">
        <w:rPr>
          <w:rFonts w:ascii="Times New Roman" w:hAnsi="Times New Roman" w:cs="Simplified Arabic"/>
          <w:b/>
          <w:bCs/>
          <w:color w:val="943634" w:themeColor="accent2" w:themeShade="BF"/>
          <w:sz w:val="28"/>
          <w:szCs w:val="28"/>
          <w:lang w:bidi="ar-MA"/>
        </w:rPr>
        <w:t xml:space="preserve">   </w:t>
      </w:r>
      <w:r w:rsidR="00A82F0E" w:rsidRPr="00DA2AC1">
        <w:rPr>
          <w:rFonts w:ascii="Times New Roman" w:hAnsi="Times New Roman" w:cs="Simplified Arabic"/>
          <w:b/>
          <w:bCs/>
          <w:color w:val="943634" w:themeColor="accent2" w:themeShade="BF"/>
          <w:sz w:val="28"/>
          <w:szCs w:val="28"/>
          <w:lang w:bidi="ar-MA"/>
        </w:rPr>
        <w:t xml:space="preserve">  </w:t>
      </w:r>
      <w:r w:rsidR="00636446" w:rsidRPr="00DA2AC1">
        <w:rPr>
          <w:rFonts w:ascii="Times New Roman" w:hAnsi="Times New Roman" w:cs="Simplified Arabic"/>
          <w:b/>
          <w:bCs/>
          <w:color w:val="943634" w:themeColor="accent2" w:themeShade="BF"/>
          <w:sz w:val="28"/>
          <w:szCs w:val="28"/>
          <w:lang w:bidi="ar-MA"/>
        </w:rPr>
        <w:t xml:space="preserve">   </w:t>
      </w:r>
      <w:r w:rsidR="00BC235D" w:rsidRPr="00DA2AC1">
        <w:rPr>
          <w:rFonts w:ascii="Times New Roman" w:hAnsi="Times New Roman" w:cs="Simplified Arabic"/>
          <w:b/>
          <w:bCs/>
          <w:color w:val="943634" w:themeColor="accent2" w:themeShade="BF"/>
          <w:sz w:val="28"/>
          <w:szCs w:val="28"/>
          <w:lang w:bidi="ar-MA"/>
        </w:rPr>
        <w:t xml:space="preserve">    </w:t>
      </w:r>
      <w:r w:rsidR="00636446" w:rsidRPr="00DA2AC1">
        <w:rPr>
          <w:rFonts w:ascii="Times New Roman" w:hAnsi="Times New Roman" w:cs="Simplified Arabic"/>
          <w:b/>
          <w:bCs/>
          <w:color w:val="943634" w:themeColor="accent2" w:themeShade="BF"/>
          <w:sz w:val="28"/>
          <w:szCs w:val="28"/>
          <w:lang w:bidi="ar-MA"/>
        </w:rPr>
        <w:t xml:space="preserve">     </w:t>
      </w:r>
      <w:r w:rsidR="00A82F0E" w:rsidRPr="00DA2AC1">
        <w:rPr>
          <w:rFonts w:ascii="Times New Roman" w:hAnsi="Times New Roman" w:cs="Simplified Arabic"/>
          <w:b/>
          <w:bCs/>
          <w:color w:val="943634" w:themeColor="accent2" w:themeShade="BF"/>
          <w:sz w:val="28"/>
          <w:szCs w:val="28"/>
          <w:lang w:bidi="ar-MA"/>
        </w:rPr>
        <w:t xml:space="preserve">        </w:t>
      </w:r>
      <w:r w:rsidR="006225D1" w:rsidRPr="00DA2AC1">
        <w:rPr>
          <w:rFonts w:ascii="Times New Roman" w:hAnsi="Times New Roman" w:cs="Simplified Arabic"/>
          <w:b/>
          <w:bCs/>
          <w:color w:val="943634" w:themeColor="accent2" w:themeShade="BF"/>
          <w:sz w:val="28"/>
          <w:szCs w:val="28"/>
          <w:lang w:bidi="ar-MA"/>
        </w:rPr>
        <w:t xml:space="preserve"> </w:t>
      </w:r>
      <w:r w:rsidR="007B1BB0" w:rsidRPr="00DA2AC1">
        <w:rPr>
          <w:rFonts w:ascii="Times New Roman" w:hAnsi="Times New Roman" w:cs="Simplified Arabic"/>
          <w:b/>
          <w:bCs/>
          <w:color w:val="943634" w:themeColor="accent2" w:themeShade="BF"/>
          <w:sz w:val="28"/>
          <w:szCs w:val="28"/>
          <w:lang w:bidi="ar-MA"/>
        </w:rPr>
        <w:t xml:space="preserve">   </w:t>
      </w:r>
    </w:p>
    <w:p w:rsidR="00D9528F" w:rsidRPr="00DA2AC1" w:rsidRDefault="00D9528F" w:rsidP="00795089">
      <w:pPr>
        <w:bidi/>
        <w:spacing w:line="360" w:lineRule="auto"/>
        <w:jc w:val="center"/>
        <w:rPr>
          <w:rFonts w:ascii="Times New Roman" w:hAnsi="Times New Roman" w:cs="Simplified Arabic"/>
          <w:b/>
          <w:bCs/>
          <w:color w:val="943634" w:themeColor="accent2" w:themeShade="BF"/>
          <w:sz w:val="28"/>
          <w:szCs w:val="28"/>
          <w:rtl/>
          <w:lang w:bidi="ar-MA"/>
        </w:rPr>
      </w:pPr>
    </w:p>
    <w:p w:rsidR="0047396E" w:rsidRPr="00E335F4" w:rsidRDefault="0047396E" w:rsidP="00E335F4">
      <w:pPr>
        <w:bidi/>
        <w:jc w:val="center"/>
        <w:rPr>
          <w:rFonts w:ascii="Times New Roman" w:hAnsi="Times New Roman" w:cs="Simplified Arabic"/>
          <w:b/>
          <w:bCs/>
          <w:color w:val="943634" w:themeColor="accent2" w:themeShade="BF"/>
          <w:sz w:val="32"/>
          <w:szCs w:val="32"/>
          <w:rtl/>
          <w:lang w:bidi="ar-MA"/>
        </w:rPr>
      </w:pPr>
      <w:r w:rsidRPr="00E335F4">
        <w:rPr>
          <w:rFonts w:ascii="Times New Roman" w:hAnsi="Times New Roman" w:cs="Simplified Arabic"/>
          <w:b/>
          <w:bCs/>
          <w:color w:val="943634" w:themeColor="accent2" w:themeShade="BF"/>
          <w:sz w:val="32"/>
          <w:szCs w:val="32"/>
          <w:rtl/>
          <w:lang w:bidi="ar-MA"/>
        </w:rPr>
        <w:t>مذكرة إخبارية</w:t>
      </w:r>
      <w:r w:rsidRPr="00E335F4">
        <w:rPr>
          <w:rFonts w:ascii="Times New Roman" w:hAnsi="Times New Roman" w:cs="Simplified Arabic" w:hint="cs"/>
          <w:b/>
          <w:bCs/>
          <w:color w:val="943634" w:themeColor="accent2" w:themeShade="BF"/>
          <w:sz w:val="32"/>
          <w:szCs w:val="32"/>
          <w:rtl/>
          <w:lang w:bidi="ar-MA"/>
        </w:rPr>
        <w:t xml:space="preserve"> للمندوبية السامية للتخطيط</w:t>
      </w:r>
    </w:p>
    <w:p w:rsidR="0047396E" w:rsidRPr="00E335F4" w:rsidRDefault="0047396E" w:rsidP="00E335F4">
      <w:pPr>
        <w:bidi/>
        <w:spacing w:after="240"/>
        <w:jc w:val="center"/>
        <w:rPr>
          <w:rFonts w:ascii="Times New Roman" w:hAnsi="Times New Roman" w:cs="Simplified Arabic"/>
          <w:b/>
          <w:bCs/>
          <w:color w:val="943634" w:themeColor="accent2" w:themeShade="BF"/>
          <w:sz w:val="32"/>
          <w:szCs w:val="32"/>
          <w:rtl/>
          <w:lang w:bidi="ar-MA"/>
        </w:rPr>
      </w:pPr>
      <w:r w:rsidRPr="00E335F4">
        <w:rPr>
          <w:rFonts w:ascii="Times New Roman" w:hAnsi="Times New Roman" w:cs="Simplified Arabic" w:hint="cs"/>
          <w:b/>
          <w:bCs/>
          <w:color w:val="943634" w:themeColor="accent2" w:themeShade="BF"/>
          <w:sz w:val="32"/>
          <w:szCs w:val="32"/>
          <w:rtl/>
          <w:lang w:bidi="ar-MA"/>
        </w:rPr>
        <w:t>نتائج بحث الظرفية لدى الأسر</w:t>
      </w:r>
    </w:p>
    <w:p w:rsidR="0047396E" w:rsidRPr="00E335F4" w:rsidRDefault="00B46251" w:rsidP="00E335F4">
      <w:pPr>
        <w:bidi/>
        <w:spacing w:after="240"/>
        <w:jc w:val="center"/>
        <w:rPr>
          <w:rFonts w:ascii="Times New Roman" w:hAnsi="Times New Roman" w:cs="Simplified Arabic"/>
          <w:b/>
          <w:bCs/>
          <w:color w:val="943634" w:themeColor="accent2" w:themeShade="BF"/>
          <w:sz w:val="32"/>
          <w:szCs w:val="32"/>
          <w:rtl/>
          <w:lang w:bidi="ar-MA"/>
        </w:rPr>
      </w:pPr>
      <w:r>
        <w:rPr>
          <w:rFonts w:ascii="Times New Roman" w:hAnsi="Times New Roman" w:cs="Simplified Arabic" w:hint="cs"/>
          <w:b/>
          <w:bCs/>
          <w:color w:val="943634" w:themeColor="accent2" w:themeShade="BF"/>
          <w:sz w:val="32"/>
          <w:szCs w:val="32"/>
          <w:rtl/>
          <w:lang w:bidi="ar-MA"/>
        </w:rPr>
        <w:t>برسم نهاية</w:t>
      </w:r>
      <w:r w:rsidR="0047396E" w:rsidRPr="00E335F4">
        <w:rPr>
          <w:rFonts w:ascii="Times New Roman" w:hAnsi="Times New Roman" w:cs="Simplified Arabic" w:hint="cs"/>
          <w:b/>
          <w:bCs/>
          <w:color w:val="943634" w:themeColor="accent2" w:themeShade="BF"/>
          <w:sz w:val="32"/>
          <w:szCs w:val="32"/>
          <w:rtl/>
          <w:lang w:bidi="ar-MA"/>
        </w:rPr>
        <w:t xml:space="preserve"> سنة 2019</w:t>
      </w:r>
    </w:p>
    <w:p w:rsidR="0047396E" w:rsidRPr="000F62DE" w:rsidRDefault="00432805" w:rsidP="00432805">
      <w:pPr>
        <w:bidi/>
        <w:spacing w:after="240" w:line="360" w:lineRule="auto"/>
        <w:jc w:val="center"/>
        <w:rPr>
          <w:rFonts w:ascii="Times New Roman" w:hAnsi="Times New Roman" w:cs="Simplified Arabic"/>
          <w:rtl/>
          <w:lang w:bidi="ar-MA"/>
        </w:rPr>
      </w:pPr>
      <w:r>
        <w:rPr>
          <w:rFonts w:ascii="Times New Roman" w:hAnsi="Times New Roman" w:cs="Simplified Arabic" w:hint="cs"/>
          <w:rtl/>
          <w:lang w:bidi="ar-MA"/>
        </w:rPr>
        <w:t xml:space="preserve">     </w:t>
      </w:r>
    </w:p>
    <w:p w:rsidR="00C3791A" w:rsidRPr="00067D74" w:rsidRDefault="0047396E" w:rsidP="00F2138E">
      <w:pPr>
        <w:bidi/>
        <w:spacing w:before="240"/>
        <w:jc w:val="both"/>
        <w:rPr>
          <w:rFonts w:ascii="Times New Roman" w:hAnsi="Times New Roman" w:cs="Simplified Arabic"/>
          <w:bCs/>
          <w:sz w:val="26"/>
          <w:szCs w:val="26"/>
          <w:rtl/>
          <w:lang w:bidi="ar-MA"/>
        </w:rPr>
      </w:pPr>
      <w:r w:rsidRPr="0051667C">
        <w:rPr>
          <w:rFonts w:ascii="Times New Roman" w:hAnsi="Times New Roman" w:cs="Simplified Arabic" w:hint="cs"/>
          <w:bCs/>
          <w:sz w:val="26"/>
          <w:szCs w:val="26"/>
          <w:rtl/>
          <w:lang w:bidi="ar-MA"/>
        </w:rPr>
        <w:t>يتضح من نتائج البحث الدائم حول الظرفية لدى الأسر، المنجز من طرف المندوبية السامية للتخطيط، أن مستوى ثقة الأسر</w:t>
      </w:r>
      <w:r w:rsidRPr="0051667C">
        <w:rPr>
          <w:rFonts w:ascii="Times New Roman" w:hAnsi="Times New Roman" w:cs="Simplified Arabic"/>
          <w:bCs/>
          <w:sz w:val="26"/>
          <w:szCs w:val="26"/>
          <w:lang w:bidi="ar-MA"/>
        </w:rPr>
        <w:t xml:space="preserve"> </w:t>
      </w:r>
      <w:r w:rsidRPr="0051667C">
        <w:rPr>
          <w:rFonts w:ascii="Times New Roman" w:hAnsi="Times New Roman" w:cs="Simplified Arabic" w:hint="cs"/>
          <w:bCs/>
          <w:sz w:val="26"/>
          <w:szCs w:val="26"/>
          <w:rtl/>
          <w:lang w:bidi="ar-MA"/>
        </w:rPr>
        <w:t>عرف</w:t>
      </w:r>
      <w:r w:rsidR="00C53082" w:rsidRPr="0051667C">
        <w:rPr>
          <w:rFonts w:ascii="Times New Roman" w:hAnsi="Times New Roman" w:cs="Simplified Arabic" w:hint="cs"/>
          <w:bCs/>
          <w:sz w:val="26"/>
          <w:szCs w:val="26"/>
          <w:rtl/>
          <w:lang w:bidi="ar-MA"/>
        </w:rPr>
        <w:t>،</w:t>
      </w:r>
      <w:r w:rsidRPr="0051667C">
        <w:rPr>
          <w:rFonts w:ascii="Times New Roman" w:hAnsi="Times New Roman" w:cs="Simplified Arabic" w:hint="cs"/>
          <w:bCs/>
          <w:sz w:val="26"/>
          <w:szCs w:val="26"/>
          <w:rtl/>
          <w:lang w:bidi="ar-MA"/>
        </w:rPr>
        <w:t xml:space="preserve"> </w:t>
      </w:r>
      <w:r w:rsidR="00C53082" w:rsidRPr="0051667C">
        <w:rPr>
          <w:rFonts w:ascii="Times New Roman" w:hAnsi="Times New Roman" w:cs="Simplified Arabic" w:hint="cs"/>
          <w:bCs/>
          <w:sz w:val="26"/>
          <w:szCs w:val="26"/>
          <w:rtl/>
          <w:lang w:bidi="ar-MA"/>
        </w:rPr>
        <w:t xml:space="preserve">خلال الفصل الرابع من سنة 2019، تحسنا </w:t>
      </w:r>
      <w:r w:rsidRPr="0051667C">
        <w:rPr>
          <w:rFonts w:ascii="Times New Roman" w:hAnsi="Times New Roman" w:cs="Simplified Arabic" w:hint="cs"/>
          <w:bCs/>
          <w:sz w:val="26"/>
          <w:szCs w:val="26"/>
          <w:rtl/>
          <w:lang w:bidi="ar-MA"/>
        </w:rPr>
        <w:t>مقارنة مع الفصل السابق</w:t>
      </w:r>
      <w:r w:rsidR="00067D74" w:rsidRPr="0051667C">
        <w:rPr>
          <w:rFonts w:ascii="Times New Roman" w:hAnsi="Times New Roman" w:cs="Simplified Arabic" w:hint="cs"/>
          <w:bCs/>
          <w:sz w:val="26"/>
          <w:szCs w:val="26"/>
          <w:rtl/>
          <w:lang w:bidi="ar-MA"/>
        </w:rPr>
        <w:t xml:space="preserve"> و</w:t>
      </w:r>
      <w:r w:rsidR="009C1BDC" w:rsidRPr="0051667C">
        <w:rPr>
          <w:rFonts w:ascii="Times New Roman" w:hAnsi="Times New Roman" w:cs="Simplified Arabic" w:hint="cs"/>
          <w:bCs/>
          <w:sz w:val="26"/>
          <w:szCs w:val="26"/>
          <w:rtl/>
          <w:lang w:bidi="ar-MA"/>
        </w:rPr>
        <w:t xml:space="preserve"> </w:t>
      </w:r>
      <w:r w:rsidR="00C53082" w:rsidRPr="0051667C">
        <w:rPr>
          <w:rFonts w:ascii="Times New Roman" w:hAnsi="Times New Roman" w:cs="Simplified Arabic" w:hint="cs"/>
          <w:bCs/>
          <w:sz w:val="26"/>
          <w:szCs w:val="26"/>
          <w:rtl/>
          <w:lang w:bidi="ar-MA"/>
        </w:rPr>
        <w:t>تراجعا</w:t>
      </w:r>
      <w:r w:rsidRPr="0051667C">
        <w:rPr>
          <w:rFonts w:ascii="Times New Roman" w:hAnsi="Times New Roman" w:cs="Simplified Arabic" w:hint="cs"/>
          <w:bCs/>
          <w:sz w:val="26"/>
          <w:szCs w:val="26"/>
          <w:rtl/>
          <w:lang w:bidi="ar-MA"/>
        </w:rPr>
        <w:t xml:space="preserve"> </w:t>
      </w:r>
      <w:r w:rsidR="00DF74BA" w:rsidRPr="0051667C">
        <w:rPr>
          <w:rFonts w:ascii="Times New Roman" w:hAnsi="Times New Roman" w:cs="Simplified Arabic" w:hint="cs"/>
          <w:bCs/>
          <w:sz w:val="26"/>
          <w:szCs w:val="26"/>
          <w:rtl/>
          <w:lang w:bidi="ar-MA"/>
        </w:rPr>
        <w:t>بالمقارنة</w:t>
      </w:r>
      <w:r w:rsidRPr="0051667C">
        <w:rPr>
          <w:rFonts w:ascii="Times New Roman" w:hAnsi="Times New Roman" w:cs="Simplified Arabic" w:hint="cs"/>
          <w:bCs/>
          <w:sz w:val="26"/>
          <w:szCs w:val="26"/>
          <w:rtl/>
          <w:lang w:bidi="ar-MA"/>
        </w:rPr>
        <w:t xml:space="preserve"> مع نفس الفصل من السنة الماضية</w:t>
      </w:r>
      <w:r w:rsidR="00067D74" w:rsidRPr="0051667C">
        <w:rPr>
          <w:rFonts w:ascii="Times New Roman" w:hAnsi="Times New Roman" w:cs="Simplified Arabic" w:hint="cs"/>
          <w:bCs/>
          <w:sz w:val="26"/>
          <w:szCs w:val="26"/>
          <w:rtl/>
          <w:lang w:bidi="ar-MA"/>
        </w:rPr>
        <w:t xml:space="preserve"> من خلال استمرار التشاؤم بخصوص توقعات البطالة و تكلفة المعيشة و الادخار. كما تبين النتائج </w:t>
      </w:r>
      <w:r w:rsidR="0051667C" w:rsidRPr="0051667C">
        <w:rPr>
          <w:rFonts w:ascii="Times New Roman" w:hAnsi="Times New Roman" w:cs="Simplified Arabic" w:hint="cs"/>
          <w:bCs/>
          <w:sz w:val="26"/>
          <w:szCs w:val="26"/>
          <w:rtl/>
          <w:lang w:bidi="ar-MA"/>
        </w:rPr>
        <w:t xml:space="preserve">كذلك </w:t>
      </w:r>
      <w:r w:rsidR="009C1BDC" w:rsidRPr="0051667C">
        <w:rPr>
          <w:rFonts w:ascii="Times New Roman" w:hAnsi="Times New Roman" w:cs="Simplified Arabic" w:hint="cs"/>
          <w:bCs/>
          <w:sz w:val="26"/>
          <w:szCs w:val="26"/>
          <w:rtl/>
          <w:lang w:bidi="ar-MA"/>
        </w:rPr>
        <w:t xml:space="preserve">الشعور </w:t>
      </w:r>
      <w:r w:rsidR="00067D74" w:rsidRPr="0051667C">
        <w:rPr>
          <w:rFonts w:ascii="Times New Roman" w:hAnsi="Times New Roman" w:cs="Simplified Arabic" w:hint="cs"/>
          <w:bCs/>
          <w:sz w:val="26"/>
          <w:szCs w:val="26"/>
          <w:rtl/>
          <w:lang w:bidi="ar-MA"/>
        </w:rPr>
        <w:t>السلبي لل</w:t>
      </w:r>
      <w:r w:rsidR="009C1BDC" w:rsidRPr="0051667C">
        <w:rPr>
          <w:rFonts w:ascii="Times New Roman" w:hAnsi="Times New Roman" w:cs="Simplified Arabic" w:hint="cs"/>
          <w:bCs/>
          <w:sz w:val="26"/>
          <w:szCs w:val="26"/>
          <w:rtl/>
          <w:lang w:bidi="ar-MA"/>
        </w:rPr>
        <w:t>أسر</w:t>
      </w:r>
      <w:r w:rsidR="0051667C" w:rsidRPr="0051667C">
        <w:rPr>
          <w:rFonts w:ascii="Times New Roman" w:hAnsi="Times New Roman" w:cs="Simplified Arabic" w:hint="cs"/>
          <w:bCs/>
          <w:sz w:val="26"/>
          <w:szCs w:val="26"/>
          <w:rtl/>
          <w:lang w:bidi="ar-MA"/>
        </w:rPr>
        <w:t xml:space="preserve">، ما بين </w:t>
      </w:r>
      <w:r w:rsidR="0051667C" w:rsidRPr="0051667C">
        <w:rPr>
          <w:rFonts w:ascii="Times New Roman" w:hAnsi="Times New Roman" w:cs="Simplified Arabic"/>
          <w:bCs/>
          <w:sz w:val="26"/>
          <w:szCs w:val="26"/>
          <w:rtl/>
          <w:lang w:bidi="ar-MA"/>
        </w:rPr>
        <w:t>2018</w:t>
      </w:r>
      <w:r w:rsidR="0051667C" w:rsidRPr="0051667C">
        <w:rPr>
          <w:rFonts w:ascii="Times New Roman" w:hAnsi="Times New Roman" w:cs="Simplified Arabic" w:hint="cs"/>
          <w:bCs/>
          <w:sz w:val="26"/>
          <w:szCs w:val="26"/>
          <w:rtl/>
          <w:lang w:bidi="ar-MA"/>
        </w:rPr>
        <w:t xml:space="preserve"> و</w:t>
      </w:r>
      <w:r w:rsidR="0051667C" w:rsidRPr="0051667C">
        <w:rPr>
          <w:rFonts w:ascii="Times New Roman" w:hAnsi="Times New Roman" w:cs="Simplified Arabic"/>
          <w:bCs/>
          <w:sz w:val="26"/>
          <w:szCs w:val="26"/>
          <w:rtl/>
          <w:lang w:bidi="ar-MA"/>
        </w:rPr>
        <w:t>2019</w:t>
      </w:r>
      <w:r w:rsidR="0051667C" w:rsidRPr="0051667C">
        <w:rPr>
          <w:rFonts w:ascii="Times New Roman" w:hAnsi="Times New Roman" w:cs="Simplified Arabic" w:hint="cs"/>
          <w:bCs/>
          <w:sz w:val="26"/>
          <w:szCs w:val="26"/>
          <w:rtl/>
          <w:lang w:bidi="ar-MA"/>
        </w:rPr>
        <w:t>،</w:t>
      </w:r>
      <w:r w:rsidR="009C1BDC" w:rsidRPr="0051667C">
        <w:rPr>
          <w:rFonts w:ascii="Times New Roman" w:hAnsi="Times New Roman" w:cs="Simplified Arabic" w:hint="cs"/>
          <w:bCs/>
          <w:sz w:val="26"/>
          <w:szCs w:val="26"/>
          <w:rtl/>
          <w:lang w:bidi="ar-MA"/>
        </w:rPr>
        <w:t xml:space="preserve"> </w:t>
      </w:r>
      <w:r w:rsidR="00067D74" w:rsidRPr="0051667C">
        <w:rPr>
          <w:rFonts w:ascii="Times New Roman" w:hAnsi="Times New Roman" w:cs="Simplified Arabic" w:hint="cs"/>
          <w:bCs/>
          <w:sz w:val="26"/>
          <w:szCs w:val="26"/>
          <w:rtl/>
          <w:lang w:bidi="ar-MA"/>
        </w:rPr>
        <w:t xml:space="preserve">فيما يخص </w:t>
      </w:r>
      <w:r w:rsidR="0051667C" w:rsidRPr="0051667C">
        <w:rPr>
          <w:rFonts w:ascii="Times New Roman" w:hAnsi="Times New Roman" w:cs="Simplified Arabic" w:hint="cs"/>
          <w:bCs/>
          <w:sz w:val="26"/>
          <w:szCs w:val="26"/>
          <w:rtl/>
          <w:lang w:bidi="ar-MA"/>
        </w:rPr>
        <w:t>آ</w:t>
      </w:r>
      <w:r w:rsidR="00067D74" w:rsidRPr="0051667C">
        <w:rPr>
          <w:rFonts w:ascii="Times New Roman" w:hAnsi="Times New Roman" w:cs="Simplified Arabic" w:hint="cs"/>
          <w:bCs/>
          <w:sz w:val="26"/>
          <w:szCs w:val="26"/>
          <w:rtl/>
          <w:lang w:bidi="ar-MA"/>
        </w:rPr>
        <w:t>رائها حول تطور</w:t>
      </w:r>
      <w:r w:rsidR="009C1BDC" w:rsidRPr="0051667C">
        <w:rPr>
          <w:rFonts w:ascii="Times New Roman" w:hAnsi="Times New Roman" w:cs="Simplified Arabic" w:hint="cs"/>
          <w:bCs/>
          <w:sz w:val="26"/>
          <w:szCs w:val="26"/>
          <w:rtl/>
          <w:lang w:bidi="ar-MA"/>
        </w:rPr>
        <w:t xml:space="preserve"> </w:t>
      </w:r>
      <w:r w:rsidR="00C3791A" w:rsidRPr="0051667C">
        <w:rPr>
          <w:rFonts w:ascii="Times New Roman" w:hAnsi="Times New Roman" w:cs="Simplified Arabic"/>
          <w:bCs/>
          <w:sz w:val="26"/>
          <w:szCs w:val="26"/>
          <w:rtl/>
          <w:lang w:bidi="ar-MA"/>
        </w:rPr>
        <w:t>وضعية حقوق الإنسان و</w:t>
      </w:r>
      <w:r w:rsidR="00C3791A" w:rsidRPr="0051667C">
        <w:rPr>
          <w:rFonts w:ascii="Times New Roman" w:hAnsi="Times New Roman" w:cs="Simplified Arabic" w:hint="cs"/>
          <w:bCs/>
          <w:sz w:val="26"/>
          <w:szCs w:val="26"/>
          <w:rtl/>
          <w:lang w:bidi="ar-MA"/>
        </w:rPr>
        <w:t xml:space="preserve">المحافظة على </w:t>
      </w:r>
      <w:r w:rsidR="00C3791A" w:rsidRPr="0051667C">
        <w:rPr>
          <w:rFonts w:ascii="Times New Roman" w:hAnsi="Times New Roman" w:cs="Simplified Arabic"/>
          <w:bCs/>
          <w:sz w:val="26"/>
          <w:szCs w:val="26"/>
          <w:rtl/>
          <w:lang w:bidi="ar-MA"/>
        </w:rPr>
        <w:t>البيئة</w:t>
      </w:r>
      <w:r w:rsidR="00C3791A" w:rsidRPr="0051667C">
        <w:rPr>
          <w:rFonts w:ascii="Times New Roman" w:hAnsi="Times New Roman" w:cs="Simplified Arabic" w:hint="cs"/>
          <w:bCs/>
          <w:sz w:val="26"/>
          <w:szCs w:val="26"/>
          <w:rtl/>
          <w:lang w:bidi="ar-MA"/>
        </w:rPr>
        <w:t xml:space="preserve"> وكذا جودة الخدمات </w:t>
      </w:r>
      <w:r w:rsidR="00F2138E">
        <w:rPr>
          <w:rFonts w:ascii="Times New Roman" w:hAnsi="Times New Roman" w:cs="Simplified Arabic" w:hint="cs"/>
          <w:b/>
          <w:bCs/>
          <w:sz w:val="26"/>
          <w:szCs w:val="26"/>
          <w:rtl/>
          <w:lang w:bidi="ar-MA"/>
        </w:rPr>
        <w:t>العمومية</w:t>
      </w:r>
      <w:r w:rsidR="00C3791A" w:rsidRPr="00067D74">
        <w:rPr>
          <w:rFonts w:ascii="Times New Roman" w:hAnsi="Times New Roman" w:cs="Simplified Arabic" w:hint="cs"/>
          <w:bCs/>
          <w:sz w:val="26"/>
          <w:szCs w:val="26"/>
          <w:rtl/>
          <w:lang w:bidi="ar-MA"/>
        </w:rPr>
        <w:t>.</w:t>
      </w:r>
    </w:p>
    <w:p w:rsidR="0047396E" w:rsidRPr="00E335F4" w:rsidRDefault="0047396E" w:rsidP="00E335F4">
      <w:pPr>
        <w:bidi/>
        <w:spacing w:before="240"/>
        <w:jc w:val="both"/>
        <w:rPr>
          <w:rFonts w:ascii="Times New Roman" w:hAnsi="Times New Roman" w:cs="Simplified Arabic"/>
          <w:b/>
          <w:lang w:bidi="ar-MA"/>
        </w:rPr>
      </w:pPr>
      <w:r w:rsidRPr="00E335F4">
        <w:rPr>
          <w:rFonts w:ascii="Times New Roman" w:hAnsi="Times New Roman" w:cs="Simplified Arabic" w:hint="cs"/>
          <w:rtl/>
          <w:lang w:bidi="ar-MA"/>
        </w:rPr>
        <w:t xml:space="preserve">هكذا انتقل مؤشر ثقة الأسر الى 77,8 </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 xml:space="preserve">نقطة عوض 74,8  نقطة المسجلة خلال الفصل السابق و79,8 </w:t>
      </w:r>
      <w:r w:rsidRPr="00E335F4">
        <w:rPr>
          <w:rFonts w:ascii="Times New Roman" w:hAnsi="Times New Roman" w:cs="Simplified Arabic" w:hint="cs"/>
          <w:b/>
          <w:rtl/>
          <w:lang w:bidi="ar-MA"/>
        </w:rPr>
        <w:t>نقطة المسجلة في  الفصل الرابع من السنة الماضية</w:t>
      </w:r>
      <w:r w:rsidRPr="00E335F4">
        <w:rPr>
          <w:rFonts w:ascii="Times New Roman" w:hAnsi="Times New Roman" w:cs="Simplified Arabic"/>
          <w:b/>
          <w:lang w:bidi="ar-MA"/>
        </w:rPr>
        <w:t>.</w:t>
      </w:r>
    </w:p>
    <w:p w:rsidR="0047396E" w:rsidRPr="000F62DE" w:rsidRDefault="0047396E" w:rsidP="00795089">
      <w:pPr>
        <w:bidi/>
        <w:spacing w:before="240" w:line="360" w:lineRule="auto"/>
        <w:ind w:hanging="1"/>
        <w:jc w:val="center"/>
        <w:rPr>
          <w:rFonts w:ascii="Times New Roman" w:hAnsi="Times New Roman" w:cs="Simplified Arabic"/>
          <w:lang w:bidi="ar-MA"/>
        </w:rPr>
      </w:pPr>
    </w:p>
    <w:p w:rsidR="0047396E" w:rsidRPr="000F62DE" w:rsidRDefault="0047396E" w:rsidP="00795089">
      <w:pPr>
        <w:widowControl/>
        <w:autoSpaceDE/>
        <w:autoSpaceDN/>
        <w:bidi/>
        <w:adjustRightInd/>
        <w:spacing w:line="360" w:lineRule="auto"/>
        <w:jc w:val="center"/>
        <w:rPr>
          <w:rFonts w:ascii="Times New Roman" w:hAnsi="Times New Roman" w:cs="Simplified Arabic"/>
          <w:b/>
          <w:bCs/>
          <w:rtl/>
          <w:lang w:bidi="ar-MA"/>
        </w:rPr>
      </w:pPr>
      <w:r w:rsidRPr="006B1B58">
        <w:rPr>
          <w:rFonts w:ascii="Times New Roman" w:hAnsi="Times New Roman" w:cs="Simplified Arabic"/>
          <w:b/>
          <w:bCs/>
          <w:noProof/>
          <w:rtl/>
        </w:rPr>
        <w:drawing>
          <wp:inline distT="0" distB="0" distL="0" distR="0">
            <wp:extent cx="6540776" cy="3419061"/>
            <wp:effectExtent l="19050" t="0" r="12424"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7396E" w:rsidRDefault="0047396E" w:rsidP="00795089">
      <w:pPr>
        <w:pStyle w:val="Paragraphedeliste"/>
        <w:widowControl/>
        <w:autoSpaceDE/>
        <w:autoSpaceDN/>
        <w:bidi/>
        <w:adjustRightInd/>
        <w:spacing w:line="360" w:lineRule="auto"/>
        <w:ind w:left="502"/>
        <w:jc w:val="both"/>
        <w:rPr>
          <w:rFonts w:ascii="Times New Roman" w:hAnsi="Times New Roman" w:cs="Simplified Arabic"/>
          <w:b/>
          <w:bCs/>
          <w:lang w:bidi="ar-MA"/>
        </w:rPr>
      </w:pPr>
    </w:p>
    <w:p w:rsidR="00E335F4" w:rsidRDefault="00E335F4" w:rsidP="00E335F4">
      <w:pPr>
        <w:pStyle w:val="Paragraphedeliste"/>
        <w:widowControl/>
        <w:autoSpaceDE/>
        <w:autoSpaceDN/>
        <w:bidi/>
        <w:adjustRightInd/>
        <w:spacing w:line="360" w:lineRule="auto"/>
        <w:ind w:left="502"/>
        <w:jc w:val="both"/>
        <w:rPr>
          <w:rFonts w:ascii="Times New Roman" w:hAnsi="Times New Roman" w:cs="Simplified Arabic"/>
          <w:b/>
          <w:bCs/>
          <w:lang w:bidi="ar-MA"/>
        </w:rPr>
      </w:pPr>
    </w:p>
    <w:p w:rsidR="0047396E" w:rsidRPr="000F62DE" w:rsidRDefault="0047396E" w:rsidP="00795089">
      <w:pPr>
        <w:pStyle w:val="Paragraphedeliste"/>
        <w:widowControl/>
        <w:numPr>
          <w:ilvl w:val="0"/>
          <w:numId w:val="2"/>
        </w:numPr>
        <w:autoSpaceDE/>
        <w:autoSpaceDN/>
        <w:bidi/>
        <w:adjustRightInd/>
        <w:spacing w:line="360" w:lineRule="auto"/>
        <w:jc w:val="both"/>
        <w:rPr>
          <w:rFonts w:ascii="Times New Roman" w:hAnsi="Times New Roman" w:cs="Simplified Arabic"/>
          <w:b/>
          <w:bCs/>
          <w:lang w:bidi="ar-MA"/>
        </w:rPr>
      </w:pPr>
      <w:r w:rsidRPr="003549B7">
        <w:rPr>
          <w:rFonts w:ascii="Times New Roman" w:hAnsi="Times New Roman" w:cs="Simplified Arabic" w:hint="cs"/>
          <w:b/>
          <w:bCs/>
          <w:sz w:val="30"/>
          <w:szCs w:val="30"/>
          <w:rtl/>
          <w:lang w:bidi="ar-MA"/>
        </w:rPr>
        <w:lastRenderedPageBreak/>
        <w:t>تطور مكونات مؤشر الثقة</w:t>
      </w:r>
    </w:p>
    <w:p w:rsidR="00E335F4" w:rsidRPr="00E335F4" w:rsidRDefault="0047396E" w:rsidP="00E335F4">
      <w:pPr>
        <w:bidi/>
        <w:jc w:val="both"/>
        <w:rPr>
          <w:rFonts w:ascii="Times New Roman" w:hAnsi="Times New Roman" w:cs="Simplified Arabic"/>
          <w:lang w:bidi="ar-MA"/>
        </w:rPr>
      </w:pPr>
      <w:r w:rsidRPr="00E335F4">
        <w:rPr>
          <w:rFonts w:ascii="Times New Roman" w:hAnsi="Times New Roman" w:cs="Simplified Arabic" w:hint="cs"/>
          <w:rtl/>
          <w:lang w:bidi="ar-MA"/>
        </w:rPr>
        <w:t>تهم هذه المكونات آراء الأسر حول تطور مستوى المعيشة و</w:t>
      </w:r>
      <w:r w:rsidR="00DF74BA" w:rsidRPr="00E335F4">
        <w:rPr>
          <w:rFonts w:ascii="Times New Roman" w:hAnsi="Times New Roman" w:cs="Simplified Arabic" w:hint="cs"/>
          <w:rtl/>
          <w:lang w:bidi="ar-MA"/>
        </w:rPr>
        <w:t xml:space="preserve"> البطالة و</w:t>
      </w:r>
      <w:r w:rsidR="00DF74BA" w:rsidRPr="00E335F4">
        <w:rPr>
          <w:rFonts w:ascii="Times New Roman" w:hAnsi="Times New Roman" w:cs="Simplified Arabic"/>
          <w:rtl/>
          <w:lang w:bidi="ar-MA"/>
        </w:rPr>
        <w:t xml:space="preserve"> </w:t>
      </w:r>
      <w:r w:rsidR="00DF74BA" w:rsidRPr="00E335F4">
        <w:rPr>
          <w:rFonts w:ascii="Times New Roman" w:hAnsi="Times New Roman" w:cs="Simplified Arabic" w:hint="cs"/>
          <w:rtl/>
          <w:lang w:bidi="ar-MA"/>
        </w:rPr>
        <w:t xml:space="preserve">فرص اقتناء السلع المستدامة </w:t>
      </w:r>
      <w:r w:rsidR="00DF74BA" w:rsidRPr="00E335F4">
        <w:rPr>
          <w:rFonts w:ascii="Times New Roman" w:hAnsi="Times New Roman" w:cs="Simplified Arabic"/>
          <w:rtl/>
          <w:lang w:bidi="ar-MA"/>
        </w:rPr>
        <w:t xml:space="preserve"> </w:t>
      </w:r>
      <w:r w:rsidRPr="00E335F4">
        <w:rPr>
          <w:rFonts w:ascii="Times New Roman" w:hAnsi="Times New Roman" w:cs="Simplified Arabic" w:hint="cs"/>
          <w:rtl/>
          <w:lang w:bidi="ar-MA"/>
        </w:rPr>
        <w:t xml:space="preserve">وكذا </w:t>
      </w:r>
      <w:r w:rsidR="00DF74BA" w:rsidRPr="00E335F4">
        <w:rPr>
          <w:rFonts w:ascii="Times New Roman" w:hAnsi="Times New Roman" w:cs="Simplified Arabic" w:hint="cs"/>
          <w:rtl/>
          <w:lang w:bidi="ar-MA"/>
        </w:rPr>
        <w:t>تطور وضعيتهم المالية</w:t>
      </w:r>
      <w:r w:rsidRPr="00E335F4">
        <w:rPr>
          <w:rFonts w:ascii="Times New Roman" w:hAnsi="Times New Roman" w:cs="Simplified Arabic" w:hint="cs"/>
          <w:rtl/>
          <w:lang w:bidi="ar-MA"/>
        </w:rPr>
        <w:t xml:space="preserve">. </w:t>
      </w:r>
    </w:p>
    <w:p w:rsidR="00E335F4" w:rsidRDefault="00E335F4" w:rsidP="00E335F4">
      <w:pPr>
        <w:bidi/>
        <w:jc w:val="both"/>
        <w:rPr>
          <w:rFonts w:ascii="Times New Roman" w:hAnsi="Times New Roman" w:cs="Simplified Arabic"/>
          <w:sz w:val="28"/>
          <w:szCs w:val="28"/>
          <w:rtl/>
          <w:lang w:bidi="ar-MA"/>
        </w:rPr>
      </w:pPr>
    </w:p>
    <w:p w:rsidR="0047396E" w:rsidRPr="00E329C0" w:rsidRDefault="0047396E" w:rsidP="00795089">
      <w:pPr>
        <w:pStyle w:val="Paragraphedeliste"/>
        <w:widowControl/>
        <w:numPr>
          <w:ilvl w:val="1"/>
          <w:numId w:val="2"/>
        </w:numPr>
        <w:autoSpaceDE/>
        <w:autoSpaceDN/>
        <w:bidi/>
        <w:adjustRightInd/>
        <w:spacing w:after="200" w:line="360" w:lineRule="auto"/>
        <w:ind w:left="566" w:hanging="283"/>
        <w:jc w:val="both"/>
        <w:rPr>
          <w:rFonts w:ascii="Times New Roman" w:hAnsi="Times New Roman" w:cs="Simplified Arabic"/>
          <w:b/>
          <w:bCs/>
          <w:sz w:val="30"/>
          <w:szCs w:val="30"/>
          <w:lang w:bidi="ar-MA"/>
        </w:rPr>
      </w:pPr>
      <w:r>
        <w:rPr>
          <w:rFonts w:ascii="Times New Roman" w:hAnsi="Times New Roman" w:cs="Simplified Arabic" w:hint="cs"/>
          <w:b/>
          <w:bCs/>
          <w:sz w:val="30"/>
          <w:szCs w:val="30"/>
          <w:rtl/>
          <w:lang w:bidi="ar-MA"/>
        </w:rPr>
        <w:t xml:space="preserve">توقعات بتحسن مستوى المعيشة </w:t>
      </w:r>
    </w:p>
    <w:p w:rsidR="0047396E" w:rsidRPr="00E335F4" w:rsidRDefault="0047396E" w:rsidP="00E335F4">
      <w:pPr>
        <w:bidi/>
        <w:jc w:val="both"/>
        <w:rPr>
          <w:rFonts w:ascii="Times New Roman" w:hAnsi="Times New Roman" w:cs="Simplified Arabic"/>
          <w:rtl/>
          <w:lang w:bidi="ar-MA"/>
        </w:rPr>
      </w:pPr>
      <w:r w:rsidRPr="00E335F4">
        <w:rPr>
          <w:rFonts w:ascii="Times New Roman" w:hAnsi="Times New Roman" w:cs="Simplified Arabic" w:hint="cs"/>
          <w:rtl/>
          <w:lang w:bidi="ar-MA"/>
        </w:rPr>
        <w:t>خلال  الفصل الرابع من سنة 2019، بلغ معدل الأسر التي صرحت بتدهور مستوى المعيشة</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خلال 12 شهرا السابقة 43</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 xml:space="preserve"> ، فيما اعتبرت</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 xml:space="preserve">34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منها استقراره و</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 xml:space="preserve">23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تحسنه. وهكذا، استقر رصيد هذا المؤشر في مستوى سلبي بلغ ناقص 20,0 </w:t>
      </w:r>
      <w:r w:rsidR="00DB58F0" w:rsidRPr="00E335F4">
        <w:rPr>
          <w:rFonts w:ascii="Times New Roman" w:hAnsi="Times New Roman" w:cs="Simplified Arabic" w:hint="cs"/>
          <w:rtl/>
          <w:lang w:bidi="ar-MA"/>
        </w:rPr>
        <w:t xml:space="preserve">نقطة </w:t>
      </w:r>
      <w:r w:rsidRPr="00E335F4">
        <w:rPr>
          <w:rFonts w:ascii="Times New Roman" w:hAnsi="Times New Roman" w:cs="Simplified Arabic" w:hint="cs"/>
          <w:rtl/>
          <w:lang w:bidi="ar-MA"/>
        </w:rPr>
        <w:t>عوض ناقص 20,2 نقطة خلال الفصل السابق وناقص 13,3 نقطة خلال نفس الفصل من السنة الماضية</w:t>
      </w:r>
      <w:r w:rsidR="008052A4" w:rsidRPr="00E335F4">
        <w:rPr>
          <w:rFonts w:ascii="Times New Roman" w:hAnsi="Times New Roman" w:cs="Simplified Arabic" w:hint="cs"/>
          <w:rtl/>
          <w:lang w:bidi="ar-MA"/>
        </w:rPr>
        <w:t>.</w:t>
      </w:r>
    </w:p>
    <w:p w:rsidR="0047396E" w:rsidRPr="000F62DE" w:rsidRDefault="0047396E" w:rsidP="00E335F4">
      <w:pPr>
        <w:bidi/>
        <w:spacing w:before="240"/>
        <w:rPr>
          <w:rFonts w:ascii="Times New Roman" w:hAnsi="Times New Roman" w:cs="Simplified Arabic"/>
          <w:rtl/>
          <w:lang w:bidi="ar-MA"/>
        </w:rPr>
      </w:pPr>
      <w:r w:rsidRPr="00E335F4">
        <w:rPr>
          <w:rFonts w:ascii="Times New Roman" w:hAnsi="Times New Roman" w:cs="Simplified Arabic" w:hint="cs"/>
          <w:rtl/>
          <w:lang w:bidi="ar-MA"/>
        </w:rPr>
        <w:t xml:space="preserve">أما بخصوص تطور مستوى المعيشة خلال 12 شهرا المقبلة، فتتوقع 28,8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من الأسر تدهوره و44,5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استقراره في حين 26,7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ترجح تحسنه. وهكذا</w:t>
      </w:r>
      <w:r w:rsidR="00622D42" w:rsidRPr="00E335F4">
        <w:rPr>
          <w:rFonts w:ascii="Times New Roman" w:hAnsi="Times New Roman" w:cs="Simplified Arabic" w:hint="cs"/>
          <w:rtl/>
          <w:lang w:bidi="ar-MA"/>
        </w:rPr>
        <w:t>،</w:t>
      </w:r>
      <w:r w:rsidRPr="00E335F4">
        <w:rPr>
          <w:rFonts w:ascii="Times New Roman" w:hAnsi="Times New Roman" w:cs="Simplified Arabic" w:hint="cs"/>
          <w:rtl/>
          <w:lang w:bidi="ar-MA"/>
        </w:rPr>
        <w:t xml:space="preserve"> سجل رصيد هذا المؤشر ناقص2,2 نقاط عوض ناقص3,7 </w:t>
      </w:r>
      <w:r w:rsidR="00622D42" w:rsidRPr="00E335F4">
        <w:rPr>
          <w:rFonts w:ascii="Times New Roman" w:hAnsi="Times New Roman" w:cs="Simplified Arabic" w:hint="cs"/>
          <w:rtl/>
          <w:lang w:bidi="ar-MA"/>
        </w:rPr>
        <w:t>نقاط</w:t>
      </w:r>
      <w:r w:rsidRPr="00E335F4">
        <w:rPr>
          <w:rFonts w:ascii="Times New Roman" w:hAnsi="Times New Roman" w:cs="Simplified Arabic" w:hint="cs"/>
          <w:rtl/>
          <w:lang w:bidi="ar-MA"/>
        </w:rPr>
        <w:t xml:space="preserve"> خلال الفصل السابق و9,0</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نقاط خلال نفس الفصل من السنة الماضية.</w:t>
      </w:r>
      <w:r w:rsidRPr="006B1B58">
        <w:rPr>
          <w:rFonts w:ascii="Times New Roman" w:hAnsi="Times New Roman" w:cs="Simplified Arabic"/>
          <w:noProof/>
          <w:rtl/>
        </w:rPr>
        <w:drawing>
          <wp:inline distT="0" distB="0" distL="0" distR="0">
            <wp:extent cx="5835677" cy="3641698"/>
            <wp:effectExtent l="19050" t="0" r="12673"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04AB7" w:rsidRPr="000F62DE" w:rsidRDefault="00804AB7" w:rsidP="00795089">
      <w:pPr>
        <w:widowControl/>
        <w:autoSpaceDE/>
        <w:autoSpaceDN/>
        <w:bidi/>
        <w:adjustRightInd/>
        <w:spacing w:after="200" w:line="360" w:lineRule="auto"/>
        <w:jc w:val="both"/>
        <w:rPr>
          <w:rFonts w:ascii="Times New Roman" w:hAnsi="Times New Roman" w:cs="Simplified Arabic"/>
          <w:rtl/>
          <w:lang w:bidi="ar-MA"/>
        </w:rPr>
      </w:pPr>
    </w:p>
    <w:p w:rsidR="0047396E" w:rsidRPr="00751E8B" w:rsidRDefault="0047396E" w:rsidP="00E335F4">
      <w:pPr>
        <w:pStyle w:val="Paragraphedeliste"/>
        <w:widowControl/>
        <w:numPr>
          <w:ilvl w:val="1"/>
          <w:numId w:val="2"/>
        </w:numPr>
        <w:autoSpaceDE/>
        <w:autoSpaceDN/>
        <w:bidi/>
        <w:adjustRightInd/>
        <w:ind w:left="566" w:hanging="283"/>
        <w:jc w:val="both"/>
        <w:rPr>
          <w:rFonts w:ascii="Times New Roman" w:hAnsi="Times New Roman" w:cs="Simplified Arabic"/>
          <w:sz w:val="28"/>
          <w:szCs w:val="28"/>
          <w:rtl/>
          <w:lang w:bidi="ar-MA"/>
        </w:rPr>
      </w:pPr>
      <w:r>
        <w:rPr>
          <w:rFonts w:ascii="Times New Roman" w:hAnsi="Times New Roman" w:cs="Simplified Arabic" w:hint="cs"/>
          <w:b/>
          <w:bCs/>
          <w:sz w:val="30"/>
          <w:szCs w:val="30"/>
          <w:rtl/>
          <w:lang w:bidi="ar-MA"/>
        </w:rPr>
        <w:t>تطور مستوى البطالة</w:t>
      </w:r>
      <w:r w:rsidR="00B41C33">
        <w:rPr>
          <w:rFonts w:ascii="Times New Roman" w:hAnsi="Times New Roman" w:cs="Simplified Arabic"/>
          <w:b/>
          <w:bCs/>
          <w:sz w:val="30"/>
          <w:szCs w:val="30"/>
          <w:lang w:bidi="ar-MA"/>
        </w:rPr>
        <w:t xml:space="preserve">: </w:t>
      </w:r>
      <w:r w:rsidR="00B41C33">
        <w:rPr>
          <w:rFonts w:ascii="Times New Roman" w:hAnsi="Times New Roman" w:cs="Simplified Arabic" w:hint="cs"/>
          <w:b/>
          <w:bCs/>
          <w:sz w:val="30"/>
          <w:szCs w:val="30"/>
          <w:rtl/>
          <w:lang w:bidi="ar-MA"/>
        </w:rPr>
        <w:t>اراء دائما متشائمة</w:t>
      </w:r>
    </w:p>
    <w:p w:rsidR="0047396E" w:rsidRDefault="0047396E" w:rsidP="00E335F4">
      <w:pPr>
        <w:bidi/>
        <w:jc w:val="both"/>
        <w:rPr>
          <w:rFonts w:ascii="Times New Roman" w:hAnsi="Times New Roman" w:cs="Simplified Arabic"/>
          <w:sz w:val="28"/>
          <w:szCs w:val="28"/>
          <w:rtl/>
          <w:lang w:bidi="ar-MA"/>
        </w:rPr>
      </w:pPr>
      <w:r w:rsidRPr="00E335F4">
        <w:rPr>
          <w:rFonts w:ascii="Times New Roman" w:hAnsi="Times New Roman" w:cs="Simplified Arabic" w:hint="cs"/>
          <w:rtl/>
          <w:lang w:bidi="ar-MA"/>
        </w:rPr>
        <w:t>خلال الفصل الرابع من سنة 2019، توقعت</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79,</w:t>
      </w:r>
      <w:r w:rsidR="00EF656B" w:rsidRPr="00E335F4">
        <w:rPr>
          <w:rFonts w:ascii="Times New Roman" w:hAnsi="Times New Roman" w:cs="Simplified Arabic"/>
          <w:rtl/>
          <w:lang w:bidi="ar-MA"/>
        </w:rPr>
        <w:t>5</w:t>
      </w:r>
      <w:r w:rsidRPr="00E335F4">
        <w:rPr>
          <w:rFonts w:ascii="Times New Roman" w:hAnsi="Times New Roman" w:cs="Simplified Arabic" w:hint="cs"/>
          <w:rtl/>
          <w:lang w:bidi="ar-MA"/>
        </w:rPr>
        <w:t xml:space="preserve">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من الأسر مقابل 7,9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ارتفاعا في مستوى البطالة خلال 12 شهرا المقبلة. وهكذا استقر رصيد هذا المؤشر في مستوى سلبي بلغ ناقص</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71,6</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نقطة، مقابل ناقص</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71,8</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نقطة خلال الفصل السابق و ناقص</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70,0 نقطة خلال نفس الفصل من السنة الماضية</w:t>
      </w:r>
      <w:r>
        <w:rPr>
          <w:rFonts w:ascii="Times New Roman" w:hAnsi="Times New Roman" w:cs="Simplified Arabic" w:hint="cs"/>
          <w:sz w:val="28"/>
          <w:szCs w:val="28"/>
          <w:rtl/>
          <w:lang w:bidi="ar-MA"/>
        </w:rPr>
        <w:t>.</w:t>
      </w:r>
    </w:p>
    <w:p w:rsidR="0047396E" w:rsidRDefault="0047396E" w:rsidP="00795089">
      <w:pPr>
        <w:bidi/>
        <w:spacing w:line="360" w:lineRule="auto"/>
        <w:jc w:val="both"/>
        <w:rPr>
          <w:rFonts w:ascii="Times New Roman" w:hAnsi="Times New Roman" w:cs="Simplified Arabic"/>
          <w:lang w:bidi="ar-MA"/>
        </w:rPr>
      </w:pPr>
    </w:p>
    <w:p w:rsidR="0047396E" w:rsidRDefault="0047396E" w:rsidP="00795089">
      <w:pPr>
        <w:bidi/>
        <w:spacing w:line="360" w:lineRule="auto"/>
        <w:jc w:val="both"/>
        <w:rPr>
          <w:rFonts w:ascii="Times New Roman" w:hAnsi="Times New Roman" w:cs="Simplified Arabic"/>
          <w:lang w:bidi="ar-MA"/>
        </w:rPr>
      </w:pPr>
      <w:r w:rsidRPr="00131745">
        <w:rPr>
          <w:rFonts w:ascii="Times New Roman" w:hAnsi="Times New Roman" w:cs="Simplified Arabic"/>
          <w:noProof/>
          <w:rtl/>
        </w:rPr>
        <w:lastRenderedPageBreak/>
        <w:drawing>
          <wp:inline distT="0" distB="0" distL="0" distR="0">
            <wp:extent cx="6492157" cy="2735249"/>
            <wp:effectExtent l="19050" t="0" r="22943" b="7951"/>
            <wp:docPr id="4"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95089" w:rsidRDefault="00795089" w:rsidP="00795089">
      <w:pPr>
        <w:bidi/>
        <w:spacing w:line="360" w:lineRule="auto"/>
        <w:jc w:val="both"/>
        <w:rPr>
          <w:rFonts w:ascii="Times New Roman" w:hAnsi="Times New Roman" w:cs="Simplified Arabic"/>
          <w:lang w:bidi="ar-MA"/>
        </w:rPr>
      </w:pPr>
    </w:p>
    <w:p w:rsidR="0047396E" w:rsidRPr="00795089" w:rsidRDefault="0047396E" w:rsidP="00D22424">
      <w:pPr>
        <w:pStyle w:val="Paragraphedeliste"/>
        <w:widowControl/>
        <w:numPr>
          <w:ilvl w:val="1"/>
          <w:numId w:val="2"/>
        </w:numPr>
        <w:autoSpaceDE/>
        <w:autoSpaceDN/>
        <w:bidi/>
        <w:adjustRightInd/>
        <w:ind w:left="566" w:hanging="283"/>
        <w:jc w:val="both"/>
        <w:rPr>
          <w:rFonts w:ascii="Times New Roman" w:hAnsi="Times New Roman" w:cs="Simplified Arabic"/>
          <w:b/>
          <w:bCs/>
          <w:sz w:val="30"/>
          <w:szCs w:val="30"/>
          <w:lang w:bidi="ar-MA"/>
        </w:rPr>
      </w:pPr>
      <w:r w:rsidRPr="00795089">
        <w:rPr>
          <w:rFonts w:ascii="Times New Roman" w:hAnsi="Times New Roman" w:cs="Simplified Arabic" w:hint="cs"/>
          <w:b/>
          <w:bCs/>
          <w:sz w:val="30"/>
          <w:szCs w:val="30"/>
          <w:rtl/>
          <w:lang w:bidi="ar-MA"/>
        </w:rPr>
        <w:t>الظرفية غير ملائمة لاقتناء السلع</w:t>
      </w:r>
      <w:r w:rsidRPr="00D22424">
        <w:rPr>
          <w:rFonts w:ascii="Times New Roman" w:hAnsi="Times New Roman" w:cs="Simplified Arabic" w:hint="cs"/>
          <w:b/>
          <w:bCs/>
          <w:sz w:val="30"/>
          <w:szCs w:val="30"/>
          <w:rtl/>
          <w:lang w:bidi="ar-MA"/>
        </w:rPr>
        <w:t xml:space="preserve"> </w:t>
      </w:r>
      <w:r w:rsidRPr="00795089">
        <w:rPr>
          <w:rFonts w:ascii="Times New Roman" w:hAnsi="Times New Roman" w:cs="Simplified Arabic" w:hint="cs"/>
          <w:b/>
          <w:bCs/>
          <w:sz w:val="30"/>
          <w:szCs w:val="30"/>
          <w:rtl/>
          <w:lang w:bidi="ar-MA"/>
        </w:rPr>
        <w:t xml:space="preserve">المستديمة </w:t>
      </w:r>
    </w:p>
    <w:p w:rsidR="0047396E" w:rsidRPr="00E335F4" w:rsidRDefault="0047396E" w:rsidP="00E335F4">
      <w:pPr>
        <w:bidi/>
        <w:jc w:val="both"/>
        <w:rPr>
          <w:rFonts w:ascii="Times New Roman" w:hAnsi="Times New Roman" w:cs="Simplified Arabic"/>
          <w:rtl/>
          <w:lang w:bidi="ar-MA"/>
        </w:rPr>
      </w:pPr>
      <w:r w:rsidRPr="00E335F4">
        <w:rPr>
          <w:rFonts w:ascii="Times New Roman" w:hAnsi="Times New Roman" w:cs="Simplified Arabic" w:hint="cs"/>
          <w:rtl/>
          <w:lang w:bidi="ar-MA"/>
        </w:rPr>
        <w:t>اعتبرت 55,</w:t>
      </w:r>
      <w:r w:rsidR="00B41C33" w:rsidRPr="00E335F4">
        <w:rPr>
          <w:rFonts w:ascii="Times New Roman" w:hAnsi="Times New Roman" w:cs="Simplified Arabic" w:hint="cs"/>
          <w:rtl/>
          <w:lang w:bidi="ar-MA"/>
        </w:rPr>
        <w:t>5</w:t>
      </w:r>
      <w:r w:rsidRPr="00E335F4">
        <w:rPr>
          <w:rFonts w:ascii="Times New Roman" w:hAnsi="Times New Roman" w:cs="Simplified Arabic" w:hint="cs"/>
          <w:rtl/>
          <w:lang w:bidi="ar-MA"/>
        </w:rPr>
        <w:t xml:space="preserve">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من الأسر، خلال الفصل الرابع من سنة 2019، أن الظروف غير ملائمة للقيام بشراء سلع مستديمة في حين رأت 26,3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عكس ذلك. وهكذا استقر رصيد هذا المؤشر في مستواه السلبي مسجلا ناقص 29,2 نقطة مقابل ناقص 37,7 نقطة خلال الفصل السابق وناقص 36,7  نقطة خلال  الفصل الرابع من 2018.</w:t>
      </w:r>
    </w:p>
    <w:p w:rsidR="00B41C33" w:rsidRDefault="0047396E" w:rsidP="00E335F4">
      <w:pPr>
        <w:widowControl/>
        <w:autoSpaceDE/>
        <w:autoSpaceDN/>
        <w:bidi/>
        <w:adjustRightInd/>
        <w:spacing w:line="360" w:lineRule="auto"/>
        <w:jc w:val="both"/>
        <w:rPr>
          <w:rFonts w:ascii="Times New Roman" w:hAnsi="Times New Roman" w:cs="Simplified Arabic"/>
          <w:b/>
          <w:bCs/>
          <w:rtl/>
          <w:lang w:bidi="ar-MA"/>
        </w:rPr>
      </w:pPr>
      <w:r w:rsidRPr="00131745">
        <w:rPr>
          <w:rFonts w:ascii="Times New Roman" w:hAnsi="Times New Roman" w:cs="Simplified Arabic"/>
          <w:b/>
          <w:bCs/>
          <w:noProof/>
          <w:rtl/>
        </w:rPr>
        <w:drawing>
          <wp:inline distT="0" distB="0" distL="0" distR="0">
            <wp:extent cx="6395085" cy="2771775"/>
            <wp:effectExtent l="19050" t="0" r="24765" b="0"/>
            <wp:docPr id="5"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076C6" w:rsidRPr="0074631B" w:rsidRDefault="008052A4" w:rsidP="00D22424">
      <w:pPr>
        <w:pStyle w:val="Paragraphedeliste"/>
        <w:widowControl/>
        <w:numPr>
          <w:ilvl w:val="1"/>
          <w:numId w:val="2"/>
        </w:numPr>
        <w:autoSpaceDE/>
        <w:autoSpaceDN/>
        <w:bidi/>
        <w:adjustRightInd/>
        <w:ind w:left="566" w:hanging="283"/>
        <w:jc w:val="both"/>
        <w:rPr>
          <w:rFonts w:ascii="Times New Roman" w:hAnsi="Times New Roman" w:cs="Simplified Arabic"/>
          <w:b/>
          <w:bCs/>
          <w:sz w:val="30"/>
          <w:szCs w:val="30"/>
          <w:lang w:bidi="ar-MA"/>
        </w:rPr>
      </w:pPr>
      <w:r>
        <w:rPr>
          <w:rFonts w:ascii="Times New Roman" w:hAnsi="Times New Roman" w:cs="Simplified Arabic" w:hint="cs"/>
          <w:b/>
          <w:bCs/>
          <w:sz w:val="30"/>
          <w:szCs w:val="30"/>
          <w:rtl/>
          <w:lang w:bidi="ar-MA"/>
        </w:rPr>
        <w:t xml:space="preserve">الوضعية </w:t>
      </w:r>
      <w:r w:rsidR="0047396E">
        <w:rPr>
          <w:rFonts w:ascii="Times New Roman" w:hAnsi="Times New Roman" w:cs="Simplified Arabic" w:hint="cs"/>
          <w:b/>
          <w:bCs/>
          <w:sz w:val="30"/>
          <w:szCs w:val="30"/>
          <w:rtl/>
          <w:lang w:bidi="ar-MA"/>
        </w:rPr>
        <w:t xml:space="preserve">المالية </w:t>
      </w:r>
      <w:r w:rsidRPr="00D076C6">
        <w:rPr>
          <w:rFonts w:ascii="Times New Roman" w:hAnsi="Times New Roman" w:cs="Simplified Arabic" w:hint="cs"/>
          <w:b/>
          <w:bCs/>
          <w:sz w:val="30"/>
          <w:szCs w:val="30"/>
          <w:rtl/>
          <w:lang w:bidi="ar-MA"/>
        </w:rPr>
        <w:t>للأسر</w:t>
      </w:r>
      <w:r w:rsidRPr="00D076C6">
        <w:rPr>
          <w:rFonts w:ascii="Times New Roman" w:hAnsi="Times New Roman" w:cs="Simplified Arabic"/>
          <w:b/>
          <w:bCs/>
          <w:sz w:val="30"/>
          <w:szCs w:val="30"/>
          <w:lang w:bidi="ar-MA"/>
        </w:rPr>
        <w:t>:</w:t>
      </w:r>
      <w:r w:rsidR="00D076C6" w:rsidRPr="00D076C6">
        <w:rPr>
          <w:rFonts w:ascii="Times New Roman" w:hAnsi="Times New Roman" w:cs="Simplified Arabic" w:hint="cs"/>
          <w:b/>
          <w:bCs/>
          <w:sz w:val="30"/>
          <w:szCs w:val="30"/>
          <w:rtl/>
          <w:lang w:bidi="ar-MA"/>
        </w:rPr>
        <w:t xml:space="preserve"> </w:t>
      </w:r>
      <w:r w:rsidR="00D076C6">
        <w:rPr>
          <w:rFonts w:ascii="Times New Roman" w:hAnsi="Times New Roman" w:cs="Simplified Arabic" w:hint="cs"/>
          <w:b/>
          <w:bCs/>
          <w:sz w:val="30"/>
          <w:szCs w:val="30"/>
          <w:rtl/>
          <w:lang w:bidi="ar-MA"/>
        </w:rPr>
        <w:t xml:space="preserve">تصور أكثر تفاؤلا </w:t>
      </w:r>
    </w:p>
    <w:p w:rsidR="0047396E" w:rsidRPr="00E335F4" w:rsidRDefault="0047396E" w:rsidP="00E335F4">
      <w:pPr>
        <w:bidi/>
        <w:spacing w:before="240"/>
        <w:jc w:val="both"/>
        <w:rPr>
          <w:rFonts w:ascii="Times New Roman" w:hAnsi="Times New Roman" w:cs="Simplified Arabic"/>
          <w:lang w:bidi="ar-MA"/>
        </w:rPr>
      </w:pPr>
      <w:r w:rsidRPr="00E335F4">
        <w:rPr>
          <w:rFonts w:ascii="Times New Roman" w:hAnsi="Times New Roman" w:cs="Simplified Arabic" w:hint="cs"/>
          <w:rtl/>
          <w:lang w:bidi="ar-MA"/>
        </w:rPr>
        <w:t xml:space="preserve">صرحت 65,6 </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 xml:space="preserve">من الأسر، خلال  الفصل الرابع من سنة 2019، أن مداخيلها تغطي مصاريفها، فيما استنزفت 30,4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من مدخراتها أو لجأت إلى الاقتراض.  ولا يتجاوز معدل الأسر التي تمكنت من ادخار جزء من مداخيلها</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 xml:space="preserve">4,0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وهكذا استقر رصيد آراء الأسر حول وضعيتهم المالية الحالية في مستوى سلبي بلغ ناقص 26,4 نقطة مقابل  ناقص</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29,5 نقطة خلال الفصل السابق وناقص</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28,4 نقطة خلال نفس الفصل من السنة الماضية.</w:t>
      </w:r>
      <w:r w:rsidRPr="00E335F4">
        <w:rPr>
          <w:rFonts w:ascii="Times New Roman" w:hAnsi="Times New Roman" w:cs="Simplified Arabic"/>
          <w:lang w:bidi="ar-MA"/>
        </w:rPr>
        <w:t xml:space="preserve"> </w:t>
      </w:r>
    </w:p>
    <w:p w:rsidR="0047396E" w:rsidRPr="00E335F4" w:rsidRDefault="0047396E" w:rsidP="00E335F4">
      <w:pPr>
        <w:bidi/>
        <w:spacing w:before="240"/>
        <w:jc w:val="both"/>
        <w:rPr>
          <w:rFonts w:ascii="Times New Roman" w:hAnsi="Times New Roman" w:cs="Simplified Arabic"/>
          <w:rtl/>
          <w:lang w:bidi="ar-MA"/>
        </w:rPr>
      </w:pPr>
      <w:r w:rsidRPr="00E335F4">
        <w:rPr>
          <w:rFonts w:ascii="Times New Roman" w:hAnsi="Times New Roman" w:cs="Simplified Arabic"/>
          <w:rtl/>
          <w:lang w:bidi="ar-MA"/>
        </w:rPr>
        <w:t>و</w:t>
      </w:r>
      <w:r w:rsidRPr="00E335F4">
        <w:rPr>
          <w:rFonts w:ascii="Times New Roman" w:hAnsi="Times New Roman" w:cs="Simplified Arabic" w:hint="cs"/>
          <w:rtl/>
          <w:lang w:bidi="ar-MA"/>
        </w:rPr>
        <w:t xml:space="preserve">بخصوص تطور الوضعية المالية للأسر خلال 12 شهرا الماضية، صرحت 31,4 </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 xml:space="preserve">من الأسر بتحسنها مقابل 9,3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w:t>
      </w:r>
      <w:r w:rsidRPr="00E335F4">
        <w:rPr>
          <w:rFonts w:ascii="Times New Roman" w:hAnsi="Times New Roman" w:cs="Simplified Arabic" w:hint="cs"/>
          <w:rtl/>
          <w:lang w:bidi="ar-MA"/>
        </w:rPr>
        <w:lastRenderedPageBreak/>
        <w:t xml:space="preserve">بتدهورها. وبذلك بقي </w:t>
      </w:r>
      <w:r w:rsidRPr="00E335F4">
        <w:rPr>
          <w:rFonts w:ascii="Times New Roman" w:hAnsi="Times New Roman" w:cs="Simplified Arabic"/>
          <w:rtl/>
          <w:lang w:bidi="ar-MA"/>
        </w:rPr>
        <w:t>هذا التصور</w:t>
      </w:r>
      <w:r w:rsidRPr="00E335F4">
        <w:rPr>
          <w:rFonts w:ascii="Times New Roman" w:hAnsi="Times New Roman" w:cs="Simplified Arabic" w:hint="cs"/>
          <w:rtl/>
          <w:lang w:bidi="ar-MA"/>
        </w:rPr>
        <w:t xml:space="preserve"> </w:t>
      </w:r>
      <w:r w:rsidRPr="00E335F4">
        <w:rPr>
          <w:rFonts w:ascii="Times New Roman" w:hAnsi="Times New Roman" w:cs="Simplified Arabic"/>
          <w:rtl/>
          <w:lang w:bidi="ar-MA"/>
        </w:rPr>
        <w:t>سلبي</w:t>
      </w:r>
      <w:r w:rsidRPr="00E335F4">
        <w:rPr>
          <w:rFonts w:ascii="Times New Roman" w:hAnsi="Times New Roman" w:cs="Simplified Arabic" w:hint="cs"/>
          <w:rtl/>
          <w:lang w:bidi="ar-MA"/>
        </w:rPr>
        <w:t>ا حيث بلغ ناقص</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22,1</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 xml:space="preserve">نقطة في </w:t>
      </w:r>
      <w:r w:rsidR="008052A4" w:rsidRPr="00E335F4">
        <w:rPr>
          <w:rFonts w:ascii="Times New Roman" w:hAnsi="Times New Roman" w:cs="Simplified Arabic" w:hint="cs"/>
          <w:rtl/>
          <w:lang w:bidi="ar-MA"/>
        </w:rPr>
        <w:t xml:space="preserve">تحسن </w:t>
      </w:r>
      <w:r w:rsidRPr="00E335F4">
        <w:rPr>
          <w:rFonts w:ascii="Times New Roman" w:hAnsi="Times New Roman" w:cs="Simplified Arabic" w:hint="cs"/>
          <w:rtl/>
          <w:lang w:bidi="ar-MA"/>
        </w:rPr>
        <w:t>مقارنة مع مستواه خلال الفصل السابق حيث بلغ ناقص</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26,0</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نقطة و</w:t>
      </w:r>
      <w:r w:rsidR="008052A4" w:rsidRPr="00E335F4">
        <w:rPr>
          <w:rFonts w:ascii="Times New Roman" w:hAnsi="Times New Roman" w:cs="Simplified Arabic" w:hint="cs"/>
          <w:rtl/>
          <w:lang w:bidi="ar-MA"/>
        </w:rPr>
        <w:t>في تدهور مقارنة مع</w:t>
      </w:r>
      <w:r w:rsidRPr="00E335F4">
        <w:rPr>
          <w:rFonts w:ascii="Times New Roman" w:hAnsi="Times New Roman" w:cs="Simplified Arabic" w:hint="cs"/>
          <w:rtl/>
          <w:lang w:bidi="ar-MA"/>
        </w:rPr>
        <w:t xml:space="preserve"> </w:t>
      </w:r>
      <w:r w:rsidR="008052A4" w:rsidRPr="00E335F4">
        <w:rPr>
          <w:rFonts w:ascii="Times New Roman" w:hAnsi="Times New Roman" w:cs="Simplified Arabic" w:hint="cs"/>
          <w:rtl/>
          <w:lang w:bidi="ar-MA"/>
        </w:rPr>
        <w:t xml:space="preserve"> نفس الفصل من السنة الماضية حيث بلغ </w:t>
      </w:r>
      <w:r w:rsidRPr="00E335F4">
        <w:rPr>
          <w:rFonts w:ascii="Times New Roman" w:hAnsi="Times New Roman" w:cs="Simplified Arabic" w:hint="cs"/>
          <w:rtl/>
          <w:lang w:bidi="ar-MA"/>
        </w:rPr>
        <w:t>ناقص</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20,7</w:t>
      </w:r>
      <w:r w:rsidRPr="00E335F4">
        <w:rPr>
          <w:rFonts w:ascii="Times New Roman" w:hAnsi="Times New Roman" w:cs="Simplified Arabic"/>
          <w:lang w:bidi="ar-MA"/>
        </w:rPr>
        <w:t xml:space="preserve"> </w:t>
      </w:r>
      <w:r w:rsidR="003549B7" w:rsidRPr="00E335F4">
        <w:rPr>
          <w:rFonts w:ascii="Times New Roman" w:hAnsi="Times New Roman" w:cs="Simplified Arabic" w:hint="cs"/>
          <w:rtl/>
          <w:lang w:bidi="ar-MA"/>
        </w:rPr>
        <w:t xml:space="preserve">نقطة </w:t>
      </w:r>
      <w:r w:rsidRPr="00E335F4">
        <w:rPr>
          <w:rFonts w:ascii="Times New Roman" w:hAnsi="Times New Roman" w:cs="Simplified Arabic" w:hint="cs"/>
          <w:rtl/>
          <w:lang w:bidi="ar-MA"/>
        </w:rPr>
        <w:t xml:space="preserve"> .</w:t>
      </w:r>
    </w:p>
    <w:p w:rsidR="0047396E" w:rsidRPr="00E335F4" w:rsidRDefault="0047396E" w:rsidP="00E335F4">
      <w:pPr>
        <w:bidi/>
        <w:spacing w:before="240"/>
        <w:jc w:val="both"/>
        <w:rPr>
          <w:rFonts w:ascii="Times New Roman" w:hAnsi="Times New Roman" w:cs="Simplified Arabic"/>
          <w:rtl/>
          <w:lang w:bidi="ar-MA"/>
        </w:rPr>
      </w:pPr>
      <w:r w:rsidRPr="00E335F4">
        <w:rPr>
          <w:rFonts w:ascii="Times New Roman" w:hAnsi="Times New Roman" w:cs="Simplified Arabic" w:hint="cs"/>
          <w:rtl/>
          <w:lang w:bidi="ar-MA"/>
        </w:rPr>
        <w:t>أما بخصوص تصور الأسر لتطور وضعيتها المالية خلال 12 شهرا المقبلة، فتتوقع 27,</w:t>
      </w:r>
      <w:r w:rsidR="00434B75" w:rsidRPr="00E335F4">
        <w:rPr>
          <w:rFonts w:ascii="Times New Roman" w:hAnsi="Times New Roman" w:cs="Simplified Arabic"/>
          <w:rtl/>
          <w:lang w:bidi="ar-MA"/>
        </w:rPr>
        <w:t>6</w:t>
      </w:r>
      <w:r w:rsidRPr="00E335F4">
        <w:rPr>
          <w:rFonts w:ascii="Times New Roman" w:hAnsi="Times New Roman" w:cs="Simplified Arabic" w:hint="cs"/>
          <w:rtl/>
          <w:lang w:bidi="ar-MA"/>
        </w:rPr>
        <w:t xml:space="preserve">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منها تحسنها مقابل 11,7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التي تنتظر تدهورها. وبذلك استقر رصيد هذا المؤشر في 15,9 نقطة مقابل 12,8 نقطة خلال الفصل السابق و19,1 نقطة خلال نفس الفصل من السنة الماضية. </w:t>
      </w:r>
    </w:p>
    <w:p w:rsidR="0047396E" w:rsidRPr="000F62DE" w:rsidRDefault="0047396E" w:rsidP="00795089">
      <w:pPr>
        <w:bidi/>
        <w:spacing w:before="240" w:line="360" w:lineRule="auto"/>
        <w:ind w:left="-1"/>
        <w:jc w:val="center"/>
        <w:rPr>
          <w:rFonts w:ascii="Times New Roman" w:hAnsi="Times New Roman" w:cs="Simplified Arabic"/>
          <w:lang w:bidi="ar-MA"/>
        </w:rPr>
      </w:pPr>
      <w:r w:rsidRPr="00804AB7">
        <w:rPr>
          <w:rFonts w:ascii="Times New Roman" w:hAnsi="Times New Roman" w:cs="Simplified Arabic"/>
          <w:noProof/>
          <w:sz w:val="22"/>
          <w:rtl/>
        </w:rPr>
        <w:drawing>
          <wp:inline distT="0" distB="0" distL="0" distR="0">
            <wp:extent cx="6533763" cy="3697356"/>
            <wp:effectExtent l="19050" t="0" r="19437" b="0"/>
            <wp:docPr id="12"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549B7" w:rsidRPr="000F62DE" w:rsidRDefault="003549B7" w:rsidP="003549B7">
      <w:pPr>
        <w:bidi/>
        <w:spacing w:before="240" w:line="360" w:lineRule="auto"/>
        <w:ind w:left="-1"/>
        <w:jc w:val="both"/>
        <w:rPr>
          <w:rFonts w:ascii="Times New Roman" w:hAnsi="Times New Roman" w:cs="Simplified Arabic"/>
          <w:rtl/>
          <w:lang w:bidi="ar-MA"/>
        </w:rPr>
      </w:pPr>
    </w:p>
    <w:p w:rsidR="0047396E" w:rsidRPr="00D22424" w:rsidRDefault="0047396E" w:rsidP="00D22424">
      <w:pPr>
        <w:pStyle w:val="Paragraphedeliste"/>
        <w:widowControl/>
        <w:numPr>
          <w:ilvl w:val="0"/>
          <w:numId w:val="2"/>
        </w:numPr>
        <w:autoSpaceDE/>
        <w:autoSpaceDN/>
        <w:bidi/>
        <w:adjustRightInd/>
        <w:spacing w:line="360" w:lineRule="auto"/>
        <w:jc w:val="both"/>
        <w:rPr>
          <w:rFonts w:ascii="Times New Roman" w:hAnsi="Times New Roman" w:cs="Simplified Arabic"/>
          <w:b/>
          <w:bCs/>
          <w:sz w:val="30"/>
          <w:szCs w:val="30"/>
          <w:rtl/>
          <w:lang w:bidi="ar-MA"/>
        </w:rPr>
      </w:pPr>
      <w:r w:rsidRPr="00D22424">
        <w:rPr>
          <w:rFonts w:ascii="Times New Roman" w:hAnsi="Times New Roman" w:cs="Simplified Arabic" w:hint="cs"/>
          <w:b/>
          <w:bCs/>
          <w:sz w:val="30"/>
          <w:szCs w:val="30"/>
          <w:rtl/>
          <w:lang w:bidi="ar-MA"/>
        </w:rPr>
        <w:t>تطور مؤشرات فصلية أخرى لآراء الأسر حول الظرفية</w:t>
      </w:r>
    </w:p>
    <w:p w:rsidR="0047396E" w:rsidRPr="00E335F4" w:rsidRDefault="0047396E" w:rsidP="00E335F4">
      <w:pPr>
        <w:widowControl/>
        <w:autoSpaceDE/>
        <w:autoSpaceDN/>
        <w:bidi/>
        <w:adjustRightInd/>
        <w:spacing w:after="200"/>
        <w:ind w:left="142"/>
        <w:jc w:val="both"/>
        <w:rPr>
          <w:rFonts w:ascii="Times New Roman" w:hAnsi="Times New Roman" w:cs="Simplified Arabic"/>
          <w:rtl/>
          <w:lang w:bidi="ar-MA"/>
        </w:rPr>
      </w:pPr>
      <w:r w:rsidRPr="00E335F4">
        <w:rPr>
          <w:rFonts w:ascii="Times New Roman" w:hAnsi="Times New Roman" w:cs="Simplified Arabic" w:hint="cs"/>
          <w:rtl/>
          <w:lang w:bidi="ar-MA"/>
        </w:rPr>
        <w:t>إضافة إلى المؤشرات السابقة، يوفر هذا البحث معطيات فصلية عن تصورات الأسر بخصوص جوانب أخرى لظروف معيشتها، منها القدرة على الإدخار و تطور أثمنة المواد الغذائية.</w:t>
      </w:r>
    </w:p>
    <w:p w:rsidR="0047396E" w:rsidRPr="00D22424" w:rsidRDefault="0047396E" w:rsidP="003549B7">
      <w:pPr>
        <w:pStyle w:val="Paragraphedeliste"/>
        <w:widowControl/>
        <w:numPr>
          <w:ilvl w:val="1"/>
          <w:numId w:val="2"/>
        </w:numPr>
        <w:autoSpaceDE/>
        <w:autoSpaceDN/>
        <w:bidi/>
        <w:adjustRightInd/>
        <w:spacing w:after="200" w:line="360" w:lineRule="auto"/>
        <w:jc w:val="both"/>
        <w:rPr>
          <w:rFonts w:ascii="Times New Roman" w:hAnsi="Times New Roman" w:cs="Simplified Arabic"/>
          <w:b/>
          <w:bCs/>
          <w:sz w:val="30"/>
          <w:szCs w:val="30"/>
          <w:lang w:bidi="ar-MA"/>
        </w:rPr>
      </w:pPr>
      <w:r w:rsidRPr="00D22424">
        <w:rPr>
          <w:rFonts w:ascii="Times New Roman" w:hAnsi="Times New Roman" w:cs="Simplified Arabic" w:hint="cs"/>
          <w:b/>
          <w:bCs/>
          <w:sz w:val="30"/>
          <w:szCs w:val="30"/>
          <w:rtl/>
          <w:lang w:bidi="ar-MA"/>
        </w:rPr>
        <w:t>توقعات أ</w:t>
      </w:r>
      <w:r w:rsidR="008131B4" w:rsidRPr="00D22424">
        <w:rPr>
          <w:rFonts w:ascii="Times New Roman" w:hAnsi="Times New Roman" w:cs="Simplified Arabic" w:hint="cs"/>
          <w:b/>
          <w:bCs/>
          <w:sz w:val="30"/>
          <w:szCs w:val="30"/>
          <w:rtl/>
          <w:lang w:bidi="ar-MA"/>
        </w:rPr>
        <w:t>ك</w:t>
      </w:r>
      <w:r w:rsidR="008131B4" w:rsidRPr="00D22424">
        <w:rPr>
          <w:rFonts w:ascii="Times New Roman" w:hAnsi="Times New Roman" w:cs="Simplified Arabic"/>
          <w:b/>
          <w:bCs/>
          <w:sz w:val="30"/>
          <w:szCs w:val="30"/>
          <w:rtl/>
          <w:lang w:bidi="ar-MA"/>
        </w:rPr>
        <w:t>ث</w:t>
      </w:r>
      <w:r w:rsidR="008131B4" w:rsidRPr="00D22424">
        <w:rPr>
          <w:rFonts w:ascii="Times New Roman" w:hAnsi="Times New Roman" w:cs="Simplified Arabic" w:hint="cs"/>
          <w:b/>
          <w:bCs/>
          <w:sz w:val="30"/>
          <w:szCs w:val="30"/>
          <w:rtl/>
          <w:lang w:bidi="ar-MA"/>
        </w:rPr>
        <w:t>ر</w:t>
      </w:r>
      <w:r w:rsidRPr="00D22424">
        <w:rPr>
          <w:rFonts w:ascii="Times New Roman" w:hAnsi="Times New Roman" w:cs="Simplified Arabic" w:hint="cs"/>
          <w:b/>
          <w:bCs/>
          <w:sz w:val="30"/>
          <w:szCs w:val="30"/>
          <w:rtl/>
          <w:lang w:bidi="ar-MA"/>
        </w:rPr>
        <w:t xml:space="preserve"> تشاؤما بخصوص قدرة الأسر على الادخار </w:t>
      </w:r>
    </w:p>
    <w:p w:rsidR="0047396E" w:rsidRPr="00E335F4" w:rsidRDefault="0047396E" w:rsidP="00E335F4">
      <w:pPr>
        <w:pStyle w:val="Paragraphedeliste"/>
        <w:widowControl/>
        <w:autoSpaceDE/>
        <w:autoSpaceDN/>
        <w:bidi/>
        <w:adjustRightInd/>
        <w:spacing w:after="200"/>
        <w:ind w:left="502"/>
        <w:jc w:val="both"/>
        <w:rPr>
          <w:rFonts w:ascii="Times New Roman" w:hAnsi="Times New Roman" w:cs="Simplified Arabic"/>
          <w:rtl/>
          <w:lang w:bidi="ar-MA"/>
        </w:rPr>
      </w:pPr>
      <w:r w:rsidRPr="00E335F4">
        <w:rPr>
          <w:rFonts w:ascii="Times New Roman" w:hAnsi="Times New Roman" w:cs="Simplified Arabic" w:hint="cs"/>
          <w:rtl/>
          <w:lang w:bidi="ar-MA"/>
        </w:rPr>
        <w:t>خلال  الفصل الرابع من 2019، صرحت 17,</w:t>
      </w:r>
      <w:r w:rsidR="003764DE" w:rsidRPr="00E335F4">
        <w:rPr>
          <w:rFonts w:ascii="Times New Roman" w:hAnsi="Times New Roman" w:cs="Simplified Arabic"/>
          <w:rtl/>
          <w:lang w:bidi="ar-MA"/>
        </w:rPr>
        <w:t>7</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 xml:space="preserve"> مقابل 82,3</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 xml:space="preserve"> من الأسر بقدرتها على الإدخار خلال 12 شهرا المقبلة، وهكذا انتقل رصيد هذا المؤشر إلى ناقص 64,</w:t>
      </w:r>
      <w:r w:rsidR="003764DE" w:rsidRPr="00E335F4">
        <w:rPr>
          <w:rFonts w:ascii="Times New Roman" w:hAnsi="Times New Roman" w:cs="Simplified Arabic"/>
          <w:rtl/>
          <w:lang w:bidi="ar-MA"/>
        </w:rPr>
        <w:t>6</w:t>
      </w:r>
      <w:r w:rsidRPr="00E335F4">
        <w:rPr>
          <w:rFonts w:ascii="Times New Roman" w:hAnsi="Times New Roman" w:cs="Simplified Arabic" w:hint="cs"/>
          <w:rtl/>
          <w:lang w:bidi="ar-MA"/>
        </w:rPr>
        <w:t xml:space="preserve"> نقطة عوض ناقص 64,4 نقطة</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 xml:space="preserve">المسجلة خلال الفصل السابق وناقص 63,0 نقطة </w:t>
      </w:r>
      <w:r w:rsidR="00722111" w:rsidRPr="00E335F4">
        <w:rPr>
          <w:rFonts w:ascii="Times New Roman" w:hAnsi="Times New Roman" w:cs="Simplified Arabic" w:hint="cs"/>
          <w:rtl/>
          <w:lang w:bidi="ar-MA"/>
        </w:rPr>
        <w:t xml:space="preserve">المسجلة </w:t>
      </w:r>
      <w:r w:rsidRPr="00E335F4">
        <w:rPr>
          <w:rFonts w:ascii="Times New Roman" w:hAnsi="Times New Roman" w:cs="Simplified Arabic" w:hint="cs"/>
          <w:rtl/>
          <w:lang w:bidi="ar-MA"/>
        </w:rPr>
        <w:t>خلال نفس الفصل من السنة الماضية.</w:t>
      </w:r>
    </w:p>
    <w:p w:rsidR="003549B7" w:rsidRPr="00E335F4" w:rsidRDefault="003549B7" w:rsidP="003549B7">
      <w:pPr>
        <w:pStyle w:val="Paragraphedeliste"/>
        <w:widowControl/>
        <w:autoSpaceDE/>
        <w:autoSpaceDN/>
        <w:bidi/>
        <w:adjustRightInd/>
        <w:spacing w:after="200" w:line="360" w:lineRule="auto"/>
        <w:ind w:left="502"/>
        <w:jc w:val="both"/>
        <w:rPr>
          <w:rFonts w:ascii="Times New Roman" w:hAnsi="Times New Roman" w:cs="Simplified Arabic"/>
          <w:rtl/>
          <w:lang w:bidi="ar-MA"/>
        </w:rPr>
      </w:pPr>
    </w:p>
    <w:p w:rsidR="00FB0E1E" w:rsidRPr="00E335F4" w:rsidRDefault="00FB0E1E" w:rsidP="00FB0E1E">
      <w:pPr>
        <w:pStyle w:val="Paragraphedeliste"/>
        <w:widowControl/>
        <w:autoSpaceDE/>
        <w:autoSpaceDN/>
        <w:bidi/>
        <w:adjustRightInd/>
        <w:spacing w:after="200" w:line="360" w:lineRule="auto"/>
        <w:ind w:left="502"/>
        <w:jc w:val="both"/>
        <w:rPr>
          <w:rFonts w:ascii="Times New Roman" w:hAnsi="Times New Roman" w:cs="Simplified Arabic"/>
          <w:rtl/>
          <w:lang w:bidi="ar-MA"/>
        </w:rPr>
      </w:pPr>
    </w:p>
    <w:p w:rsidR="0047396E" w:rsidRPr="00D22424" w:rsidRDefault="0047396E" w:rsidP="00D22424">
      <w:pPr>
        <w:pStyle w:val="Paragraphedeliste"/>
        <w:widowControl/>
        <w:numPr>
          <w:ilvl w:val="1"/>
          <w:numId w:val="2"/>
        </w:numPr>
        <w:autoSpaceDE/>
        <w:autoSpaceDN/>
        <w:bidi/>
        <w:adjustRightInd/>
        <w:spacing w:after="200" w:line="360" w:lineRule="auto"/>
        <w:jc w:val="both"/>
        <w:rPr>
          <w:rFonts w:ascii="Times New Roman" w:hAnsi="Times New Roman" w:cs="Simplified Arabic"/>
          <w:b/>
          <w:bCs/>
          <w:sz w:val="30"/>
          <w:szCs w:val="30"/>
          <w:lang w:bidi="ar-MA"/>
        </w:rPr>
      </w:pPr>
      <w:r w:rsidRPr="00E335F4">
        <w:rPr>
          <w:rFonts w:ascii="Times New Roman" w:hAnsi="Times New Roman" w:cs="Simplified Arabic" w:hint="cs"/>
          <w:b/>
          <w:bCs/>
          <w:rtl/>
          <w:lang w:bidi="ar-MA"/>
        </w:rPr>
        <w:lastRenderedPageBreak/>
        <w:t xml:space="preserve">  </w:t>
      </w:r>
      <w:r w:rsidRPr="00D22424">
        <w:rPr>
          <w:rFonts w:ascii="Times New Roman" w:hAnsi="Times New Roman" w:cs="Simplified Arabic" w:hint="cs"/>
          <w:b/>
          <w:bCs/>
          <w:sz w:val="30"/>
          <w:szCs w:val="30"/>
          <w:rtl/>
          <w:lang w:bidi="ar-MA"/>
        </w:rPr>
        <w:t xml:space="preserve">توقع الأسر </w:t>
      </w:r>
      <w:r w:rsidR="00FB0E1E" w:rsidRPr="00D22424">
        <w:rPr>
          <w:rFonts w:ascii="Times New Roman" w:hAnsi="Times New Roman" w:cs="Simplified Arabic" w:hint="cs"/>
          <w:b/>
          <w:bCs/>
          <w:sz w:val="30"/>
          <w:szCs w:val="30"/>
          <w:rtl/>
          <w:lang w:bidi="ar-MA"/>
        </w:rPr>
        <w:t>با</w:t>
      </w:r>
      <w:r w:rsidRPr="00D22424">
        <w:rPr>
          <w:rFonts w:ascii="Times New Roman" w:hAnsi="Times New Roman" w:cs="Simplified Arabic" w:hint="cs"/>
          <w:b/>
          <w:bCs/>
          <w:sz w:val="30"/>
          <w:szCs w:val="30"/>
          <w:rtl/>
          <w:lang w:bidi="ar-MA"/>
        </w:rPr>
        <w:t>رتفاع أثمنة المواد الغذائية</w:t>
      </w:r>
    </w:p>
    <w:p w:rsidR="0047396E" w:rsidRPr="00E335F4" w:rsidRDefault="0047396E" w:rsidP="00E335F4">
      <w:pPr>
        <w:pStyle w:val="Paragraphedeliste"/>
        <w:widowControl/>
        <w:autoSpaceDE/>
        <w:autoSpaceDN/>
        <w:bidi/>
        <w:adjustRightInd/>
        <w:spacing w:after="200"/>
        <w:ind w:left="502"/>
        <w:jc w:val="both"/>
        <w:rPr>
          <w:rFonts w:ascii="Times New Roman" w:hAnsi="Times New Roman" w:cs="Simplified Arabic"/>
          <w:rtl/>
          <w:lang w:bidi="ar-MA"/>
        </w:rPr>
      </w:pPr>
      <w:r w:rsidRPr="00E335F4">
        <w:rPr>
          <w:rFonts w:ascii="Times New Roman" w:hAnsi="Times New Roman" w:cs="Simplified Arabic" w:hint="cs"/>
          <w:rtl/>
          <w:lang w:bidi="ar-MA"/>
        </w:rPr>
        <w:t xml:space="preserve">خلال الفصل الرابع من 2019، صرحت 85,2 </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 xml:space="preserve"> من الأسر</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 xml:space="preserve">بأن أسعار المواد الغذائية قد عرفت ارتفاعا خلال 12 شهرا الأخيرة، في حين رأت 0,1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فقط عكس ذلك. وهكذا استقر رصيد هذا المؤشر في مستوى سلبي بلغ ناقص85,1 نقطة عوض ناقص 83,7  نقطة خلال الفصل السابق وناقص 90,3 نقطة خلال نفس الفترة من السنة الماضية. </w:t>
      </w:r>
    </w:p>
    <w:p w:rsidR="003C1FDE" w:rsidRPr="00E335F4" w:rsidRDefault="003C1FDE" w:rsidP="003C1FDE">
      <w:pPr>
        <w:pStyle w:val="Paragraphedeliste"/>
        <w:widowControl/>
        <w:autoSpaceDE/>
        <w:autoSpaceDN/>
        <w:bidi/>
        <w:adjustRightInd/>
        <w:spacing w:after="200" w:line="360" w:lineRule="auto"/>
        <w:ind w:left="502"/>
        <w:jc w:val="both"/>
        <w:rPr>
          <w:rFonts w:ascii="Times New Roman" w:hAnsi="Times New Roman" w:cs="Simplified Arabic"/>
          <w:lang w:bidi="ar-MA"/>
        </w:rPr>
      </w:pPr>
    </w:p>
    <w:p w:rsidR="003C1FDE" w:rsidRPr="00E335F4" w:rsidRDefault="0047396E" w:rsidP="00E335F4">
      <w:pPr>
        <w:pStyle w:val="Paragraphedeliste"/>
        <w:widowControl/>
        <w:autoSpaceDE/>
        <w:autoSpaceDN/>
        <w:bidi/>
        <w:adjustRightInd/>
        <w:spacing w:after="200"/>
        <w:ind w:left="502"/>
        <w:jc w:val="both"/>
        <w:rPr>
          <w:rFonts w:ascii="Times New Roman" w:hAnsi="Times New Roman" w:cs="Simplified Arabic"/>
          <w:rtl/>
          <w:lang w:bidi="ar-MA"/>
        </w:rPr>
      </w:pPr>
      <w:r w:rsidRPr="00E335F4">
        <w:rPr>
          <w:rFonts w:ascii="Times New Roman" w:hAnsi="Times New Roman" w:cs="Simplified Arabic" w:hint="cs"/>
          <w:rtl/>
          <w:lang w:bidi="ar-MA"/>
        </w:rPr>
        <w:t xml:space="preserve">أما بخصوص تطور أسعار المواد الغذائية خلال 12 شهرا المقبلة، فتتوقع 82,7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من الأسر استمرارها في الارتفاع في حين لا يتجاوز معدل الأسر التي تنتظر انخفاضها 0,5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وهكذا استقر رصيد هذه الآراء في مستوى سلبي بلغ ناقص 82,2 </w:t>
      </w:r>
      <w:r w:rsidRPr="00E335F4">
        <w:rPr>
          <w:rFonts w:ascii="Times New Roman" w:hAnsi="Times New Roman" w:cs="Simplified Arabic"/>
          <w:rtl/>
          <w:lang w:bidi="ar-MA"/>
        </w:rPr>
        <w:t>نقطة</w:t>
      </w:r>
      <w:r w:rsidRPr="00E335F4">
        <w:rPr>
          <w:rFonts w:ascii="Times New Roman" w:hAnsi="Times New Roman" w:cs="Simplified Arabic" w:hint="cs"/>
          <w:rtl/>
          <w:lang w:bidi="ar-MA"/>
        </w:rPr>
        <w:t>، عوض ناقص 83,3 نقطة المسجلة خلال</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 xml:space="preserve">الفصل السابق و ناقص 86,6 نقطة </w:t>
      </w:r>
      <w:r w:rsidRPr="00E335F4">
        <w:rPr>
          <w:rFonts w:ascii="Times New Roman" w:hAnsi="Times New Roman" w:cs="Simplified Arabic"/>
          <w:rtl/>
          <w:lang w:bidi="ar-MA"/>
        </w:rPr>
        <w:t>المسجل</w:t>
      </w:r>
      <w:r w:rsidRPr="00E335F4">
        <w:rPr>
          <w:rFonts w:ascii="Times New Roman" w:hAnsi="Times New Roman" w:cs="Simplified Arabic" w:hint="cs"/>
          <w:rtl/>
          <w:lang w:bidi="ar-MA"/>
        </w:rPr>
        <w:t>ة خلال نفس الفصل من السنة الماضية.</w:t>
      </w:r>
      <w:r w:rsidRPr="00E335F4">
        <w:rPr>
          <w:rFonts w:ascii="Times New Roman" w:hAnsi="Times New Roman" w:cs="Simplified Arabic"/>
          <w:rtl/>
          <w:lang w:bidi="ar-MA"/>
        </w:rPr>
        <w:t xml:space="preserve"> </w:t>
      </w:r>
    </w:p>
    <w:p w:rsidR="0047396E" w:rsidRPr="000F62DE" w:rsidRDefault="003C1FDE" w:rsidP="003C1FDE">
      <w:pPr>
        <w:pStyle w:val="Paragraphedeliste"/>
        <w:widowControl/>
        <w:autoSpaceDE/>
        <w:autoSpaceDN/>
        <w:bidi/>
        <w:adjustRightInd/>
        <w:spacing w:after="200" w:line="360" w:lineRule="auto"/>
        <w:ind w:left="502"/>
        <w:jc w:val="both"/>
        <w:rPr>
          <w:rFonts w:ascii="Times New Roman" w:hAnsi="Times New Roman" w:cs="Simplified Arabic"/>
          <w:rtl/>
          <w:lang w:bidi="ar-MA"/>
        </w:rPr>
      </w:pPr>
      <w:r w:rsidRPr="003C1FDE">
        <w:rPr>
          <w:rFonts w:ascii="Times New Roman" w:hAnsi="Times New Roman" w:cs="Simplified Arabic"/>
          <w:noProof/>
        </w:rPr>
        <w:drawing>
          <wp:inline distT="0" distB="0" distL="0" distR="0">
            <wp:extent cx="6228163" cy="2894275"/>
            <wp:effectExtent l="19050" t="0" r="20237" b="1325"/>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C2E15" w:rsidRPr="00E335F4" w:rsidRDefault="004C2E15" w:rsidP="00E335F4">
      <w:pPr>
        <w:pStyle w:val="Paragraphedeliste"/>
        <w:widowControl/>
        <w:numPr>
          <w:ilvl w:val="0"/>
          <w:numId w:val="2"/>
        </w:numPr>
        <w:autoSpaceDE/>
        <w:autoSpaceDN/>
        <w:bidi/>
        <w:adjustRightInd/>
        <w:spacing w:after="200" w:line="360" w:lineRule="auto"/>
        <w:rPr>
          <w:rFonts w:ascii="Times New Roman" w:hAnsi="Times New Roman" w:cs="Simplified Arabic"/>
          <w:sz w:val="28"/>
          <w:szCs w:val="28"/>
          <w:lang w:bidi="ar-MA"/>
        </w:rPr>
      </w:pPr>
      <w:r w:rsidRPr="004C2E15">
        <w:rPr>
          <w:rFonts w:ascii="Times New Roman" w:hAnsi="Times New Roman" w:cs="Simplified Arabic" w:hint="cs"/>
          <w:b/>
          <w:bCs/>
          <w:sz w:val="28"/>
          <w:szCs w:val="28"/>
          <w:rtl/>
          <w:lang w:bidi="ar-MA"/>
        </w:rPr>
        <w:t>تطور مؤشرات أخرى لآراء الأسر حول الظرفية</w:t>
      </w:r>
    </w:p>
    <w:p w:rsidR="004C2E15" w:rsidRDefault="004C2E15" w:rsidP="00E335F4">
      <w:pPr>
        <w:pStyle w:val="Paragraphedeliste"/>
        <w:widowControl/>
        <w:autoSpaceDE/>
        <w:autoSpaceDN/>
        <w:bidi/>
        <w:adjustRightInd/>
        <w:ind w:left="502"/>
        <w:jc w:val="both"/>
        <w:rPr>
          <w:rFonts w:ascii="Times New Roman" w:hAnsi="Times New Roman" w:cs="Simplified Arabic"/>
          <w:lang w:bidi="ar-MA"/>
        </w:rPr>
      </w:pPr>
      <w:r w:rsidRPr="00E335F4">
        <w:rPr>
          <w:rFonts w:ascii="Times New Roman" w:hAnsi="Times New Roman" w:cs="Simplified Arabic" w:hint="cs"/>
          <w:rtl/>
          <w:lang w:bidi="ar-MA"/>
        </w:rPr>
        <w:t xml:space="preserve">بالاضافة للمؤشرات الفصلية، تقوم المندوبية السامية للتخطيط في نهاية كل سنة بحساب أرصدة تصورات الأسر لمكونات أخرى متعلقة بمحيطها والتي لا تعرف تغييرات معبرة من فصل إلى آخر. ويتعلق الأمر بالتطور الحاصل ما بين </w:t>
      </w:r>
      <w:r w:rsidR="00032A33" w:rsidRPr="00E335F4">
        <w:rPr>
          <w:rFonts w:ascii="Times New Roman" w:hAnsi="Times New Roman" w:cs="Simplified Arabic"/>
          <w:rtl/>
          <w:lang w:bidi="ar-MA"/>
        </w:rPr>
        <w:t>2018</w:t>
      </w:r>
      <w:r w:rsidRPr="00E335F4">
        <w:rPr>
          <w:rFonts w:ascii="Times New Roman" w:hAnsi="Times New Roman" w:cs="Simplified Arabic" w:hint="cs"/>
          <w:rtl/>
          <w:lang w:bidi="ar-MA"/>
        </w:rPr>
        <w:t xml:space="preserve"> و </w:t>
      </w:r>
      <w:r w:rsidR="00032A33" w:rsidRPr="00E335F4">
        <w:rPr>
          <w:rFonts w:ascii="Times New Roman" w:hAnsi="Times New Roman" w:cs="Simplified Arabic"/>
          <w:rtl/>
          <w:lang w:bidi="ar-MA"/>
        </w:rPr>
        <w:t>2019</w:t>
      </w:r>
      <w:r w:rsidRPr="00E335F4">
        <w:rPr>
          <w:rFonts w:ascii="Times New Roman" w:hAnsi="Times New Roman" w:cs="Simplified Arabic" w:hint="cs"/>
          <w:rtl/>
          <w:lang w:bidi="ar-MA"/>
        </w:rPr>
        <w:t xml:space="preserve"> لآراء الأسر حول </w:t>
      </w:r>
      <w:r w:rsidRPr="00E335F4">
        <w:rPr>
          <w:rFonts w:ascii="Times New Roman" w:hAnsi="Times New Roman" w:cs="Simplified Arabic"/>
          <w:rtl/>
          <w:lang w:bidi="ar-MA"/>
        </w:rPr>
        <w:t>وضعية حقوق الإنسان و</w:t>
      </w:r>
      <w:r w:rsidRPr="00E335F4">
        <w:rPr>
          <w:rFonts w:ascii="Times New Roman" w:hAnsi="Times New Roman" w:cs="Simplified Arabic" w:hint="cs"/>
          <w:rtl/>
          <w:lang w:bidi="ar-MA"/>
        </w:rPr>
        <w:t xml:space="preserve">المحافظة على </w:t>
      </w:r>
      <w:r w:rsidRPr="00E335F4">
        <w:rPr>
          <w:rFonts w:ascii="Times New Roman" w:hAnsi="Times New Roman" w:cs="Simplified Arabic"/>
          <w:rtl/>
          <w:lang w:bidi="ar-MA"/>
        </w:rPr>
        <w:t>البيئة</w:t>
      </w:r>
      <w:r w:rsidRPr="00E335F4">
        <w:rPr>
          <w:rFonts w:ascii="Times New Roman" w:hAnsi="Times New Roman" w:cs="Simplified Arabic" w:hint="cs"/>
          <w:rtl/>
          <w:lang w:bidi="ar-MA"/>
        </w:rPr>
        <w:t xml:space="preserve"> وكذا جودة بعض الخدمات العمومية.</w:t>
      </w:r>
    </w:p>
    <w:p w:rsidR="003F4E59" w:rsidRPr="00E335F4" w:rsidRDefault="003F4E59" w:rsidP="003F4E59">
      <w:pPr>
        <w:pStyle w:val="Paragraphedeliste"/>
        <w:widowControl/>
        <w:autoSpaceDE/>
        <w:autoSpaceDN/>
        <w:bidi/>
        <w:adjustRightInd/>
        <w:ind w:left="502"/>
        <w:jc w:val="both"/>
        <w:rPr>
          <w:rFonts w:ascii="Times New Roman" w:hAnsi="Times New Roman" w:cs="Simplified Arabic"/>
          <w:rtl/>
          <w:lang w:bidi="ar-MA"/>
        </w:rPr>
      </w:pPr>
    </w:p>
    <w:p w:rsidR="004C2E15" w:rsidRDefault="004C2E15" w:rsidP="00D22424">
      <w:pPr>
        <w:pStyle w:val="Paragraphedeliste"/>
        <w:widowControl/>
        <w:numPr>
          <w:ilvl w:val="1"/>
          <w:numId w:val="2"/>
        </w:numPr>
        <w:autoSpaceDE/>
        <w:autoSpaceDN/>
        <w:bidi/>
        <w:adjustRightInd/>
        <w:spacing w:after="200" w:line="360" w:lineRule="auto"/>
        <w:jc w:val="both"/>
        <w:rPr>
          <w:rFonts w:ascii="Times New Roman" w:hAnsi="Times New Roman" w:cs="Simplified Arabic"/>
          <w:b/>
          <w:bCs/>
          <w:sz w:val="28"/>
          <w:szCs w:val="28"/>
          <w:lang w:bidi="ar-MA"/>
        </w:rPr>
      </w:pPr>
      <w:r>
        <w:rPr>
          <w:rFonts w:ascii="Times New Roman" w:hAnsi="Times New Roman" w:cs="Simplified Arabic" w:hint="cs"/>
          <w:b/>
          <w:bCs/>
          <w:sz w:val="30"/>
          <w:szCs w:val="30"/>
          <w:rtl/>
          <w:lang w:bidi="ar-MA"/>
        </w:rPr>
        <w:t>ج</w:t>
      </w:r>
      <w:r w:rsidRPr="001D1850">
        <w:rPr>
          <w:rFonts w:ascii="Times New Roman" w:hAnsi="Times New Roman" w:cs="Simplified Arabic" w:hint="cs"/>
          <w:b/>
          <w:bCs/>
          <w:sz w:val="30"/>
          <w:szCs w:val="30"/>
          <w:rtl/>
          <w:lang w:bidi="ar-MA"/>
        </w:rPr>
        <w:t>ود</w:t>
      </w:r>
      <w:r w:rsidRPr="001D1850">
        <w:rPr>
          <w:rFonts w:ascii="Times New Roman" w:hAnsi="Times New Roman" w:cs="Simplified Arabic" w:hint="eastAsia"/>
          <w:b/>
          <w:bCs/>
          <w:sz w:val="30"/>
          <w:szCs w:val="30"/>
          <w:rtl/>
          <w:lang w:bidi="ar-MA"/>
        </w:rPr>
        <w:t>ة</w:t>
      </w:r>
      <w:r w:rsidRPr="001D1850">
        <w:rPr>
          <w:rFonts w:ascii="Times New Roman" w:hAnsi="Times New Roman" w:cs="Simplified Arabic" w:hint="cs"/>
          <w:b/>
          <w:bCs/>
          <w:sz w:val="30"/>
          <w:szCs w:val="30"/>
          <w:rtl/>
          <w:lang w:bidi="ar-MA"/>
        </w:rPr>
        <w:t xml:space="preserve"> الخدمات الإدارية</w:t>
      </w:r>
      <w:r w:rsidRPr="00751E8B">
        <w:rPr>
          <w:rFonts w:ascii="Times New Roman" w:hAnsi="Times New Roman" w:cs="Simplified Arabic" w:hint="cs"/>
          <w:b/>
          <w:bCs/>
          <w:sz w:val="30"/>
          <w:szCs w:val="30"/>
          <w:rtl/>
          <w:lang w:bidi="ar-MA"/>
        </w:rPr>
        <w:t xml:space="preserve">: </w:t>
      </w:r>
      <w:r>
        <w:rPr>
          <w:rFonts w:ascii="Times New Roman" w:hAnsi="Times New Roman" w:cs="Simplified Arabic" w:hint="cs"/>
          <w:b/>
          <w:bCs/>
          <w:sz w:val="30"/>
          <w:szCs w:val="30"/>
          <w:rtl/>
          <w:lang w:bidi="ar-MA"/>
        </w:rPr>
        <w:t>آراء</w:t>
      </w:r>
      <w:r w:rsidRPr="00D22424">
        <w:rPr>
          <w:rFonts w:ascii="Times New Roman" w:hAnsi="Times New Roman" w:cs="Simplified Arabic"/>
          <w:b/>
          <w:bCs/>
          <w:sz w:val="30"/>
          <w:szCs w:val="30"/>
          <w:rtl/>
          <w:lang w:bidi="ar-MA"/>
        </w:rPr>
        <w:t xml:space="preserve"> </w:t>
      </w:r>
      <w:r w:rsidRPr="00D22424">
        <w:rPr>
          <w:rFonts w:ascii="Times New Roman" w:hAnsi="Times New Roman" w:cs="Simplified Arabic" w:hint="cs"/>
          <w:b/>
          <w:bCs/>
          <w:sz w:val="30"/>
          <w:szCs w:val="30"/>
          <w:rtl/>
          <w:lang w:bidi="ar-MA"/>
        </w:rPr>
        <w:t>سلبية</w:t>
      </w:r>
      <w:r w:rsidRPr="002B668B">
        <w:rPr>
          <w:rFonts w:ascii="Times New Roman" w:hAnsi="Times New Roman" w:cs="Simplified Arabic" w:hint="cs"/>
          <w:b/>
          <w:bCs/>
          <w:sz w:val="28"/>
          <w:szCs w:val="28"/>
          <w:rtl/>
          <w:lang w:bidi="ar-MA"/>
        </w:rPr>
        <w:t xml:space="preserve"> </w:t>
      </w:r>
    </w:p>
    <w:p w:rsidR="004C2E15" w:rsidRDefault="004C2E15" w:rsidP="00981DEA">
      <w:pPr>
        <w:pStyle w:val="Paragraphedeliste"/>
        <w:widowControl/>
        <w:autoSpaceDE/>
        <w:autoSpaceDN/>
        <w:bidi/>
        <w:adjustRightInd/>
        <w:spacing w:after="200"/>
        <w:ind w:left="502"/>
        <w:jc w:val="both"/>
        <w:rPr>
          <w:rFonts w:ascii="Times New Roman" w:hAnsi="Times New Roman" w:cs="Simplified Arabic"/>
          <w:lang w:bidi="ar-MA"/>
        </w:rPr>
      </w:pPr>
      <w:r w:rsidRPr="00E335F4">
        <w:rPr>
          <w:rFonts w:ascii="Times New Roman" w:hAnsi="Times New Roman" w:cs="Simplified Arabic" w:hint="cs"/>
          <w:rtl/>
          <w:lang w:bidi="ar-MA"/>
        </w:rPr>
        <w:t xml:space="preserve">خلال سنة </w:t>
      </w:r>
      <w:r w:rsidR="00032A33" w:rsidRPr="00E335F4">
        <w:rPr>
          <w:rFonts w:ascii="Times New Roman" w:hAnsi="Times New Roman" w:cs="Simplified Arabic"/>
          <w:rtl/>
          <w:lang w:bidi="ar-MA"/>
        </w:rPr>
        <w:t>2019</w:t>
      </w:r>
      <w:r w:rsidRPr="00E335F4">
        <w:rPr>
          <w:rFonts w:ascii="Times New Roman" w:hAnsi="Times New Roman" w:cs="Simplified Arabic" w:hint="cs"/>
          <w:rtl/>
          <w:lang w:bidi="ar-MA"/>
        </w:rPr>
        <w:t xml:space="preserve">، انخفضت نسبة الأسر التي صرحت بتحسن جودة الخدمات الإدارية حيث بلغت </w:t>
      </w:r>
      <w:r w:rsidRPr="00E335F4">
        <w:rPr>
          <w:rFonts w:ascii="Times New Roman" w:hAnsi="Times New Roman" w:cs="Simplified Arabic"/>
          <w:lang w:bidi="ar-MA"/>
        </w:rPr>
        <w:t>% 5</w:t>
      </w:r>
      <w:r w:rsidR="00032A33" w:rsidRPr="00E335F4">
        <w:rPr>
          <w:rFonts w:ascii="Times New Roman" w:hAnsi="Times New Roman" w:cs="Simplified Arabic"/>
          <w:lang w:bidi="ar-MA"/>
        </w:rPr>
        <w:t>4</w:t>
      </w:r>
      <w:r w:rsidRPr="00E335F4">
        <w:rPr>
          <w:rFonts w:ascii="Times New Roman" w:hAnsi="Times New Roman" w:cs="Simplified Arabic" w:hint="cs"/>
          <w:lang w:bidi="ar-MA"/>
        </w:rPr>
        <w:t>,</w:t>
      </w:r>
      <w:r w:rsidR="00032A33" w:rsidRPr="00E335F4">
        <w:rPr>
          <w:rFonts w:ascii="Times New Roman" w:hAnsi="Times New Roman" w:cs="Simplified Arabic"/>
          <w:lang w:bidi="ar-MA"/>
        </w:rPr>
        <w:t>0</w:t>
      </w:r>
      <w:r w:rsidRPr="00E335F4">
        <w:rPr>
          <w:rFonts w:ascii="Times New Roman" w:hAnsi="Times New Roman" w:cs="Simplified Arabic" w:hint="cs"/>
          <w:rtl/>
          <w:lang w:bidi="ar-MA"/>
        </w:rPr>
        <w:t xml:space="preserve">  مقابل</w:t>
      </w:r>
      <w:r w:rsidR="00981DEA">
        <w:rPr>
          <w:rFonts w:ascii="Times New Roman" w:hAnsi="Times New Roman" w:cs="Simplified Arabic" w:hint="cs"/>
          <w:rtl/>
          <w:lang w:bidi="ar-MA"/>
        </w:rPr>
        <w:t xml:space="preserve"> </w:t>
      </w:r>
      <w:r w:rsidR="00032A33" w:rsidRPr="00E335F4">
        <w:rPr>
          <w:rFonts w:ascii="Times New Roman" w:hAnsi="Times New Roman" w:cs="Simplified Arabic"/>
          <w:lang w:bidi="ar-MA"/>
        </w:rPr>
        <w:t>58,9</w:t>
      </w:r>
      <w:r w:rsidRPr="00E335F4">
        <w:rPr>
          <w:rFonts w:ascii="Times New Roman" w:hAnsi="Times New Roman" w:cs="Simplified Arabic" w:hint="cs"/>
          <w:rtl/>
          <w:lang w:bidi="ar-MA"/>
        </w:rPr>
        <w:t xml:space="preserve"> </w:t>
      </w:r>
      <w:r w:rsidR="00981DEA" w:rsidRPr="00E335F4">
        <w:rPr>
          <w:rFonts w:ascii="Times New Roman" w:hAnsi="Times New Roman" w:cs="Simplified Arabic"/>
          <w:lang w:bidi="ar-MA"/>
        </w:rPr>
        <w:t>%</w:t>
      </w:r>
      <w:r w:rsidR="00981DEA">
        <w:rPr>
          <w:rFonts w:ascii="Times New Roman" w:hAnsi="Times New Roman" w:cs="Simplified Arabic" w:hint="cs"/>
          <w:rtl/>
          <w:lang w:bidi="ar-MA"/>
        </w:rPr>
        <w:t xml:space="preserve"> </w:t>
      </w:r>
      <w:r w:rsidRPr="00E335F4">
        <w:rPr>
          <w:rFonts w:ascii="Times New Roman" w:hAnsi="Times New Roman" w:cs="Simplified Arabic" w:hint="cs"/>
          <w:rtl/>
          <w:lang w:bidi="ar-MA"/>
        </w:rPr>
        <w:t xml:space="preserve">المسجلة سنة </w:t>
      </w:r>
      <w:r w:rsidR="00032A33" w:rsidRPr="00E335F4">
        <w:rPr>
          <w:rFonts w:ascii="Times New Roman" w:hAnsi="Times New Roman" w:cs="Simplified Arabic"/>
          <w:rtl/>
          <w:lang w:bidi="ar-MA"/>
        </w:rPr>
        <w:t>2018</w:t>
      </w:r>
      <w:r w:rsidRPr="00E335F4">
        <w:rPr>
          <w:rFonts w:ascii="Times New Roman" w:hAnsi="Times New Roman" w:cs="Simplified Arabic" w:hint="cs"/>
          <w:rtl/>
          <w:lang w:bidi="ar-MA"/>
        </w:rPr>
        <w:t>. و</w:t>
      </w:r>
      <w:r w:rsidR="00981DEA">
        <w:rPr>
          <w:rFonts w:ascii="Times New Roman" w:hAnsi="Times New Roman" w:cs="Simplified Arabic" w:hint="cs"/>
          <w:rtl/>
          <w:lang w:bidi="ar-MA"/>
        </w:rPr>
        <w:t xml:space="preserve">هكذا </w:t>
      </w:r>
      <w:r w:rsidRPr="00E335F4">
        <w:rPr>
          <w:rFonts w:ascii="Times New Roman" w:hAnsi="Times New Roman" w:cs="Simplified Arabic" w:hint="cs"/>
          <w:rtl/>
          <w:lang w:bidi="ar-MA"/>
        </w:rPr>
        <w:t xml:space="preserve">انتقل رصيد هذه الآراء من </w:t>
      </w:r>
      <w:r w:rsidRPr="00E335F4">
        <w:rPr>
          <w:rFonts w:ascii="Times New Roman" w:hAnsi="Times New Roman" w:cs="Simplified Arabic" w:hint="cs"/>
          <w:lang w:bidi="ar-MA"/>
        </w:rPr>
        <w:t>4</w:t>
      </w:r>
      <w:r w:rsidR="00032A33" w:rsidRPr="00E335F4">
        <w:rPr>
          <w:rFonts w:ascii="Times New Roman" w:hAnsi="Times New Roman" w:cs="Simplified Arabic"/>
          <w:lang w:bidi="ar-MA"/>
        </w:rPr>
        <w:t>3</w:t>
      </w:r>
      <w:r w:rsidRPr="00E335F4">
        <w:rPr>
          <w:rFonts w:ascii="Times New Roman" w:hAnsi="Times New Roman" w:cs="Simplified Arabic"/>
          <w:lang w:bidi="ar-MA"/>
        </w:rPr>
        <w:t>,</w:t>
      </w:r>
      <w:r w:rsidR="00032A33" w:rsidRPr="00E335F4">
        <w:rPr>
          <w:rFonts w:ascii="Times New Roman" w:hAnsi="Times New Roman" w:cs="Simplified Arabic"/>
          <w:lang w:bidi="ar-MA"/>
        </w:rPr>
        <w:t>2</w:t>
      </w:r>
      <w:r w:rsidRPr="00E335F4">
        <w:rPr>
          <w:rFonts w:ascii="Times New Roman" w:hAnsi="Times New Roman" w:cs="Simplified Arabic" w:hint="cs"/>
          <w:rtl/>
          <w:lang w:bidi="ar-MA"/>
        </w:rPr>
        <w:t xml:space="preserve"> </w:t>
      </w:r>
      <w:r w:rsidR="00667AB1" w:rsidRPr="00E335F4">
        <w:rPr>
          <w:rFonts w:ascii="Times New Roman" w:hAnsi="Times New Roman" w:cs="Simplified Arabic" w:hint="cs"/>
          <w:rtl/>
          <w:lang w:bidi="ar-MA"/>
        </w:rPr>
        <w:t xml:space="preserve">نقطة </w:t>
      </w:r>
      <w:r w:rsidRPr="00E335F4">
        <w:rPr>
          <w:rFonts w:ascii="Times New Roman" w:hAnsi="Times New Roman" w:cs="Simplified Arabic" w:hint="cs"/>
          <w:rtl/>
          <w:lang w:bidi="ar-MA"/>
        </w:rPr>
        <w:t xml:space="preserve">إلى </w:t>
      </w:r>
      <w:r w:rsidRPr="00E335F4">
        <w:rPr>
          <w:rFonts w:ascii="Times New Roman" w:hAnsi="Times New Roman" w:cs="Simplified Arabic"/>
          <w:lang w:bidi="ar-MA"/>
        </w:rPr>
        <w:t>3</w:t>
      </w:r>
      <w:r w:rsidR="00032A33" w:rsidRPr="00E335F4">
        <w:rPr>
          <w:rFonts w:ascii="Times New Roman" w:hAnsi="Times New Roman" w:cs="Simplified Arabic"/>
          <w:lang w:bidi="ar-MA"/>
        </w:rPr>
        <w:t>6</w:t>
      </w:r>
      <w:r w:rsidRPr="00E335F4">
        <w:rPr>
          <w:rFonts w:ascii="Times New Roman" w:hAnsi="Times New Roman" w:cs="Simplified Arabic"/>
          <w:lang w:bidi="ar-MA"/>
        </w:rPr>
        <w:t>,</w:t>
      </w:r>
      <w:r w:rsidR="00032A33" w:rsidRPr="00E335F4">
        <w:rPr>
          <w:rFonts w:ascii="Times New Roman" w:hAnsi="Times New Roman" w:cs="Simplified Arabic"/>
          <w:lang w:bidi="ar-MA"/>
        </w:rPr>
        <w:t>6</w:t>
      </w:r>
      <w:r w:rsidRPr="00E335F4">
        <w:rPr>
          <w:rFonts w:ascii="Times New Roman" w:hAnsi="Times New Roman" w:cs="Simplified Arabic" w:hint="cs"/>
          <w:rtl/>
          <w:lang w:bidi="ar-MA"/>
        </w:rPr>
        <w:t xml:space="preserve"> نقطة مابين 201</w:t>
      </w:r>
      <w:r w:rsidR="00032A33" w:rsidRPr="00E335F4">
        <w:rPr>
          <w:rFonts w:ascii="Times New Roman" w:hAnsi="Times New Roman" w:cs="Simplified Arabic"/>
          <w:rtl/>
          <w:lang w:bidi="ar-MA"/>
        </w:rPr>
        <w:t>8</w:t>
      </w:r>
      <w:r w:rsidRPr="00E335F4">
        <w:rPr>
          <w:rFonts w:ascii="Times New Roman" w:hAnsi="Times New Roman" w:cs="Simplified Arabic" w:hint="cs"/>
          <w:rtl/>
          <w:lang w:bidi="ar-MA"/>
        </w:rPr>
        <w:t xml:space="preserve"> و 201</w:t>
      </w:r>
      <w:r w:rsidR="00032A33" w:rsidRPr="00E335F4">
        <w:rPr>
          <w:rFonts w:ascii="Times New Roman" w:hAnsi="Times New Roman" w:cs="Simplified Arabic"/>
          <w:rtl/>
          <w:lang w:bidi="ar-MA"/>
        </w:rPr>
        <w:t>9</w:t>
      </w:r>
      <w:r w:rsidR="00981DEA">
        <w:rPr>
          <w:rFonts w:ascii="Times New Roman" w:hAnsi="Times New Roman" w:cs="Simplified Arabic" w:hint="cs"/>
          <w:rtl/>
          <w:lang w:bidi="ar-MA"/>
        </w:rPr>
        <w:t>.</w:t>
      </w:r>
      <w:r w:rsidRPr="00E335F4">
        <w:rPr>
          <w:rFonts w:ascii="Times New Roman" w:hAnsi="Times New Roman" w:cs="Simplified Arabic"/>
          <w:lang w:bidi="ar-MA"/>
        </w:rPr>
        <w:t xml:space="preserve"> </w:t>
      </w:r>
    </w:p>
    <w:p w:rsidR="00E335F4" w:rsidRDefault="00E335F4" w:rsidP="00E335F4">
      <w:pPr>
        <w:pStyle w:val="Paragraphedeliste"/>
        <w:widowControl/>
        <w:autoSpaceDE/>
        <w:autoSpaceDN/>
        <w:bidi/>
        <w:adjustRightInd/>
        <w:spacing w:after="200"/>
        <w:ind w:left="502"/>
        <w:jc w:val="both"/>
        <w:rPr>
          <w:rFonts w:ascii="Times New Roman" w:hAnsi="Times New Roman" w:cs="Simplified Arabic"/>
          <w:lang w:bidi="ar-MA"/>
        </w:rPr>
      </w:pPr>
    </w:p>
    <w:p w:rsidR="003F4E59" w:rsidRDefault="003F4E59" w:rsidP="003F4E59">
      <w:pPr>
        <w:pStyle w:val="Paragraphedeliste"/>
        <w:widowControl/>
        <w:autoSpaceDE/>
        <w:autoSpaceDN/>
        <w:bidi/>
        <w:adjustRightInd/>
        <w:spacing w:after="200"/>
        <w:ind w:left="502"/>
        <w:jc w:val="both"/>
        <w:rPr>
          <w:rFonts w:ascii="Times New Roman" w:hAnsi="Times New Roman" w:cs="Simplified Arabic"/>
          <w:lang w:bidi="ar-MA"/>
        </w:rPr>
      </w:pPr>
    </w:p>
    <w:p w:rsidR="003F4E59" w:rsidRDefault="003F4E59" w:rsidP="003F4E59">
      <w:pPr>
        <w:pStyle w:val="Paragraphedeliste"/>
        <w:widowControl/>
        <w:autoSpaceDE/>
        <w:autoSpaceDN/>
        <w:bidi/>
        <w:adjustRightInd/>
        <w:spacing w:after="200"/>
        <w:ind w:left="502"/>
        <w:jc w:val="both"/>
        <w:rPr>
          <w:rFonts w:ascii="Times New Roman" w:hAnsi="Times New Roman" w:cs="Simplified Arabic"/>
          <w:lang w:bidi="ar-MA"/>
        </w:rPr>
      </w:pPr>
    </w:p>
    <w:p w:rsidR="003F4E59" w:rsidRPr="00E335F4" w:rsidRDefault="003F4E59" w:rsidP="003F4E59">
      <w:pPr>
        <w:pStyle w:val="Paragraphedeliste"/>
        <w:widowControl/>
        <w:autoSpaceDE/>
        <w:autoSpaceDN/>
        <w:bidi/>
        <w:adjustRightInd/>
        <w:spacing w:after="200"/>
        <w:ind w:left="502"/>
        <w:jc w:val="both"/>
        <w:rPr>
          <w:rFonts w:ascii="Times New Roman" w:hAnsi="Times New Roman" w:cs="Simplified Arabic"/>
          <w:rtl/>
          <w:lang w:bidi="ar-MA"/>
        </w:rPr>
      </w:pPr>
    </w:p>
    <w:p w:rsidR="00770A6D" w:rsidRPr="00D22424" w:rsidRDefault="00770A6D" w:rsidP="00D22424">
      <w:pPr>
        <w:pStyle w:val="Paragraphedeliste"/>
        <w:widowControl/>
        <w:numPr>
          <w:ilvl w:val="1"/>
          <w:numId w:val="2"/>
        </w:numPr>
        <w:autoSpaceDE/>
        <w:autoSpaceDN/>
        <w:bidi/>
        <w:adjustRightInd/>
        <w:spacing w:after="200" w:line="360" w:lineRule="auto"/>
        <w:jc w:val="both"/>
        <w:rPr>
          <w:rFonts w:ascii="Times New Roman" w:hAnsi="Times New Roman" w:cs="Simplified Arabic"/>
          <w:b/>
          <w:bCs/>
          <w:sz w:val="30"/>
          <w:szCs w:val="30"/>
          <w:lang w:bidi="ar-MA"/>
        </w:rPr>
      </w:pPr>
      <w:r w:rsidRPr="00043971">
        <w:rPr>
          <w:rFonts w:ascii="Times New Roman" w:hAnsi="Times New Roman" w:cs="Simplified Arabic" w:hint="cs"/>
          <w:b/>
          <w:bCs/>
          <w:sz w:val="30"/>
          <w:szCs w:val="30"/>
          <w:rtl/>
          <w:lang w:bidi="ar-MA"/>
        </w:rPr>
        <w:lastRenderedPageBreak/>
        <w:t xml:space="preserve">المحافظة على </w:t>
      </w:r>
      <w:r w:rsidRPr="00043971">
        <w:rPr>
          <w:rFonts w:ascii="Times New Roman" w:hAnsi="Times New Roman" w:cs="Simplified Arabic"/>
          <w:b/>
          <w:bCs/>
          <w:sz w:val="30"/>
          <w:szCs w:val="30"/>
          <w:rtl/>
          <w:lang w:bidi="ar-MA"/>
        </w:rPr>
        <w:t>البيئة</w:t>
      </w:r>
      <w:r w:rsidRPr="00043971">
        <w:rPr>
          <w:rFonts w:ascii="Times New Roman" w:hAnsi="Times New Roman" w:cs="Simplified Arabic" w:hint="cs"/>
          <w:b/>
          <w:bCs/>
          <w:sz w:val="30"/>
          <w:szCs w:val="30"/>
          <w:rtl/>
          <w:lang w:bidi="ar-MA"/>
        </w:rPr>
        <w:t>:</w:t>
      </w:r>
      <w:r w:rsidRPr="00D22424">
        <w:rPr>
          <w:rFonts w:ascii="Times New Roman" w:hAnsi="Times New Roman" w:cs="Simplified Arabic" w:hint="cs"/>
          <w:b/>
          <w:bCs/>
          <w:sz w:val="30"/>
          <w:szCs w:val="30"/>
          <w:rtl/>
          <w:lang w:bidi="ar-MA"/>
        </w:rPr>
        <w:t xml:space="preserve"> احساس بالتراجع</w:t>
      </w:r>
    </w:p>
    <w:p w:rsidR="00667AB1" w:rsidRDefault="00667AB1" w:rsidP="00FF6C9D">
      <w:pPr>
        <w:pStyle w:val="Paragraphedeliste"/>
        <w:widowControl/>
        <w:autoSpaceDE/>
        <w:autoSpaceDN/>
        <w:bidi/>
        <w:adjustRightInd/>
        <w:spacing w:after="200"/>
        <w:ind w:left="423"/>
        <w:jc w:val="both"/>
        <w:rPr>
          <w:rFonts w:ascii="Times New Roman" w:hAnsi="Times New Roman" w:cs="Simplified Arabic"/>
          <w:rtl/>
          <w:lang w:bidi="ar-MA"/>
        </w:rPr>
      </w:pPr>
      <w:r w:rsidRPr="00667AB1">
        <w:rPr>
          <w:rFonts w:ascii="Times New Roman" w:hAnsi="Times New Roman" w:cs="Simplified Arabic" w:hint="cs"/>
          <w:rtl/>
          <w:lang w:bidi="ar-MA"/>
        </w:rPr>
        <w:t xml:space="preserve">تدهورت </w:t>
      </w:r>
      <w:r w:rsidRPr="00667AB1">
        <w:rPr>
          <w:rFonts w:ascii="Times New Roman" w:hAnsi="Times New Roman" w:cs="Simplified Arabic"/>
          <w:rtl/>
          <w:lang w:bidi="ar-MA"/>
        </w:rPr>
        <w:t>آراء الأس</w:t>
      </w:r>
      <w:r w:rsidRPr="00667AB1">
        <w:rPr>
          <w:rFonts w:ascii="Times New Roman" w:hAnsi="Times New Roman" w:cs="Simplified Arabic" w:hint="cs"/>
          <w:rtl/>
          <w:lang w:bidi="ar-MA"/>
        </w:rPr>
        <w:t>ر</w:t>
      </w:r>
      <w:r w:rsidRPr="00667AB1">
        <w:rPr>
          <w:rFonts w:ascii="Times New Roman" w:hAnsi="Times New Roman" w:cs="Simplified Arabic"/>
          <w:rtl/>
          <w:lang w:bidi="ar-MA"/>
        </w:rPr>
        <w:t xml:space="preserve"> بخصوص </w:t>
      </w:r>
      <w:r w:rsidRPr="00667AB1">
        <w:rPr>
          <w:rFonts w:ascii="Times New Roman" w:hAnsi="Times New Roman" w:cs="Simplified Arabic" w:hint="cs"/>
          <w:rtl/>
          <w:lang w:bidi="ar-MA"/>
        </w:rPr>
        <w:t>وضعية</w:t>
      </w:r>
      <w:r w:rsidRPr="00667AB1">
        <w:rPr>
          <w:rFonts w:ascii="Times New Roman" w:hAnsi="Times New Roman" w:cs="Simplified Arabic"/>
          <w:rtl/>
          <w:lang w:bidi="ar-MA"/>
        </w:rPr>
        <w:t xml:space="preserve"> حماية البيئة </w:t>
      </w:r>
      <w:r w:rsidRPr="00667AB1">
        <w:rPr>
          <w:rFonts w:ascii="Times New Roman" w:hAnsi="Times New Roman" w:cs="Simplified Arabic" w:hint="cs"/>
          <w:rtl/>
          <w:lang w:bidi="ar-MA"/>
        </w:rPr>
        <w:t>خلال</w:t>
      </w:r>
      <w:r w:rsidR="00981DEA">
        <w:rPr>
          <w:rFonts w:ascii="Times New Roman" w:hAnsi="Times New Roman" w:cs="Simplified Arabic" w:hint="cs"/>
          <w:rtl/>
          <w:lang w:bidi="ar-MA"/>
        </w:rPr>
        <w:t xml:space="preserve"> سنة</w:t>
      </w:r>
      <w:r w:rsidRPr="00667AB1">
        <w:rPr>
          <w:rFonts w:ascii="Times New Roman" w:hAnsi="Times New Roman" w:cs="Simplified Arabic"/>
          <w:rtl/>
          <w:lang w:bidi="ar-MA"/>
        </w:rPr>
        <w:t xml:space="preserve"> 201</w:t>
      </w:r>
      <w:r w:rsidRPr="00667AB1">
        <w:rPr>
          <w:rFonts w:ascii="Times New Roman" w:hAnsi="Times New Roman" w:cs="Simplified Arabic" w:hint="cs"/>
          <w:rtl/>
          <w:lang w:bidi="ar-MA"/>
        </w:rPr>
        <w:t>9</w:t>
      </w:r>
      <w:r w:rsidRPr="00667AB1">
        <w:rPr>
          <w:rFonts w:ascii="Times New Roman" w:hAnsi="Times New Roman" w:cs="Simplified Arabic"/>
          <w:rtl/>
          <w:lang w:bidi="ar-MA"/>
        </w:rPr>
        <w:t xml:space="preserve"> </w:t>
      </w:r>
      <w:r w:rsidRPr="00667AB1">
        <w:rPr>
          <w:rFonts w:ascii="Times New Roman" w:hAnsi="Times New Roman" w:cs="Simplified Arabic" w:hint="cs"/>
          <w:rtl/>
          <w:lang w:bidi="ar-MA"/>
        </w:rPr>
        <w:t>مقارنة</w:t>
      </w:r>
      <w:r w:rsidRPr="00667AB1">
        <w:rPr>
          <w:rFonts w:ascii="Times New Roman" w:hAnsi="Times New Roman" w:cs="Simplified Arabic"/>
          <w:rtl/>
          <w:lang w:bidi="ar-MA"/>
        </w:rPr>
        <w:t xml:space="preserve"> </w:t>
      </w:r>
      <w:r w:rsidRPr="00667AB1">
        <w:rPr>
          <w:rFonts w:ascii="Times New Roman" w:hAnsi="Times New Roman" w:cs="Simplified Arabic" w:hint="cs"/>
          <w:rtl/>
          <w:lang w:bidi="ar-MA"/>
        </w:rPr>
        <w:t xml:space="preserve">مع سنة </w:t>
      </w:r>
      <w:r w:rsidRPr="00667AB1">
        <w:rPr>
          <w:rFonts w:ascii="Times New Roman" w:hAnsi="Times New Roman" w:cs="Simplified Arabic"/>
          <w:rtl/>
          <w:lang w:bidi="ar-MA"/>
        </w:rPr>
        <w:t>201</w:t>
      </w:r>
      <w:r w:rsidRPr="00667AB1">
        <w:rPr>
          <w:rFonts w:ascii="Times New Roman" w:hAnsi="Times New Roman" w:cs="Simplified Arabic" w:hint="cs"/>
          <w:rtl/>
          <w:lang w:bidi="ar-MA"/>
        </w:rPr>
        <w:t xml:space="preserve">8 حيث </w:t>
      </w:r>
      <w:r w:rsidR="00981DEA">
        <w:rPr>
          <w:rFonts w:ascii="Times New Roman" w:hAnsi="Times New Roman" w:cs="Simplified Arabic" w:hint="cs"/>
          <w:rtl/>
          <w:lang w:bidi="ar-MA"/>
        </w:rPr>
        <w:t>انتقل</w:t>
      </w:r>
      <w:r w:rsidRPr="00667AB1">
        <w:rPr>
          <w:rFonts w:ascii="Times New Roman" w:hAnsi="Times New Roman" w:cs="Simplified Arabic"/>
          <w:rtl/>
          <w:lang w:bidi="ar-MA"/>
        </w:rPr>
        <w:t xml:space="preserve"> رصيد هذه الآراء</w:t>
      </w:r>
      <w:r w:rsidRPr="00667AB1">
        <w:rPr>
          <w:rFonts w:ascii="Times New Roman" w:hAnsi="Times New Roman" w:cs="Simplified Arabic" w:hint="cs"/>
          <w:rtl/>
          <w:lang w:bidi="ar-MA"/>
        </w:rPr>
        <w:t xml:space="preserve">، </w:t>
      </w:r>
      <w:r w:rsidR="00981DEA">
        <w:rPr>
          <w:rFonts w:ascii="Times New Roman" w:hAnsi="Times New Roman" w:cs="Simplified Arabic" w:hint="cs"/>
          <w:rtl/>
          <w:lang w:bidi="ar-MA"/>
        </w:rPr>
        <w:t>من 20</w:t>
      </w:r>
      <w:r w:rsidR="00981DEA" w:rsidRPr="00667AB1">
        <w:rPr>
          <w:rFonts w:ascii="Times New Roman" w:hAnsi="Times New Roman" w:cs="Simplified Arabic" w:hint="cs"/>
          <w:rtl/>
          <w:lang w:bidi="ar-MA"/>
        </w:rPr>
        <w:t>,</w:t>
      </w:r>
      <w:r w:rsidR="00981DEA">
        <w:rPr>
          <w:rFonts w:ascii="Times New Roman" w:hAnsi="Times New Roman" w:cs="Simplified Arabic" w:hint="cs"/>
          <w:rtl/>
          <w:lang w:bidi="ar-MA"/>
        </w:rPr>
        <w:t xml:space="preserve">5  نقطة المسجلة </w:t>
      </w:r>
      <w:r w:rsidRPr="00667AB1">
        <w:rPr>
          <w:rFonts w:ascii="Times New Roman" w:hAnsi="Times New Roman" w:cs="Simplified Arabic" w:hint="cs"/>
          <w:rtl/>
          <w:lang w:bidi="ar-MA"/>
        </w:rPr>
        <w:t>خلال</w:t>
      </w:r>
      <w:r w:rsidR="00981DEA">
        <w:rPr>
          <w:rFonts w:ascii="Times New Roman" w:hAnsi="Times New Roman" w:cs="Simplified Arabic" w:hint="cs"/>
          <w:rtl/>
          <w:lang w:bidi="ar-MA"/>
        </w:rPr>
        <w:t xml:space="preserve"> سنة</w:t>
      </w:r>
      <w:r w:rsidRPr="00667AB1">
        <w:rPr>
          <w:rFonts w:ascii="Times New Roman" w:hAnsi="Times New Roman" w:cs="Simplified Arabic" w:hint="cs"/>
          <w:rtl/>
          <w:lang w:bidi="ar-MA"/>
        </w:rPr>
        <w:t xml:space="preserve"> </w:t>
      </w:r>
      <w:r w:rsidR="00FF6C9D">
        <w:rPr>
          <w:rFonts w:ascii="Times New Roman" w:hAnsi="Times New Roman" w:cs="Simplified Arabic" w:hint="cs"/>
          <w:rtl/>
          <w:lang w:bidi="ar-MA"/>
        </w:rPr>
        <w:t xml:space="preserve">2018 الى </w:t>
      </w:r>
      <w:r w:rsidR="00FF6C9D" w:rsidRPr="00667AB1">
        <w:rPr>
          <w:rFonts w:ascii="Times New Roman" w:hAnsi="Times New Roman" w:cs="Simplified Arabic" w:hint="cs"/>
          <w:rtl/>
          <w:lang w:bidi="ar-MA"/>
        </w:rPr>
        <w:t xml:space="preserve">16,9 </w:t>
      </w:r>
      <w:r w:rsidR="00FF6C9D">
        <w:rPr>
          <w:rFonts w:ascii="Times New Roman" w:hAnsi="Times New Roman" w:cs="Simplified Arabic" w:hint="cs"/>
          <w:rtl/>
          <w:lang w:bidi="ar-MA"/>
        </w:rPr>
        <w:t xml:space="preserve">نقطة سنة </w:t>
      </w:r>
      <w:r w:rsidR="00981DEA">
        <w:rPr>
          <w:rFonts w:ascii="Times New Roman" w:hAnsi="Times New Roman" w:cs="Simplified Arabic" w:hint="cs"/>
          <w:rtl/>
          <w:lang w:bidi="ar-MA"/>
        </w:rPr>
        <w:t>201</w:t>
      </w:r>
      <w:r w:rsidR="00FF6C9D">
        <w:rPr>
          <w:rFonts w:ascii="Times New Roman" w:hAnsi="Times New Roman" w:cs="Simplified Arabic" w:hint="cs"/>
          <w:rtl/>
          <w:lang w:bidi="ar-MA"/>
        </w:rPr>
        <w:t>9</w:t>
      </w:r>
      <w:r w:rsidR="00981DEA">
        <w:rPr>
          <w:rFonts w:ascii="Times New Roman" w:hAnsi="Times New Roman" w:cs="Simplified Arabic" w:hint="cs"/>
          <w:rtl/>
          <w:lang w:bidi="ar-MA"/>
        </w:rPr>
        <w:t xml:space="preserve"> .</w:t>
      </w:r>
    </w:p>
    <w:p w:rsidR="00981DEA" w:rsidRPr="00667AB1" w:rsidRDefault="00981DEA" w:rsidP="00981DEA">
      <w:pPr>
        <w:pStyle w:val="Paragraphedeliste"/>
        <w:widowControl/>
        <w:autoSpaceDE/>
        <w:autoSpaceDN/>
        <w:bidi/>
        <w:adjustRightInd/>
        <w:spacing w:after="200"/>
        <w:ind w:left="423"/>
        <w:jc w:val="both"/>
        <w:rPr>
          <w:rFonts w:ascii="Times New Roman" w:hAnsi="Times New Roman" w:cs="Simplified Arabic"/>
          <w:rtl/>
          <w:lang w:bidi="ar-MA"/>
        </w:rPr>
      </w:pPr>
    </w:p>
    <w:p w:rsidR="004C2E15" w:rsidRPr="002B668B" w:rsidRDefault="004C2E15" w:rsidP="00D22424">
      <w:pPr>
        <w:pStyle w:val="Paragraphedeliste"/>
        <w:widowControl/>
        <w:numPr>
          <w:ilvl w:val="1"/>
          <w:numId w:val="2"/>
        </w:numPr>
        <w:autoSpaceDE/>
        <w:autoSpaceDN/>
        <w:bidi/>
        <w:adjustRightInd/>
        <w:spacing w:after="200" w:line="360" w:lineRule="auto"/>
        <w:jc w:val="both"/>
        <w:rPr>
          <w:rFonts w:ascii="Times New Roman" w:hAnsi="Times New Roman" w:cs="Simplified Arabic"/>
          <w:sz w:val="28"/>
          <w:szCs w:val="28"/>
          <w:lang w:bidi="ar-MA"/>
        </w:rPr>
      </w:pPr>
      <w:r w:rsidRPr="00D22424">
        <w:rPr>
          <w:rFonts w:ascii="Times New Roman" w:hAnsi="Times New Roman" w:cs="Simplified Arabic" w:hint="cs"/>
          <w:b/>
          <w:bCs/>
          <w:sz w:val="30"/>
          <w:szCs w:val="30"/>
          <w:rtl/>
          <w:lang w:bidi="ar-MA"/>
        </w:rPr>
        <w:t>وضعية حقوق الإنسان: شعور بتدهور</w:t>
      </w:r>
      <w:r>
        <w:rPr>
          <w:rFonts w:ascii="Times New Roman" w:hAnsi="Times New Roman" w:cs="Simplified Arabic" w:hint="cs"/>
          <w:b/>
          <w:bCs/>
          <w:sz w:val="30"/>
          <w:szCs w:val="30"/>
          <w:rtl/>
          <w:lang w:bidi="ar-MA"/>
        </w:rPr>
        <w:t xml:space="preserve"> حاد</w:t>
      </w:r>
    </w:p>
    <w:p w:rsidR="004C2E15" w:rsidRDefault="00032A33" w:rsidP="00504DDB">
      <w:pPr>
        <w:bidi/>
        <w:ind w:left="423"/>
        <w:jc w:val="both"/>
        <w:rPr>
          <w:rFonts w:ascii="Times New Roman" w:hAnsi="Times New Roman" w:cs="Simplified Arabic"/>
          <w:lang w:bidi="ar-MA"/>
        </w:rPr>
      </w:pPr>
      <w:r w:rsidRPr="00E335F4">
        <w:rPr>
          <w:rFonts w:ascii="Times New Roman" w:hAnsi="Times New Roman" w:cs="Simplified Arabic" w:hint="cs"/>
          <w:rtl/>
          <w:lang w:bidi="ar-MA"/>
        </w:rPr>
        <w:t xml:space="preserve">خلال سنة </w:t>
      </w:r>
      <w:r w:rsidRPr="00E335F4">
        <w:rPr>
          <w:rFonts w:ascii="Times New Roman" w:hAnsi="Times New Roman" w:cs="Simplified Arabic"/>
          <w:rtl/>
          <w:lang w:bidi="ar-MA"/>
        </w:rPr>
        <w:t>2019</w:t>
      </w:r>
      <w:r w:rsidRPr="00E335F4">
        <w:rPr>
          <w:rFonts w:ascii="Times New Roman" w:hAnsi="Times New Roman" w:cs="Simplified Arabic" w:hint="cs"/>
          <w:rtl/>
          <w:lang w:bidi="ar-MA"/>
        </w:rPr>
        <w:t xml:space="preserve">، </w:t>
      </w:r>
      <w:r w:rsidR="004C2E15" w:rsidRPr="00E335F4">
        <w:rPr>
          <w:rFonts w:ascii="Times New Roman" w:hAnsi="Times New Roman" w:cs="Simplified Arabic" w:hint="cs"/>
          <w:rtl/>
          <w:lang w:bidi="ar-MA"/>
        </w:rPr>
        <w:t xml:space="preserve"> صرحت </w:t>
      </w:r>
      <w:r w:rsidR="00667AB1">
        <w:rPr>
          <w:rFonts w:ascii="Times New Roman" w:hAnsi="Times New Roman" w:cs="Simplified Arabic"/>
          <w:lang w:bidi="ar-MA"/>
        </w:rPr>
        <w:t>23</w:t>
      </w:r>
      <w:r w:rsidRPr="00E335F4">
        <w:rPr>
          <w:rFonts w:ascii="Times New Roman" w:hAnsi="Times New Roman" w:cs="Simplified Arabic"/>
          <w:lang w:bidi="ar-MA"/>
        </w:rPr>
        <w:t>,8</w:t>
      </w:r>
      <w:r w:rsidR="004C2E15" w:rsidRPr="00E335F4">
        <w:rPr>
          <w:rFonts w:ascii="Times New Roman" w:hAnsi="Times New Roman" w:cs="Simplified Arabic" w:hint="cs"/>
          <w:rtl/>
          <w:lang w:bidi="ar-MA"/>
        </w:rPr>
        <w:t xml:space="preserve"> </w:t>
      </w:r>
      <w:r w:rsidR="004C2E15" w:rsidRPr="00E335F4">
        <w:rPr>
          <w:rFonts w:ascii="Times New Roman" w:hAnsi="Times New Roman" w:cs="Simplified Arabic"/>
          <w:lang w:bidi="ar-MA"/>
        </w:rPr>
        <w:t>%</w:t>
      </w:r>
      <w:r w:rsidR="004C2E15" w:rsidRPr="00E335F4">
        <w:rPr>
          <w:rFonts w:ascii="Times New Roman" w:hAnsi="Times New Roman" w:cs="Simplified Arabic" w:hint="cs"/>
          <w:rtl/>
          <w:lang w:bidi="ar-MA"/>
        </w:rPr>
        <w:t xml:space="preserve"> من الأسر أن وضعية </w:t>
      </w:r>
      <w:r w:rsidR="004C2E15" w:rsidRPr="00E335F4">
        <w:rPr>
          <w:rFonts w:ascii="Times New Roman" w:hAnsi="Times New Roman" w:cs="Simplified Arabic"/>
          <w:rtl/>
          <w:lang w:bidi="ar-MA"/>
        </w:rPr>
        <w:t>حقوق الإنسان</w:t>
      </w:r>
      <w:r w:rsidR="004C2E15" w:rsidRPr="00E335F4">
        <w:rPr>
          <w:rFonts w:ascii="Times New Roman" w:hAnsi="Times New Roman" w:cs="Simplified Arabic" w:hint="cs"/>
          <w:rtl/>
          <w:lang w:bidi="ar-MA"/>
        </w:rPr>
        <w:t xml:space="preserve"> بالمغرب قد ت</w:t>
      </w:r>
      <w:r w:rsidR="00B1576B">
        <w:rPr>
          <w:rFonts w:ascii="Times New Roman" w:hAnsi="Times New Roman" w:cs="Simplified Arabic" w:hint="cs"/>
          <w:rtl/>
          <w:lang w:bidi="ar-MA"/>
        </w:rPr>
        <w:t xml:space="preserve">دهورت مقابل </w:t>
      </w:r>
      <w:r w:rsidR="00B1576B">
        <w:rPr>
          <w:rFonts w:ascii="Times New Roman" w:hAnsi="Times New Roman" w:cs="Simplified Arabic"/>
          <w:lang w:bidi="ar-MA"/>
        </w:rPr>
        <w:t>18,7</w:t>
      </w:r>
      <w:r w:rsidR="004C2E15" w:rsidRPr="00E335F4">
        <w:rPr>
          <w:rFonts w:ascii="Times New Roman" w:hAnsi="Times New Roman" w:cs="Simplified Arabic" w:hint="cs"/>
          <w:rtl/>
          <w:lang w:bidi="ar-MA"/>
        </w:rPr>
        <w:t xml:space="preserve"> </w:t>
      </w:r>
      <w:r w:rsidR="00B1576B" w:rsidRPr="00E335F4">
        <w:rPr>
          <w:rFonts w:ascii="Times New Roman" w:hAnsi="Times New Roman" w:cs="Simplified Arabic"/>
          <w:lang w:bidi="ar-MA"/>
        </w:rPr>
        <w:t>%</w:t>
      </w:r>
      <w:r w:rsidR="004C2E15" w:rsidRPr="00E335F4">
        <w:rPr>
          <w:rFonts w:ascii="Times New Roman" w:hAnsi="Times New Roman" w:cs="Simplified Arabic" w:hint="cs"/>
          <w:rtl/>
          <w:lang w:bidi="ar-MA"/>
        </w:rPr>
        <w:t xml:space="preserve"> </w:t>
      </w:r>
      <w:r w:rsidR="00B1576B">
        <w:rPr>
          <w:rFonts w:ascii="Times New Roman" w:hAnsi="Times New Roman" w:cs="Simplified Arabic" w:hint="cs"/>
          <w:rtl/>
          <w:lang w:bidi="ar-MA"/>
        </w:rPr>
        <w:t>سنة 2018</w:t>
      </w:r>
      <w:r w:rsidR="004C2E15" w:rsidRPr="00E335F4">
        <w:rPr>
          <w:rFonts w:ascii="Times New Roman" w:hAnsi="Times New Roman" w:cs="Simplified Arabic" w:hint="cs"/>
          <w:rtl/>
          <w:lang w:bidi="ar-MA"/>
        </w:rPr>
        <w:t>. و قد استقر رصيد هذا المؤشر</w:t>
      </w:r>
      <w:r w:rsidR="00504DDB">
        <w:rPr>
          <w:rFonts w:ascii="Times New Roman" w:hAnsi="Times New Roman" w:cs="Simplified Arabic" w:hint="cs"/>
          <w:rtl/>
          <w:lang w:bidi="ar-MA"/>
        </w:rPr>
        <w:t xml:space="preserve"> في </w:t>
      </w:r>
      <w:r w:rsidR="003A6AAA" w:rsidRPr="00E335F4">
        <w:rPr>
          <w:rFonts w:ascii="Times New Roman" w:hAnsi="Times New Roman" w:cs="Simplified Arabic"/>
          <w:rtl/>
          <w:lang w:bidi="ar-MA"/>
        </w:rPr>
        <w:t>7</w:t>
      </w:r>
      <w:r w:rsidR="00504DDB">
        <w:rPr>
          <w:rFonts w:ascii="Times New Roman" w:hAnsi="Times New Roman" w:cs="Simplified Arabic" w:hint="cs"/>
          <w:rtl/>
          <w:lang w:bidi="ar-MA"/>
        </w:rPr>
        <w:t xml:space="preserve"> </w:t>
      </w:r>
      <w:r w:rsidR="004C2E15" w:rsidRPr="00E335F4">
        <w:rPr>
          <w:rFonts w:ascii="Times New Roman" w:hAnsi="Times New Roman" w:cs="Simplified Arabic" w:hint="cs"/>
          <w:rtl/>
          <w:lang w:bidi="ar-MA"/>
        </w:rPr>
        <w:t>نق</w:t>
      </w:r>
      <w:r w:rsidR="003A6AAA" w:rsidRPr="00E335F4">
        <w:rPr>
          <w:rFonts w:ascii="Times New Roman" w:hAnsi="Times New Roman" w:cs="Simplified Arabic" w:hint="cs"/>
          <w:rtl/>
          <w:lang w:bidi="ar-MA"/>
        </w:rPr>
        <w:t>ا</w:t>
      </w:r>
      <w:r w:rsidR="004C2E15" w:rsidRPr="00E335F4">
        <w:rPr>
          <w:rFonts w:ascii="Times New Roman" w:hAnsi="Times New Roman" w:cs="Simplified Arabic" w:hint="cs"/>
          <w:rtl/>
          <w:lang w:bidi="ar-MA"/>
        </w:rPr>
        <w:t xml:space="preserve">ط مسجلا تدهورا مقارنة مع مستواه خلال </w:t>
      </w:r>
      <w:r w:rsidRPr="00E335F4">
        <w:rPr>
          <w:rFonts w:ascii="Times New Roman" w:hAnsi="Times New Roman" w:cs="Simplified Arabic"/>
          <w:rtl/>
          <w:lang w:bidi="ar-MA"/>
        </w:rPr>
        <w:t>2018</w:t>
      </w:r>
      <w:r w:rsidR="004C2E15" w:rsidRPr="00E335F4">
        <w:rPr>
          <w:rFonts w:ascii="Times New Roman" w:hAnsi="Times New Roman" w:cs="Simplified Arabic" w:hint="cs"/>
          <w:rtl/>
          <w:lang w:bidi="ar-MA"/>
        </w:rPr>
        <w:t xml:space="preserve">  حيث بلغ</w:t>
      </w:r>
      <w:r w:rsidR="004C2E15" w:rsidRPr="00E335F4">
        <w:rPr>
          <w:rFonts w:ascii="Times New Roman" w:hAnsi="Times New Roman" w:cs="Simplified Arabic"/>
          <w:lang w:bidi="ar-MA"/>
        </w:rPr>
        <w:t xml:space="preserve"> </w:t>
      </w:r>
      <w:r w:rsidR="003A6AAA" w:rsidRPr="00E335F4">
        <w:rPr>
          <w:rFonts w:ascii="Times New Roman" w:hAnsi="Times New Roman" w:cs="Simplified Arabic"/>
          <w:lang w:bidi="ar-MA"/>
        </w:rPr>
        <w:t>22,8</w:t>
      </w:r>
      <w:r w:rsidR="004C2E15" w:rsidRPr="00E335F4">
        <w:rPr>
          <w:rFonts w:ascii="Times New Roman" w:hAnsi="Times New Roman" w:cs="Simplified Arabic"/>
          <w:lang w:bidi="ar-MA"/>
        </w:rPr>
        <w:t xml:space="preserve"> </w:t>
      </w:r>
      <w:r w:rsidR="004C2E15" w:rsidRPr="00E335F4">
        <w:rPr>
          <w:rFonts w:ascii="Times New Roman" w:hAnsi="Times New Roman" w:cs="Simplified Arabic" w:hint="cs"/>
          <w:rtl/>
          <w:lang w:bidi="ar-MA"/>
        </w:rPr>
        <w:t>نقطة.</w:t>
      </w:r>
    </w:p>
    <w:p w:rsidR="00E335F4" w:rsidRPr="00E335F4" w:rsidRDefault="00E335F4" w:rsidP="00504DDB">
      <w:pPr>
        <w:bidi/>
        <w:ind w:left="423"/>
        <w:jc w:val="both"/>
        <w:rPr>
          <w:rFonts w:ascii="Times New Roman" w:hAnsi="Times New Roman" w:cs="Simplified Arabic"/>
          <w:rtl/>
          <w:lang w:bidi="ar-MA"/>
        </w:rPr>
      </w:pPr>
    </w:p>
    <w:p w:rsidR="004C2E15" w:rsidRPr="003526E0" w:rsidRDefault="004C2E15" w:rsidP="00FB0E1E">
      <w:pPr>
        <w:pStyle w:val="Paragraphedeliste"/>
        <w:widowControl/>
        <w:numPr>
          <w:ilvl w:val="0"/>
          <w:numId w:val="3"/>
        </w:numPr>
        <w:autoSpaceDE/>
        <w:bidi/>
        <w:adjustRightInd/>
        <w:spacing w:line="360" w:lineRule="auto"/>
        <w:rPr>
          <w:rFonts w:ascii="Times New Roman" w:hAnsi="Times New Roman" w:cs="Simplified Arabic"/>
          <w:sz w:val="28"/>
          <w:szCs w:val="28"/>
          <w:lang w:bidi="ar-MA"/>
        </w:rPr>
      </w:pPr>
      <w:r w:rsidRPr="003839D8">
        <w:rPr>
          <w:rFonts w:ascii="Times New Roman" w:hAnsi="Times New Roman" w:cs="Simplified Arabic" w:hint="cs"/>
          <w:b/>
          <w:bCs/>
          <w:sz w:val="30"/>
          <w:szCs w:val="30"/>
          <w:rtl/>
          <w:lang w:bidi="ar-MA"/>
        </w:rPr>
        <w:t>خدمات التعليم</w:t>
      </w:r>
      <w:r>
        <w:rPr>
          <w:rFonts w:ascii="Times New Roman" w:hAnsi="Times New Roman" w:cs="Simplified Arabic" w:hint="cs"/>
          <w:b/>
          <w:bCs/>
          <w:sz w:val="30"/>
          <w:szCs w:val="30"/>
          <w:rtl/>
          <w:lang w:bidi="ar-MA"/>
        </w:rPr>
        <w:t xml:space="preserve">: </w:t>
      </w:r>
      <w:r>
        <w:rPr>
          <w:rFonts w:ascii="Times New Roman" w:hAnsi="Times New Roman" w:cs="Simplified Arabic" w:hint="cs"/>
          <w:b/>
          <w:bCs/>
          <w:sz w:val="28"/>
          <w:szCs w:val="28"/>
          <w:rtl/>
          <w:lang w:bidi="ar-MA"/>
        </w:rPr>
        <w:t>احساس</w:t>
      </w:r>
      <w:r>
        <w:rPr>
          <w:rFonts w:ascii="Times New Roman" w:hAnsi="Times New Roman" w:cs="Simplified Arabic" w:hint="cs"/>
          <w:b/>
          <w:bCs/>
          <w:sz w:val="30"/>
          <w:szCs w:val="30"/>
          <w:rtl/>
          <w:lang w:bidi="ar-MA"/>
        </w:rPr>
        <w:t xml:space="preserve"> </w:t>
      </w:r>
      <w:r w:rsidR="00FB0E1E" w:rsidRPr="003C1BB4">
        <w:rPr>
          <w:rFonts w:ascii="Times New Roman" w:hAnsi="Times New Roman" w:cs="Simplified Arabic" w:hint="cs"/>
          <w:b/>
          <w:bCs/>
          <w:sz w:val="28"/>
          <w:szCs w:val="28"/>
          <w:rtl/>
          <w:lang w:bidi="ar-MA"/>
        </w:rPr>
        <w:t>بتدهور</w:t>
      </w:r>
      <w:r w:rsidR="00FB0E1E">
        <w:rPr>
          <w:rFonts w:ascii="Times New Roman" w:hAnsi="Times New Roman" w:cs="Simplified Arabic" w:hint="cs"/>
          <w:b/>
          <w:bCs/>
          <w:sz w:val="30"/>
          <w:szCs w:val="30"/>
          <w:rtl/>
          <w:lang w:bidi="ar-MA"/>
        </w:rPr>
        <w:t xml:space="preserve"> حاد</w:t>
      </w:r>
    </w:p>
    <w:p w:rsidR="001767CD" w:rsidRPr="00E335F4" w:rsidRDefault="004C2E15" w:rsidP="00504DDB">
      <w:pPr>
        <w:widowControl/>
        <w:autoSpaceDE/>
        <w:bidi/>
        <w:adjustRightInd/>
        <w:spacing w:after="200"/>
        <w:ind w:left="63"/>
        <w:jc w:val="both"/>
        <w:rPr>
          <w:rFonts w:ascii="Times New Roman" w:hAnsi="Times New Roman" w:cs="Simplified Arabic"/>
          <w:rtl/>
          <w:lang w:bidi="ar-MA"/>
        </w:rPr>
      </w:pPr>
      <w:r w:rsidRPr="00E335F4">
        <w:rPr>
          <w:rFonts w:ascii="Times New Roman" w:hAnsi="Times New Roman" w:cs="Simplified Arabic" w:hint="cs"/>
          <w:rtl/>
          <w:lang w:bidi="ar-MA"/>
        </w:rPr>
        <w:t xml:space="preserve"> </w:t>
      </w:r>
      <w:r w:rsidR="00032A33" w:rsidRPr="00E335F4">
        <w:rPr>
          <w:rFonts w:ascii="Times New Roman" w:hAnsi="Times New Roman" w:cs="Simplified Arabic" w:hint="cs"/>
          <w:rtl/>
          <w:lang w:bidi="ar-MA"/>
        </w:rPr>
        <w:t xml:space="preserve">خلال سنة </w:t>
      </w:r>
      <w:r w:rsidR="00032A33" w:rsidRPr="00E335F4">
        <w:rPr>
          <w:rFonts w:ascii="Times New Roman" w:hAnsi="Times New Roman" w:cs="Simplified Arabic"/>
          <w:rtl/>
          <w:lang w:bidi="ar-MA"/>
        </w:rPr>
        <w:t>2019</w:t>
      </w:r>
      <w:r w:rsidR="00032A33" w:rsidRPr="00E335F4">
        <w:rPr>
          <w:rFonts w:ascii="Times New Roman" w:hAnsi="Times New Roman" w:cs="Simplified Arabic" w:hint="cs"/>
          <w:rtl/>
          <w:lang w:bidi="ar-MA"/>
        </w:rPr>
        <w:t>،</w:t>
      </w:r>
      <w:r w:rsidR="00504DDB">
        <w:rPr>
          <w:rFonts w:ascii="Times New Roman" w:hAnsi="Times New Roman" w:cs="Simplified Arabic" w:hint="cs"/>
          <w:rtl/>
          <w:lang w:bidi="ar-MA"/>
        </w:rPr>
        <w:t xml:space="preserve">  </w:t>
      </w:r>
      <w:r w:rsidR="00DB1308" w:rsidRPr="00E335F4">
        <w:rPr>
          <w:rFonts w:ascii="Times New Roman" w:hAnsi="Times New Roman" w:cs="Simplified Arabic"/>
          <w:lang w:bidi="ar-MA"/>
        </w:rPr>
        <w:t>%</w:t>
      </w:r>
      <w:r w:rsidR="00DB1308" w:rsidRPr="00E335F4">
        <w:rPr>
          <w:rFonts w:ascii="Times New Roman" w:hAnsi="Times New Roman" w:cs="Simplified Arabic" w:hint="cs"/>
          <w:lang w:bidi="ar-MA"/>
        </w:rPr>
        <w:t xml:space="preserve"> </w:t>
      </w:r>
      <w:r w:rsidR="00DB1308" w:rsidRPr="00E335F4">
        <w:rPr>
          <w:rFonts w:ascii="Times New Roman" w:hAnsi="Times New Roman" w:cs="Simplified Arabic"/>
          <w:lang w:bidi="ar-MA"/>
        </w:rPr>
        <w:t>52,2</w:t>
      </w:r>
      <w:r w:rsidR="00504DDB">
        <w:rPr>
          <w:rFonts w:ascii="Times New Roman" w:hAnsi="Times New Roman" w:cs="Simplified Arabic" w:hint="cs"/>
          <w:rtl/>
          <w:lang w:bidi="ar-MA"/>
        </w:rPr>
        <w:t xml:space="preserve"> </w:t>
      </w:r>
      <w:r w:rsidR="00DB1308">
        <w:rPr>
          <w:rFonts w:ascii="Times New Roman" w:hAnsi="Times New Roman" w:cs="Simplified Arabic" w:hint="cs"/>
          <w:rtl/>
          <w:lang w:bidi="ar-MA"/>
        </w:rPr>
        <w:t xml:space="preserve">مقابل </w:t>
      </w:r>
      <w:r w:rsidR="00DB1308" w:rsidRPr="00E335F4">
        <w:rPr>
          <w:rFonts w:ascii="Times New Roman" w:hAnsi="Times New Roman" w:cs="Simplified Arabic"/>
          <w:lang w:bidi="ar-MA"/>
        </w:rPr>
        <w:t>19,1</w:t>
      </w:r>
      <w:r w:rsidR="00DB1308" w:rsidRPr="00E335F4">
        <w:rPr>
          <w:rFonts w:ascii="Times New Roman" w:hAnsi="Times New Roman" w:cs="Simplified Arabic" w:hint="cs"/>
          <w:rtl/>
          <w:lang w:bidi="ar-MA"/>
        </w:rPr>
        <w:t xml:space="preserve"> </w:t>
      </w:r>
      <w:r w:rsidR="00DB1308" w:rsidRPr="00E335F4">
        <w:rPr>
          <w:rFonts w:ascii="Times New Roman" w:hAnsi="Times New Roman" w:cs="Simplified Arabic"/>
          <w:lang w:bidi="ar-MA"/>
        </w:rPr>
        <w:t>%</w:t>
      </w:r>
      <w:r w:rsidR="00DB1308">
        <w:rPr>
          <w:rFonts w:ascii="Times New Roman" w:hAnsi="Times New Roman" w:cs="Simplified Arabic" w:hint="cs"/>
          <w:rtl/>
          <w:lang w:bidi="ar-MA"/>
        </w:rPr>
        <w:t xml:space="preserve"> من </w:t>
      </w:r>
      <w:r w:rsidRPr="00E335F4">
        <w:rPr>
          <w:rFonts w:ascii="Times New Roman" w:hAnsi="Times New Roman" w:cs="Simplified Arabic" w:hint="cs"/>
          <w:rtl/>
          <w:lang w:bidi="ar-MA"/>
        </w:rPr>
        <w:t xml:space="preserve">الأسر </w:t>
      </w:r>
      <w:r w:rsidR="00DB1308" w:rsidRPr="00E335F4">
        <w:rPr>
          <w:rFonts w:ascii="Times New Roman" w:hAnsi="Times New Roman" w:cs="Simplified Arabic" w:hint="cs"/>
          <w:rtl/>
          <w:lang w:bidi="ar-MA"/>
        </w:rPr>
        <w:t xml:space="preserve">أقرت بتدهور </w:t>
      </w:r>
      <w:r w:rsidRPr="00E335F4">
        <w:rPr>
          <w:rFonts w:ascii="Times New Roman" w:hAnsi="Times New Roman" w:cs="Simplified Arabic" w:hint="cs"/>
          <w:rtl/>
          <w:lang w:bidi="ar-MA"/>
        </w:rPr>
        <w:t xml:space="preserve">جودة خدمات التعليم. و هكذا سجل رصيد هذا المؤشر مستواه الأكثر سلبية منذ بداية البحث مستقرا في ناقص </w:t>
      </w:r>
      <w:r w:rsidR="00F4022A" w:rsidRPr="00E335F4">
        <w:rPr>
          <w:rFonts w:ascii="Times New Roman" w:hAnsi="Times New Roman" w:cs="Simplified Arabic"/>
          <w:lang w:bidi="ar-MA"/>
        </w:rPr>
        <w:t>33</w:t>
      </w:r>
      <w:r w:rsidRPr="00E335F4">
        <w:rPr>
          <w:rFonts w:ascii="Times New Roman" w:hAnsi="Times New Roman" w:cs="Simplified Arabic"/>
          <w:lang w:bidi="ar-MA"/>
        </w:rPr>
        <w:t>,1</w:t>
      </w:r>
      <w:r w:rsidRPr="00E335F4">
        <w:rPr>
          <w:rFonts w:ascii="Times New Roman" w:hAnsi="Times New Roman" w:cs="Simplified Arabic" w:hint="cs"/>
          <w:rtl/>
          <w:lang w:bidi="ar-MA"/>
        </w:rPr>
        <w:t xml:space="preserve"> نقطة</w:t>
      </w:r>
      <w:r w:rsidR="00DB1308">
        <w:rPr>
          <w:rFonts w:ascii="Times New Roman" w:hAnsi="Times New Roman" w:cs="Simplified Arabic" w:hint="cs"/>
          <w:rtl/>
          <w:lang w:bidi="ar-MA"/>
        </w:rPr>
        <w:t xml:space="preserve"> سنة 2019 مقابل ناقص 12 نقطة سنة 2018</w:t>
      </w:r>
      <w:r w:rsidRPr="00E335F4">
        <w:rPr>
          <w:rFonts w:ascii="Times New Roman" w:hAnsi="Times New Roman" w:cs="Simplified Arabic" w:hint="cs"/>
          <w:rtl/>
          <w:lang w:bidi="ar-MA"/>
        </w:rPr>
        <w:t>.</w:t>
      </w:r>
    </w:p>
    <w:p w:rsidR="004C2E15" w:rsidRDefault="004C2E15" w:rsidP="00E335F4">
      <w:pPr>
        <w:pStyle w:val="Paragraphedeliste"/>
        <w:widowControl/>
        <w:numPr>
          <w:ilvl w:val="0"/>
          <w:numId w:val="3"/>
        </w:numPr>
        <w:autoSpaceDE/>
        <w:autoSpaceDN/>
        <w:bidi/>
        <w:adjustRightInd/>
        <w:ind w:left="141" w:firstLine="0"/>
        <w:jc w:val="both"/>
        <w:rPr>
          <w:rFonts w:ascii="Times New Roman" w:hAnsi="Times New Roman" w:cs="Simplified Arabic"/>
          <w:b/>
          <w:bCs/>
          <w:sz w:val="30"/>
          <w:szCs w:val="30"/>
          <w:lang w:bidi="ar-MA"/>
        </w:rPr>
      </w:pPr>
      <w:r w:rsidRPr="003839D8">
        <w:rPr>
          <w:rFonts w:ascii="Times New Roman" w:hAnsi="Times New Roman" w:cs="Simplified Arabic" w:hint="cs"/>
          <w:b/>
          <w:bCs/>
          <w:sz w:val="30"/>
          <w:szCs w:val="30"/>
          <w:rtl/>
          <w:lang w:bidi="ar-MA"/>
        </w:rPr>
        <w:t>خدمات الصحة</w:t>
      </w:r>
      <w:r>
        <w:rPr>
          <w:rFonts w:ascii="Times New Roman" w:hAnsi="Times New Roman" w:cs="Simplified Arabic" w:hint="cs"/>
          <w:b/>
          <w:bCs/>
          <w:sz w:val="30"/>
          <w:szCs w:val="30"/>
          <w:rtl/>
          <w:lang w:bidi="ar-MA"/>
        </w:rPr>
        <w:t xml:space="preserve">: استمرار </w:t>
      </w:r>
      <w:r w:rsidR="001767CD">
        <w:rPr>
          <w:rFonts w:ascii="Times New Roman" w:hAnsi="Times New Roman" w:cs="Simplified Arabic" w:hint="cs"/>
          <w:b/>
          <w:bCs/>
          <w:sz w:val="30"/>
          <w:szCs w:val="30"/>
          <w:rtl/>
          <w:lang w:bidi="ar-MA"/>
        </w:rPr>
        <w:t>الش</w:t>
      </w:r>
      <w:r>
        <w:rPr>
          <w:rFonts w:ascii="Times New Roman" w:hAnsi="Times New Roman" w:cs="Simplified Arabic" w:hint="cs"/>
          <w:b/>
          <w:bCs/>
          <w:sz w:val="30"/>
          <w:szCs w:val="30"/>
          <w:rtl/>
          <w:lang w:bidi="ar-MA"/>
        </w:rPr>
        <w:t>عور بالتدهور</w:t>
      </w:r>
    </w:p>
    <w:p w:rsidR="00E335F4" w:rsidRPr="003839D8" w:rsidRDefault="00E335F4" w:rsidP="00E335F4">
      <w:pPr>
        <w:pStyle w:val="Paragraphedeliste"/>
        <w:widowControl/>
        <w:autoSpaceDE/>
        <w:autoSpaceDN/>
        <w:bidi/>
        <w:adjustRightInd/>
        <w:spacing w:before="240"/>
        <w:ind w:left="141"/>
        <w:jc w:val="both"/>
        <w:rPr>
          <w:rFonts w:ascii="Times New Roman" w:hAnsi="Times New Roman" w:cs="Simplified Arabic"/>
          <w:b/>
          <w:bCs/>
          <w:sz w:val="30"/>
          <w:szCs w:val="30"/>
          <w:lang w:bidi="ar-MA"/>
        </w:rPr>
      </w:pPr>
    </w:p>
    <w:p w:rsidR="004C2E15" w:rsidRPr="00E335F4" w:rsidRDefault="00032A33" w:rsidP="00FF6C9D">
      <w:pPr>
        <w:widowControl/>
        <w:autoSpaceDE/>
        <w:bidi/>
        <w:adjustRightInd/>
        <w:spacing w:after="200"/>
        <w:ind w:left="63"/>
        <w:jc w:val="both"/>
        <w:rPr>
          <w:rFonts w:ascii="Times New Roman" w:hAnsi="Times New Roman" w:cs="Simplified Arabic"/>
          <w:rtl/>
          <w:lang w:bidi="ar-MA"/>
        </w:rPr>
      </w:pPr>
      <w:r w:rsidRPr="00E335F4">
        <w:rPr>
          <w:rFonts w:ascii="Times New Roman" w:hAnsi="Times New Roman" w:cs="Simplified Arabic" w:hint="cs"/>
          <w:rtl/>
          <w:lang w:bidi="ar-MA"/>
        </w:rPr>
        <w:t xml:space="preserve">خلال سنة </w:t>
      </w:r>
      <w:r w:rsidRPr="00E335F4">
        <w:rPr>
          <w:rFonts w:ascii="Times New Roman" w:hAnsi="Times New Roman" w:cs="Simplified Arabic"/>
          <w:rtl/>
          <w:lang w:bidi="ar-MA"/>
        </w:rPr>
        <w:t>2019</w:t>
      </w:r>
      <w:r w:rsidRPr="00E335F4">
        <w:rPr>
          <w:rFonts w:ascii="Times New Roman" w:hAnsi="Times New Roman" w:cs="Simplified Arabic" w:hint="cs"/>
          <w:rtl/>
          <w:lang w:bidi="ar-MA"/>
        </w:rPr>
        <w:t xml:space="preserve">، </w:t>
      </w:r>
      <w:r w:rsidR="00DB1308">
        <w:rPr>
          <w:rFonts w:ascii="Times New Roman" w:hAnsi="Times New Roman" w:cs="Simplified Arabic" w:hint="cs"/>
          <w:rtl/>
          <w:lang w:bidi="ar-MA"/>
        </w:rPr>
        <w:t xml:space="preserve">سجلت </w:t>
      </w:r>
      <w:r w:rsidR="00DB1308" w:rsidRPr="00667AB1">
        <w:rPr>
          <w:rFonts w:ascii="Times New Roman" w:hAnsi="Times New Roman" w:cs="Simplified Arabic"/>
          <w:rtl/>
          <w:lang w:bidi="ar-MA"/>
        </w:rPr>
        <w:t>آراء الأس</w:t>
      </w:r>
      <w:r w:rsidR="00DB1308" w:rsidRPr="00667AB1">
        <w:rPr>
          <w:rFonts w:ascii="Times New Roman" w:hAnsi="Times New Roman" w:cs="Simplified Arabic" w:hint="cs"/>
          <w:rtl/>
          <w:lang w:bidi="ar-MA"/>
        </w:rPr>
        <w:t>ر</w:t>
      </w:r>
      <w:r w:rsidR="00DB1308" w:rsidRPr="00667AB1">
        <w:rPr>
          <w:rFonts w:ascii="Times New Roman" w:hAnsi="Times New Roman" w:cs="Simplified Arabic"/>
          <w:rtl/>
          <w:lang w:bidi="ar-MA"/>
        </w:rPr>
        <w:t xml:space="preserve"> بخصوص</w:t>
      </w:r>
      <w:r w:rsidR="00DB1308" w:rsidRPr="00E335F4">
        <w:rPr>
          <w:rFonts w:ascii="Times New Roman" w:hAnsi="Times New Roman" w:cs="Simplified Arabic" w:hint="cs"/>
          <w:rtl/>
          <w:lang w:bidi="ar-MA"/>
        </w:rPr>
        <w:t xml:space="preserve"> </w:t>
      </w:r>
      <w:r w:rsidR="004C2E15" w:rsidRPr="00E335F4">
        <w:rPr>
          <w:rFonts w:ascii="Times New Roman" w:hAnsi="Times New Roman" w:cs="Simplified Arabic" w:hint="cs"/>
          <w:rtl/>
          <w:lang w:bidi="ar-MA"/>
        </w:rPr>
        <w:t xml:space="preserve">خدمات الصحة </w:t>
      </w:r>
      <w:r w:rsidR="00DB1308">
        <w:rPr>
          <w:rFonts w:ascii="Times New Roman" w:hAnsi="Times New Roman" w:cs="Simplified Arabic" w:hint="cs"/>
          <w:rtl/>
          <w:lang w:bidi="ar-MA"/>
        </w:rPr>
        <w:t>مستوى اكثر سلبية مما كان عليه خلال سنة 2018.</w:t>
      </w:r>
      <w:r w:rsidR="00504DDB">
        <w:rPr>
          <w:rFonts w:ascii="Times New Roman" w:hAnsi="Times New Roman" w:cs="Simplified Arabic" w:hint="cs"/>
          <w:rtl/>
          <w:lang w:bidi="ar-MA"/>
        </w:rPr>
        <w:t xml:space="preserve"> </w:t>
      </w:r>
      <w:r w:rsidR="00DB1308">
        <w:rPr>
          <w:rFonts w:ascii="Times New Roman" w:hAnsi="Times New Roman" w:cs="Simplified Arabic" w:hint="cs"/>
          <w:rtl/>
          <w:lang w:bidi="ar-MA"/>
        </w:rPr>
        <w:t xml:space="preserve">و هكذا </w:t>
      </w:r>
      <w:r w:rsidR="004C2E15" w:rsidRPr="00E335F4">
        <w:rPr>
          <w:rFonts w:ascii="Times New Roman" w:hAnsi="Times New Roman" w:cs="Simplified Arabic" w:hint="cs"/>
          <w:rtl/>
          <w:lang w:bidi="ar-MA"/>
        </w:rPr>
        <w:t>تراجع رصيد هذا المؤشر من ناقص</w:t>
      </w:r>
      <w:r w:rsidR="004C2E15" w:rsidRPr="00E335F4">
        <w:rPr>
          <w:rFonts w:ascii="Times New Roman" w:hAnsi="Times New Roman" w:cs="Simplified Arabic"/>
          <w:lang w:bidi="ar-MA"/>
        </w:rPr>
        <w:t xml:space="preserve"> </w:t>
      </w:r>
      <w:r w:rsidR="003A6AAA" w:rsidRPr="00E335F4">
        <w:rPr>
          <w:rFonts w:ascii="Times New Roman" w:hAnsi="Times New Roman" w:cs="Simplified Arabic"/>
          <w:lang w:bidi="ar-MA"/>
        </w:rPr>
        <w:t>50</w:t>
      </w:r>
      <w:r w:rsidR="004C2E15" w:rsidRPr="00E335F4">
        <w:rPr>
          <w:rFonts w:ascii="Times New Roman" w:hAnsi="Times New Roman" w:cs="Simplified Arabic"/>
          <w:lang w:bidi="ar-MA"/>
        </w:rPr>
        <w:t>,</w:t>
      </w:r>
      <w:r w:rsidR="004C2E15" w:rsidRPr="00E335F4">
        <w:rPr>
          <w:rFonts w:ascii="Times New Roman" w:hAnsi="Times New Roman" w:cs="Simplified Arabic" w:hint="cs"/>
          <w:lang w:bidi="ar-MA"/>
        </w:rPr>
        <w:t>5</w:t>
      </w:r>
      <w:r w:rsidR="004C2E15" w:rsidRPr="00E335F4">
        <w:rPr>
          <w:rFonts w:ascii="Times New Roman" w:hAnsi="Times New Roman" w:cs="Simplified Arabic" w:hint="cs"/>
          <w:rtl/>
          <w:lang w:bidi="ar-MA"/>
        </w:rPr>
        <w:t xml:space="preserve"> نقطة إلى ناقص</w:t>
      </w:r>
      <w:r w:rsidR="00504DDB">
        <w:rPr>
          <w:rFonts w:ascii="Times New Roman" w:hAnsi="Times New Roman" w:cs="Simplified Arabic"/>
          <w:lang w:bidi="ar-MA"/>
        </w:rPr>
        <w:t xml:space="preserve"> </w:t>
      </w:r>
      <w:r w:rsidR="003A6AAA" w:rsidRPr="00E335F4">
        <w:rPr>
          <w:rFonts w:ascii="Times New Roman" w:hAnsi="Times New Roman" w:cs="Simplified Arabic"/>
          <w:lang w:bidi="ar-MA"/>
        </w:rPr>
        <w:t>61,4</w:t>
      </w:r>
      <w:r w:rsidR="004C2E15" w:rsidRPr="00E335F4">
        <w:rPr>
          <w:rFonts w:ascii="Times New Roman" w:hAnsi="Times New Roman" w:cs="Simplified Arabic" w:hint="cs"/>
          <w:rtl/>
          <w:lang w:bidi="ar-MA"/>
        </w:rPr>
        <w:t>نقطة</w:t>
      </w:r>
      <w:r w:rsidR="00981DEA">
        <w:rPr>
          <w:rFonts w:ascii="Times New Roman" w:hAnsi="Times New Roman" w:cs="Simplified Arabic" w:hint="cs"/>
          <w:rtl/>
          <w:lang w:bidi="ar-MA"/>
        </w:rPr>
        <w:t xml:space="preserve">، </w:t>
      </w:r>
      <w:r w:rsidR="00981DEA" w:rsidRPr="00E335F4">
        <w:rPr>
          <w:rFonts w:ascii="Times New Roman" w:hAnsi="Times New Roman" w:cs="Simplified Arabic" w:hint="cs"/>
          <w:rtl/>
          <w:lang w:bidi="ar-MA"/>
        </w:rPr>
        <w:t xml:space="preserve">بين سنتي </w:t>
      </w:r>
      <w:r w:rsidR="00981DEA" w:rsidRPr="00E335F4">
        <w:rPr>
          <w:rFonts w:ascii="Times New Roman" w:hAnsi="Times New Roman" w:cs="Simplified Arabic"/>
          <w:rtl/>
          <w:lang w:bidi="ar-MA"/>
        </w:rPr>
        <w:t>2018</w:t>
      </w:r>
      <w:r w:rsidR="00981DEA" w:rsidRPr="00E335F4">
        <w:rPr>
          <w:rFonts w:ascii="Times New Roman" w:hAnsi="Times New Roman" w:cs="Simplified Arabic" w:hint="cs"/>
          <w:rtl/>
          <w:lang w:bidi="ar-MA"/>
        </w:rPr>
        <w:t xml:space="preserve"> و </w:t>
      </w:r>
      <w:r w:rsidR="00981DEA" w:rsidRPr="00E335F4">
        <w:rPr>
          <w:rFonts w:ascii="Times New Roman" w:hAnsi="Times New Roman" w:cs="Simplified Arabic"/>
          <w:rtl/>
          <w:lang w:bidi="ar-MA"/>
        </w:rPr>
        <w:t>2019</w:t>
      </w:r>
      <w:r w:rsidR="00981DEA">
        <w:rPr>
          <w:rFonts w:ascii="Times New Roman" w:hAnsi="Times New Roman" w:cs="Simplified Arabic" w:hint="cs"/>
          <w:rtl/>
          <w:lang w:bidi="ar-MA"/>
        </w:rPr>
        <w:t>،</w:t>
      </w:r>
      <w:r w:rsidR="00981DEA" w:rsidRPr="00E335F4">
        <w:rPr>
          <w:rFonts w:ascii="Times New Roman" w:hAnsi="Times New Roman" w:cs="Simplified Arabic" w:hint="cs"/>
          <w:rtl/>
          <w:lang w:bidi="ar-MA"/>
        </w:rPr>
        <w:t xml:space="preserve"> </w:t>
      </w:r>
      <w:r w:rsidR="004C2E15" w:rsidRPr="00E335F4">
        <w:rPr>
          <w:rFonts w:ascii="Times New Roman" w:hAnsi="Times New Roman" w:cs="Simplified Arabic" w:hint="cs"/>
          <w:rtl/>
          <w:lang w:bidi="ar-MA"/>
        </w:rPr>
        <w:t>مسجلا بذلك مستواه الأكثر سلبية منذ بداية البحث.</w:t>
      </w:r>
    </w:p>
    <w:p w:rsidR="004C2E15" w:rsidRPr="00EF40BC" w:rsidRDefault="004C2E15" w:rsidP="00795089">
      <w:pPr>
        <w:pStyle w:val="Paragraphedeliste"/>
        <w:widowControl/>
        <w:autoSpaceDE/>
        <w:autoSpaceDN/>
        <w:bidi/>
        <w:adjustRightInd/>
        <w:spacing w:line="360" w:lineRule="auto"/>
        <w:ind w:left="502"/>
        <w:rPr>
          <w:rFonts w:ascii="Times New Roman" w:hAnsi="Times New Roman" w:cs="Simplified Arabic"/>
          <w:b/>
          <w:bCs/>
          <w:sz w:val="28"/>
          <w:szCs w:val="28"/>
          <w:rtl/>
          <w:lang w:bidi="ar-MA"/>
        </w:rPr>
      </w:pPr>
      <w:r w:rsidRPr="00EF40BC">
        <w:rPr>
          <w:rFonts w:ascii="Times New Roman" w:hAnsi="Times New Roman" w:cs="Simplified Arabic"/>
          <w:b/>
          <w:bCs/>
          <w:sz w:val="28"/>
          <w:szCs w:val="28"/>
          <w:rtl/>
          <w:lang w:bidi="ar-MA"/>
        </w:rPr>
        <w:t>تصور الأسر لتطور</w:t>
      </w:r>
      <w:r w:rsidRPr="00EF40BC">
        <w:rPr>
          <w:rFonts w:ascii="Times New Roman" w:hAnsi="Times New Roman" w:cs="Simplified Arabic" w:hint="cs"/>
          <w:b/>
          <w:bCs/>
          <w:sz w:val="28"/>
          <w:szCs w:val="28"/>
          <w:rtl/>
          <w:lang w:bidi="ar-MA"/>
        </w:rPr>
        <w:t xml:space="preserve"> جودة بعض الخدمات العمومية و </w:t>
      </w:r>
      <w:r w:rsidRPr="00EF40BC">
        <w:rPr>
          <w:rFonts w:ascii="Times New Roman" w:hAnsi="Times New Roman" w:cs="Simplified Arabic"/>
          <w:b/>
          <w:bCs/>
          <w:sz w:val="28"/>
          <w:szCs w:val="28"/>
          <w:rtl/>
          <w:lang w:bidi="ar-MA"/>
        </w:rPr>
        <w:t>وضعية حقوق الإنسان و</w:t>
      </w:r>
      <w:r w:rsidRPr="00EF40BC">
        <w:rPr>
          <w:rFonts w:ascii="Times New Roman" w:hAnsi="Times New Roman" w:cs="Simplified Arabic" w:hint="cs"/>
          <w:b/>
          <w:bCs/>
          <w:sz w:val="28"/>
          <w:szCs w:val="28"/>
          <w:rtl/>
          <w:lang w:bidi="ar-MA"/>
        </w:rPr>
        <w:t xml:space="preserve">المحافظة على </w:t>
      </w:r>
      <w:r w:rsidRPr="00EF40BC">
        <w:rPr>
          <w:rFonts w:ascii="Times New Roman" w:hAnsi="Times New Roman" w:cs="Simplified Arabic"/>
          <w:b/>
          <w:bCs/>
          <w:sz w:val="28"/>
          <w:szCs w:val="28"/>
          <w:rtl/>
          <w:lang w:bidi="ar-MA"/>
        </w:rPr>
        <w:t>البيئ</w:t>
      </w:r>
      <w:r w:rsidRPr="00EF40BC">
        <w:rPr>
          <w:rFonts w:ascii="Times New Roman" w:hAnsi="Times New Roman" w:cs="Simplified Arabic" w:hint="cs"/>
          <w:b/>
          <w:bCs/>
          <w:sz w:val="28"/>
          <w:szCs w:val="28"/>
          <w:rtl/>
          <w:lang w:bidi="ar-MA"/>
        </w:rPr>
        <w:t>ة</w:t>
      </w:r>
    </w:p>
    <w:tbl>
      <w:tblPr>
        <w:tblW w:w="4821" w:type="pct"/>
        <w:tblInd w:w="-72" w:type="dxa"/>
        <w:tblCellMar>
          <w:left w:w="70" w:type="dxa"/>
          <w:right w:w="70" w:type="dxa"/>
        </w:tblCellMar>
        <w:tblLook w:val="04A0"/>
      </w:tblPr>
      <w:tblGrid>
        <w:gridCol w:w="2552"/>
        <w:gridCol w:w="2694"/>
        <w:gridCol w:w="3910"/>
      </w:tblGrid>
      <w:tr w:rsidR="009A32C7" w:rsidRPr="00D22424" w:rsidTr="00D22424">
        <w:trPr>
          <w:trHeight w:val="458"/>
        </w:trPr>
        <w:tc>
          <w:tcPr>
            <w:tcW w:w="28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2C7" w:rsidRPr="00D22424" w:rsidRDefault="009A32C7" w:rsidP="00D22424">
            <w:pPr>
              <w:widowControl/>
              <w:autoSpaceDE/>
              <w:autoSpaceDN/>
              <w:bidi/>
              <w:adjustRightInd/>
              <w:jc w:val="center"/>
              <w:rPr>
                <w:rFonts w:ascii="Calibri" w:hAnsi="Calibri" w:cs="Simplified Arabic"/>
                <w:b/>
                <w:bCs/>
                <w:color w:val="000000"/>
                <w:sz w:val="28"/>
                <w:szCs w:val="28"/>
                <w:lang w:bidi="ar-MA"/>
              </w:rPr>
            </w:pPr>
            <w:r w:rsidRPr="00D22424">
              <w:rPr>
                <w:rFonts w:ascii="Calibri" w:hAnsi="Calibri" w:cs="Simplified Arabic" w:hint="cs"/>
                <w:b/>
                <w:bCs/>
                <w:color w:val="000000"/>
                <w:sz w:val="28"/>
                <w:szCs w:val="28"/>
                <w:rtl/>
                <w:lang w:bidi="ar-MA"/>
              </w:rPr>
              <w:t>أرصدة الآراء</w:t>
            </w:r>
          </w:p>
        </w:tc>
        <w:tc>
          <w:tcPr>
            <w:tcW w:w="213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2C7" w:rsidRPr="00D22424" w:rsidRDefault="009A32C7" w:rsidP="00D22424">
            <w:pPr>
              <w:widowControl/>
              <w:autoSpaceDE/>
              <w:autoSpaceDN/>
              <w:bidi/>
              <w:adjustRightInd/>
              <w:jc w:val="center"/>
              <w:rPr>
                <w:rFonts w:ascii="Times New Roman" w:hAnsi="Times New Roman" w:cs="Times New Roman"/>
                <w:b/>
                <w:bCs/>
                <w:color w:val="000000"/>
                <w:sz w:val="32"/>
                <w:szCs w:val="32"/>
              </w:rPr>
            </w:pPr>
            <w:r w:rsidRPr="00D22424">
              <w:rPr>
                <w:rFonts w:ascii="Times New Roman" w:hAnsi="Times New Roman" w:cs="Simplified Arabic" w:hint="cs"/>
                <w:b/>
                <w:bCs/>
                <w:color w:val="000000"/>
                <w:sz w:val="32"/>
                <w:szCs w:val="32"/>
                <w:rtl/>
              </w:rPr>
              <w:t>المؤشر</w:t>
            </w:r>
          </w:p>
        </w:tc>
      </w:tr>
      <w:tr w:rsidR="009A32C7" w:rsidRPr="00D22424" w:rsidTr="009A32C7">
        <w:trPr>
          <w:trHeight w:val="400"/>
        </w:trPr>
        <w:tc>
          <w:tcPr>
            <w:tcW w:w="1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2C7" w:rsidRPr="00D22424" w:rsidRDefault="009A32C7" w:rsidP="00D22424">
            <w:pPr>
              <w:widowControl/>
              <w:autoSpaceDE/>
              <w:autoSpaceDN/>
              <w:bidi/>
              <w:adjustRightInd/>
              <w:jc w:val="center"/>
              <w:rPr>
                <w:rFonts w:ascii="Calibri" w:hAnsi="Calibri" w:cs="Simplified Arabic"/>
                <w:b/>
                <w:bCs/>
                <w:color w:val="000000"/>
                <w:sz w:val="28"/>
                <w:szCs w:val="28"/>
              </w:rPr>
            </w:pPr>
            <w:r w:rsidRPr="00D22424">
              <w:rPr>
                <w:rFonts w:ascii="Calibri" w:hAnsi="Calibri" w:cs="Simplified Arabic"/>
                <w:b/>
                <w:bCs/>
                <w:color w:val="000000"/>
                <w:sz w:val="28"/>
                <w:szCs w:val="28"/>
              </w:rPr>
              <w:t>2019</w:t>
            </w:r>
          </w:p>
        </w:tc>
        <w:tc>
          <w:tcPr>
            <w:tcW w:w="1471" w:type="pct"/>
            <w:tcBorders>
              <w:top w:val="single" w:sz="4" w:space="0" w:color="auto"/>
              <w:left w:val="nil"/>
              <w:bottom w:val="single" w:sz="4" w:space="0" w:color="auto"/>
              <w:right w:val="single" w:sz="4" w:space="0" w:color="auto"/>
            </w:tcBorders>
            <w:shd w:val="clear" w:color="auto" w:fill="auto"/>
            <w:noWrap/>
            <w:vAlign w:val="center"/>
            <w:hideMark/>
          </w:tcPr>
          <w:p w:rsidR="009A32C7" w:rsidRPr="00D22424" w:rsidRDefault="009A32C7" w:rsidP="00D22424">
            <w:pPr>
              <w:widowControl/>
              <w:autoSpaceDE/>
              <w:autoSpaceDN/>
              <w:bidi/>
              <w:adjustRightInd/>
              <w:jc w:val="center"/>
              <w:rPr>
                <w:rFonts w:ascii="Calibri" w:hAnsi="Calibri" w:cs="Simplified Arabic"/>
                <w:b/>
                <w:bCs/>
                <w:color w:val="000000"/>
                <w:sz w:val="28"/>
                <w:szCs w:val="28"/>
              </w:rPr>
            </w:pPr>
            <w:r w:rsidRPr="00D22424">
              <w:rPr>
                <w:rFonts w:ascii="Calibri" w:hAnsi="Calibri" w:cs="Simplified Arabic"/>
                <w:b/>
                <w:bCs/>
                <w:color w:val="000000"/>
                <w:sz w:val="28"/>
                <w:szCs w:val="28"/>
              </w:rPr>
              <w:t>2018</w:t>
            </w:r>
          </w:p>
        </w:tc>
        <w:tc>
          <w:tcPr>
            <w:tcW w:w="2135" w:type="pct"/>
            <w:vMerge/>
            <w:tcBorders>
              <w:top w:val="single" w:sz="4" w:space="0" w:color="auto"/>
              <w:left w:val="single" w:sz="4" w:space="0" w:color="auto"/>
              <w:bottom w:val="single" w:sz="4" w:space="0" w:color="auto"/>
              <w:right w:val="single" w:sz="4" w:space="0" w:color="auto"/>
            </w:tcBorders>
            <w:vAlign w:val="center"/>
            <w:hideMark/>
          </w:tcPr>
          <w:p w:rsidR="009A32C7" w:rsidRPr="00D22424" w:rsidRDefault="009A32C7" w:rsidP="00D22424">
            <w:pPr>
              <w:widowControl/>
              <w:autoSpaceDE/>
              <w:autoSpaceDN/>
              <w:adjustRightInd/>
              <w:jc w:val="center"/>
              <w:rPr>
                <w:rFonts w:ascii="Times New Roman" w:hAnsi="Times New Roman" w:cs="Times New Roman"/>
                <w:b/>
                <w:bCs/>
                <w:color w:val="000000"/>
                <w:sz w:val="32"/>
                <w:szCs w:val="32"/>
              </w:rPr>
            </w:pPr>
          </w:p>
        </w:tc>
      </w:tr>
      <w:tr w:rsidR="009A32C7" w:rsidRPr="00D22424" w:rsidTr="009A32C7">
        <w:trPr>
          <w:trHeight w:val="652"/>
        </w:trPr>
        <w:tc>
          <w:tcPr>
            <w:tcW w:w="1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2C7" w:rsidRPr="00D22424" w:rsidRDefault="009A32C7" w:rsidP="00D22424">
            <w:pPr>
              <w:jc w:val="center"/>
              <w:rPr>
                <w:rFonts w:ascii="Calibri" w:hAnsi="Calibri" w:cs="Calibri"/>
                <w:b/>
                <w:bCs/>
                <w:color w:val="000000"/>
              </w:rPr>
            </w:pPr>
            <w:r w:rsidRPr="00D22424">
              <w:rPr>
                <w:rFonts w:ascii="Calibri" w:hAnsi="Calibri" w:cs="Calibri"/>
                <w:b/>
                <w:bCs/>
                <w:color w:val="000000"/>
                <w:sz w:val="22"/>
                <w:szCs w:val="22"/>
              </w:rPr>
              <w:t>36,6</w:t>
            </w:r>
          </w:p>
        </w:tc>
        <w:tc>
          <w:tcPr>
            <w:tcW w:w="1471" w:type="pct"/>
            <w:tcBorders>
              <w:top w:val="single" w:sz="4" w:space="0" w:color="auto"/>
              <w:left w:val="nil"/>
              <w:bottom w:val="single" w:sz="4" w:space="0" w:color="auto"/>
              <w:right w:val="single" w:sz="4" w:space="0" w:color="auto"/>
            </w:tcBorders>
            <w:shd w:val="clear" w:color="auto" w:fill="auto"/>
            <w:noWrap/>
            <w:vAlign w:val="center"/>
            <w:hideMark/>
          </w:tcPr>
          <w:p w:rsidR="009A32C7" w:rsidRPr="00D22424" w:rsidRDefault="009A32C7" w:rsidP="00D22424">
            <w:pPr>
              <w:jc w:val="center"/>
              <w:rPr>
                <w:rFonts w:ascii="Calibri" w:hAnsi="Calibri" w:cs="Calibri"/>
                <w:b/>
                <w:bCs/>
                <w:color w:val="000000"/>
              </w:rPr>
            </w:pPr>
            <w:r w:rsidRPr="00D22424">
              <w:rPr>
                <w:rFonts w:ascii="Calibri" w:hAnsi="Calibri" w:cs="Calibri"/>
                <w:b/>
                <w:bCs/>
                <w:color w:val="000000"/>
                <w:sz w:val="22"/>
                <w:szCs w:val="22"/>
              </w:rPr>
              <w:t>43,2</w:t>
            </w:r>
          </w:p>
        </w:tc>
        <w:tc>
          <w:tcPr>
            <w:tcW w:w="2135" w:type="pct"/>
            <w:tcBorders>
              <w:top w:val="single" w:sz="4" w:space="0" w:color="auto"/>
              <w:left w:val="nil"/>
              <w:bottom w:val="single" w:sz="4" w:space="0" w:color="auto"/>
              <w:right w:val="single" w:sz="4" w:space="0" w:color="auto"/>
            </w:tcBorders>
            <w:shd w:val="clear" w:color="auto" w:fill="auto"/>
            <w:noWrap/>
            <w:vAlign w:val="center"/>
            <w:hideMark/>
          </w:tcPr>
          <w:p w:rsidR="009A32C7" w:rsidRPr="00D22424" w:rsidRDefault="009A32C7" w:rsidP="00D22424">
            <w:pPr>
              <w:bidi/>
              <w:rPr>
                <w:rFonts w:ascii="Calibri" w:hAnsi="Calibri" w:cs="Simplified Arabic"/>
                <w:b/>
                <w:bCs/>
                <w:color w:val="000000"/>
              </w:rPr>
            </w:pPr>
            <w:r w:rsidRPr="00D22424">
              <w:rPr>
                <w:rFonts w:ascii="Calibri" w:hAnsi="Calibri" w:cs="Simplified Arabic"/>
                <w:b/>
                <w:bCs/>
                <w:color w:val="000000"/>
                <w:rtl/>
              </w:rPr>
              <w:t>تطور جودة الخدمات الإدارية</w:t>
            </w:r>
          </w:p>
        </w:tc>
      </w:tr>
      <w:tr w:rsidR="009A32C7" w:rsidRPr="00D22424" w:rsidTr="009A32C7">
        <w:trPr>
          <w:trHeight w:val="652"/>
        </w:trPr>
        <w:tc>
          <w:tcPr>
            <w:tcW w:w="1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2C7" w:rsidRPr="00D22424" w:rsidRDefault="009A32C7" w:rsidP="00D22424">
            <w:pPr>
              <w:jc w:val="center"/>
              <w:rPr>
                <w:rFonts w:ascii="Calibri" w:hAnsi="Calibri" w:cs="Calibri"/>
                <w:b/>
                <w:bCs/>
                <w:color w:val="000000"/>
              </w:rPr>
            </w:pPr>
            <w:r w:rsidRPr="00D22424">
              <w:rPr>
                <w:rFonts w:ascii="Calibri" w:hAnsi="Calibri" w:cs="Calibri"/>
                <w:b/>
                <w:bCs/>
                <w:color w:val="000000"/>
                <w:sz w:val="22"/>
                <w:szCs w:val="22"/>
              </w:rPr>
              <w:t>16,9</w:t>
            </w:r>
          </w:p>
        </w:tc>
        <w:tc>
          <w:tcPr>
            <w:tcW w:w="1471" w:type="pct"/>
            <w:tcBorders>
              <w:top w:val="single" w:sz="4" w:space="0" w:color="auto"/>
              <w:left w:val="nil"/>
              <w:bottom w:val="single" w:sz="4" w:space="0" w:color="auto"/>
              <w:right w:val="single" w:sz="4" w:space="0" w:color="auto"/>
            </w:tcBorders>
            <w:shd w:val="clear" w:color="auto" w:fill="auto"/>
            <w:noWrap/>
            <w:vAlign w:val="center"/>
            <w:hideMark/>
          </w:tcPr>
          <w:p w:rsidR="009A32C7" w:rsidRPr="00D22424" w:rsidRDefault="009A32C7" w:rsidP="00D22424">
            <w:pPr>
              <w:jc w:val="center"/>
              <w:rPr>
                <w:rFonts w:ascii="Calibri" w:hAnsi="Calibri" w:cs="Calibri"/>
                <w:b/>
                <w:bCs/>
                <w:color w:val="000000"/>
              </w:rPr>
            </w:pPr>
            <w:r w:rsidRPr="00D22424">
              <w:rPr>
                <w:rFonts w:ascii="Calibri" w:hAnsi="Calibri" w:cs="Calibri"/>
                <w:b/>
                <w:bCs/>
                <w:color w:val="000000"/>
                <w:sz w:val="22"/>
                <w:szCs w:val="22"/>
              </w:rPr>
              <w:t>20,5</w:t>
            </w:r>
          </w:p>
        </w:tc>
        <w:tc>
          <w:tcPr>
            <w:tcW w:w="2135" w:type="pct"/>
            <w:tcBorders>
              <w:top w:val="single" w:sz="4" w:space="0" w:color="auto"/>
              <w:left w:val="nil"/>
              <w:bottom w:val="single" w:sz="4" w:space="0" w:color="auto"/>
              <w:right w:val="single" w:sz="4" w:space="0" w:color="auto"/>
            </w:tcBorders>
            <w:shd w:val="clear" w:color="auto" w:fill="auto"/>
            <w:noWrap/>
            <w:vAlign w:val="center"/>
            <w:hideMark/>
          </w:tcPr>
          <w:p w:rsidR="009A32C7" w:rsidRPr="00D22424" w:rsidRDefault="009A32C7" w:rsidP="00D22424">
            <w:pPr>
              <w:bidi/>
              <w:rPr>
                <w:rFonts w:ascii="Calibri" w:hAnsi="Calibri" w:cs="Simplified Arabic"/>
                <w:b/>
                <w:bCs/>
                <w:color w:val="000000"/>
              </w:rPr>
            </w:pPr>
            <w:r w:rsidRPr="00D22424">
              <w:rPr>
                <w:rFonts w:ascii="Calibri" w:hAnsi="Calibri" w:cs="Simplified Arabic"/>
                <w:b/>
                <w:bCs/>
                <w:color w:val="000000"/>
                <w:rtl/>
              </w:rPr>
              <w:t>تطور وضعية المحافظة على البيئة</w:t>
            </w:r>
          </w:p>
        </w:tc>
      </w:tr>
      <w:tr w:rsidR="009A32C7" w:rsidRPr="00D22424" w:rsidTr="009A32C7">
        <w:trPr>
          <w:trHeight w:val="652"/>
        </w:trPr>
        <w:tc>
          <w:tcPr>
            <w:tcW w:w="1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2C7" w:rsidRPr="00D22424" w:rsidRDefault="009A32C7" w:rsidP="00D22424">
            <w:pPr>
              <w:jc w:val="center"/>
              <w:rPr>
                <w:rFonts w:ascii="Calibri" w:hAnsi="Calibri" w:cs="Calibri"/>
                <w:b/>
                <w:bCs/>
                <w:color w:val="000000"/>
              </w:rPr>
            </w:pPr>
            <w:r w:rsidRPr="00D22424">
              <w:rPr>
                <w:rFonts w:ascii="Calibri" w:hAnsi="Calibri" w:cs="Calibri"/>
                <w:b/>
                <w:bCs/>
                <w:color w:val="000000"/>
                <w:sz w:val="22"/>
                <w:szCs w:val="22"/>
              </w:rPr>
              <w:t>7,0</w:t>
            </w:r>
          </w:p>
        </w:tc>
        <w:tc>
          <w:tcPr>
            <w:tcW w:w="1471" w:type="pct"/>
            <w:tcBorders>
              <w:top w:val="single" w:sz="4" w:space="0" w:color="auto"/>
              <w:left w:val="nil"/>
              <w:bottom w:val="single" w:sz="4" w:space="0" w:color="auto"/>
              <w:right w:val="single" w:sz="4" w:space="0" w:color="auto"/>
            </w:tcBorders>
            <w:shd w:val="clear" w:color="auto" w:fill="auto"/>
            <w:noWrap/>
            <w:vAlign w:val="center"/>
            <w:hideMark/>
          </w:tcPr>
          <w:p w:rsidR="009A32C7" w:rsidRPr="00D22424" w:rsidRDefault="009A32C7" w:rsidP="00D22424">
            <w:pPr>
              <w:jc w:val="center"/>
              <w:rPr>
                <w:rFonts w:ascii="Calibri" w:hAnsi="Calibri" w:cs="Calibri"/>
                <w:b/>
                <w:bCs/>
                <w:color w:val="000000"/>
              </w:rPr>
            </w:pPr>
            <w:r w:rsidRPr="00D22424">
              <w:rPr>
                <w:rFonts w:ascii="Calibri" w:hAnsi="Calibri" w:cs="Calibri"/>
                <w:b/>
                <w:bCs/>
                <w:color w:val="000000"/>
                <w:sz w:val="22"/>
                <w:szCs w:val="22"/>
              </w:rPr>
              <w:t>22,8</w:t>
            </w:r>
          </w:p>
        </w:tc>
        <w:tc>
          <w:tcPr>
            <w:tcW w:w="2135" w:type="pct"/>
            <w:tcBorders>
              <w:top w:val="single" w:sz="4" w:space="0" w:color="auto"/>
              <w:left w:val="nil"/>
              <w:bottom w:val="single" w:sz="4" w:space="0" w:color="auto"/>
              <w:right w:val="single" w:sz="4" w:space="0" w:color="auto"/>
            </w:tcBorders>
            <w:shd w:val="clear" w:color="auto" w:fill="auto"/>
            <w:noWrap/>
            <w:vAlign w:val="center"/>
            <w:hideMark/>
          </w:tcPr>
          <w:p w:rsidR="009A32C7" w:rsidRPr="00D22424" w:rsidRDefault="009A32C7" w:rsidP="00D22424">
            <w:pPr>
              <w:bidi/>
              <w:rPr>
                <w:rFonts w:ascii="Calibri" w:hAnsi="Calibri" w:cs="Simplified Arabic"/>
                <w:b/>
                <w:bCs/>
                <w:color w:val="000000"/>
              </w:rPr>
            </w:pPr>
            <w:r w:rsidRPr="00D22424">
              <w:rPr>
                <w:rFonts w:ascii="Calibri" w:hAnsi="Calibri" w:cs="Simplified Arabic"/>
                <w:b/>
                <w:bCs/>
                <w:color w:val="000000"/>
                <w:rtl/>
              </w:rPr>
              <w:t>تطور وضعية حقوق الإنسان</w:t>
            </w:r>
          </w:p>
        </w:tc>
      </w:tr>
      <w:tr w:rsidR="009A32C7" w:rsidRPr="00D22424" w:rsidTr="009A32C7">
        <w:trPr>
          <w:trHeight w:val="652"/>
        </w:trPr>
        <w:tc>
          <w:tcPr>
            <w:tcW w:w="1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2C7" w:rsidRPr="00D22424" w:rsidRDefault="009A32C7" w:rsidP="00D22424">
            <w:pPr>
              <w:jc w:val="center"/>
              <w:rPr>
                <w:rFonts w:ascii="Calibri" w:hAnsi="Calibri" w:cs="Calibri"/>
                <w:b/>
                <w:bCs/>
                <w:color w:val="000000"/>
              </w:rPr>
            </w:pPr>
            <w:r w:rsidRPr="00D22424">
              <w:rPr>
                <w:rFonts w:ascii="Calibri" w:hAnsi="Calibri" w:cs="Calibri"/>
                <w:b/>
                <w:bCs/>
                <w:color w:val="000000"/>
                <w:sz w:val="22"/>
                <w:szCs w:val="22"/>
              </w:rPr>
              <w:t>-33,1</w:t>
            </w:r>
          </w:p>
        </w:tc>
        <w:tc>
          <w:tcPr>
            <w:tcW w:w="1471" w:type="pct"/>
            <w:tcBorders>
              <w:top w:val="single" w:sz="4" w:space="0" w:color="auto"/>
              <w:left w:val="nil"/>
              <w:bottom w:val="single" w:sz="4" w:space="0" w:color="auto"/>
              <w:right w:val="single" w:sz="4" w:space="0" w:color="auto"/>
            </w:tcBorders>
            <w:shd w:val="clear" w:color="auto" w:fill="auto"/>
            <w:noWrap/>
            <w:vAlign w:val="center"/>
            <w:hideMark/>
          </w:tcPr>
          <w:p w:rsidR="009A32C7" w:rsidRPr="00D22424" w:rsidRDefault="009A32C7" w:rsidP="00D22424">
            <w:pPr>
              <w:jc w:val="center"/>
              <w:rPr>
                <w:rFonts w:ascii="Calibri" w:hAnsi="Calibri" w:cs="Calibri"/>
                <w:b/>
                <w:bCs/>
                <w:color w:val="000000"/>
              </w:rPr>
            </w:pPr>
            <w:r w:rsidRPr="00D22424">
              <w:rPr>
                <w:rFonts w:ascii="Calibri" w:hAnsi="Calibri" w:cs="Calibri"/>
                <w:b/>
                <w:bCs/>
                <w:color w:val="000000"/>
                <w:sz w:val="22"/>
                <w:szCs w:val="22"/>
              </w:rPr>
              <w:t>-12,0</w:t>
            </w:r>
          </w:p>
        </w:tc>
        <w:tc>
          <w:tcPr>
            <w:tcW w:w="2135" w:type="pct"/>
            <w:tcBorders>
              <w:top w:val="single" w:sz="4" w:space="0" w:color="auto"/>
              <w:left w:val="nil"/>
              <w:bottom w:val="single" w:sz="4" w:space="0" w:color="auto"/>
              <w:right w:val="single" w:sz="4" w:space="0" w:color="auto"/>
            </w:tcBorders>
            <w:shd w:val="clear" w:color="auto" w:fill="auto"/>
            <w:noWrap/>
            <w:vAlign w:val="center"/>
            <w:hideMark/>
          </w:tcPr>
          <w:p w:rsidR="009A32C7" w:rsidRPr="00D22424" w:rsidRDefault="009A32C7" w:rsidP="00D22424">
            <w:pPr>
              <w:bidi/>
              <w:rPr>
                <w:rFonts w:ascii="Calibri" w:hAnsi="Calibri" w:cs="Simplified Arabic"/>
                <w:b/>
                <w:bCs/>
                <w:color w:val="000000"/>
              </w:rPr>
            </w:pPr>
            <w:r w:rsidRPr="00D22424">
              <w:rPr>
                <w:rFonts w:ascii="Calibri" w:hAnsi="Calibri" w:cs="Simplified Arabic"/>
                <w:b/>
                <w:bCs/>
                <w:color w:val="000000"/>
                <w:rtl/>
              </w:rPr>
              <w:t>تطور جودة خدمات التعليم</w:t>
            </w:r>
          </w:p>
        </w:tc>
      </w:tr>
      <w:tr w:rsidR="009A32C7" w:rsidRPr="00D22424" w:rsidTr="009A32C7">
        <w:trPr>
          <w:trHeight w:val="652"/>
        </w:trPr>
        <w:tc>
          <w:tcPr>
            <w:tcW w:w="1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2C7" w:rsidRPr="00D22424" w:rsidRDefault="009A32C7" w:rsidP="00D22424">
            <w:pPr>
              <w:jc w:val="center"/>
              <w:rPr>
                <w:rFonts w:ascii="Calibri" w:hAnsi="Calibri" w:cs="Calibri"/>
                <w:b/>
                <w:bCs/>
                <w:color w:val="000000"/>
              </w:rPr>
            </w:pPr>
            <w:r w:rsidRPr="00D22424">
              <w:rPr>
                <w:rFonts w:ascii="Calibri" w:hAnsi="Calibri" w:cs="Calibri"/>
                <w:b/>
                <w:bCs/>
                <w:color w:val="000000"/>
                <w:sz w:val="22"/>
                <w:szCs w:val="22"/>
              </w:rPr>
              <w:t>-61,4</w:t>
            </w:r>
          </w:p>
        </w:tc>
        <w:tc>
          <w:tcPr>
            <w:tcW w:w="1471" w:type="pct"/>
            <w:tcBorders>
              <w:top w:val="single" w:sz="4" w:space="0" w:color="auto"/>
              <w:left w:val="nil"/>
              <w:bottom w:val="single" w:sz="4" w:space="0" w:color="auto"/>
              <w:right w:val="single" w:sz="4" w:space="0" w:color="auto"/>
            </w:tcBorders>
            <w:shd w:val="clear" w:color="auto" w:fill="auto"/>
            <w:noWrap/>
            <w:vAlign w:val="center"/>
            <w:hideMark/>
          </w:tcPr>
          <w:p w:rsidR="009A32C7" w:rsidRPr="00D22424" w:rsidRDefault="009A32C7" w:rsidP="00D22424">
            <w:pPr>
              <w:jc w:val="center"/>
              <w:rPr>
                <w:rFonts w:ascii="Calibri" w:hAnsi="Calibri" w:cs="Calibri"/>
                <w:b/>
                <w:bCs/>
                <w:color w:val="000000"/>
              </w:rPr>
            </w:pPr>
            <w:r w:rsidRPr="00D22424">
              <w:rPr>
                <w:rFonts w:ascii="Calibri" w:hAnsi="Calibri" w:cs="Calibri"/>
                <w:b/>
                <w:bCs/>
                <w:color w:val="000000"/>
                <w:sz w:val="22"/>
                <w:szCs w:val="22"/>
              </w:rPr>
              <w:t>-50,5</w:t>
            </w:r>
          </w:p>
        </w:tc>
        <w:tc>
          <w:tcPr>
            <w:tcW w:w="2135" w:type="pct"/>
            <w:tcBorders>
              <w:top w:val="single" w:sz="4" w:space="0" w:color="auto"/>
              <w:left w:val="nil"/>
              <w:bottom w:val="single" w:sz="4" w:space="0" w:color="auto"/>
              <w:right w:val="single" w:sz="4" w:space="0" w:color="auto"/>
            </w:tcBorders>
            <w:shd w:val="clear" w:color="auto" w:fill="auto"/>
            <w:noWrap/>
            <w:vAlign w:val="center"/>
            <w:hideMark/>
          </w:tcPr>
          <w:p w:rsidR="009A32C7" w:rsidRPr="00D22424" w:rsidRDefault="009A32C7" w:rsidP="00D22424">
            <w:pPr>
              <w:bidi/>
              <w:rPr>
                <w:rFonts w:ascii="Calibri" w:hAnsi="Calibri" w:cs="Simplified Arabic"/>
                <w:b/>
                <w:bCs/>
                <w:color w:val="000000"/>
              </w:rPr>
            </w:pPr>
            <w:r w:rsidRPr="00D22424">
              <w:rPr>
                <w:rFonts w:ascii="Calibri" w:hAnsi="Calibri" w:cs="Simplified Arabic"/>
                <w:b/>
                <w:bCs/>
                <w:color w:val="000000"/>
                <w:rtl/>
              </w:rPr>
              <w:t>تطور جودة الخدمات الصحية</w:t>
            </w:r>
          </w:p>
        </w:tc>
      </w:tr>
    </w:tbl>
    <w:p w:rsidR="00AA6C74" w:rsidRPr="00D22424" w:rsidRDefault="00AA6C74" w:rsidP="00D22424">
      <w:pPr>
        <w:bidi/>
        <w:rPr>
          <w:rFonts w:ascii="Times New Roman" w:hAnsi="Times New Roman" w:cs="Simplified Arabic"/>
          <w:sz w:val="32"/>
          <w:szCs w:val="32"/>
          <w:rtl/>
          <w:lang w:bidi="ar-MA"/>
        </w:rPr>
      </w:pPr>
    </w:p>
    <w:p w:rsidR="00AA6C74" w:rsidRPr="00C85C5D" w:rsidRDefault="00AA6C74" w:rsidP="00AA6C74">
      <w:pPr>
        <w:bidi/>
        <w:spacing w:line="360" w:lineRule="auto"/>
        <w:rPr>
          <w:rFonts w:ascii="Times New Roman" w:hAnsi="Times New Roman" w:cs="Simplified Arabic"/>
          <w:sz w:val="32"/>
          <w:szCs w:val="32"/>
          <w:rtl/>
          <w:lang w:bidi="ar-MA"/>
        </w:rPr>
      </w:pPr>
    </w:p>
    <w:p w:rsidR="0047396E" w:rsidRPr="00E335F4" w:rsidRDefault="0047396E" w:rsidP="00E335F4">
      <w:pPr>
        <w:bidi/>
        <w:spacing w:line="360" w:lineRule="auto"/>
        <w:jc w:val="both"/>
        <w:rPr>
          <w:rFonts w:ascii="Times New Roman" w:hAnsi="Times New Roman" w:cs="Simplified Arabic"/>
          <w:b/>
          <w:bCs/>
          <w:sz w:val="28"/>
          <w:szCs w:val="28"/>
          <w:rtl/>
          <w:lang w:bidi="ar-MA"/>
        </w:rPr>
      </w:pPr>
      <w:r w:rsidRPr="00E335F4">
        <w:rPr>
          <w:rFonts w:ascii="Times New Roman" w:hAnsi="Times New Roman" w:cs="Simplified Arabic" w:hint="cs"/>
          <w:b/>
          <w:bCs/>
          <w:sz w:val="28"/>
          <w:szCs w:val="28"/>
          <w:rtl/>
          <w:lang w:bidi="ar-MA"/>
        </w:rPr>
        <w:lastRenderedPageBreak/>
        <w:t>فيما يلي تفصيل لنتائج مختلف المؤشرات و تذكير بأهم المفاهيم.</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2"/>
      </w:tblGrid>
      <w:tr w:rsidR="0047396E" w:rsidRPr="00DC2D0E" w:rsidTr="00E52ACF">
        <w:trPr>
          <w:trHeight w:val="6017"/>
          <w:jc w:val="center"/>
        </w:trPr>
        <w:tc>
          <w:tcPr>
            <w:tcW w:w="5000" w:type="pct"/>
          </w:tcPr>
          <w:p w:rsidR="0047396E" w:rsidRDefault="0047396E" w:rsidP="00795089">
            <w:pPr>
              <w:bidi/>
              <w:spacing w:line="360" w:lineRule="auto"/>
              <w:ind w:left="360"/>
              <w:jc w:val="both"/>
              <w:rPr>
                <w:rFonts w:ascii="Times New Roman" w:hAnsi="Times New Roman" w:cs="Simplified Arabic"/>
                <w:sz w:val="20"/>
                <w:szCs w:val="20"/>
                <w:rtl/>
                <w:lang w:bidi="ar-MA"/>
              </w:rPr>
            </w:pPr>
          </w:p>
          <w:p w:rsidR="0047396E" w:rsidRDefault="0047396E" w:rsidP="00E335F4">
            <w:pPr>
              <w:bidi/>
              <w:spacing w:line="360" w:lineRule="auto"/>
              <w:jc w:val="both"/>
              <w:rPr>
                <w:rFonts w:ascii="Times New Roman" w:hAnsi="Times New Roman" w:cs="Simplified Arabic"/>
                <w:sz w:val="20"/>
                <w:szCs w:val="20"/>
                <w:rtl/>
                <w:lang w:bidi="ar-MA"/>
              </w:rPr>
            </w:pPr>
            <w:r w:rsidRPr="00872E0D">
              <w:rPr>
                <w:rFonts w:ascii="Times New Roman" w:hAnsi="Times New Roman" w:cs="Simplified Arabic" w:hint="cs"/>
                <w:sz w:val="20"/>
                <w:szCs w:val="20"/>
                <w:rtl/>
                <w:lang w:bidi="ar-MA"/>
              </w:rPr>
              <w:t xml:space="preserve">         </w:t>
            </w:r>
            <w:r>
              <w:rPr>
                <w:rFonts w:ascii="Times New Roman" w:hAnsi="Times New Roman" w:cs="Simplified Arabic" w:hint="cs"/>
                <w:sz w:val="20"/>
                <w:szCs w:val="20"/>
                <w:rtl/>
                <w:lang w:bidi="ar-MA"/>
              </w:rPr>
              <w:t xml:space="preserve">يتم التعبير في الرسوم البيانية عن </w:t>
            </w:r>
            <w:r w:rsidRPr="00872E0D">
              <w:rPr>
                <w:rFonts w:ascii="Times New Roman" w:hAnsi="Times New Roman" w:cs="Simplified Arabic" w:hint="cs"/>
                <w:sz w:val="20"/>
                <w:szCs w:val="20"/>
                <w:rtl/>
                <w:lang w:bidi="ar-MA"/>
              </w:rPr>
              <w:t>تطور</w:t>
            </w:r>
            <w:r>
              <w:rPr>
                <w:rFonts w:ascii="Times New Roman" w:hAnsi="Times New Roman" w:cs="Simplified Arabic" w:hint="cs"/>
                <w:sz w:val="20"/>
                <w:szCs w:val="20"/>
                <w:rtl/>
                <w:lang w:bidi="ar-MA"/>
              </w:rPr>
              <w:t xml:space="preserve"> مكونات</w:t>
            </w:r>
            <w:r w:rsidRPr="00872E0D">
              <w:rPr>
                <w:rFonts w:ascii="Times New Roman" w:hAnsi="Times New Roman" w:cs="Simplified Arabic" w:hint="cs"/>
                <w:sz w:val="20"/>
                <w:szCs w:val="20"/>
                <w:rtl/>
                <w:lang w:bidi="ar-MA"/>
              </w:rPr>
              <w:t xml:space="preserve"> </w:t>
            </w:r>
            <w:r>
              <w:rPr>
                <w:rFonts w:ascii="Times New Roman" w:hAnsi="Times New Roman" w:cs="Simplified Arabic" w:hint="cs"/>
                <w:sz w:val="20"/>
                <w:szCs w:val="20"/>
                <w:rtl/>
                <w:lang w:bidi="ar-MA"/>
              </w:rPr>
              <w:t xml:space="preserve">مؤشر ثقة الأسر والمؤشرات الأخرى للبحث بأرصدة الآراء </w:t>
            </w:r>
          </w:p>
          <w:p w:rsidR="0047396E" w:rsidRPr="00E335F4" w:rsidRDefault="0047396E" w:rsidP="00795089">
            <w:pPr>
              <w:bidi/>
              <w:spacing w:line="360" w:lineRule="auto"/>
              <w:ind w:left="360"/>
              <w:jc w:val="both"/>
              <w:rPr>
                <w:rFonts w:ascii="Times New Roman" w:hAnsi="Times New Roman" w:cs="Simplified Arabic"/>
                <w:b/>
                <w:bCs/>
                <w:sz w:val="20"/>
                <w:szCs w:val="20"/>
                <w:rtl/>
                <w:lang w:bidi="ar-MA"/>
              </w:rPr>
            </w:pPr>
            <w:r w:rsidRPr="00E335F4">
              <w:rPr>
                <w:rFonts w:ascii="Times New Roman" w:hAnsi="Times New Roman" w:cs="Simplified Arabic" w:hint="cs"/>
                <w:b/>
                <w:bCs/>
                <w:sz w:val="20"/>
                <w:szCs w:val="20"/>
                <w:rtl/>
                <w:lang w:bidi="ar-MA"/>
              </w:rPr>
              <w:t>للتذكير فإن:</w:t>
            </w:r>
          </w:p>
          <w:p w:rsidR="0047396E" w:rsidRDefault="0047396E" w:rsidP="00795089">
            <w:pPr>
              <w:pStyle w:val="Paragraphedeliste"/>
              <w:numPr>
                <w:ilvl w:val="0"/>
                <w:numId w:val="4"/>
              </w:numPr>
              <w:bidi/>
              <w:spacing w:line="360" w:lineRule="auto"/>
              <w:jc w:val="both"/>
              <w:rPr>
                <w:rFonts w:ascii="Times New Roman" w:hAnsi="Times New Roman" w:cs="Simplified Arabic"/>
                <w:sz w:val="20"/>
                <w:szCs w:val="20"/>
                <w:lang w:bidi="ar-MA"/>
              </w:rPr>
            </w:pPr>
            <w:r w:rsidRPr="004B7848">
              <w:rPr>
                <w:rFonts w:ascii="Times New Roman" w:hAnsi="Times New Roman" w:cs="Simplified Arabic"/>
                <w:sz w:val="20"/>
                <w:szCs w:val="20"/>
                <w:rtl/>
                <w:lang w:bidi="ar-MA"/>
              </w:rPr>
              <w:t xml:space="preserve">الأسئلة </w:t>
            </w:r>
            <w:r w:rsidRPr="004B7848">
              <w:rPr>
                <w:rFonts w:ascii="Times New Roman" w:hAnsi="Times New Roman" w:cs="Simplified Arabic" w:hint="cs"/>
                <w:sz w:val="20"/>
                <w:szCs w:val="20"/>
                <w:rtl/>
                <w:lang w:bidi="ar-MA"/>
              </w:rPr>
              <w:t xml:space="preserve">المطروحة تعتبر </w:t>
            </w:r>
            <w:r w:rsidRPr="004B7848">
              <w:rPr>
                <w:rFonts w:ascii="Times New Roman" w:hAnsi="Times New Roman" w:cs="Simplified Arabic"/>
                <w:sz w:val="20"/>
                <w:szCs w:val="20"/>
                <w:rtl/>
                <w:lang w:bidi="ar-MA"/>
              </w:rPr>
              <w:t>كيفية</w:t>
            </w:r>
            <w:r w:rsidRPr="004B7848">
              <w:rPr>
                <w:rFonts w:ascii="Times New Roman" w:hAnsi="Times New Roman" w:cs="Simplified Arabic" w:hint="cs"/>
                <w:sz w:val="20"/>
                <w:szCs w:val="20"/>
                <w:rtl/>
                <w:lang w:bidi="ar-MA"/>
              </w:rPr>
              <w:t xml:space="preserve"> تتم الأجوبة عليها</w:t>
            </w:r>
            <w:r w:rsidRPr="004B7848">
              <w:rPr>
                <w:rFonts w:ascii="Times New Roman" w:hAnsi="Times New Roman" w:cs="Simplified Arabic"/>
                <w:sz w:val="20"/>
                <w:szCs w:val="20"/>
                <w:rtl/>
                <w:lang w:bidi="ar-MA"/>
              </w:rPr>
              <w:t xml:space="preserve"> بثلاث خيارات (تحسن، استقرار</w:t>
            </w:r>
            <w:r w:rsidRPr="004B7848">
              <w:rPr>
                <w:rFonts w:ascii="Times New Roman" w:hAnsi="Times New Roman" w:cs="Simplified Arabic" w:hint="cs"/>
                <w:sz w:val="20"/>
                <w:szCs w:val="20"/>
                <w:rtl/>
                <w:lang w:bidi="ar-MA"/>
              </w:rPr>
              <w:t xml:space="preserve"> أو</w:t>
            </w:r>
            <w:r w:rsidRPr="004B7848">
              <w:rPr>
                <w:rFonts w:ascii="Times New Roman" w:hAnsi="Times New Roman" w:cs="Simplified Arabic"/>
                <w:sz w:val="20"/>
                <w:szCs w:val="20"/>
                <w:rtl/>
                <w:lang w:bidi="ar-MA"/>
              </w:rPr>
              <w:t xml:space="preserve"> تدهور).</w:t>
            </w:r>
            <w:r w:rsidRPr="004B7848">
              <w:rPr>
                <w:rFonts w:ascii="Times New Roman" w:hAnsi="Times New Roman" w:cs="Simplified Arabic" w:hint="cs"/>
                <w:sz w:val="20"/>
                <w:szCs w:val="20"/>
                <w:rtl/>
                <w:lang w:bidi="ar-MA"/>
              </w:rPr>
              <w:t xml:space="preserve"> </w:t>
            </w:r>
            <w:r w:rsidRPr="004B7848">
              <w:rPr>
                <w:rFonts w:ascii="Times New Roman" w:hAnsi="Times New Roman" w:cs="Simplified Arabic"/>
                <w:sz w:val="20"/>
                <w:szCs w:val="20"/>
                <w:rtl/>
                <w:lang w:bidi="ar-MA"/>
              </w:rPr>
              <w:t>تتعلق التغييرات بـ 12 شهرا</w:t>
            </w:r>
            <w:r w:rsidRPr="004B7848">
              <w:rPr>
                <w:rFonts w:ascii="Times New Roman" w:hAnsi="Times New Roman" w:cs="Simplified Arabic" w:hint="cs"/>
                <w:sz w:val="20"/>
                <w:szCs w:val="20"/>
                <w:rtl/>
                <w:lang w:bidi="ar-MA"/>
              </w:rPr>
              <w:t xml:space="preserve"> و</w:t>
            </w:r>
            <w:r w:rsidRPr="004B7848">
              <w:rPr>
                <w:rFonts w:ascii="Times New Roman" w:hAnsi="Times New Roman" w:cs="Simplified Arabic"/>
                <w:sz w:val="20"/>
                <w:szCs w:val="20"/>
                <w:rtl/>
                <w:lang w:bidi="ar-MA"/>
              </w:rPr>
              <w:t xml:space="preserve">تقدم النتائج على شكل أرصدة (الفرق </w:t>
            </w:r>
            <w:r w:rsidRPr="004B7848">
              <w:rPr>
                <w:rFonts w:ascii="Times New Roman" w:hAnsi="Times New Roman" w:cs="Simplified Arabic" w:hint="cs"/>
                <w:sz w:val="20"/>
                <w:szCs w:val="20"/>
                <w:rtl/>
                <w:lang w:bidi="ar-MA"/>
              </w:rPr>
              <w:t xml:space="preserve">بين </w:t>
            </w:r>
            <w:r w:rsidRPr="004B7848">
              <w:rPr>
                <w:rFonts w:ascii="Times New Roman" w:hAnsi="Times New Roman" w:cs="Simplified Arabic"/>
                <w:sz w:val="20"/>
                <w:szCs w:val="20"/>
                <w:rtl/>
                <w:lang w:bidi="ar-MA"/>
              </w:rPr>
              <w:t xml:space="preserve">نسب الأجوبة </w:t>
            </w:r>
            <w:r w:rsidRPr="004B7848">
              <w:rPr>
                <w:rFonts w:ascii="Times New Roman" w:hAnsi="Times New Roman" w:cs="Simplified Arabic" w:hint="cs"/>
                <w:sz w:val="20"/>
                <w:szCs w:val="20"/>
                <w:rtl/>
                <w:lang w:bidi="ar-MA"/>
              </w:rPr>
              <w:t>"</w:t>
            </w:r>
            <w:r w:rsidRPr="004B7848">
              <w:rPr>
                <w:rFonts w:ascii="Times New Roman" w:hAnsi="Times New Roman" w:cs="Simplified Arabic"/>
                <w:sz w:val="20"/>
                <w:szCs w:val="20"/>
                <w:rtl/>
                <w:lang w:bidi="ar-MA"/>
              </w:rPr>
              <w:t>تحسن</w:t>
            </w:r>
            <w:r w:rsidRPr="004B7848">
              <w:rPr>
                <w:rFonts w:ascii="Times New Roman" w:hAnsi="Times New Roman" w:cs="Simplified Arabic" w:hint="cs"/>
                <w:sz w:val="20"/>
                <w:szCs w:val="20"/>
                <w:rtl/>
                <w:lang w:bidi="ar-MA"/>
              </w:rPr>
              <w:t>"</w:t>
            </w:r>
            <w:r w:rsidRPr="004B7848">
              <w:rPr>
                <w:rFonts w:ascii="Times New Roman" w:hAnsi="Times New Roman" w:cs="Simplified Arabic"/>
                <w:sz w:val="20"/>
                <w:szCs w:val="20"/>
                <w:lang w:bidi="ar-MA"/>
              </w:rPr>
              <w:t xml:space="preserve"> </w:t>
            </w:r>
            <w:r w:rsidRPr="004B7848">
              <w:rPr>
                <w:rFonts w:ascii="Times New Roman" w:hAnsi="Times New Roman" w:cs="Simplified Arabic" w:hint="cs"/>
                <w:sz w:val="20"/>
                <w:szCs w:val="20"/>
                <w:rtl/>
                <w:lang w:bidi="ar-MA"/>
              </w:rPr>
              <w:t>و</w:t>
            </w:r>
            <w:r w:rsidRPr="004B7848">
              <w:rPr>
                <w:rFonts w:ascii="Times New Roman" w:hAnsi="Times New Roman" w:cs="Simplified Arabic"/>
                <w:sz w:val="20"/>
                <w:szCs w:val="20"/>
                <w:rtl/>
                <w:lang w:bidi="ar-MA"/>
              </w:rPr>
              <w:t xml:space="preserve">الأجوبة </w:t>
            </w:r>
            <w:r w:rsidRPr="004B7848">
              <w:rPr>
                <w:rFonts w:ascii="Times New Roman" w:hAnsi="Times New Roman" w:cs="Simplified Arabic" w:hint="cs"/>
                <w:sz w:val="20"/>
                <w:szCs w:val="20"/>
                <w:rtl/>
                <w:lang w:bidi="ar-MA"/>
              </w:rPr>
              <w:t>"تدهو</w:t>
            </w:r>
            <w:r w:rsidRPr="004B7848">
              <w:rPr>
                <w:rFonts w:ascii="Times New Roman" w:hAnsi="Times New Roman" w:cs="Simplified Arabic" w:hint="eastAsia"/>
                <w:sz w:val="20"/>
                <w:szCs w:val="20"/>
                <w:rtl/>
                <w:lang w:bidi="ar-MA"/>
              </w:rPr>
              <w:t>ر</w:t>
            </w:r>
            <w:r w:rsidRPr="004B7848">
              <w:rPr>
                <w:rFonts w:ascii="Times New Roman" w:hAnsi="Times New Roman" w:cs="Simplified Arabic" w:hint="cs"/>
                <w:sz w:val="20"/>
                <w:szCs w:val="20"/>
                <w:rtl/>
                <w:lang w:bidi="ar-MA"/>
              </w:rPr>
              <w:t>"</w:t>
            </w:r>
            <w:r w:rsidRPr="004B7848">
              <w:rPr>
                <w:rFonts w:ascii="Times New Roman" w:hAnsi="Times New Roman" w:cs="Simplified Arabic"/>
                <w:sz w:val="20"/>
                <w:szCs w:val="20"/>
                <w:rtl/>
                <w:lang w:bidi="ar-MA"/>
              </w:rPr>
              <w:t>).</w:t>
            </w:r>
            <w:r w:rsidRPr="004B7848">
              <w:rPr>
                <w:rFonts w:ascii="Times New Roman" w:hAnsi="Times New Roman" w:cs="Simplified Arabic" w:hint="cs"/>
                <w:sz w:val="20"/>
                <w:szCs w:val="20"/>
                <w:rtl/>
                <w:lang w:bidi="ar-MA"/>
              </w:rPr>
              <w:t xml:space="preserve"> و</w:t>
            </w:r>
            <w:r w:rsidRPr="004B7848">
              <w:rPr>
                <w:rFonts w:ascii="Times New Roman" w:hAnsi="Times New Roman" w:cs="Simplified Arabic"/>
                <w:sz w:val="20"/>
                <w:szCs w:val="20"/>
                <w:rtl/>
                <w:lang w:bidi="ar-MA"/>
              </w:rPr>
              <w:t xml:space="preserve">لا </w:t>
            </w:r>
            <w:r w:rsidRPr="004B7848">
              <w:rPr>
                <w:rFonts w:ascii="Times New Roman" w:hAnsi="Times New Roman" w:cs="Simplified Arabic" w:hint="cs"/>
                <w:sz w:val="20"/>
                <w:szCs w:val="20"/>
                <w:rtl/>
                <w:lang w:bidi="ar-MA"/>
              </w:rPr>
              <w:t>يحلل مستوى الأرصدة مباشرة بل أن تطورها هو المعتمد في التحليل.</w:t>
            </w:r>
          </w:p>
          <w:p w:rsidR="0047396E" w:rsidRPr="004B7848" w:rsidRDefault="0047396E" w:rsidP="00795089">
            <w:pPr>
              <w:pStyle w:val="Paragraphedeliste"/>
              <w:numPr>
                <w:ilvl w:val="0"/>
                <w:numId w:val="4"/>
              </w:numPr>
              <w:bidi/>
              <w:spacing w:line="360" w:lineRule="auto"/>
              <w:jc w:val="both"/>
              <w:rPr>
                <w:rFonts w:ascii="Times New Roman" w:hAnsi="Times New Roman" w:cs="Simplified Arabic"/>
                <w:sz w:val="20"/>
                <w:szCs w:val="20"/>
                <w:rtl/>
                <w:lang w:bidi="ar-MA"/>
              </w:rPr>
            </w:pPr>
            <w:r w:rsidRPr="004B7848">
              <w:rPr>
                <w:rFonts w:ascii="Times New Roman" w:hAnsi="Times New Roman" w:cs="Simplified Arabic"/>
                <w:sz w:val="20"/>
                <w:szCs w:val="20"/>
                <w:rtl/>
                <w:lang w:bidi="ar-MA"/>
              </w:rPr>
              <w:t xml:space="preserve"> </w:t>
            </w:r>
            <w:r w:rsidRPr="004B7848">
              <w:rPr>
                <w:rFonts w:ascii="Times New Roman" w:hAnsi="Times New Roman" w:cs="Simplified Arabic" w:hint="cs"/>
                <w:sz w:val="20"/>
                <w:szCs w:val="20"/>
                <w:rtl/>
                <w:lang w:bidi="ar-MA"/>
              </w:rPr>
              <w:t>يتم حساب مؤشر ثقة الأسر على أساس 7 مؤشرات تتعلق أربعة منها بالوضعية العامة في حين تخص الباقية الوضعية الخاصة بالأسرة وهي كالتالي :</w:t>
            </w:r>
          </w:p>
          <w:p w:rsidR="0047396E" w:rsidRPr="004B7848" w:rsidRDefault="0047396E" w:rsidP="00795089">
            <w:pPr>
              <w:pStyle w:val="Paragraphedeliste"/>
              <w:widowControl/>
              <w:numPr>
                <w:ilvl w:val="0"/>
                <w:numId w:val="5"/>
              </w:numPr>
              <w:autoSpaceDE/>
              <w:autoSpaceDN/>
              <w:bidi/>
              <w:adjustRightInd/>
              <w:spacing w:line="360" w:lineRule="auto"/>
              <w:jc w:val="both"/>
              <w:rPr>
                <w:rFonts w:ascii="Times New Roman" w:hAnsi="Times New Roman" w:cs="Simplified Arabic"/>
                <w:sz w:val="20"/>
                <w:szCs w:val="20"/>
                <w:lang w:bidi="ar-MA"/>
              </w:rPr>
            </w:pPr>
            <w:r w:rsidRPr="004B7848">
              <w:rPr>
                <w:rFonts w:ascii="Times New Roman" w:hAnsi="Times New Roman" w:cs="Simplified Arabic" w:hint="cs"/>
                <w:sz w:val="20"/>
                <w:szCs w:val="20"/>
                <w:rtl/>
                <w:lang w:bidi="ar-MA"/>
              </w:rPr>
              <w:t>التطورات السابقة لمستوى المعيشة ؛</w:t>
            </w:r>
          </w:p>
          <w:p w:rsidR="0047396E" w:rsidRPr="004B7848" w:rsidRDefault="0047396E" w:rsidP="00795089">
            <w:pPr>
              <w:pStyle w:val="Paragraphedeliste"/>
              <w:widowControl/>
              <w:numPr>
                <w:ilvl w:val="0"/>
                <w:numId w:val="5"/>
              </w:numPr>
              <w:autoSpaceDE/>
              <w:autoSpaceDN/>
              <w:bidi/>
              <w:adjustRightInd/>
              <w:spacing w:line="360" w:lineRule="auto"/>
              <w:jc w:val="both"/>
              <w:rPr>
                <w:rFonts w:ascii="Times New Roman" w:hAnsi="Times New Roman" w:cs="Simplified Arabic"/>
                <w:sz w:val="20"/>
                <w:szCs w:val="20"/>
                <w:lang w:bidi="ar-MA"/>
              </w:rPr>
            </w:pPr>
            <w:r w:rsidRPr="004B7848">
              <w:rPr>
                <w:rFonts w:ascii="Times New Roman" w:hAnsi="Times New Roman" w:cs="Simplified Arabic" w:hint="cs"/>
                <w:sz w:val="20"/>
                <w:szCs w:val="20"/>
                <w:rtl/>
                <w:lang w:bidi="ar-MA"/>
              </w:rPr>
              <w:t>آفاق تطور مستوى المعيشة ؛</w:t>
            </w:r>
          </w:p>
          <w:p w:rsidR="0047396E" w:rsidRPr="004B7848" w:rsidRDefault="0047396E" w:rsidP="00795089">
            <w:pPr>
              <w:pStyle w:val="Paragraphedeliste"/>
              <w:widowControl/>
              <w:numPr>
                <w:ilvl w:val="0"/>
                <w:numId w:val="5"/>
              </w:numPr>
              <w:autoSpaceDE/>
              <w:autoSpaceDN/>
              <w:bidi/>
              <w:adjustRightInd/>
              <w:spacing w:line="360" w:lineRule="auto"/>
              <w:jc w:val="both"/>
              <w:rPr>
                <w:rFonts w:ascii="Times New Roman" w:hAnsi="Times New Roman" w:cs="Simplified Arabic"/>
                <w:sz w:val="20"/>
                <w:szCs w:val="20"/>
                <w:lang w:bidi="ar-MA"/>
              </w:rPr>
            </w:pPr>
            <w:r w:rsidRPr="004B7848">
              <w:rPr>
                <w:rFonts w:ascii="Times New Roman" w:hAnsi="Times New Roman" w:cs="Simplified Arabic" w:hint="cs"/>
                <w:sz w:val="20"/>
                <w:szCs w:val="20"/>
                <w:rtl/>
                <w:lang w:bidi="ar-MA"/>
              </w:rPr>
              <w:t>آفاق تطور أعداد العاطلين ؛</w:t>
            </w:r>
          </w:p>
          <w:p w:rsidR="0047396E" w:rsidRPr="004B7848" w:rsidRDefault="0047396E" w:rsidP="00795089">
            <w:pPr>
              <w:pStyle w:val="Paragraphedeliste"/>
              <w:widowControl/>
              <w:numPr>
                <w:ilvl w:val="0"/>
                <w:numId w:val="5"/>
              </w:numPr>
              <w:autoSpaceDE/>
              <w:autoSpaceDN/>
              <w:bidi/>
              <w:adjustRightInd/>
              <w:spacing w:line="360" w:lineRule="auto"/>
              <w:jc w:val="both"/>
              <w:rPr>
                <w:rFonts w:ascii="Times New Roman" w:hAnsi="Times New Roman" w:cs="Simplified Arabic"/>
                <w:sz w:val="20"/>
                <w:szCs w:val="20"/>
                <w:lang w:bidi="ar-MA"/>
              </w:rPr>
            </w:pPr>
            <w:r w:rsidRPr="004B7848">
              <w:rPr>
                <w:rFonts w:ascii="Times New Roman" w:hAnsi="Times New Roman" w:cs="Simplified Arabic" w:hint="cs"/>
                <w:sz w:val="20"/>
                <w:szCs w:val="20"/>
                <w:rtl/>
                <w:lang w:bidi="ar-MA"/>
              </w:rPr>
              <w:t>فرص اقتناء السلع المستديمة ؛</w:t>
            </w:r>
          </w:p>
          <w:p w:rsidR="0047396E" w:rsidRPr="004B7848" w:rsidRDefault="0047396E" w:rsidP="00795089">
            <w:pPr>
              <w:pStyle w:val="Paragraphedeliste"/>
              <w:widowControl/>
              <w:numPr>
                <w:ilvl w:val="0"/>
                <w:numId w:val="5"/>
              </w:numPr>
              <w:autoSpaceDE/>
              <w:autoSpaceDN/>
              <w:bidi/>
              <w:adjustRightInd/>
              <w:spacing w:line="360" w:lineRule="auto"/>
              <w:jc w:val="both"/>
              <w:rPr>
                <w:rFonts w:ascii="Times New Roman" w:hAnsi="Times New Roman" w:cs="Simplified Arabic"/>
                <w:sz w:val="20"/>
                <w:szCs w:val="20"/>
                <w:lang w:bidi="ar-MA"/>
              </w:rPr>
            </w:pPr>
            <w:r w:rsidRPr="004B7848">
              <w:rPr>
                <w:rFonts w:ascii="Times New Roman" w:hAnsi="Times New Roman" w:cs="Simplified Arabic" w:hint="cs"/>
                <w:sz w:val="20"/>
                <w:szCs w:val="20"/>
                <w:rtl/>
                <w:lang w:bidi="ar-MA"/>
              </w:rPr>
              <w:t>الوضعية المالية الراهنة للأسر ؛</w:t>
            </w:r>
          </w:p>
          <w:p w:rsidR="0047396E" w:rsidRPr="004B7848" w:rsidRDefault="0047396E" w:rsidP="00795089">
            <w:pPr>
              <w:pStyle w:val="Paragraphedeliste"/>
              <w:widowControl/>
              <w:numPr>
                <w:ilvl w:val="0"/>
                <w:numId w:val="5"/>
              </w:numPr>
              <w:autoSpaceDE/>
              <w:autoSpaceDN/>
              <w:bidi/>
              <w:adjustRightInd/>
              <w:spacing w:line="360" w:lineRule="auto"/>
              <w:ind w:left="1434" w:hanging="357"/>
              <w:jc w:val="both"/>
              <w:rPr>
                <w:rFonts w:ascii="Times New Roman" w:hAnsi="Times New Roman" w:cs="Simplified Arabic"/>
                <w:sz w:val="20"/>
                <w:szCs w:val="20"/>
                <w:lang w:bidi="ar-MA"/>
              </w:rPr>
            </w:pPr>
            <w:r w:rsidRPr="004B7848">
              <w:rPr>
                <w:rFonts w:ascii="Times New Roman" w:hAnsi="Times New Roman" w:cs="Simplified Arabic" w:hint="cs"/>
                <w:sz w:val="20"/>
                <w:szCs w:val="20"/>
                <w:rtl/>
                <w:lang w:bidi="ar-MA"/>
              </w:rPr>
              <w:t>التطور السابق للوضعية المالية للأسر ؛</w:t>
            </w:r>
          </w:p>
          <w:p w:rsidR="0047396E" w:rsidRPr="004B7848" w:rsidRDefault="0047396E" w:rsidP="00795089">
            <w:pPr>
              <w:pStyle w:val="Paragraphedeliste"/>
              <w:widowControl/>
              <w:numPr>
                <w:ilvl w:val="0"/>
                <w:numId w:val="5"/>
              </w:numPr>
              <w:autoSpaceDE/>
              <w:autoSpaceDN/>
              <w:bidi/>
              <w:adjustRightInd/>
              <w:spacing w:line="360" w:lineRule="auto"/>
              <w:jc w:val="both"/>
              <w:rPr>
                <w:rFonts w:ascii="Times New Roman" w:hAnsi="Times New Roman" w:cs="Simplified Arabic"/>
                <w:sz w:val="20"/>
                <w:szCs w:val="20"/>
                <w:lang w:bidi="ar-MA"/>
              </w:rPr>
            </w:pPr>
            <w:r w:rsidRPr="004B7848">
              <w:rPr>
                <w:rFonts w:ascii="Times New Roman" w:hAnsi="Times New Roman" w:cs="Simplified Arabic" w:hint="cs"/>
                <w:sz w:val="20"/>
                <w:szCs w:val="20"/>
                <w:rtl/>
                <w:lang w:bidi="ar-MA"/>
              </w:rPr>
              <w:t>التطور المستقبلي للوضعية المالية للأسر.</w:t>
            </w:r>
          </w:p>
          <w:p w:rsidR="0047396E" w:rsidRDefault="0047396E" w:rsidP="00795089">
            <w:pPr>
              <w:pStyle w:val="Paragraphedeliste"/>
              <w:numPr>
                <w:ilvl w:val="0"/>
                <w:numId w:val="6"/>
              </w:numPr>
              <w:bidi/>
              <w:spacing w:line="360" w:lineRule="auto"/>
              <w:jc w:val="both"/>
              <w:rPr>
                <w:rFonts w:ascii="Times New Roman" w:hAnsi="Times New Roman" w:cs="Simplified Arabic"/>
                <w:sz w:val="20"/>
                <w:szCs w:val="20"/>
                <w:lang w:bidi="ar-MA"/>
              </w:rPr>
            </w:pPr>
            <w:r w:rsidRPr="004B7848">
              <w:rPr>
                <w:rFonts w:ascii="Times New Roman" w:hAnsi="Times New Roman" w:cs="Simplified Arabic" w:hint="cs"/>
                <w:sz w:val="20"/>
                <w:szCs w:val="20"/>
                <w:rtl/>
                <w:lang w:bidi="ar-MA"/>
              </w:rPr>
              <w:t>يتم حساب هذا المؤشر التركيبي باعتماد المعدل الحسابي لأرصدة المؤشرات السبعة المكونة له مع إضافة 100 وبالتالي تتأرجح قيمته بين 0 و 200.</w:t>
            </w:r>
          </w:p>
          <w:p w:rsidR="0047396E" w:rsidRDefault="0047396E" w:rsidP="00795089">
            <w:pPr>
              <w:pStyle w:val="Paragraphedeliste"/>
              <w:numPr>
                <w:ilvl w:val="0"/>
                <w:numId w:val="6"/>
              </w:numPr>
              <w:bidi/>
              <w:spacing w:line="360" w:lineRule="auto"/>
              <w:jc w:val="both"/>
              <w:rPr>
                <w:rFonts w:ascii="Times New Roman" w:hAnsi="Times New Roman" w:cs="Simplified Arabic"/>
                <w:sz w:val="20"/>
                <w:szCs w:val="20"/>
                <w:lang w:bidi="ar-MA"/>
              </w:rPr>
            </w:pPr>
            <w:r>
              <w:rPr>
                <w:rFonts w:ascii="Times New Roman" w:hAnsi="Times New Roman" w:cs="Simplified Arabic" w:hint="cs"/>
                <w:sz w:val="20"/>
                <w:szCs w:val="20"/>
                <w:rtl/>
                <w:lang w:bidi="ar-MA"/>
              </w:rPr>
              <w:t>لقد مكنت اختبارات إحصائية</w:t>
            </w:r>
            <w:r>
              <w:rPr>
                <w:rFonts w:ascii="Times New Roman" w:hAnsi="Times New Roman" w:cs="Simplified Arabic"/>
                <w:sz w:val="20"/>
                <w:szCs w:val="20"/>
                <w:lang w:bidi="ar-MA"/>
              </w:rPr>
              <w:t xml:space="preserve">(test de Fisher)  </w:t>
            </w:r>
            <w:r>
              <w:rPr>
                <w:rFonts w:ascii="Times New Roman" w:hAnsi="Times New Roman" w:cs="Simplified Arabic" w:hint="cs"/>
                <w:sz w:val="20"/>
                <w:szCs w:val="20"/>
                <w:rtl/>
                <w:lang w:bidi="ar-MA"/>
              </w:rPr>
              <w:t xml:space="preserve"> على سلسلة مؤشر</w:t>
            </w:r>
            <w:r w:rsidRPr="004B7848">
              <w:rPr>
                <w:rFonts w:ascii="Times New Roman" w:hAnsi="Times New Roman" w:cs="Simplified Arabic" w:hint="cs"/>
                <w:sz w:val="20"/>
                <w:szCs w:val="20"/>
                <w:rtl/>
                <w:lang w:bidi="ar-MA"/>
              </w:rPr>
              <w:t xml:space="preserve"> ثقة الأسر</w:t>
            </w:r>
            <w:r>
              <w:rPr>
                <w:rFonts w:ascii="Times New Roman" w:hAnsi="Times New Roman" w:cs="Simplified Arabic" w:hint="cs"/>
                <w:sz w:val="20"/>
                <w:szCs w:val="20"/>
                <w:rtl/>
                <w:lang w:bidi="ar-MA"/>
              </w:rPr>
              <w:t xml:space="preserve"> خلال الفترة الممتدة من 2008 إلى2018 من تأكيد غياب التغييرات الموسمية سواء الثابتة أو المتحركة.</w:t>
            </w:r>
          </w:p>
          <w:p w:rsidR="0047396E" w:rsidRPr="001F1EA8" w:rsidRDefault="0047396E" w:rsidP="00795089">
            <w:pPr>
              <w:bidi/>
              <w:spacing w:line="360" w:lineRule="auto"/>
              <w:jc w:val="both"/>
              <w:rPr>
                <w:rFonts w:ascii="Times New Roman" w:hAnsi="Times New Roman" w:cs="Simplified Arabic"/>
                <w:sz w:val="20"/>
                <w:szCs w:val="20"/>
                <w:lang w:bidi="ar-MA"/>
              </w:rPr>
            </w:pPr>
          </w:p>
          <w:p w:rsidR="0047396E" w:rsidRPr="004B7848" w:rsidRDefault="0047396E" w:rsidP="00795089">
            <w:pPr>
              <w:widowControl/>
              <w:autoSpaceDE/>
              <w:autoSpaceDN/>
              <w:bidi/>
              <w:adjustRightInd/>
              <w:spacing w:line="360" w:lineRule="auto"/>
              <w:jc w:val="both"/>
              <w:rPr>
                <w:rFonts w:cs="Simplified Arabic"/>
                <w:lang w:bidi="ar-MA"/>
              </w:rPr>
            </w:pPr>
            <w:r w:rsidRPr="004B7848">
              <w:rPr>
                <w:rFonts w:ascii="Times New Roman" w:hAnsi="Times New Roman" w:cs="Simplified Arabic" w:hint="cs"/>
                <w:sz w:val="20"/>
                <w:szCs w:val="20"/>
                <w:rtl/>
                <w:lang w:bidi="ar-MA"/>
              </w:rPr>
              <w:t>للمزيد من المعلومات حول الجوانب المنهجية لهذا البحث</w:t>
            </w:r>
            <w:r>
              <w:rPr>
                <w:rFonts w:ascii="Times New Roman" w:hAnsi="Times New Roman" w:cs="Simplified Arabic"/>
                <w:sz w:val="20"/>
                <w:szCs w:val="20"/>
                <w:lang w:bidi="ar-MA"/>
              </w:rPr>
              <w:t xml:space="preserve"> </w:t>
            </w:r>
            <w:r w:rsidRPr="004B7848">
              <w:rPr>
                <w:rFonts w:ascii="Times New Roman" w:hAnsi="Times New Roman" w:cs="Simplified Arabic" w:hint="cs"/>
                <w:sz w:val="20"/>
                <w:szCs w:val="20"/>
                <w:rtl/>
                <w:lang w:bidi="ar-MA"/>
              </w:rPr>
              <w:t xml:space="preserve">: زوروا الموقع الإلكتروني للمندوبية السامية للتخطيط   </w:t>
            </w:r>
            <w:hyperlink r:id="rId14" w:history="1">
              <w:r w:rsidRPr="004B7848">
                <w:rPr>
                  <w:rStyle w:val="Lienhypertexte"/>
                  <w:rFonts w:ascii="Times New Roman" w:hAnsi="Times New Roman" w:cs="Simplified Arabic"/>
                  <w:sz w:val="20"/>
                  <w:szCs w:val="20"/>
                  <w:lang w:bidi="ar-MA"/>
                </w:rPr>
                <w:t>www.hcp.ma</w:t>
              </w:r>
            </w:hyperlink>
          </w:p>
        </w:tc>
      </w:tr>
    </w:tbl>
    <w:p w:rsidR="0047396E" w:rsidRDefault="0047396E" w:rsidP="00795089">
      <w:pPr>
        <w:widowControl/>
        <w:autoSpaceDE/>
        <w:autoSpaceDN/>
        <w:adjustRightInd/>
        <w:spacing w:line="360" w:lineRule="auto"/>
        <w:jc w:val="both"/>
        <w:rPr>
          <w:rFonts w:ascii="Times New Roman" w:hAnsi="Times New Roman" w:cs="Simplified Arabic"/>
          <w:sz w:val="28"/>
          <w:szCs w:val="28"/>
          <w:lang w:bidi="ar-MA"/>
        </w:rPr>
        <w:sectPr w:rsidR="0047396E" w:rsidSect="0047396E">
          <w:footerReference w:type="default" r:id="rId15"/>
          <w:pgSz w:w="11906" w:h="16838"/>
          <w:pgMar w:top="1247" w:right="1274" w:bottom="1191" w:left="1276" w:header="567" w:footer="567" w:gutter="0"/>
          <w:cols w:space="708"/>
          <w:docGrid w:linePitch="360"/>
        </w:sectPr>
      </w:pPr>
    </w:p>
    <w:p w:rsidR="0047396E" w:rsidRDefault="0047396E" w:rsidP="00795089">
      <w:pPr>
        <w:widowControl/>
        <w:autoSpaceDE/>
        <w:autoSpaceDN/>
        <w:bidi/>
        <w:adjustRightInd/>
        <w:spacing w:after="200" w:line="360" w:lineRule="auto"/>
        <w:ind w:firstLine="360"/>
        <w:jc w:val="center"/>
      </w:pPr>
      <w:r>
        <w:rPr>
          <w:rFonts w:ascii="Times New Roman" w:hAnsi="Times New Roman" w:cs="Simplified Arabic" w:hint="cs"/>
          <w:b/>
          <w:bCs/>
          <w:sz w:val="28"/>
          <w:szCs w:val="28"/>
          <w:rtl/>
          <w:lang w:bidi="ar-MA"/>
        </w:rPr>
        <w:lastRenderedPageBreak/>
        <w:t>ت</w:t>
      </w:r>
      <w:r w:rsidRPr="00DC2D0E">
        <w:rPr>
          <w:rFonts w:ascii="Times New Roman" w:hAnsi="Times New Roman" w:cs="Simplified Arabic"/>
          <w:b/>
          <w:bCs/>
          <w:sz w:val="28"/>
          <w:szCs w:val="28"/>
          <w:rtl/>
          <w:lang w:bidi="ar-MA"/>
        </w:rPr>
        <w:t xml:space="preserve">طور مؤشر الثقة </w:t>
      </w:r>
      <w:r>
        <w:rPr>
          <w:rFonts w:ascii="Times New Roman" w:hAnsi="Times New Roman" w:cs="Simplified Arabic" w:hint="cs"/>
          <w:b/>
          <w:bCs/>
          <w:sz w:val="28"/>
          <w:szCs w:val="28"/>
          <w:rtl/>
          <w:lang w:bidi="ar-MA"/>
        </w:rPr>
        <w:t>لدى ا</w:t>
      </w:r>
      <w:r w:rsidRPr="00DC2D0E">
        <w:rPr>
          <w:rFonts w:ascii="Times New Roman" w:hAnsi="Times New Roman" w:cs="Simplified Arabic"/>
          <w:b/>
          <w:bCs/>
          <w:sz w:val="28"/>
          <w:szCs w:val="28"/>
          <w:rtl/>
          <w:lang w:bidi="ar-MA"/>
        </w:rPr>
        <w:t>لأسر المغربية</w:t>
      </w:r>
      <w:r>
        <w:rPr>
          <w:rFonts w:ascii="Times New Roman" w:hAnsi="Times New Roman" w:cs="Simplified Arabic" w:hint="cs"/>
          <w:b/>
          <w:bCs/>
          <w:sz w:val="28"/>
          <w:szCs w:val="28"/>
          <w:rtl/>
          <w:lang w:bidi="ar-MA"/>
        </w:rPr>
        <w:t xml:space="preserve"> ومكوناته</w:t>
      </w:r>
    </w:p>
    <w:tbl>
      <w:tblPr>
        <w:tblW w:w="15905" w:type="dxa"/>
        <w:jc w:val="center"/>
        <w:tblInd w:w="2446" w:type="dxa"/>
        <w:tblLayout w:type="fixed"/>
        <w:tblCellMar>
          <w:left w:w="70" w:type="dxa"/>
          <w:right w:w="70" w:type="dxa"/>
        </w:tblCellMar>
        <w:tblLook w:val="04A0"/>
      </w:tblPr>
      <w:tblGrid>
        <w:gridCol w:w="961"/>
        <w:gridCol w:w="977"/>
        <w:gridCol w:w="794"/>
        <w:gridCol w:w="682"/>
        <w:gridCol w:w="638"/>
        <w:gridCol w:w="638"/>
        <w:gridCol w:w="639"/>
        <w:gridCol w:w="799"/>
        <w:gridCol w:w="797"/>
        <w:gridCol w:w="639"/>
        <w:gridCol w:w="639"/>
        <w:gridCol w:w="641"/>
        <w:gridCol w:w="639"/>
        <w:gridCol w:w="601"/>
        <w:gridCol w:w="675"/>
        <w:gridCol w:w="761"/>
        <w:gridCol w:w="639"/>
        <w:gridCol w:w="639"/>
        <w:gridCol w:w="639"/>
        <w:gridCol w:w="646"/>
        <w:gridCol w:w="1803"/>
        <w:gridCol w:w="19"/>
      </w:tblGrid>
      <w:tr w:rsidR="0047396E" w:rsidRPr="005407A5" w:rsidTr="00652E79">
        <w:trPr>
          <w:trHeight w:val="102"/>
          <w:jc w:val="center"/>
        </w:trPr>
        <w:tc>
          <w:tcPr>
            <w:tcW w:w="3415" w:type="dxa"/>
            <w:gridSpan w:val="4"/>
            <w:tcBorders>
              <w:top w:val="single" w:sz="4" w:space="0" w:color="auto"/>
              <w:left w:val="single" w:sz="4" w:space="0" w:color="auto"/>
              <w:bottom w:val="single" w:sz="4" w:space="0" w:color="auto"/>
              <w:right w:val="single" w:sz="4" w:space="0" w:color="000000"/>
            </w:tcBorders>
            <w:vAlign w:val="center"/>
          </w:tcPr>
          <w:p w:rsidR="0047396E" w:rsidRPr="005407A5" w:rsidRDefault="0047396E" w:rsidP="00795089">
            <w:pPr>
              <w:bidi/>
              <w:spacing w:line="360" w:lineRule="auto"/>
              <w:jc w:val="center"/>
              <w:rPr>
                <w:rFonts w:asciiTheme="majorBidi" w:hAnsiTheme="majorBidi" w:cstheme="majorBidi"/>
                <w:b/>
                <w:bCs/>
                <w:color w:val="000000"/>
                <w:sz w:val="18"/>
                <w:szCs w:val="18"/>
              </w:rPr>
            </w:pPr>
            <w:r w:rsidRPr="005407A5">
              <w:rPr>
                <w:rFonts w:asciiTheme="majorBidi" w:hAnsiTheme="majorBidi" w:cstheme="majorBidi"/>
                <w:b/>
                <w:bCs/>
                <w:color w:val="000000"/>
                <w:sz w:val="18"/>
                <w:szCs w:val="18"/>
              </w:rPr>
              <w:t>201</w:t>
            </w:r>
            <w:r>
              <w:rPr>
                <w:rFonts w:asciiTheme="majorBidi" w:hAnsiTheme="majorBidi" w:cstheme="majorBidi"/>
                <w:b/>
                <w:bCs/>
                <w:color w:val="000000"/>
                <w:sz w:val="18"/>
                <w:szCs w:val="18"/>
              </w:rPr>
              <w:t>9</w:t>
            </w:r>
          </w:p>
        </w:tc>
        <w:tc>
          <w:tcPr>
            <w:tcW w:w="2713" w:type="dxa"/>
            <w:gridSpan w:val="4"/>
            <w:tcBorders>
              <w:top w:val="single" w:sz="4" w:space="0" w:color="auto"/>
              <w:left w:val="single" w:sz="4" w:space="0" w:color="auto"/>
              <w:bottom w:val="single" w:sz="4" w:space="0" w:color="auto"/>
              <w:right w:val="single" w:sz="4" w:space="0" w:color="000000"/>
            </w:tcBorders>
            <w:vAlign w:val="center"/>
          </w:tcPr>
          <w:p w:rsidR="0047396E" w:rsidRPr="005407A5" w:rsidRDefault="0047396E" w:rsidP="00795089">
            <w:pPr>
              <w:bidi/>
              <w:spacing w:line="360" w:lineRule="auto"/>
              <w:jc w:val="center"/>
              <w:rPr>
                <w:rFonts w:asciiTheme="majorBidi" w:hAnsiTheme="majorBidi" w:cstheme="majorBidi"/>
                <w:b/>
                <w:bCs/>
                <w:color w:val="000000"/>
                <w:sz w:val="18"/>
                <w:szCs w:val="18"/>
                <w:rtl/>
              </w:rPr>
            </w:pPr>
            <w:r w:rsidRPr="005407A5">
              <w:rPr>
                <w:rFonts w:asciiTheme="majorBidi" w:hAnsiTheme="majorBidi" w:cstheme="majorBidi"/>
                <w:b/>
                <w:bCs/>
                <w:color w:val="000000"/>
                <w:sz w:val="18"/>
                <w:szCs w:val="18"/>
              </w:rPr>
              <w:t>201</w:t>
            </w:r>
            <w:r>
              <w:rPr>
                <w:rFonts w:asciiTheme="majorBidi" w:hAnsiTheme="majorBidi" w:cstheme="majorBidi"/>
                <w:b/>
                <w:bCs/>
                <w:color w:val="000000"/>
                <w:sz w:val="18"/>
                <w:szCs w:val="18"/>
              </w:rPr>
              <w:t>8</w:t>
            </w:r>
          </w:p>
        </w:tc>
        <w:tc>
          <w:tcPr>
            <w:tcW w:w="2715" w:type="dxa"/>
            <w:gridSpan w:val="4"/>
            <w:tcBorders>
              <w:top w:val="single" w:sz="4" w:space="0" w:color="auto"/>
              <w:left w:val="single" w:sz="4" w:space="0" w:color="auto"/>
              <w:bottom w:val="single" w:sz="4" w:space="0" w:color="auto"/>
              <w:right w:val="single" w:sz="4" w:space="0" w:color="000000"/>
            </w:tcBorders>
            <w:vAlign w:val="center"/>
          </w:tcPr>
          <w:p w:rsidR="0047396E" w:rsidRPr="005407A5" w:rsidRDefault="0047396E" w:rsidP="00795089">
            <w:pPr>
              <w:bidi/>
              <w:spacing w:line="360" w:lineRule="auto"/>
              <w:jc w:val="center"/>
              <w:rPr>
                <w:rFonts w:asciiTheme="majorBidi" w:hAnsiTheme="majorBidi" w:cstheme="majorBidi"/>
                <w:b/>
                <w:bCs/>
                <w:color w:val="000000"/>
                <w:sz w:val="18"/>
                <w:szCs w:val="18"/>
                <w:rtl/>
              </w:rPr>
            </w:pPr>
            <w:r w:rsidRPr="005407A5">
              <w:rPr>
                <w:rFonts w:asciiTheme="majorBidi" w:hAnsiTheme="majorBidi" w:cstheme="majorBidi" w:hint="cs"/>
                <w:b/>
                <w:bCs/>
                <w:color w:val="000000"/>
                <w:sz w:val="18"/>
                <w:szCs w:val="18"/>
                <w:rtl/>
              </w:rPr>
              <w:t>201</w:t>
            </w:r>
            <w:r>
              <w:rPr>
                <w:rFonts w:asciiTheme="majorBidi" w:hAnsiTheme="majorBidi" w:cstheme="majorBidi" w:hint="cs"/>
                <w:b/>
                <w:bCs/>
                <w:color w:val="000000"/>
                <w:sz w:val="18"/>
                <w:szCs w:val="18"/>
                <w:rtl/>
              </w:rPr>
              <w:t>7</w:t>
            </w:r>
          </w:p>
        </w:tc>
        <w:tc>
          <w:tcPr>
            <w:tcW w:w="2676" w:type="dxa"/>
            <w:gridSpan w:val="4"/>
            <w:tcBorders>
              <w:top w:val="single" w:sz="4" w:space="0" w:color="auto"/>
              <w:left w:val="single" w:sz="4" w:space="0" w:color="auto"/>
              <w:bottom w:val="single" w:sz="4" w:space="0" w:color="auto"/>
              <w:right w:val="single" w:sz="4" w:space="0" w:color="000000"/>
            </w:tcBorders>
            <w:vAlign w:val="center"/>
          </w:tcPr>
          <w:p w:rsidR="0047396E" w:rsidRPr="005407A5" w:rsidRDefault="0047396E" w:rsidP="00795089">
            <w:pPr>
              <w:bidi/>
              <w:spacing w:line="360" w:lineRule="auto"/>
              <w:jc w:val="center"/>
              <w:rPr>
                <w:rFonts w:asciiTheme="majorBidi" w:hAnsiTheme="majorBidi" w:cstheme="majorBidi"/>
                <w:b/>
                <w:bCs/>
                <w:color w:val="000000"/>
                <w:sz w:val="18"/>
                <w:szCs w:val="18"/>
              </w:rPr>
            </w:pPr>
            <w:r w:rsidRPr="005407A5">
              <w:rPr>
                <w:rFonts w:asciiTheme="majorBidi" w:hAnsiTheme="majorBidi" w:cstheme="majorBidi"/>
                <w:b/>
                <w:bCs/>
                <w:color w:val="000000"/>
                <w:sz w:val="18"/>
                <w:szCs w:val="18"/>
              </w:rPr>
              <w:t>201</w:t>
            </w:r>
            <w:r>
              <w:rPr>
                <w:rFonts w:asciiTheme="majorBidi" w:hAnsiTheme="majorBidi" w:cstheme="majorBidi"/>
                <w:b/>
                <w:bCs/>
                <w:color w:val="000000"/>
                <w:sz w:val="18"/>
                <w:szCs w:val="18"/>
              </w:rPr>
              <w:t>6</w:t>
            </w:r>
          </w:p>
        </w:tc>
        <w:tc>
          <w:tcPr>
            <w:tcW w:w="2561" w:type="dxa"/>
            <w:gridSpan w:val="4"/>
            <w:tcBorders>
              <w:top w:val="single" w:sz="4" w:space="0" w:color="auto"/>
              <w:left w:val="single" w:sz="4" w:space="0" w:color="auto"/>
              <w:bottom w:val="single" w:sz="4" w:space="0" w:color="auto"/>
              <w:right w:val="single" w:sz="4" w:space="0" w:color="000000"/>
            </w:tcBorders>
            <w:vAlign w:val="center"/>
          </w:tcPr>
          <w:p w:rsidR="0047396E" w:rsidRPr="005407A5" w:rsidRDefault="0047396E" w:rsidP="00795089">
            <w:pPr>
              <w:bidi/>
              <w:spacing w:line="360" w:lineRule="auto"/>
              <w:jc w:val="center"/>
              <w:rPr>
                <w:rFonts w:asciiTheme="majorBidi" w:hAnsiTheme="majorBidi" w:cstheme="majorBidi"/>
                <w:b/>
                <w:bCs/>
                <w:color w:val="000000"/>
                <w:sz w:val="18"/>
                <w:szCs w:val="18"/>
              </w:rPr>
            </w:pPr>
            <w:r w:rsidRPr="005407A5">
              <w:rPr>
                <w:rFonts w:asciiTheme="majorBidi" w:hAnsiTheme="majorBidi" w:cstheme="majorBidi"/>
                <w:b/>
                <w:bCs/>
                <w:color w:val="000000"/>
                <w:sz w:val="18"/>
                <w:szCs w:val="18"/>
              </w:rPr>
              <w:t>201</w:t>
            </w:r>
            <w:r>
              <w:rPr>
                <w:rFonts w:asciiTheme="majorBidi" w:hAnsiTheme="majorBidi" w:cstheme="majorBidi"/>
                <w:b/>
                <w:bCs/>
                <w:color w:val="000000"/>
                <w:sz w:val="18"/>
                <w:szCs w:val="18"/>
              </w:rPr>
              <w:t>5</w:t>
            </w:r>
          </w:p>
        </w:tc>
        <w:tc>
          <w:tcPr>
            <w:tcW w:w="1822" w:type="dxa"/>
            <w:gridSpan w:val="2"/>
            <w:tcBorders>
              <w:top w:val="single" w:sz="4" w:space="0" w:color="auto"/>
              <w:left w:val="single" w:sz="4" w:space="0" w:color="auto"/>
              <w:right w:val="single" w:sz="4" w:space="0" w:color="auto"/>
            </w:tcBorders>
            <w:shd w:val="clear" w:color="auto" w:fill="auto"/>
            <w:vAlign w:val="center"/>
            <w:hideMark/>
          </w:tcPr>
          <w:p w:rsidR="0047396E" w:rsidRPr="00652E79" w:rsidRDefault="0047396E" w:rsidP="00795089">
            <w:pPr>
              <w:bidi/>
              <w:spacing w:line="360" w:lineRule="auto"/>
              <w:jc w:val="center"/>
              <w:rPr>
                <w:rFonts w:asciiTheme="majorBidi" w:hAnsiTheme="majorBidi" w:cstheme="majorBidi"/>
                <w:b/>
                <w:bCs/>
                <w:color w:val="000000"/>
                <w:sz w:val="18"/>
                <w:szCs w:val="18"/>
                <w:rtl/>
              </w:rPr>
            </w:pPr>
          </w:p>
          <w:p w:rsidR="0047396E" w:rsidRPr="00652E79" w:rsidRDefault="0047396E" w:rsidP="00795089">
            <w:pPr>
              <w:bidi/>
              <w:spacing w:line="360" w:lineRule="auto"/>
              <w:jc w:val="center"/>
              <w:rPr>
                <w:rFonts w:asciiTheme="majorBidi" w:hAnsiTheme="majorBidi" w:cstheme="majorBidi"/>
                <w:b/>
                <w:bCs/>
                <w:color w:val="000000"/>
                <w:sz w:val="18"/>
                <w:szCs w:val="18"/>
              </w:rPr>
            </w:pPr>
            <w:r w:rsidRPr="00652E79">
              <w:rPr>
                <w:rFonts w:asciiTheme="majorBidi" w:hAnsiTheme="majorBidi" w:cstheme="majorBidi"/>
                <w:b/>
                <w:bCs/>
                <w:color w:val="000000"/>
                <w:sz w:val="18"/>
                <w:szCs w:val="18"/>
                <w:rtl/>
              </w:rPr>
              <w:t>المؤشر</w:t>
            </w:r>
            <w:r w:rsidRPr="00652E79">
              <w:rPr>
                <w:rFonts w:asciiTheme="majorBidi" w:hAnsiTheme="majorBidi" w:cstheme="majorBidi" w:hint="cs"/>
                <w:b/>
                <w:bCs/>
                <w:color w:val="000000"/>
                <w:sz w:val="18"/>
                <w:szCs w:val="18"/>
                <w:rtl/>
              </w:rPr>
              <w:t>ات</w:t>
            </w:r>
          </w:p>
        </w:tc>
      </w:tr>
      <w:tr w:rsidR="00652E79" w:rsidRPr="005407A5" w:rsidTr="00652E79">
        <w:trPr>
          <w:trHeight w:val="347"/>
          <w:jc w:val="center"/>
        </w:trPr>
        <w:tc>
          <w:tcPr>
            <w:tcW w:w="962" w:type="dxa"/>
            <w:tcBorders>
              <w:top w:val="nil"/>
              <w:left w:val="single" w:sz="4" w:space="0" w:color="auto"/>
              <w:bottom w:val="single" w:sz="4" w:space="0" w:color="auto"/>
              <w:right w:val="single" w:sz="4" w:space="0" w:color="auto"/>
            </w:tcBorders>
            <w:vAlign w:val="center"/>
          </w:tcPr>
          <w:p w:rsidR="0047396E" w:rsidRPr="00652E79" w:rsidRDefault="0047396E" w:rsidP="00795089">
            <w:pPr>
              <w:bidi/>
              <w:spacing w:line="360" w:lineRule="auto"/>
              <w:jc w:val="center"/>
              <w:rPr>
                <w:rFonts w:asciiTheme="majorBidi" w:hAnsiTheme="majorBidi" w:cstheme="majorBidi"/>
                <w:b/>
                <w:bCs/>
                <w:color w:val="000000"/>
                <w:rtl/>
                <w:lang w:bidi="ar-MA"/>
              </w:rPr>
            </w:pPr>
            <w:r w:rsidRPr="00652E79">
              <w:rPr>
                <w:rFonts w:asciiTheme="majorBidi" w:hAnsiTheme="majorBidi" w:cstheme="majorBidi" w:hint="cs"/>
                <w:b/>
                <w:bCs/>
                <w:color w:val="000000"/>
                <w:sz w:val="22"/>
                <w:szCs w:val="22"/>
                <w:rtl/>
                <w:lang w:bidi="ar-MA"/>
              </w:rPr>
              <w:t>ف4</w:t>
            </w:r>
          </w:p>
        </w:tc>
        <w:tc>
          <w:tcPr>
            <w:tcW w:w="977" w:type="dxa"/>
            <w:tcBorders>
              <w:top w:val="nil"/>
              <w:left w:val="single" w:sz="4" w:space="0" w:color="auto"/>
              <w:bottom w:val="single" w:sz="4" w:space="0" w:color="auto"/>
              <w:right w:val="single" w:sz="4" w:space="0" w:color="auto"/>
            </w:tcBorders>
            <w:vAlign w:val="center"/>
          </w:tcPr>
          <w:p w:rsidR="0047396E" w:rsidRPr="00652E79" w:rsidRDefault="0047396E" w:rsidP="00795089">
            <w:pPr>
              <w:bidi/>
              <w:spacing w:line="360" w:lineRule="auto"/>
              <w:jc w:val="center"/>
              <w:rPr>
                <w:rFonts w:asciiTheme="majorBidi" w:hAnsiTheme="majorBidi" w:cstheme="majorBidi"/>
                <w:b/>
                <w:bCs/>
                <w:color w:val="000000"/>
                <w:rtl/>
                <w:lang w:bidi="ar-MA"/>
              </w:rPr>
            </w:pPr>
            <w:r w:rsidRPr="00652E79">
              <w:rPr>
                <w:rFonts w:asciiTheme="majorBidi" w:hAnsiTheme="majorBidi" w:cstheme="majorBidi" w:hint="cs"/>
                <w:b/>
                <w:bCs/>
                <w:color w:val="000000"/>
                <w:sz w:val="22"/>
                <w:szCs w:val="22"/>
                <w:rtl/>
                <w:lang w:bidi="ar-MA"/>
              </w:rPr>
              <w:t>ف 3</w:t>
            </w:r>
          </w:p>
        </w:tc>
        <w:tc>
          <w:tcPr>
            <w:tcW w:w="794" w:type="dxa"/>
            <w:tcBorders>
              <w:top w:val="nil"/>
              <w:left w:val="single" w:sz="4" w:space="0" w:color="auto"/>
              <w:bottom w:val="single" w:sz="4" w:space="0" w:color="auto"/>
              <w:right w:val="single" w:sz="4" w:space="0" w:color="auto"/>
            </w:tcBorders>
            <w:vAlign w:val="center"/>
          </w:tcPr>
          <w:p w:rsidR="0047396E" w:rsidRPr="00652E79" w:rsidRDefault="0047396E" w:rsidP="00795089">
            <w:pPr>
              <w:bidi/>
              <w:spacing w:line="360" w:lineRule="auto"/>
              <w:jc w:val="center"/>
              <w:rPr>
                <w:rFonts w:asciiTheme="majorBidi" w:hAnsiTheme="majorBidi" w:cstheme="majorBidi"/>
                <w:color w:val="000000"/>
                <w:rtl/>
                <w:lang w:bidi="ar-MA"/>
              </w:rPr>
            </w:pPr>
            <w:r w:rsidRPr="00652E79">
              <w:rPr>
                <w:rFonts w:asciiTheme="majorBidi" w:hAnsiTheme="majorBidi" w:cstheme="majorBidi" w:hint="cs"/>
                <w:b/>
                <w:bCs/>
                <w:color w:val="000000"/>
                <w:sz w:val="22"/>
                <w:szCs w:val="22"/>
                <w:rtl/>
                <w:lang w:bidi="ar-MA"/>
              </w:rPr>
              <w:t>ف</w:t>
            </w:r>
            <w:r w:rsidRPr="00652E79">
              <w:rPr>
                <w:rFonts w:asciiTheme="majorBidi" w:hAnsiTheme="majorBidi" w:cstheme="majorBidi"/>
                <w:b/>
                <w:bCs/>
                <w:color w:val="000000"/>
                <w:sz w:val="22"/>
                <w:szCs w:val="22"/>
                <w:lang w:bidi="ar-MA"/>
              </w:rPr>
              <w:t>2</w:t>
            </w:r>
          </w:p>
        </w:tc>
        <w:tc>
          <w:tcPr>
            <w:tcW w:w="681" w:type="dxa"/>
            <w:tcBorders>
              <w:top w:val="nil"/>
              <w:left w:val="single" w:sz="4" w:space="0" w:color="auto"/>
              <w:bottom w:val="single" w:sz="4" w:space="0" w:color="auto"/>
              <w:right w:val="single" w:sz="4" w:space="0" w:color="auto"/>
            </w:tcBorders>
            <w:vAlign w:val="center"/>
          </w:tcPr>
          <w:p w:rsidR="0047396E" w:rsidRPr="00652E79" w:rsidRDefault="0047396E" w:rsidP="00795089">
            <w:pPr>
              <w:bidi/>
              <w:spacing w:line="360" w:lineRule="auto"/>
              <w:jc w:val="center"/>
              <w:rPr>
                <w:rFonts w:asciiTheme="majorBidi" w:hAnsiTheme="majorBidi" w:cstheme="majorBidi"/>
                <w:b/>
                <w:bCs/>
                <w:color w:val="000000"/>
                <w:rtl/>
                <w:lang w:bidi="ar-MA"/>
              </w:rPr>
            </w:pPr>
            <w:r w:rsidRPr="00652E79">
              <w:rPr>
                <w:rFonts w:asciiTheme="majorBidi" w:hAnsiTheme="majorBidi" w:cstheme="majorBidi" w:hint="cs"/>
                <w:b/>
                <w:bCs/>
                <w:color w:val="000000"/>
                <w:sz w:val="22"/>
                <w:szCs w:val="22"/>
                <w:rtl/>
                <w:lang w:bidi="ar-MA"/>
              </w:rPr>
              <w:t>ف1</w:t>
            </w:r>
          </w:p>
        </w:tc>
        <w:tc>
          <w:tcPr>
            <w:tcW w:w="638" w:type="dxa"/>
            <w:tcBorders>
              <w:top w:val="nil"/>
              <w:left w:val="single" w:sz="4" w:space="0" w:color="auto"/>
              <w:bottom w:val="single" w:sz="4" w:space="0" w:color="auto"/>
              <w:right w:val="single" w:sz="4" w:space="0" w:color="auto"/>
            </w:tcBorders>
            <w:vAlign w:val="center"/>
          </w:tcPr>
          <w:p w:rsidR="0047396E" w:rsidRPr="00652E79" w:rsidRDefault="0047396E" w:rsidP="00795089">
            <w:pPr>
              <w:bidi/>
              <w:spacing w:line="360" w:lineRule="auto"/>
              <w:jc w:val="center"/>
              <w:rPr>
                <w:rFonts w:asciiTheme="majorBidi" w:hAnsiTheme="majorBidi" w:cstheme="majorBidi"/>
                <w:b/>
                <w:bCs/>
                <w:color w:val="000000"/>
                <w:rtl/>
                <w:lang w:bidi="ar-MA"/>
              </w:rPr>
            </w:pPr>
            <w:r w:rsidRPr="00652E79">
              <w:rPr>
                <w:rFonts w:asciiTheme="majorBidi" w:hAnsiTheme="majorBidi" w:cstheme="majorBidi" w:hint="cs"/>
                <w:b/>
                <w:bCs/>
                <w:color w:val="000000"/>
                <w:sz w:val="22"/>
                <w:szCs w:val="22"/>
                <w:rtl/>
                <w:lang w:bidi="ar-MA"/>
              </w:rPr>
              <w:t>ف4</w:t>
            </w:r>
          </w:p>
        </w:tc>
        <w:tc>
          <w:tcPr>
            <w:tcW w:w="638" w:type="dxa"/>
            <w:tcBorders>
              <w:top w:val="nil"/>
              <w:left w:val="single" w:sz="4" w:space="0" w:color="auto"/>
              <w:bottom w:val="single" w:sz="4" w:space="0" w:color="auto"/>
              <w:right w:val="single" w:sz="4" w:space="0" w:color="auto"/>
            </w:tcBorders>
            <w:vAlign w:val="center"/>
          </w:tcPr>
          <w:p w:rsidR="0047396E" w:rsidRPr="00652E79" w:rsidRDefault="0047396E" w:rsidP="00795089">
            <w:pPr>
              <w:bidi/>
              <w:spacing w:line="360" w:lineRule="auto"/>
              <w:jc w:val="center"/>
              <w:rPr>
                <w:rFonts w:asciiTheme="majorBidi" w:hAnsiTheme="majorBidi" w:cstheme="majorBidi"/>
                <w:b/>
                <w:bCs/>
                <w:color w:val="000000"/>
                <w:rtl/>
              </w:rPr>
            </w:pPr>
            <w:r w:rsidRPr="00652E79">
              <w:rPr>
                <w:rFonts w:asciiTheme="majorBidi" w:hAnsiTheme="majorBidi" w:cstheme="majorBidi" w:hint="cs"/>
                <w:b/>
                <w:bCs/>
                <w:color w:val="000000"/>
                <w:sz w:val="22"/>
                <w:szCs w:val="22"/>
                <w:rtl/>
              </w:rPr>
              <w:t>ف</w:t>
            </w:r>
            <w:r w:rsidRPr="00652E79">
              <w:rPr>
                <w:rFonts w:asciiTheme="majorBidi" w:hAnsiTheme="majorBidi" w:cstheme="majorBidi"/>
                <w:b/>
                <w:bCs/>
                <w:color w:val="000000"/>
                <w:sz w:val="22"/>
                <w:szCs w:val="22"/>
              </w:rPr>
              <w:t xml:space="preserve"> </w:t>
            </w:r>
            <w:r w:rsidRPr="00652E79">
              <w:rPr>
                <w:rFonts w:asciiTheme="majorBidi" w:hAnsiTheme="majorBidi" w:cstheme="majorBidi" w:hint="cs"/>
                <w:b/>
                <w:bCs/>
                <w:color w:val="000000"/>
                <w:sz w:val="22"/>
                <w:szCs w:val="22"/>
                <w:rtl/>
              </w:rPr>
              <w:t>3</w:t>
            </w:r>
          </w:p>
        </w:tc>
        <w:tc>
          <w:tcPr>
            <w:tcW w:w="639" w:type="dxa"/>
            <w:tcBorders>
              <w:top w:val="nil"/>
              <w:left w:val="single" w:sz="4" w:space="0" w:color="auto"/>
              <w:bottom w:val="single" w:sz="4" w:space="0" w:color="auto"/>
              <w:right w:val="single" w:sz="4" w:space="0" w:color="auto"/>
            </w:tcBorders>
            <w:vAlign w:val="center"/>
          </w:tcPr>
          <w:p w:rsidR="0047396E" w:rsidRPr="00652E79" w:rsidRDefault="0047396E" w:rsidP="00795089">
            <w:pPr>
              <w:bidi/>
              <w:spacing w:line="360" w:lineRule="auto"/>
              <w:jc w:val="center"/>
              <w:rPr>
                <w:rFonts w:asciiTheme="majorBidi" w:hAnsiTheme="majorBidi" w:cstheme="majorBidi"/>
                <w:b/>
                <w:bCs/>
                <w:color w:val="000000"/>
                <w:rtl/>
              </w:rPr>
            </w:pPr>
            <w:r w:rsidRPr="00652E79">
              <w:rPr>
                <w:rFonts w:asciiTheme="majorBidi" w:hAnsiTheme="majorBidi" w:cstheme="majorBidi" w:hint="cs"/>
                <w:b/>
                <w:bCs/>
                <w:color w:val="000000"/>
                <w:sz w:val="22"/>
                <w:szCs w:val="22"/>
                <w:rtl/>
              </w:rPr>
              <w:t>ف 2</w:t>
            </w:r>
          </w:p>
        </w:tc>
        <w:tc>
          <w:tcPr>
            <w:tcW w:w="799" w:type="dxa"/>
            <w:tcBorders>
              <w:top w:val="nil"/>
              <w:left w:val="single" w:sz="4" w:space="0" w:color="auto"/>
              <w:bottom w:val="single" w:sz="4" w:space="0" w:color="auto"/>
              <w:right w:val="single" w:sz="4" w:space="0" w:color="auto"/>
            </w:tcBorders>
            <w:vAlign w:val="center"/>
          </w:tcPr>
          <w:p w:rsidR="0047396E" w:rsidRPr="00652E79" w:rsidRDefault="0047396E" w:rsidP="00795089">
            <w:pPr>
              <w:bidi/>
              <w:spacing w:line="360" w:lineRule="auto"/>
              <w:jc w:val="center"/>
              <w:rPr>
                <w:rFonts w:asciiTheme="majorBidi" w:hAnsiTheme="majorBidi" w:cstheme="majorBidi"/>
                <w:b/>
                <w:bCs/>
                <w:color w:val="000000"/>
                <w:rtl/>
              </w:rPr>
            </w:pPr>
            <w:r w:rsidRPr="00652E79">
              <w:rPr>
                <w:rFonts w:asciiTheme="majorBidi" w:hAnsiTheme="majorBidi" w:cstheme="majorBidi" w:hint="cs"/>
                <w:b/>
                <w:bCs/>
                <w:color w:val="000000"/>
                <w:sz w:val="22"/>
                <w:szCs w:val="22"/>
                <w:rtl/>
              </w:rPr>
              <w:t>ف 1</w:t>
            </w:r>
          </w:p>
        </w:tc>
        <w:tc>
          <w:tcPr>
            <w:tcW w:w="797" w:type="dxa"/>
            <w:tcBorders>
              <w:top w:val="nil"/>
              <w:left w:val="single" w:sz="4" w:space="0" w:color="auto"/>
              <w:bottom w:val="single" w:sz="4" w:space="0" w:color="auto"/>
              <w:right w:val="single" w:sz="4" w:space="0" w:color="auto"/>
            </w:tcBorders>
            <w:vAlign w:val="center"/>
          </w:tcPr>
          <w:p w:rsidR="0047396E" w:rsidRPr="00652E79" w:rsidRDefault="0047396E" w:rsidP="00795089">
            <w:pPr>
              <w:bidi/>
              <w:spacing w:line="360" w:lineRule="auto"/>
              <w:jc w:val="center"/>
              <w:rPr>
                <w:rFonts w:asciiTheme="majorBidi" w:hAnsiTheme="majorBidi" w:cstheme="majorBidi"/>
                <w:b/>
                <w:bCs/>
                <w:color w:val="000000"/>
                <w:rtl/>
              </w:rPr>
            </w:pPr>
            <w:r w:rsidRPr="00652E79">
              <w:rPr>
                <w:rFonts w:asciiTheme="majorBidi" w:hAnsiTheme="majorBidi" w:cstheme="majorBidi" w:hint="cs"/>
                <w:b/>
                <w:bCs/>
                <w:color w:val="000000"/>
                <w:sz w:val="22"/>
                <w:szCs w:val="22"/>
                <w:rtl/>
              </w:rPr>
              <w:t>ف 4</w:t>
            </w:r>
          </w:p>
        </w:tc>
        <w:tc>
          <w:tcPr>
            <w:tcW w:w="639" w:type="dxa"/>
            <w:tcBorders>
              <w:top w:val="nil"/>
              <w:left w:val="single" w:sz="4" w:space="0" w:color="auto"/>
              <w:bottom w:val="single" w:sz="4" w:space="0" w:color="auto"/>
              <w:right w:val="single" w:sz="4" w:space="0" w:color="auto"/>
            </w:tcBorders>
            <w:vAlign w:val="center"/>
          </w:tcPr>
          <w:p w:rsidR="0047396E" w:rsidRPr="00652E79" w:rsidRDefault="0047396E" w:rsidP="00795089">
            <w:pPr>
              <w:bidi/>
              <w:spacing w:line="360" w:lineRule="auto"/>
              <w:jc w:val="center"/>
              <w:rPr>
                <w:rFonts w:asciiTheme="majorBidi" w:hAnsiTheme="majorBidi" w:cstheme="majorBidi"/>
                <w:b/>
                <w:bCs/>
                <w:color w:val="000000"/>
                <w:rtl/>
              </w:rPr>
            </w:pPr>
            <w:r w:rsidRPr="00652E79">
              <w:rPr>
                <w:rFonts w:asciiTheme="majorBidi" w:hAnsiTheme="majorBidi" w:cstheme="majorBidi" w:hint="cs"/>
                <w:b/>
                <w:bCs/>
                <w:color w:val="000000"/>
                <w:sz w:val="22"/>
                <w:szCs w:val="22"/>
                <w:rtl/>
              </w:rPr>
              <w:t>ف 3</w:t>
            </w:r>
          </w:p>
        </w:tc>
        <w:tc>
          <w:tcPr>
            <w:tcW w:w="639" w:type="dxa"/>
            <w:tcBorders>
              <w:top w:val="nil"/>
              <w:left w:val="single" w:sz="4" w:space="0" w:color="auto"/>
              <w:bottom w:val="single" w:sz="4" w:space="0" w:color="auto"/>
              <w:right w:val="single" w:sz="4" w:space="0" w:color="auto"/>
            </w:tcBorders>
            <w:vAlign w:val="center"/>
          </w:tcPr>
          <w:p w:rsidR="0047396E" w:rsidRPr="00652E79" w:rsidRDefault="0047396E" w:rsidP="00795089">
            <w:pPr>
              <w:bidi/>
              <w:spacing w:line="360" w:lineRule="auto"/>
              <w:jc w:val="center"/>
              <w:rPr>
                <w:rFonts w:asciiTheme="majorBidi" w:hAnsiTheme="majorBidi" w:cstheme="majorBidi"/>
                <w:b/>
                <w:bCs/>
                <w:color w:val="000000"/>
                <w:rtl/>
              </w:rPr>
            </w:pPr>
            <w:r w:rsidRPr="00652E79">
              <w:rPr>
                <w:rFonts w:asciiTheme="majorBidi" w:hAnsiTheme="majorBidi" w:cstheme="majorBidi" w:hint="cs"/>
                <w:b/>
                <w:bCs/>
                <w:color w:val="000000"/>
                <w:sz w:val="22"/>
                <w:szCs w:val="22"/>
                <w:rtl/>
              </w:rPr>
              <w:t>ف 2</w:t>
            </w:r>
          </w:p>
        </w:tc>
        <w:tc>
          <w:tcPr>
            <w:tcW w:w="641" w:type="dxa"/>
            <w:tcBorders>
              <w:top w:val="nil"/>
              <w:left w:val="single" w:sz="4" w:space="0" w:color="auto"/>
              <w:bottom w:val="single" w:sz="4" w:space="0" w:color="auto"/>
              <w:right w:val="single" w:sz="4" w:space="0" w:color="auto"/>
            </w:tcBorders>
            <w:vAlign w:val="center"/>
          </w:tcPr>
          <w:p w:rsidR="0047396E" w:rsidRPr="00652E79" w:rsidRDefault="0047396E" w:rsidP="00795089">
            <w:pPr>
              <w:bidi/>
              <w:spacing w:line="360" w:lineRule="auto"/>
              <w:jc w:val="center"/>
              <w:rPr>
                <w:rFonts w:asciiTheme="majorBidi" w:hAnsiTheme="majorBidi" w:cstheme="majorBidi"/>
                <w:b/>
                <w:bCs/>
                <w:color w:val="000000"/>
                <w:rtl/>
              </w:rPr>
            </w:pPr>
            <w:r w:rsidRPr="00652E79">
              <w:rPr>
                <w:rFonts w:asciiTheme="majorBidi" w:hAnsiTheme="majorBidi" w:cstheme="majorBidi" w:hint="cs"/>
                <w:b/>
                <w:bCs/>
                <w:color w:val="000000"/>
                <w:sz w:val="22"/>
                <w:szCs w:val="22"/>
                <w:rtl/>
              </w:rPr>
              <w:t>ف 1</w:t>
            </w:r>
          </w:p>
        </w:tc>
        <w:tc>
          <w:tcPr>
            <w:tcW w:w="639" w:type="dxa"/>
            <w:tcBorders>
              <w:top w:val="nil"/>
              <w:left w:val="single" w:sz="4" w:space="0" w:color="auto"/>
              <w:bottom w:val="single" w:sz="4" w:space="0" w:color="auto"/>
              <w:right w:val="single" w:sz="4" w:space="0" w:color="auto"/>
            </w:tcBorders>
            <w:vAlign w:val="center"/>
          </w:tcPr>
          <w:p w:rsidR="0047396E" w:rsidRPr="00652E79" w:rsidRDefault="0047396E" w:rsidP="00795089">
            <w:pPr>
              <w:bidi/>
              <w:spacing w:line="360" w:lineRule="auto"/>
              <w:jc w:val="center"/>
              <w:rPr>
                <w:rFonts w:asciiTheme="majorBidi" w:hAnsiTheme="majorBidi" w:cstheme="majorBidi"/>
                <w:b/>
                <w:bCs/>
                <w:color w:val="000000"/>
                <w:rtl/>
              </w:rPr>
            </w:pPr>
            <w:r w:rsidRPr="00652E79">
              <w:rPr>
                <w:rFonts w:asciiTheme="majorBidi" w:hAnsiTheme="majorBidi" w:cstheme="majorBidi" w:hint="cs"/>
                <w:b/>
                <w:bCs/>
                <w:color w:val="000000"/>
                <w:sz w:val="22"/>
                <w:szCs w:val="22"/>
                <w:rtl/>
              </w:rPr>
              <w:t>ف 4</w:t>
            </w:r>
          </w:p>
        </w:tc>
        <w:tc>
          <w:tcPr>
            <w:tcW w:w="601" w:type="dxa"/>
            <w:tcBorders>
              <w:top w:val="nil"/>
              <w:left w:val="single" w:sz="4" w:space="0" w:color="auto"/>
              <w:bottom w:val="single" w:sz="4" w:space="0" w:color="auto"/>
              <w:right w:val="single" w:sz="4" w:space="0" w:color="auto"/>
            </w:tcBorders>
            <w:vAlign w:val="center"/>
          </w:tcPr>
          <w:p w:rsidR="0047396E" w:rsidRPr="00652E79" w:rsidRDefault="0047396E" w:rsidP="00795089">
            <w:pPr>
              <w:bidi/>
              <w:spacing w:line="360" w:lineRule="auto"/>
              <w:jc w:val="center"/>
              <w:rPr>
                <w:rFonts w:asciiTheme="majorBidi" w:hAnsiTheme="majorBidi" w:cstheme="majorBidi"/>
                <w:b/>
                <w:bCs/>
                <w:color w:val="000000"/>
              </w:rPr>
            </w:pPr>
            <w:r w:rsidRPr="00652E79">
              <w:rPr>
                <w:rFonts w:asciiTheme="majorBidi" w:hAnsiTheme="majorBidi" w:cstheme="majorBidi" w:hint="cs"/>
                <w:b/>
                <w:bCs/>
                <w:color w:val="000000"/>
                <w:sz w:val="22"/>
                <w:szCs w:val="22"/>
                <w:rtl/>
              </w:rPr>
              <w:t>ف 3</w:t>
            </w:r>
          </w:p>
        </w:tc>
        <w:tc>
          <w:tcPr>
            <w:tcW w:w="675" w:type="dxa"/>
            <w:tcBorders>
              <w:top w:val="nil"/>
              <w:left w:val="single" w:sz="4" w:space="0" w:color="auto"/>
              <w:bottom w:val="single" w:sz="4" w:space="0" w:color="auto"/>
              <w:right w:val="single" w:sz="4" w:space="0" w:color="auto"/>
            </w:tcBorders>
            <w:vAlign w:val="center"/>
          </w:tcPr>
          <w:p w:rsidR="0047396E" w:rsidRPr="00652E79" w:rsidRDefault="0047396E" w:rsidP="00795089">
            <w:pPr>
              <w:bidi/>
              <w:spacing w:line="360" w:lineRule="auto"/>
              <w:jc w:val="center"/>
              <w:rPr>
                <w:rFonts w:asciiTheme="majorBidi" w:hAnsiTheme="majorBidi" w:cstheme="majorBidi"/>
                <w:b/>
                <w:bCs/>
                <w:color w:val="000000"/>
                <w:rtl/>
              </w:rPr>
            </w:pPr>
            <w:r w:rsidRPr="00652E79">
              <w:rPr>
                <w:rFonts w:asciiTheme="majorBidi" w:hAnsiTheme="majorBidi" w:cstheme="majorBidi"/>
                <w:b/>
                <w:bCs/>
                <w:color w:val="000000"/>
                <w:sz w:val="22"/>
                <w:szCs w:val="22"/>
                <w:rtl/>
              </w:rPr>
              <w:t>ف 2</w:t>
            </w:r>
          </w:p>
        </w:tc>
        <w:tc>
          <w:tcPr>
            <w:tcW w:w="761" w:type="dxa"/>
            <w:tcBorders>
              <w:top w:val="nil"/>
              <w:left w:val="single" w:sz="4" w:space="0" w:color="auto"/>
              <w:bottom w:val="single" w:sz="4" w:space="0" w:color="auto"/>
              <w:right w:val="single" w:sz="4" w:space="0" w:color="auto"/>
            </w:tcBorders>
            <w:vAlign w:val="center"/>
          </w:tcPr>
          <w:p w:rsidR="0047396E" w:rsidRPr="00652E79" w:rsidRDefault="0047396E" w:rsidP="00795089">
            <w:pPr>
              <w:bidi/>
              <w:spacing w:line="360" w:lineRule="auto"/>
              <w:jc w:val="center"/>
              <w:rPr>
                <w:rFonts w:asciiTheme="majorBidi" w:hAnsiTheme="majorBidi" w:cstheme="majorBidi"/>
                <w:b/>
                <w:bCs/>
                <w:color w:val="000000"/>
              </w:rPr>
            </w:pPr>
            <w:r w:rsidRPr="00652E79">
              <w:rPr>
                <w:rFonts w:asciiTheme="majorBidi" w:hAnsiTheme="majorBidi" w:cstheme="majorBidi"/>
                <w:b/>
                <w:bCs/>
                <w:color w:val="000000"/>
                <w:sz w:val="22"/>
                <w:szCs w:val="22"/>
                <w:rtl/>
              </w:rPr>
              <w:t>ف 1</w:t>
            </w:r>
          </w:p>
        </w:tc>
        <w:tc>
          <w:tcPr>
            <w:tcW w:w="639" w:type="dxa"/>
            <w:tcBorders>
              <w:top w:val="nil"/>
              <w:left w:val="single" w:sz="4" w:space="0" w:color="auto"/>
              <w:bottom w:val="single" w:sz="4" w:space="0" w:color="auto"/>
              <w:right w:val="single" w:sz="4" w:space="0" w:color="auto"/>
            </w:tcBorders>
            <w:vAlign w:val="center"/>
          </w:tcPr>
          <w:p w:rsidR="0047396E" w:rsidRPr="00652E79" w:rsidRDefault="0047396E" w:rsidP="00795089">
            <w:pPr>
              <w:bidi/>
              <w:spacing w:line="360" w:lineRule="auto"/>
              <w:jc w:val="center"/>
              <w:rPr>
                <w:rFonts w:asciiTheme="majorBidi" w:hAnsiTheme="majorBidi" w:cstheme="majorBidi"/>
                <w:b/>
                <w:bCs/>
                <w:color w:val="000000"/>
                <w:rtl/>
              </w:rPr>
            </w:pPr>
            <w:r w:rsidRPr="00652E79">
              <w:rPr>
                <w:rFonts w:asciiTheme="majorBidi" w:hAnsiTheme="majorBidi" w:cstheme="majorBidi"/>
                <w:b/>
                <w:bCs/>
                <w:color w:val="000000"/>
                <w:sz w:val="22"/>
                <w:szCs w:val="22"/>
                <w:rtl/>
              </w:rPr>
              <w:t xml:space="preserve">ف </w:t>
            </w:r>
            <w:r w:rsidRPr="00652E79">
              <w:rPr>
                <w:rFonts w:asciiTheme="majorBidi" w:hAnsiTheme="majorBidi" w:cstheme="majorBidi"/>
                <w:b/>
                <w:bCs/>
                <w:color w:val="000000"/>
                <w:sz w:val="22"/>
                <w:szCs w:val="22"/>
              </w:rPr>
              <w:t>4</w:t>
            </w:r>
          </w:p>
        </w:tc>
        <w:tc>
          <w:tcPr>
            <w:tcW w:w="639" w:type="dxa"/>
            <w:tcBorders>
              <w:top w:val="nil"/>
              <w:left w:val="single" w:sz="4" w:space="0" w:color="auto"/>
              <w:bottom w:val="single" w:sz="4" w:space="0" w:color="auto"/>
              <w:right w:val="single" w:sz="4" w:space="0" w:color="auto"/>
            </w:tcBorders>
            <w:shd w:val="clear" w:color="auto" w:fill="auto"/>
            <w:vAlign w:val="center"/>
            <w:hideMark/>
          </w:tcPr>
          <w:p w:rsidR="0047396E" w:rsidRPr="00652E79" w:rsidRDefault="0047396E" w:rsidP="00795089">
            <w:pPr>
              <w:bidi/>
              <w:spacing w:line="360" w:lineRule="auto"/>
              <w:jc w:val="center"/>
              <w:rPr>
                <w:rFonts w:asciiTheme="majorBidi" w:hAnsiTheme="majorBidi" w:cstheme="majorBidi"/>
                <w:b/>
                <w:bCs/>
                <w:color w:val="000000"/>
              </w:rPr>
            </w:pPr>
            <w:r w:rsidRPr="00652E79">
              <w:rPr>
                <w:rFonts w:asciiTheme="majorBidi" w:hAnsiTheme="majorBidi" w:cstheme="majorBidi"/>
                <w:b/>
                <w:bCs/>
                <w:color w:val="000000"/>
                <w:sz w:val="22"/>
                <w:szCs w:val="22"/>
                <w:rtl/>
              </w:rPr>
              <w:t>ف 3</w:t>
            </w:r>
          </w:p>
        </w:tc>
        <w:tc>
          <w:tcPr>
            <w:tcW w:w="639" w:type="dxa"/>
            <w:tcBorders>
              <w:top w:val="nil"/>
              <w:left w:val="nil"/>
              <w:bottom w:val="single" w:sz="4" w:space="0" w:color="auto"/>
              <w:right w:val="single" w:sz="4" w:space="0" w:color="auto"/>
            </w:tcBorders>
            <w:shd w:val="clear" w:color="auto" w:fill="auto"/>
            <w:vAlign w:val="center"/>
            <w:hideMark/>
          </w:tcPr>
          <w:p w:rsidR="0047396E" w:rsidRPr="00652E79" w:rsidRDefault="0047396E" w:rsidP="00795089">
            <w:pPr>
              <w:bidi/>
              <w:spacing w:line="360" w:lineRule="auto"/>
              <w:jc w:val="center"/>
              <w:rPr>
                <w:rFonts w:asciiTheme="majorBidi" w:hAnsiTheme="majorBidi" w:cstheme="majorBidi"/>
                <w:b/>
                <w:bCs/>
                <w:color w:val="000000"/>
              </w:rPr>
            </w:pPr>
            <w:r w:rsidRPr="00652E79">
              <w:rPr>
                <w:rFonts w:asciiTheme="majorBidi" w:hAnsiTheme="majorBidi" w:cstheme="majorBidi"/>
                <w:b/>
                <w:bCs/>
                <w:color w:val="000000"/>
                <w:sz w:val="22"/>
                <w:szCs w:val="22"/>
                <w:rtl/>
              </w:rPr>
              <w:t>ف 2</w:t>
            </w:r>
          </w:p>
        </w:tc>
        <w:tc>
          <w:tcPr>
            <w:tcW w:w="646" w:type="dxa"/>
            <w:tcBorders>
              <w:top w:val="nil"/>
              <w:left w:val="single" w:sz="4" w:space="0" w:color="auto"/>
              <w:bottom w:val="single" w:sz="4" w:space="0" w:color="auto"/>
              <w:right w:val="single" w:sz="4" w:space="0" w:color="auto"/>
            </w:tcBorders>
            <w:shd w:val="clear" w:color="auto" w:fill="auto"/>
            <w:vAlign w:val="center"/>
            <w:hideMark/>
          </w:tcPr>
          <w:p w:rsidR="0047396E" w:rsidRPr="00652E79" w:rsidRDefault="0047396E" w:rsidP="00795089">
            <w:pPr>
              <w:bidi/>
              <w:spacing w:line="360" w:lineRule="auto"/>
              <w:jc w:val="center"/>
              <w:rPr>
                <w:rFonts w:asciiTheme="majorBidi" w:hAnsiTheme="majorBidi" w:cstheme="majorBidi"/>
                <w:b/>
                <w:bCs/>
                <w:color w:val="000000"/>
              </w:rPr>
            </w:pPr>
            <w:r w:rsidRPr="00652E79">
              <w:rPr>
                <w:rFonts w:asciiTheme="majorBidi" w:hAnsiTheme="majorBidi" w:cstheme="majorBidi"/>
                <w:b/>
                <w:bCs/>
                <w:color w:val="000000"/>
                <w:sz w:val="22"/>
                <w:szCs w:val="22"/>
                <w:rtl/>
              </w:rPr>
              <w:t>ف 1</w:t>
            </w:r>
          </w:p>
        </w:tc>
        <w:tc>
          <w:tcPr>
            <w:tcW w:w="1822" w:type="dxa"/>
            <w:gridSpan w:val="2"/>
            <w:tcBorders>
              <w:left w:val="single" w:sz="4" w:space="0" w:color="auto"/>
              <w:bottom w:val="single" w:sz="4" w:space="0" w:color="auto"/>
              <w:right w:val="single" w:sz="4" w:space="0" w:color="auto"/>
            </w:tcBorders>
            <w:vAlign w:val="bottom"/>
            <w:hideMark/>
          </w:tcPr>
          <w:p w:rsidR="0047396E" w:rsidRPr="00652E79" w:rsidRDefault="0047396E" w:rsidP="00795089">
            <w:pPr>
              <w:spacing w:line="360" w:lineRule="auto"/>
              <w:jc w:val="center"/>
              <w:rPr>
                <w:rFonts w:asciiTheme="majorBidi" w:hAnsiTheme="majorBidi" w:cstheme="majorBidi"/>
                <w:b/>
                <w:bCs/>
                <w:color w:val="000000"/>
                <w:sz w:val="18"/>
                <w:szCs w:val="18"/>
              </w:rPr>
            </w:pPr>
          </w:p>
        </w:tc>
      </w:tr>
      <w:tr w:rsidR="00652E79" w:rsidRPr="005407A5" w:rsidTr="00652E79">
        <w:trPr>
          <w:trHeight w:val="699"/>
          <w:jc w:val="center"/>
        </w:trPr>
        <w:tc>
          <w:tcPr>
            <w:tcW w:w="962" w:type="dxa"/>
            <w:tcBorders>
              <w:top w:val="single" w:sz="4" w:space="0" w:color="auto"/>
              <w:left w:val="single" w:sz="4" w:space="0" w:color="auto"/>
              <w:bottom w:val="single" w:sz="4" w:space="0" w:color="auto"/>
              <w:right w:val="single" w:sz="4" w:space="0" w:color="auto"/>
            </w:tcBorders>
            <w:vAlign w:val="center"/>
          </w:tcPr>
          <w:p w:rsidR="00EE7527" w:rsidRPr="001E55D0" w:rsidRDefault="00EE7527" w:rsidP="00795089">
            <w:pPr>
              <w:spacing w:line="360" w:lineRule="auto"/>
              <w:jc w:val="center"/>
              <w:rPr>
                <w:rFonts w:ascii="Calibri" w:hAnsi="Calibri"/>
                <w:b/>
                <w:bCs/>
                <w:color w:val="000000"/>
                <w:sz w:val="20"/>
                <w:szCs w:val="20"/>
              </w:rPr>
            </w:pPr>
            <w:r w:rsidRPr="001E55D0">
              <w:rPr>
                <w:rFonts w:ascii="Calibri" w:hAnsi="Calibri"/>
                <w:b/>
                <w:bCs/>
                <w:color w:val="000000"/>
                <w:sz w:val="20"/>
                <w:szCs w:val="20"/>
              </w:rPr>
              <w:t>77,8</w:t>
            </w:r>
          </w:p>
        </w:tc>
        <w:tc>
          <w:tcPr>
            <w:tcW w:w="977" w:type="dxa"/>
            <w:tcBorders>
              <w:top w:val="single" w:sz="4" w:space="0" w:color="auto"/>
              <w:left w:val="single" w:sz="4" w:space="0" w:color="auto"/>
              <w:bottom w:val="single" w:sz="4" w:space="0" w:color="auto"/>
              <w:right w:val="single" w:sz="4" w:space="0" w:color="auto"/>
            </w:tcBorders>
            <w:vAlign w:val="center"/>
          </w:tcPr>
          <w:p w:rsidR="00EE7527" w:rsidRPr="00EE7527" w:rsidRDefault="00EE7527" w:rsidP="00795089">
            <w:pPr>
              <w:spacing w:line="360" w:lineRule="auto"/>
              <w:jc w:val="center"/>
              <w:rPr>
                <w:rFonts w:ascii="Calibri" w:hAnsi="Calibri"/>
                <w:b/>
                <w:bCs/>
                <w:color w:val="000000"/>
                <w:sz w:val="20"/>
                <w:szCs w:val="20"/>
              </w:rPr>
            </w:pPr>
            <w:r w:rsidRPr="00EE7527">
              <w:rPr>
                <w:rFonts w:ascii="Calibri" w:hAnsi="Calibri"/>
                <w:b/>
                <w:bCs/>
                <w:color w:val="000000"/>
                <w:sz w:val="20"/>
                <w:szCs w:val="20"/>
              </w:rPr>
              <w:t>74,8</w:t>
            </w:r>
          </w:p>
        </w:tc>
        <w:tc>
          <w:tcPr>
            <w:tcW w:w="794" w:type="dxa"/>
            <w:tcBorders>
              <w:top w:val="single" w:sz="4" w:space="0" w:color="auto"/>
              <w:left w:val="single" w:sz="4" w:space="0" w:color="auto"/>
              <w:bottom w:val="single" w:sz="4" w:space="0" w:color="auto"/>
              <w:right w:val="single" w:sz="4" w:space="0" w:color="auto"/>
            </w:tcBorders>
            <w:vAlign w:val="center"/>
          </w:tcPr>
          <w:p w:rsidR="00EE7527" w:rsidRPr="00EE7527" w:rsidRDefault="00EE7527" w:rsidP="00795089">
            <w:pPr>
              <w:spacing w:line="360" w:lineRule="auto"/>
              <w:jc w:val="center"/>
              <w:rPr>
                <w:rFonts w:ascii="Calibri" w:hAnsi="Calibri"/>
                <w:b/>
                <w:bCs/>
                <w:color w:val="000000"/>
                <w:sz w:val="20"/>
                <w:szCs w:val="20"/>
              </w:rPr>
            </w:pPr>
            <w:r w:rsidRPr="00EE7527">
              <w:rPr>
                <w:rFonts w:ascii="Calibri" w:hAnsi="Calibri"/>
                <w:b/>
                <w:bCs/>
                <w:color w:val="000000"/>
                <w:sz w:val="20"/>
                <w:szCs w:val="20"/>
              </w:rPr>
              <w:t>74,9</w:t>
            </w:r>
          </w:p>
        </w:tc>
        <w:tc>
          <w:tcPr>
            <w:tcW w:w="681" w:type="dxa"/>
            <w:tcBorders>
              <w:top w:val="single" w:sz="4" w:space="0" w:color="auto"/>
              <w:left w:val="single" w:sz="4" w:space="0" w:color="auto"/>
              <w:bottom w:val="single" w:sz="4" w:space="0" w:color="auto"/>
              <w:right w:val="single" w:sz="4" w:space="0" w:color="auto"/>
            </w:tcBorders>
            <w:vAlign w:val="center"/>
          </w:tcPr>
          <w:p w:rsidR="00EE7527" w:rsidRPr="00EE7527" w:rsidRDefault="00EE7527" w:rsidP="00795089">
            <w:pPr>
              <w:spacing w:line="360" w:lineRule="auto"/>
              <w:jc w:val="center"/>
              <w:rPr>
                <w:rFonts w:ascii="Times New Roman" w:hAnsi="Times New Roman" w:cs="Times New Roman"/>
                <w:b/>
                <w:bCs/>
                <w:sz w:val="20"/>
                <w:szCs w:val="20"/>
              </w:rPr>
            </w:pPr>
            <w:r w:rsidRPr="00EE7527">
              <w:rPr>
                <w:rFonts w:ascii="Times New Roman" w:hAnsi="Times New Roman" w:cs="Times New Roman"/>
                <w:b/>
                <w:bCs/>
                <w:sz w:val="20"/>
                <w:szCs w:val="20"/>
              </w:rPr>
              <w:t>79,1</w:t>
            </w:r>
          </w:p>
        </w:tc>
        <w:tc>
          <w:tcPr>
            <w:tcW w:w="638" w:type="dxa"/>
            <w:tcBorders>
              <w:top w:val="single" w:sz="4" w:space="0" w:color="auto"/>
              <w:left w:val="single" w:sz="4" w:space="0" w:color="auto"/>
              <w:bottom w:val="single" w:sz="4" w:space="0" w:color="auto"/>
              <w:right w:val="single" w:sz="4" w:space="0" w:color="auto"/>
            </w:tcBorders>
            <w:vAlign w:val="center"/>
          </w:tcPr>
          <w:p w:rsidR="00EE7527" w:rsidRPr="00EE7527" w:rsidRDefault="00EE7527" w:rsidP="00795089">
            <w:pPr>
              <w:spacing w:line="360" w:lineRule="auto"/>
              <w:jc w:val="center"/>
              <w:rPr>
                <w:rFonts w:ascii="Times New Roman" w:hAnsi="Times New Roman" w:cs="Times New Roman"/>
                <w:b/>
                <w:bCs/>
                <w:sz w:val="20"/>
                <w:szCs w:val="20"/>
              </w:rPr>
            </w:pPr>
            <w:r w:rsidRPr="00EE7527">
              <w:rPr>
                <w:rFonts w:ascii="Times New Roman" w:hAnsi="Times New Roman" w:cs="Times New Roman"/>
                <w:b/>
                <w:bCs/>
                <w:sz w:val="20"/>
                <w:szCs w:val="20"/>
              </w:rPr>
              <w:t>79,8</w:t>
            </w:r>
          </w:p>
        </w:tc>
        <w:tc>
          <w:tcPr>
            <w:tcW w:w="638" w:type="dxa"/>
            <w:tcBorders>
              <w:top w:val="single" w:sz="4" w:space="0" w:color="auto"/>
              <w:left w:val="single" w:sz="4" w:space="0" w:color="auto"/>
              <w:bottom w:val="single" w:sz="4" w:space="0" w:color="auto"/>
              <w:right w:val="single" w:sz="4" w:space="0" w:color="auto"/>
            </w:tcBorders>
            <w:vAlign w:val="center"/>
          </w:tcPr>
          <w:p w:rsidR="00EE7527" w:rsidRPr="00EE7527" w:rsidRDefault="00EE7527" w:rsidP="00795089">
            <w:pPr>
              <w:spacing w:line="360" w:lineRule="auto"/>
              <w:jc w:val="center"/>
              <w:rPr>
                <w:rFonts w:ascii="Times New Roman" w:hAnsi="Times New Roman" w:cs="Times New Roman"/>
                <w:b/>
                <w:bCs/>
                <w:sz w:val="20"/>
                <w:szCs w:val="20"/>
              </w:rPr>
            </w:pPr>
            <w:r w:rsidRPr="00EE7527">
              <w:rPr>
                <w:rFonts w:ascii="Times New Roman" w:hAnsi="Times New Roman" w:cs="Times New Roman"/>
                <w:b/>
                <w:bCs/>
                <w:sz w:val="20"/>
                <w:szCs w:val="20"/>
              </w:rPr>
              <w:t>82,5</w:t>
            </w:r>
          </w:p>
        </w:tc>
        <w:tc>
          <w:tcPr>
            <w:tcW w:w="639" w:type="dxa"/>
            <w:tcBorders>
              <w:top w:val="single" w:sz="4" w:space="0" w:color="auto"/>
              <w:left w:val="single" w:sz="4" w:space="0" w:color="auto"/>
              <w:bottom w:val="single" w:sz="4" w:space="0" w:color="auto"/>
              <w:right w:val="single" w:sz="4" w:space="0" w:color="auto"/>
            </w:tcBorders>
            <w:vAlign w:val="center"/>
          </w:tcPr>
          <w:p w:rsidR="00EE7527" w:rsidRPr="00EE7527" w:rsidRDefault="00EE7527" w:rsidP="00795089">
            <w:pPr>
              <w:spacing w:line="360" w:lineRule="auto"/>
              <w:jc w:val="center"/>
              <w:rPr>
                <w:rFonts w:ascii="Times New Roman" w:hAnsi="Times New Roman" w:cs="Times New Roman"/>
                <w:b/>
                <w:bCs/>
                <w:sz w:val="20"/>
                <w:szCs w:val="20"/>
              </w:rPr>
            </w:pPr>
            <w:r w:rsidRPr="00EE7527">
              <w:rPr>
                <w:rFonts w:ascii="Times New Roman" w:hAnsi="Times New Roman" w:cs="Times New Roman"/>
                <w:b/>
                <w:bCs/>
                <w:sz w:val="20"/>
                <w:szCs w:val="20"/>
              </w:rPr>
              <w:t>87,3</w:t>
            </w:r>
          </w:p>
        </w:tc>
        <w:tc>
          <w:tcPr>
            <w:tcW w:w="799" w:type="dxa"/>
            <w:tcBorders>
              <w:top w:val="single" w:sz="4" w:space="0" w:color="auto"/>
              <w:left w:val="single" w:sz="4" w:space="0" w:color="auto"/>
              <w:bottom w:val="single" w:sz="4" w:space="0" w:color="auto"/>
              <w:right w:val="single" w:sz="4" w:space="0" w:color="auto"/>
            </w:tcBorders>
            <w:vAlign w:val="center"/>
          </w:tcPr>
          <w:p w:rsidR="00EE7527" w:rsidRPr="00EE7527" w:rsidRDefault="00EE7527" w:rsidP="00795089">
            <w:pPr>
              <w:spacing w:line="360" w:lineRule="auto"/>
              <w:jc w:val="center"/>
              <w:rPr>
                <w:b/>
                <w:bCs/>
                <w:color w:val="000000"/>
                <w:sz w:val="20"/>
                <w:szCs w:val="20"/>
              </w:rPr>
            </w:pPr>
            <w:r w:rsidRPr="00EE7527">
              <w:rPr>
                <w:rFonts w:asciiTheme="majorBidi" w:hAnsiTheme="majorBidi" w:cstheme="majorBidi"/>
                <w:b/>
                <w:bCs/>
                <w:color w:val="000000"/>
                <w:sz w:val="20"/>
                <w:szCs w:val="20"/>
              </w:rPr>
              <w:t>87,3</w:t>
            </w:r>
          </w:p>
        </w:tc>
        <w:tc>
          <w:tcPr>
            <w:tcW w:w="797" w:type="dxa"/>
            <w:tcBorders>
              <w:top w:val="single" w:sz="4" w:space="0" w:color="auto"/>
              <w:left w:val="single" w:sz="4" w:space="0" w:color="auto"/>
              <w:bottom w:val="single" w:sz="4" w:space="0" w:color="auto"/>
              <w:right w:val="single" w:sz="4" w:space="0" w:color="auto"/>
            </w:tcBorders>
            <w:vAlign w:val="center"/>
          </w:tcPr>
          <w:p w:rsidR="00EE7527" w:rsidRPr="00EE7527" w:rsidRDefault="00EE7527" w:rsidP="00795089">
            <w:pPr>
              <w:spacing w:line="360" w:lineRule="auto"/>
              <w:jc w:val="center"/>
              <w:rPr>
                <w:rFonts w:asciiTheme="majorBidi" w:hAnsiTheme="majorBidi" w:cstheme="majorBidi"/>
                <w:b/>
                <w:bCs/>
                <w:color w:val="000000"/>
                <w:sz w:val="20"/>
                <w:szCs w:val="20"/>
              </w:rPr>
            </w:pPr>
            <w:r w:rsidRPr="00EE7527">
              <w:rPr>
                <w:rFonts w:asciiTheme="majorBidi" w:hAnsiTheme="majorBidi" w:cstheme="majorBidi"/>
                <w:b/>
                <w:bCs/>
                <w:color w:val="000000"/>
                <w:sz w:val="20"/>
                <w:szCs w:val="20"/>
              </w:rPr>
              <w:t>85,</w:t>
            </w:r>
            <w:r w:rsidRPr="00EE7527">
              <w:rPr>
                <w:rFonts w:asciiTheme="majorBidi" w:hAnsiTheme="majorBidi" w:cstheme="majorBidi" w:hint="cs"/>
                <w:b/>
                <w:bCs/>
                <w:color w:val="000000"/>
                <w:sz w:val="20"/>
                <w:szCs w:val="20"/>
                <w:rtl/>
              </w:rPr>
              <w:t>9</w:t>
            </w:r>
          </w:p>
        </w:tc>
        <w:tc>
          <w:tcPr>
            <w:tcW w:w="639" w:type="dxa"/>
            <w:tcBorders>
              <w:top w:val="single" w:sz="4" w:space="0" w:color="auto"/>
              <w:left w:val="single" w:sz="4" w:space="0" w:color="auto"/>
              <w:bottom w:val="single" w:sz="4" w:space="0" w:color="auto"/>
              <w:right w:val="single" w:sz="4" w:space="0" w:color="auto"/>
            </w:tcBorders>
            <w:vAlign w:val="center"/>
          </w:tcPr>
          <w:p w:rsidR="00EE7527" w:rsidRPr="00EE7527" w:rsidRDefault="00EE7527" w:rsidP="00795089">
            <w:pPr>
              <w:spacing w:line="360" w:lineRule="auto"/>
              <w:jc w:val="center"/>
              <w:rPr>
                <w:rFonts w:asciiTheme="majorBidi" w:hAnsiTheme="majorBidi" w:cstheme="majorBidi"/>
                <w:b/>
                <w:bCs/>
                <w:color w:val="000000"/>
                <w:sz w:val="20"/>
                <w:szCs w:val="20"/>
              </w:rPr>
            </w:pPr>
            <w:r w:rsidRPr="00EE7527">
              <w:rPr>
                <w:rFonts w:asciiTheme="majorBidi" w:hAnsiTheme="majorBidi" w:cstheme="majorBidi"/>
                <w:b/>
                <w:bCs/>
                <w:color w:val="000000"/>
                <w:sz w:val="20"/>
                <w:szCs w:val="20"/>
              </w:rPr>
              <w:t>85,5</w:t>
            </w:r>
          </w:p>
        </w:tc>
        <w:tc>
          <w:tcPr>
            <w:tcW w:w="639" w:type="dxa"/>
            <w:tcBorders>
              <w:top w:val="single" w:sz="4" w:space="0" w:color="auto"/>
              <w:left w:val="single" w:sz="4" w:space="0" w:color="auto"/>
              <w:bottom w:val="single" w:sz="4" w:space="0" w:color="auto"/>
              <w:right w:val="single" w:sz="4" w:space="0" w:color="auto"/>
            </w:tcBorders>
            <w:vAlign w:val="center"/>
          </w:tcPr>
          <w:p w:rsidR="00EE7527" w:rsidRPr="00EE7527" w:rsidRDefault="00EE7527" w:rsidP="00795089">
            <w:pPr>
              <w:spacing w:line="360" w:lineRule="auto"/>
              <w:jc w:val="center"/>
              <w:rPr>
                <w:rFonts w:asciiTheme="majorBidi" w:hAnsiTheme="majorBidi" w:cstheme="majorBidi"/>
                <w:b/>
                <w:bCs/>
                <w:color w:val="000000"/>
                <w:sz w:val="20"/>
                <w:szCs w:val="20"/>
              </w:rPr>
            </w:pPr>
            <w:r w:rsidRPr="00EE7527">
              <w:rPr>
                <w:rFonts w:asciiTheme="majorBidi" w:hAnsiTheme="majorBidi" w:cstheme="majorBidi"/>
                <w:b/>
                <w:bCs/>
                <w:color w:val="000000"/>
                <w:sz w:val="20"/>
                <w:szCs w:val="20"/>
              </w:rPr>
              <w:t>85,8</w:t>
            </w:r>
          </w:p>
        </w:tc>
        <w:tc>
          <w:tcPr>
            <w:tcW w:w="641" w:type="dxa"/>
            <w:tcBorders>
              <w:top w:val="single" w:sz="4" w:space="0" w:color="auto"/>
              <w:left w:val="single" w:sz="4" w:space="0" w:color="auto"/>
              <w:bottom w:val="single" w:sz="4" w:space="0" w:color="auto"/>
              <w:right w:val="single" w:sz="4" w:space="0" w:color="auto"/>
            </w:tcBorders>
            <w:vAlign w:val="center"/>
          </w:tcPr>
          <w:p w:rsidR="00EE7527" w:rsidRPr="00EE7527" w:rsidRDefault="00EE7527" w:rsidP="00652E79">
            <w:pPr>
              <w:spacing w:line="360" w:lineRule="auto"/>
              <w:jc w:val="center"/>
              <w:rPr>
                <w:rFonts w:asciiTheme="majorBidi" w:hAnsiTheme="majorBidi" w:cstheme="majorBidi"/>
                <w:b/>
                <w:bCs/>
                <w:color w:val="000000"/>
                <w:sz w:val="20"/>
                <w:szCs w:val="20"/>
              </w:rPr>
            </w:pPr>
            <w:r w:rsidRPr="00EE7527">
              <w:rPr>
                <w:rFonts w:asciiTheme="majorBidi" w:hAnsiTheme="majorBidi" w:cstheme="majorBidi"/>
                <w:b/>
                <w:bCs/>
                <w:color w:val="000000"/>
                <w:sz w:val="20"/>
                <w:szCs w:val="20"/>
              </w:rPr>
              <w:t>78,2</w:t>
            </w:r>
          </w:p>
        </w:tc>
        <w:tc>
          <w:tcPr>
            <w:tcW w:w="639" w:type="dxa"/>
            <w:tcBorders>
              <w:top w:val="single" w:sz="4" w:space="0" w:color="auto"/>
              <w:left w:val="single" w:sz="4" w:space="0" w:color="auto"/>
              <w:bottom w:val="single" w:sz="4" w:space="0" w:color="auto"/>
              <w:right w:val="single" w:sz="4" w:space="0" w:color="auto"/>
            </w:tcBorders>
            <w:vAlign w:val="center"/>
          </w:tcPr>
          <w:p w:rsidR="00EE7527" w:rsidRPr="00EE7527" w:rsidRDefault="00EE7527" w:rsidP="00795089">
            <w:pPr>
              <w:spacing w:line="360" w:lineRule="auto"/>
              <w:jc w:val="center"/>
              <w:rPr>
                <w:rFonts w:asciiTheme="majorBidi" w:hAnsiTheme="majorBidi" w:cstheme="majorBidi"/>
                <w:b/>
                <w:bCs/>
                <w:color w:val="000000"/>
                <w:sz w:val="20"/>
                <w:szCs w:val="20"/>
              </w:rPr>
            </w:pPr>
            <w:r w:rsidRPr="00EE7527">
              <w:rPr>
                <w:rFonts w:asciiTheme="majorBidi" w:hAnsiTheme="majorBidi" w:cstheme="majorBidi"/>
                <w:b/>
                <w:bCs/>
                <w:color w:val="000000"/>
                <w:sz w:val="20"/>
                <w:szCs w:val="20"/>
              </w:rPr>
              <w:t>73,5</w:t>
            </w:r>
          </w:p>
        </w:tc>
        <w:tc>
          <w:tcPr>
            <w:tcW w:w="601" w:type="dxa"/>
            <w:tcBorders>
              <w:top w:val="single" w:sz="4" w:space="0" w:color="auto"/>
              <w:left w:val="single" w:sz="4" w:space="0" w:color="auto"/>
              <w:bottom w:val="single" w:sz="4" w:space="0" w:color="auto"/>
              <w:right w:val="single" w:sz="4" w:space="0" w:color="auto"/>
            </w:tcBorders>
            <w:vAlign w:val="center"/>
          </w:tcPr>
          <w:p w:rsidR="00EE7527" w:rsidRPr="00EE7527" w:rsidRDefault="00EE7527" w:rsidP="00795089">
            <w:pPr>
              <w:spacing w:line="360" w:lineRule="auto"/>
              <w:jc w:val="center"/>
              <w:rPr>
                <w:rFonts w:asciiTheme="majorBidi" w:hAnsiTheme="majorBidi" w:cstheme="majorBidi"/>
                <w:b/>
                <w:bCs/>
                <w:color w:val="000000"/>
                <w:sz w:val="20"/>
                <w:szCs w:val="20"/>
              </w:rPr>
            </w:pPr>
            <w:r w:rsidRPr="00EE7527">
              <w:rPr>
                <w:rFonts w:asciiTheme="majorBidi" w:hAnsiTheme="majorBidi" w:cstheme="majorBidi"/>
                <w:b/>
                <w:bCs/>
                <w:color w:val="000000"/>
                <w:sz w:val="20"/>
                <w:szCs w:val="20"/>
              </w:rPr>
              <w:t>73,8</w:t>
            </w:r>
          </w:p>
        </w:tc>
        <w:tc>
          <w:tcPr>
            <w:tcW w:w="675" w:type="dxa"/>
            <w:tcBorders>
              <w:top w:val="single" w:sz="4" w:space="0" w:color="auto"/>
              <w:left w:val="single" w:sz="4" w:space="0" w:color="auto"/>
              <w:bottom w:val="single" w:sz="4" w:space="0" w:color="auto"/>
              <w:right w:val="single" w:sz="4" w:space="0" w:color="auto"/>
            </w:tcBorders>
            <w:vAlign w:val="center"/>
          </w:tcPr>
          <w:p w:rsidR="00EE7527" w:rsidRPr="00EE7527" w:rsidRDefault="00EE7527" w:rsidP="00795089">
            <w:pPr>
              <w:spacing w:line="360" w:lineRule="auto"/>
              <w:ind w:left="-68"/>
              <w:jc w:val="center"/>
              <w:rPr>
                <w:rFonts w:asciiTheme="majorBidi" w:hAnsiTheme="majorBidi" w:cstheme="majorBidi"/>
                <w:b/>
                <w:bCs/>
                <w:color w:val="000000"/>
                <w:sz w:val="20"/>
                <w:szCs w:val="20"/>
              </w:rPr>
            </w:pPr>
            <w:r w:rsidRPr="00EE7527">
              <w:rPr>
                <w:rFonts w:asciiTheme="majorBidi" w:hAnsiTheme="majorBidi" w:cstheme="majorBidi"/>
                <w:b/>
                <w:bCs/>
                <w:color w:val="000000"/>
                <w:sz w:val="20"/>
                <w:szCs w:val="20"/>
              </w:rPr>
              <w:t>75,7</w:t>
            </w:r>
          </w:p>
        </w:tc>
        <w:tc>
          <w:tcPr>
            <w:tcW w:w="761" w:type="dxa"/>
            <w:tcBorders>
              <w:top w:val="single" w:sz="4" w:space="0" w:color="auto"/>
              <w:left w:val="single" w:sz="4" w:space="0" w:color="auto"/>
              <w:bottom w:val="single" w:sz="4" w:space="0" w:color="auto"/>
              <w:right w:val="single" w:sz="4" w:space="0" w:color="auto"/>
            </w:tcBorders>
            <w:vAlign w:val="center"/>
          </w:tcPr>
          <w:p w:rsidR="00EE7527" w:rsidRPr="00EE7527" w:rsidRDefault="00EE7527" w:rsidP="00795089">
            <w:pPr>
              <w:spacing w:line="360" w:lineRule="auto"/>
              <w:ind w:left="-68"/>
              <w:jc w:val="center"/>
              <w:rPr>
                <w:rFonts w:asciiTheme="majorBidi" w:hAnsiTheme="majorBidi" w:cstheme="majorBidi"/>
                <w:b/>
                <w:bCs/>
                <w:color w:val="000000"/>
                <w:sz w:val="20"/>
                <w:szCs w:val="20"/>
              </w:rPr>
            </w:pPr>
            <w:r w:rsidRPr="00EE7527">
              <w:rPr>
                <w:rFonts w:asciiTheme="majorBidi" w:hAnsiTheme="majorBidi" w:cstheme="majorBidi"/>
                <w:b/>
                <w:bCs/>
                <w:color w:val="000000"/>
                <w:sz w:val="20"/>
                <w:szCs w:val="20"/>
              </w:rPr>
              <w:t>71,6</w:t>
            </w:r>
          </w:p>
        </w:tc>
        <w:tc>
          <w:tcPr>
            <w:tcW w:w="639" w:type="dxa"/>
            <w:tcBorders>
              <w:top w:val="single" w:sz="4" w:space="0" w:color="auto"/>
              <w:left w:val="single" w:sz="4" w:space="0" w:color="auto"/>
              <w:bottom w:val="single" w:sz="4" w:space="0" w:color="auto"/>
              <w:right w:val="single" w:sz="4" w:space="0" w:color="auto"/>
            </w:tcBorders>
            <w:vAlign w:val="center"/>
          </w:tcPr>
          <w:p w:rsidR="00EE7527" w:rsidRPr="00EE7527" w:rsidRDefault="00EE7527" w:rsidP="00652E79">
            <w:pPr>
              <w:spacing w:line="360" w:lineRule="auto"/>
              <w:ind w:left="-68"/>
              <w:jc w:val="center"/>
              <w:rPr>
                <w:rFonts w:asciiTheme="minorHAnsi" w:hAnsiTheme="minorHAnsi" w:cstheme="minorHAnsi"/>
                <w:b/>
                <w:bCs/>
                <w:sz w:val="20"/>
                <w:szCs w:val="20"/>
              </w:rPr>
            </w:pPr>
            <w:r w:rsidRPr="00EE7527">
              <w:rPr>
                <w:rFonts w:asciiTheme="minorHAnsi" w:hAnsiTheme="minorHAnsi" w:cstheme="minorHAnsi"/>
                <w:b/>
                <w:bCs/>
                <w:sz w:val="20"/>
                <w:szCs w:val="20"/>
              </w:rPr>
              <w:t>77,1</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EE7527" w:rsidRPr="00EE7527" w:rsidRDefault="00EE7527" w:rsidP="00795089">
            <w:pPr>
              <w:spacing w:line="360" w:lineRule="auto"/>
              <w:ind w:left="-68"/>
              <w:jc w:val="center"/>
              <w:rPr>
                <w:rFonts w:asciiTheme="minorHAnsi" w:hAnsiTheme="minorHAnsi" w:cstheme="minorHAnsi"/>
                <w:b/>
                <w:bCs/>
                <w:sz w:val="20"/>
                <w:szCs w:val="20"/>
                <w:rtl/>
              </w:rPr>
            </w:pPr>
            <w:r w:rsidRPr="00EE7527">
              <w:rPr>
                <w:rFonts w:asciiTheme="minorHAnsi" w:hAnsiTheme="minorHAnsi" w:cstheme="minorHAnsi"/>
                <w:b/>
                <w:bCs/>
                <w:sz w:val="20"/>
                <w:szCs w:val="20"/>
              </w:rPr>
              <w:t>76,3</w:t>
            </w:r>
          </w:p>
        </w:tc>
        <w:tc>
          <w:tcPr>
            <w:tcW w:w="639" w:type="dxa"/>
            <w:tcBorders>
              <w:top w:val="nil"/>
              <w:left w:val="nil"/>
              <w:bottom w:val="single" w:sz="4" w:space="0" w:color="auto"/>
              <w:right w:val="single" w:sz="4" w:space="0" w:color="auto"/>
            </w:tcBorders>
            <w:shd w:val="clear" w:color="auto" w:fill="auto"/>
            <w:noWrap/>
            <w:vAlign w:val="center"/>
            <w:hideMark/>
          </w:tcPr>
          <w:p w:rsidR="00EE7527" w:rsidRPr="00EE7527" w:rsidRDefault="00EE7527" w:rsidP="00795089">
            <w:pPr>
              <w:spacing w:line="360" w:lineRule="auto"/>
              <w:ind w:left="-68"/>
              <w:jc w:val="center"/>
              <w:rPr>
                <w:rFonts w:asciiTheme="minorHAnsi" w:hAnsiTheme="minorHAnsi" w:cstheme="minorHAnsi"/>
                <w:b/>
                <w:bCs/>
                <w:sz w:val="20"/>
                <w:szCs w:val="20"/>
              </w:rPr>
            </w:pPr>
            <w:r w:rsidRPr="00EE7527">
              <w:rPr>
                <w:rFonts w:asciiTheme="minorHAnsi" w:hAnsiTheme="minorHAnsi" w:cstheme="minorHAnsi"/>
                <w:b/>
                <w:bCs/>
                <w:sz w:val="20"/>
                <w:szCs w:val="20"/>
              </w:rPr>
              <w:t>76,1</w:t>
            </w:r>
          </w:p>
        </w:tc>
        <w:tc>
          <w:tcPr>
            <w:tcW w:w="646" w:type="dxa"/>
            <w:tcBorders>
              <w:top w:val="nil"/>
              <w:left w:val="nil"/>
              <w:bottom w:val="single" w:sz="4" w:space="0" w:color="auto"/>
              <w:right w:val="single" w:sz="4" w:space="0" w:color="auto"/>
            </w:tcBorders>
            <w:shd w:val="clear" w:color="auto" w:fill="auto"/>
            <w:noWrap/>
            <w:vAlign w:val="center"/>
            <w:hideMark/>
          </w:tcPr>
          <w:p w:rsidR="00EE7527" w:rsidRPr="00EE7527" w:rsidRDefault="00EE7527" w:rsidP="00795089">
            <w:pPr>
              <w:spacing w:line="360" w:lineRule="auto"/>
              <w:ind w:left="-68"/>
              <w:jc w:val="center"/>
              <w:rPr>
                <w:rFonts w:asciiTheme="minorHAnsi" w:hAnsiTheme="minorHAnsi" w:cstheme="minorHAnsi"/>
                <w:b/>
                <w:bCs/>
                <w:sz w:val="20"/>
                <w:szCs w:val="20"/>
              </w:rPr>
            </w:pPr>
            <w:r w:rsidRPr="00EE7527">
              <w:rPr>
                <w:rFonts w:asciiTheme="minorHAnsi" w:hAnsiTheme="minorHAnsi" w:cstheme="minorHAnsi"/>
                <w:b/>
                <w:bCs/>
                <w:sz w:val="20"/>
                <w:szCs w:val="20"/>
              </w:rPr>
              <w:t>73,7</w:t>
            </w:r>
          </w:p>
        </w:tc>
        <w:tc>
          <w:tcPr>
            <w:tcW w:w="1822" w:type="dxa"/>
            <w:gridSpan w:val="2"/>
            <w:tcBorders>
              <w:top w:val="nil"/>
              <w:left w:val="nil"/>
              <w:bottom w:val="single" w:sz="4" w:space="0" w:color="auto"/>
              <w:right w:val="single" w:sz="4" w:space="0" w:color="auto"/>
            </w:tcBorders>
            <w:shd w:val="clear" w:color="auto" w:fill="auto"/>
            <w:noWrap/>
            <w:vAlign w:val="center"/>
            <w:hideMark/>
          </w:tcPr>
          <w:p w:rsidR="00EE7527" w:rsidRPr="00652E79" w:rsidRDefault="00EE7527" w:rsidP="00795089">
            <w:pPr>
              <w:bidi/>
              <w:spacing w:line="360" w:lineRule="auto"/>
              <w:rPr>
                <w:rFonts w:asciiTheme="majorBidi" w:hAnsiTheme="majorBidi" w:cstheme="majorBidi"/>
                <w:bCs/>
                <w:color w:val="000000"/>
                <w:sz w:val="18"/>
                <w:szCs w:val="18"/>
              </w:rPr>
            </w:pPr>
            <w:r w:rsidRPr="00652E79">
              <w:rPr>
                <w:rFonts w:asciiTheme="majorBidi" w:hAnsiTheme="majorBidi" w:cstheme="majorBidi"/>
                <w:bCs/>
                <w:color w:val="000000"/>
                <w:sz w:val="18"/>
                <w:szCs w:val="18"/>
                <w:rtl/>
              </w:rPr>
              <w:t>مؤشر</w:t>
            </w:r>
            <w:r w:rsidRPr="00652E79">
              <w:rPr>
                <w:rFonts w:asciiTheme="majorBidi" w:hAnsiTheme="majorBidi" w:cstheme="majorBidi" w:hint="cs"/>
                <w:bCs/>
                <w:color w:val="000000"/>
                <w:sz w:val="18"/>
                <w:szCs w:val="18"/>
                <w:rtl/>
              </w:rPr>
              <w:t xml:space="preserve"> </w:t>
            </w:r>
            <w:r w:rsidRPr="00652E79">
              <w:rPr>
                <w:rFonts w:asciiTheme="majorBidi" w:hAnsiTheme="majorBidi" w:cstheme="majorBidi"/>
                <w:bCs/>
                <w:color w:val="000000"/>
                <w:sz w:val="18"/>
                <w:szCs w:val="18"/>
                <w:rtl/>
              </w:rPr>
              <w:t>ثقة الأسر المغربية</w:t>
            </w:r>
          </w:p>
        </w:tc>
      </w:tr>
      <w:tr w:rsidR="00652E79" w:rsidRPr="005407A5" w:rsidTr="00652E79">
        <w:trPr>
          <w:trHeight w:val="769"/>
          <w:jc w:val="center"/>
        </w:trPr>
        <w:tc>
          <w:tcPr>
            <w:tcW w:w="962"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b/>
                <w:bCs/>
                <w:color w:val="000000"/>
                <w:sz w:val="18"/>
                <w:szCs w:val="18"/>
              </w:rPr>
            </w:pPr>
            <w:r w:rsidRPr="00652E79">
              <w:rPr>
                <w:rFonts w:ascii="Calibri" w:hAnsi="Calibri"/>
                <w:b/>
                <w:bCs/>
                <w:color w:val="000000"/>
                <w:sz w:val="18"/>
                <w:szCs w:val="18"/>
              </w:rPr>
              <w:t>-71,6</w:t>
            </w:r>
          </w:p>
        </w:tc>
        <w:tc>
          <w:tcPr>
            <w:tcW w:w="977"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bCs/>
                <w:color w:val="000000"/>
                <w:sz w:val="18"/>
                <w:szCs w:val="18"/>
              </w:rPr>
            </w:pPr>
            <w:r w:rsidRPr="00652E79">
              <w:rPr>
                <w:rFonts w:ascii="Calibri" w:hAnsi="Calibri"/>
                <w:bCs/>
                <w:color w:val="000000"/>
                <w:sz w:val="18"/>
                <w:szCs w:val="18"/>
              </w:rPr>
              <w:t>-71,8</w:t>
            </w:r>
          </w:p>
        </w:tc>
        <w:tc>
          <w:tcPr>
            <w:tcW w:w="794"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color w:val="000000"/>
                <w:sz w:val="18"/>
                <w:szCs w:val="18"/>
              </w:rPr>
            </w:pPr>
            <w:r w:rsidRPr="00652E79">
              <w:rPr>
                <w:rFonts w:ascii="Calibri" w:hAnsi="Calibri"/>
                <w:color w:val="000000"/>
                <w:sz w:val="18"/>
                <w:szCs w:val="18"/>
              </w:rPr>
              <w:t>-76,9</w:t>
            </w:r>
          </w:p>
        </w:tc>
        <w:tc>
          <w:tcPr>
            <w:tcW w:w="68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bCs/>
                <w:sz w:val="18"/>
                <w:szCs w:val="18"/>
              </w:rPr>
            </w:pPr>
            <w:r w:rsidRPr="00652E79">
              <w:rPr>
                <w:rFonts w:ascii="Times New Roman" w:hAnsi="Times New Roman" w:cs="Times New Roman"/>
                <w:bCs/>
                <w:sz w:val="18"/>
                <w:szCs w:val="18"/>
              </w:rPr>
              <w:t>-75,6</w:t>
            </w:r>
          </w:p>
        </w:tc>
        <w:tc>
          <w:tcPr>
            <w:tcW w:w="638"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-70,0</w:t>
            </w:r>
          </w:p>
        </w:tc>
        <w:tc>
          <w:tcPr>
            <w:tcW w:w="638"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-65,2</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-61,7</w:t>
            </w:r>
          </w:p>
        </w:tc>
        <w:tc>
          <w:tcPr>
            <w:tcW w:w="79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-54,5</w:t>
            </w:r>
          </w:p>
        </w:tc>
        <w:tc>
          <w:tcPr>
            <w:tcW w:w="797"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-58,5</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-59,9</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-54,3</w:t>
            </w:r>
          </w:p>
        </w:tc>
        <w:tc>
          <w:tcPr>
            <w:tcW w:w="641" w:type="dxa"/>
            <w:tcBorders>
              <w:top w:val="nil"/>
              <w:left w:val="single" w:sz="4" w:space="0" w:color="auto"/>
              <w:bottom w:val="single" w:sz="4" w:space="0" w:color="auto"/>
              <w:right w:val="single" w:sz="4" w:space="0" w:color="auto"/>
            </w:tcBorders>
            <w:vAlign w:val="center"/>
          </w:tcPr>
          <w:p w:rsidR="00EE7527" w:rsidRPr="00652E79" w:rsidRDefault="00EE7527" w:rsidP="00795089">
            <w:pPr>
              <w:widowControl/>
              <w:autoSpaceDE/>
              <w:autoSpaceDN/>
              <w:adjustRightInd/>
              <w:spacing w:line="360" w:lineRule="auto"/>
              <w:ind w:left="-68"/>
              <w:jc w:val="center"/>
              <w:rPr>
                <w:rFonts w:ascii="Times New Roman" w:hAnsi="Times New Roman" w:cs="Times New Roman"/>
                <w:sz w:val="18"/>
                <w:szCs w:val="18"/>
              </w:rPr>
            </w:pPr>
            <w:r w:rsidRPr="00652E79">
              <w:rPr>
                <w:rFonts w:ascii="Times New Roman" w:hAnsi="Times New Roman" w:cs="Times New Roman"/>
                <w:sz w:val="18"/>
                <w:szCs w:val="18"/>
              </w:rPr>
              <w:t>-64,9</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-66,8</w:t>
            </w:r>
          </w:p>
        </w:tc>
        <w:tc>
          <w:tcPr>
            <w:tcW w:w="60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-70,6</w:t>
            </w:r>
          </w:p>
        </w:tc>
        <w:tc>
          <w:tcPr>
            <w:tcW w:w="675"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-69,0</w:t>
            </w:r>
          </w:p>
        </w:tc>
        <w:tc>
          <w:tcPr>
            <w:tcW w:w="76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-67,7</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-64,1</w:t>
            </w:r>
          </w:p>
        </w:tc>
        <w:tc>
          <w:tcPr>
            <w:tcW w:w="639" w:type="dxa"/>
            <w:tcBorders>
              <w:top w:val="nil"/>
              <w:left w:val="single" w:sz="4" w:space="0" w:color="auto"/>
              <w:bottom w:val="single" w:sz="4" w:space="0" w:color="auto"/>
              <w:right w:val="single" w:sz="4" w:space="0" w:color="auto"/>
            </w:tcBorders>
            <w:shd w:val="clear" w:color="auto" w:fill="auto"/>
            <w:vAlign w:val="center"/>
            <w:hideMark/>
          </w:tcPr>
          <w:p w:rsidR="00EE7527" w:rsidRPr="00652E79" w:rsidRDefault="00EE7527" w:rsidP="00795089">
            <w:pPr>
              <w:spacing w:line="360" w:lineRule="auto"/>
              <w:jc w:val="center"/>
              <w:rPr>
                <w:rFonts w:asciiTheme="minorHAnsi" w:hAnsiTheme="minorHAnsi" w:cstheme="minorHAnsi"/>
                <w:sz w:val="18"/>
                <w:szCs w:val="18"/>
              </w:rPr>
            </w:pPr>
            <w:r w:rsidRPr="00652E79">
              <w:rPr>
                <w:rFonts w:asciiTheme="minorHAnsi" w:hAnsiTheme="minorHAnsi" w:cstheme="minorHAnsi"/>
                <w:sz w:val="18"/>
                <w:szCs w:val="18"/>
              </w:rPr>
              <w:t>-66,2</w:t>
            </w:r>
          </w:p>
        </w:tc>
        <w:tc>
          <w:tcPr>
            <w:tcW w:w="639" w:type="dxa"/>
            <w:tcBorders>
              <w:top w:val="nil"/>
              <w:left w:val="nil"/>
              <w:bottom w:val="single" w:sz="4" w:space="0" w:color="auto"/>
              <w:right w:val="single" w:sz="4" w:space="0" w:color="auto"/>
            </w:tcBorders>
            <w:shd w:val="clear" w:color="auto" w:fill="auto"/>
            <w:vAlign w:val="center"/>
            <w:hideMark/>
          </w:tcPr>
          <w:p w:rsidR="00EE7527" w:rsidRPr="00652E79" w:rsidRDefault="00EE7527" w:rsidP="00795089">
            <w:pPr>
              <w:spacing w:line="360" w:lineRule="auto"/>
              <w:jc w:val="center"/>
              <w:rPr>
                <w:rFonts w:asciiTheme="minorHAnsi" w:hAnsiTheme="minorHAnsi" w:cstheme="minorHAnsi"/>
                <w:sz w:val="18"/>
                <w:szCs w:val="18"/>
              </w:rPr>
            </w:pPr>
            <w:r w:rsidRPr="00652E79">
              <w:rPr>
                <w:rFonts w:asciiTheme="minorHAnsi" w:hAnsiTheme="minorHAnsi" w:cstheme="minorHAnsi"/>
                <w:sz w:val="18"/>
                <w:szCs w:val="18"/>
              </w:rPr>
              <w:t>-67,1</w:t>
            </w:r>
          </w:p>
        </w:tc>
        <w:tc>
          <w:tcPr>
            <w:tcW w:w="646" w:type="dxa"/>
            <w:tcBorders>
              <w:top w:val="nil"/>
              <w:left w:val="nil"/>
              <w:bottom w:val="single" w:sz="4" w:space="0" w:color="auto"/>
              <w:right w:val="single" w:sz="4" w:space="0" w:color="auto"/>
            </w:tcBorders>
            <w:shd w:val="clear" w:color="auto" w:fill="auto"/>
            <w:vAlign w:val="center"/>
            <w:hideMark/>
          </w:tcPr>
          <w:p w:rsidR="00EE7527" w:rsidRPr="00652E79" w:rsidRDefault="00EE7527" w:rsidP="00795089">
            <w:pPr>
              <w:spacing w:line="360" w:lineRule="auto"/>
              <w:jc w:val="center"/>
              <w:rPr>
                <w:rFonts w:asciiTheme="minorHAnsi" w:hAnsiTheme="minorHAnsi" w:cstheme="minorHAnsi"/>
                <w:sz w:val="18"/>
                <w:szCs w:val="18"/>
              </w:rPr>
            </w:pPr>
            <w:r w:rsidRPr="00652E79">
              <w:rPr>
                <w:rFonts w:asciiTheme="minorHAnsi" w:hAnsiTheme="minorHAnsi" w:cstheme="minorHAnsi"/>
                <w:sz w:val="18"/>
                <w:szCs w:val="18"/>
              </w:rPr>
              <w:t>-65,2</w:t>
            </w:r>
          </w:p>
        </w:tc>
        <w:tc>
          <w:tcPr>
            <w:tcW w:w="1822" w:type="dxa"/>
            <w:gridSpan w:val="2"/>
            <w:tcBorders>
              <w:top w:val="nil"/>
              <w:left w:val="nil"/>
              <w:bottom w:val="single" w:sz="4" w:space="0" w:color="auto"/>
              <w:right w:val="single" w:sz="4" w:space="0" w:color="auto"/>
            </w:tcBorders>
            <w:shd w:val="clear" w:color="auto" w:fill="auto"/>
            <w:noWrap/>
            <w:vAlign w:val="center"/>
            <w:hideMark/>
          </w:tcPr>
          <w:p w:rsidR="00EE7527" w:rsidRPr="00652E79" w:rsidRDefault="00EE7527" w:rsidP="00795089">
            <w:pPr>
              <w:bidi/>
              <w:spacing w:line="360" w:lineRule="auto"/>
              <w:rPr>
                <w:rFonts w:asciiTheme="majorBidi" w:hAnsiTheme="majorBidi" w:cstheme="majorBidi"/>
                <w:bCs/>
                <w:color w:val="000000"/>
                <w:sz w:val="18"/>
                <w:szCs w:val="18"/>
              </w:rPr>
            </w:pPr>
            <w:r w:rsidRPr="00652E79">
              <w:rPr>
                <w:rFonts w:asciiTheme="majorBidi" w:hAnsiTheme="majorBidi" w:cstheme="majorBidi"/>
                <w:bCs/>
                <w:color w:val="000000"/>
                <w:sz w:val="18"/>
                <w:szCs w:val="18"/>
                <w:rtl/>
              </w:rPr>
              <w:t>التطور المستقبلي للبطالة</w:t>
            </w:r>
          </w:p>
        </w:tc>
      </w:tr>
      <w:tr w:rsidR="00652E79" w:rsidRPr="005407A5" w:rsidTr="00652E79">
        <w:trPr>
          <w:trHeight w:val="776"/>
          <w:jc w:val="center"/>
        </w:trPr>
        <w:tc>
          <w:tcPr>
            <w:tcW w:w="962"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b/>
                <w:bCs/>
                <w:color w:val="000000"/>
                <w:sz w:val="18"/>
                <w:szCs w:val="18"/>
              </w:rPr>
            </w:pPr>
            <w:r w:rsidRPr="00652E79">
              <w:rPr>
                <w:rFonts w:ascii="Calibri" w:hAnsi="Calibri"/>
                <w:b/>
                <w:bCs/>
                <w:color w:val="000000"/>
                <w:sz w:val="18"/>
                <w:szCs w:val="18"/>
              </w:rPr>
              <w:t>-20,0</w:t>
            </w:r>
          </w:p>
        </w:tc>
        <w:tc>
          <w:tcPr>
            <w:tcW w:w="977"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bCs/>
                <w:color w:val="000000"/>
                <w:sz w:val="18"/>
                <w:szCs w:val="18"/>
              </w:rPr>
            </w:pPr>
            <w:r w:rsidRPr="00652E79">
              <w:rPr>
                <w:rFonts w:ascii="Calibri" w:hAnsi="Calibri"/>
                <w:bCs/>
                <w:color w:val="000000"/>
                <w:sz w:val="18"/>
                <w:szCs w:val="18"/>
              </w:rPr>
              <w:t>-20,2</w:t>
            </w:r>
          </w:p>
        </w:tc>
        <w:tc>
          <w:tcPr>
            <w:tcW w:w="794"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color w:val="000000"/>
                <w:sz w:val="18"/>
                <w:szCs w:val="18"/>
              </w:rPr>
            </w:pPr>
            <w:r w:rsidRPr="00652E79">
              <w:rPr>
                <w:rFonts w:ascii="Calibri" w:hAnsi="Calibri"/>
                <w:color w:val="000000"/>
                <w:sz w:val="18"/>
                <w:szCs w:val="18"/>
              </w:rPr>
              <w:t>-25,4</w:t>
            </w:r>
          </w:p>
        </w:tc>
        <w:tc>
          <w:tcPr>
            <w:tcW w:w="68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bCs/>
                <w:sz w:val="18"/>
                <w:szCs w:val="18"/>
              </w:rPr>
            </w:pPr>
            <w:r w:rsidRPr="00652E79">
              <w:rPr>
                <w:rFonts w:ascii="Times New Roman" w:hAnsi="Times New Roman" w:cs="Times New Roman"/>
                <w:bCs/>
                <w:sz w:val="18"/>
                <w:szCs w:val="18"/>
              </w:rPr>
              <w:t>-15,0</w:t>
            </w:r>
          </w:p>
        </w:tc>
        <w:tc>
          <w:tcPr>
            <w:tcW w:w="638"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-13,3</w:t>
            </w:r>
          </w:p>
        </w:tc>
        <w:tc>
          <w:tcPr>
            <w:tcW w:w="638"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-9,5</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-5,4</w:t>
            </w:r>
          </w:p>
        </w:tc>
        <w:tc>
          <w:tcPr>
            <w:tcW w:w="79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-6,2</w:t>
            </w:r>
          </w:p>
        </w:tc>
        <w:tc>
          <w:tcPr>
            <w:tcW w:w="797"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-3,8</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-3,1</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-8,</w:t>
            </w:r>
            <w:r w:rsidRPr="00652E79">
              <w:rPr>
                <w:rFonts w:asciiTheme="majorBidi" w:hAnsiTheme="majorBidi" w:cstheme="majorBidi" w:hint="cs"/>
                <w:color w:val="000000"/>
                <w:sz w:val="18"/>
                <w:szCs w:val="18"/>
                <w:rtl/>
              </w:rPr>
              <w:t>1</w:t>
            </w:r>
          </w:p>
        </w:tc>
        <w:tc>
          <w:tcPr>
            <w:tcW w:w="641" w:type="dxa"/>
            <w:tcBorders>
              <w:top w:val="nil"/>
              <w:left w:val="single" w:sz="4" w:space="0" w:color="auto"/>
              <w:bottom w:val="single" w:sz="4" w:space="0" w:color="auto"/>
              <w:right w:val="single" w:sz="4" w:space="0" w:color="auto"/>
            </w:tcBorders>
            <w:vAlign w:val="center"/>
          </w:tcPr>
          <w:p w:rsidR="00EE7527" w:rsidRPr="00652E79" w:rsidRDefault="00EE7527" w:rsidP="00795089">
            <w:pPr>
              <w:widowControl/>
              <w:autoSpaceDE/>
              <w:autoSpaceDN/>
              <w:adjustRightInd/>
              <w:spacing w:line="360" w:lineRule="auto"/>
              <w:ind w:left="-68"/>
              <w:jc w:val="center"/>
              <w:rPr>
                <w:rFonts w:ascii="Times New Roman" w:hAnsi="Times New Roman" w:cs="Times New Roman"/>
                <w:sz w:val="18"/>
                <w:szCs w:val="18"/>
              </w:rPr>
            </w:pPr>
            <w:r w:rsidRPr="00652E79">
              <w:rPr>
                <w:rFonts w:ascii="Times New Roman" w:hAnsi="Times New Roman" w:cs="Times New Roman"/>
                <w:sz w:val="18"/>
                <w:szCs w:val="18"/>
              </w:rPr>
              <w:t>-12,0</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-17,5</w:t>
            </w:r>
          </w:p>
        </w:tc>
        <w:tc>
          <w:tcPr>
            <w:tcW w:w="60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-17,4</w:t>
            </w:r>
          </w:p>
        </w:tc>
        <w:tc>
          <w:tcPr>
            <w:tcW w:w="675"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-15,2</w:t>
            </w:r>
          </w:p>
        </w:tc>
        <w:tc>
          <w:tcPr>
            <w:tcW w:w="76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-22,9</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-13,8</w:t>
            </w:r>
          </w:p>
        </w:tc>
        <w:tc>
          <w:tcPr>
            <w:tcW w:w="639" w:type="dxa"/>
            <w:tcBorders>
              <w:top w:val="nil"/>
              <w:left w:val="single" w:sz="4" w:space="0" w:color="auto"/>
              <w:bottom w:val="single" w:sz="4" w:space="0" w:color="auto"/>
              <w:right w:val="single" w:sz="4" w:space="0" w:color="auto"/>
            </w:tcBorders>
            <w:shd w:val="clear" w:color="auto" w:fill="auto"/>
            <w:vAlign w:val="center"/>
            <w:hideMark/>
          </w:tcPr>
          <w:p w:rsidR="00EE7527" w:rsidRPr="00652E79" w:rsidRDefault="00EE7527" w:rsidP="00795089">
            <w:pPr>
              <w:spacing w:line="360" w:lineRule="auto"/>
              <w:jc w:val="center"/>
              <w:rPr>
                <w:rFonts w:asciiTheme="minorHAnsi" w:hAnsiTheme="minorHAnsi" w:cstheme="minorHAnsi"/>
                <w:sz w:val="18"/>
                <w:szCs w:val="18"/>
              </w:rPr>
            </w:pPr>
            <w:r w:rsidRPr="00652E79">
              <w:rPr>
                <w:rFonts w:asciiTheme="minorHAnsi" w:hAnsiTheme="minorHAnsi" w:cstheme="minorHAnsi"/>
                <w:sz w:val="18"/>
                <w:szCs w:val="18"/>
              </w:rPr>
              <w:t>-15,1</w:t>
            </w:r>
          </w:p>
        </w:tc>
        <w:tc>
          <w:tcPr>
            <w:tcW w:w="639" w:type="dxa"/>
            <w:tcBorders>
              <w:top w:val="nil"/>
              <w:left w:val="nil"/>
              <w:bottom w:val="single" w:sz="4" w:space="0" w:color="auto"/>
              <w:right w:val="single" w:sz="4" w:space="0" w:color="auto"/>
            </w:tcBorders>
            <w:shd w:val="clear" w:color="auto" w:fill="auto"/>
            <w:vAlign w:val="center"/>
            <w:hideMark/>
          </w:tcPr>
          <w:p w:rsidR="00EE7527" w:rsidRPr="00652E79" w:rsidRDefault="00EE7527" w:rsidP="00795089">
            <w:pPr>
              <w:spacing w:line="360" w:lineRule="auto"/>
              <w:jc w:val="center"/>
              <w:rPr>
                <w:rFonts w:asciiTheme="minorHAnsi" w:hAnsiTheme="minorHAnsi" w:cstheme="minorHAnsi"/>
                <w:sz w:val="18"/>
                <w:szCs w:val="18"/>
              </w:rPr>
            </w:pPr>
            <w:r w:rsidRPr="00652E79">
              <w:rPr>
                <w:rFonts w:asciiTheme="minorHAnsi" w:hAnsiTheme="minorHAnsi" w:cstheme="minorHAnsi"/>
                <w:sz w:val="18"/>
                <w:szCs w:val="18"/>
              </w:rPr>
              <w:t>-12,8</w:t>
            </w:r>
          </w:p>
        </w:tc>
        <w:tc>
          <w:tcPr>
            <w:tcW w:w="646" w:type="dxa"/>
            <w:tcBorders>
              <w:top w:val="nil"/>
              <w:left w:val="nil"/>
              <w:bottom w:val="single" w:sz="4" w:space="0" w:color="auto"/>
              <w:right w:val="single" w:sz="4" w:space="0" w:color="auto"/>
            </w:tcBorders>
            <w:shd w:val="clear" w:color="auto" w:fill="auto"/>
            <w:vAlign w:val="center"/>
            <w:hideMark/>
          </w:tcPr>
          <w:p w:rsidR="00EE7527" w:rsidRPr="00652E79" w:rsidRDefault="00EE7527" w:rsidP="00795089">
            <w:pPr>
              <w:spacing w:line="360" w:lineRule="auto"/>
              <w:jc w:val="center"/>
              <w:rPr>
                <w:rFonts w:asciiTheme="minorHAnsi" w:hAnsiTheme="minorHAnsi" w:cstheme="minorHAnsi"/>
                <w:sz w:val="18"/>
                <w:szCs w:val="18"/>
              </w:rPr>
            </w:pPr>
            <w:r w:rsidRPr="00652E79">
              <w:rPr>
                <w:rFonts w:asciiTheme="minorHAnsi" w:hAnsiTheme="minorHAnsi" w:cstheme="minorHAnsi"/>
                <w:sz w:val="18"/>
                <w:szCs w:val="18"/>
              </w:rPr>
              <w:t>-14,1</w:t>
            </w:r>
          </w:p>
        </w:tc>
        <w:tc>
          <w:tcPr>
            <w:tcW w:w="1822" w:type="dxa"/>
            <w:gridSpan w:val="2"/>
            <w:tcBorders>
              <w:top w:val="nil"/>
              <w:left w:val="nil"/>
              <w:bottom w:val="single" w:sz="4" w:space="0" w:color="auto"/>
              <w:right w:val="single" w:sz="4" w:space="0" w:color="auto"/>
            </w:tcBorders>
            <w:shd w:val="clear" w:color="auto" w:fill="auto"/>
            <w:noWrap/>
            <w:vAlign w:val="center"/>
            <w:hideMark/>
          </w:tcPr>
          <w:p w:rsidR="00EE7527" w:rsidRPr="00652E79" w:rsidRDefault="00EE7527" w:rsidP="00795089">
            <w:pPr>
              <w:bidi/>
              <w:spacing w:line="360" w:lineRule="auto"/>
              <w:rPr>
                <w:rFonts w:asciiTheme="majorBidi" w:hAnsiTheme="majorBidi" w:cstheme="majorBidi"/>
                <w:bCs/>
                <w:color w:val="000000"/>
                <w:sz w:val="18"/>
                <w:szCs w:val="18"/>
              </w:rPr>
            </w:pPr>
            <w:r w:rsidRPr="00652E79">
              <w:rPr>
                <w:rFonts w:asciiTheme="majorBidi" w:hAnsiTheme="majorBidi" w:cstheme="majorBidi"/>
                <w:bCs/>
                <w:color w:val="000000"/>
                <w:sz w:val="18"/>
                <w:szCs w:val="18"/>
                <w:rtl/>
              </w:rPr>
              <w:t>التطور السابق لمستوى المعيشة بصفة عامة</w:t>
            </w:r>
          </w:p>
        </w:tc>
      </w:tr>
      <w:tr w:rsidR="00652E79" w:rsidRPr="005407A5" w:rsidTr="00652E79">
        <w:trPr>
          <w:trHeight w:val="745"/>
          <w:jc w:val="center"/>
        </w:trPr>
        <w:tc>
          <w:tcPr>
            <w:tcW w:w="962"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b/>
                <w:bCs/>
                <w:color w:val="000000"/>
                <w:sz w:val="18"/>
                <w:szCs w:val="18"/>
              </w:rPr>
            </w:pPr>
            <w:r w:rsidRPr="00652E79">
              <w:rPr>
                <w:rFonts w:ascii="Calibri" w:hAnsi="Calibri"/>
                <w:b/>
                <w:bCs/>
                <w:color w:val="000000"/>
                <w:sz w:val="18"/>
                <w:szCs w:val="18"/>
              </w:rPr>
              <w:t>-2,2</w:t>
            </w:r>
          </w:p>
        </w:tc>
        <w:tc>
          <w:tcPr>
            <w:tcW w:w="977"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bCs/>
                <w:color w:val="000000"/>
                <w:sz w:val="18"/>
                <w:szCs w:val="18"/>
              </w:rPr>
            </w:pPr>
            <w:r w:rsidRPr="00652E79">
              <w:rPr>
                <w:rFonts w:ascii="Calibri" w:hAnsi="Calibri"/>
                <w:bCs/>
                <w:color w:val="000000"/>
                <w:sz w:val="18"/>
                <w:szCs w:val="18"/>
              </w:rPr>
              <w:t>-3,7</w:t>
            </w:r>
          </w:p>
        </w:tc>
        <w:tc>
          <w:tcPr>
            <w:tcW w:w="794"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color w:val="000000"/>
                <w:sz w:val="18"/>
                <w:szCs w:val="18"/>
              </w:rPr>
            </w:pPr>
            <w:r w:rsidRPr="00652E79">
              <w:rPr>
                <w:rFonts w:ascii="Calibri" w:hAnsi="Calibri"/>
                <w:color w:val="000000"/>
                <w:sz w:val="18"/>
                <w:szCs w:val="18"/>
              </w:rPr>
              <w:t>4,7</w:t>
            </w:r>
          </w:p>
        </w:tc>
        <w:tc>
          <w:tcPr>
            <w:tcW w:w="68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bCs/>
                <w:sz w:val="18"/>
                <w:szCs w:val="18"/>
              </w:rPr>
            </w:pPr>
            <w:r w:rsidRPr="00652E79">
              <w:rPr>
                <w:rFonts w:ascii="Times New Roman" w:hAnsi="Times New Roman" w:cs="Times New Roman"/>
                <w:bCs/>
                <w:sz w:val="18"/>
                <w:szCs w:val="18"/>
              </w:rPr>
              <w:t>10,0</w:t>
            </w:r>
          </w:p>
        </w:tc>
        <w:tc>
          <w:tcPr>
            <w:tcW w:w="638"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9,0</w:t>
            </w:r>
          </w:p>
        </w:tc>
        <w:tc>
          <w:tcPr>
            <w:tcW w:w="638"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11,9</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15,0</w:t>
            </w:r>
          </w:p>
        </w:tc>
        <w:tc>
          <w:tcPr>
            <w:tcW w:w="79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16,6</w:t>
            </w:r>
          </w:p>
        </w:tc>
        <w:tc>
          <w:tcPr>
            <w:tcW w:w="797"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11,5</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10,5</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11,1</w:t>
            </w:r>
          </w:p>
        </w:tc>
        <w:tc>
          <w:tcPr>
            <w:tcW w:w="641" w:type="dxa"/>
            <w:tcBorders>
              <w:top w:val="nil"/>
              <w:left w:val="single" w:sz="4" w:space="0" w:color="auto"/>
              <w:bottom w:val="single" w:sz="4" w:space="0" w:color="auto"/>
              <w:right w:val="single" w:sz="4" w:space="0" w:color="auto"/>
            </w:tcBorders>
            <w:vAlign w:val="center"/>
          </w:tcPr>
          <w:p w:rsidR="00EE7527" w:rsidRPr="00652E79" w:rsidRDefault="00EE7527" w:rsidP="00795089">
            <w:pPr>
              <w:widowControl/>
              <w:autoSpaceDE/>
              <w:autoSpaceDN/>
              <w:adjustRightInd/>
              <w:spacing w:line="360" w:lineRule="auto"/>
              <w:ind w:left="-68"/>
              <w:jc w:val="center"/>
              <w:rPr>
                <w:rFonts w:ascii="Times New Roman" w:hAnsi="Times New Roman" w:cs="Times New Roman"/>
                <w:sz w:val="18"/>
                <w:szCs w:val="18"/>
              </w:rPr>
            </w:pPr>
            <w:r w:rsidRPr="00652E79">
              <w:rPr>
                <w:rFonts w:ascii="Times New Roman" w:hAnsi="Times New Roman" w:cs="Times New Roman"/>
                <w:sz w:val="18"/>
                <w:szCs w:val="18"/>
              </w:rPr>
              <w:t>5,7</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-2,4</w:t>
            </w:r>
          </w:p>
        </w:tc>
        <w:tc>
          <w:tcPr>
            <w:tcW w:w="60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-7,1</w:t>
            </w:r>
          </w:p>
        </w:tc>
        <w:tc>
          <w:tcPr>
            <w:tcW w:w="675"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-7,6</w:t>
            </w:r>
          </w:p>
        </w:tc>
        <w:tc>
          <w:tcPr>
            <w:tcW w:w="76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-14,2</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-8,1</w:t>
            </w:r>
          </w:p>
        </w:tc>
        <w:tc>
          <w:tcPr>
            <w:tcW w:w="639" w:type="dxa"/>
            <w:tcBorders>
              <w:top w:val="nil"/>
              <w:left w:val="single" w:sz="4" w:space="0" w:color="auto"/>
              <w:bottom w:val="single" w:sz="4" w:space="0" w:color="auto"/>
              <w:right w:val="single" w:sz="4" w:space="0" w:color="auto"/>
            </w:tcBorders>
            <w:shd w:val="clear" w:color="auto" w:fill="auto"/>
            <w:vAlign w:val="center"/>
            <w:hideMark/>
          </w:tcPr>
          <w:p w:rsidR="00EE7527" w:rsidRPr="00652E79" w:rsidRDefault="00EE7527" w:rsidP="00795089">
            <w:pPr>
              <w:spacing w:line="360" w:lineRule="auto"/>
              <w:jc w:val="center"/>
              <w:rPr>
                <w:rFonts w:asciiTheme="minorHAnsi" w:hAnsiTheme="minorHAnsi" w:cstheme="minorHAnsi"/>
                <w:sz w:val="18"/>
                <w:szCs w:val="18"/>
              </w:rPr>
            </w:pPr>
            <w:r w:rsidRPr="00652E79">
              <w:rPr>
                <w:rFonts w:asciiTheme="minorHAnsi" w:hAnsiTheme="minorHAnsi" w:cstheme="minorHAnsi"/>
                <w:sz w:val="18"/>
                <w:szCs w:val="18"/>
              </w:rPr>
              <w:t>-7,7</w:t>
            </w:r>
          </w:p>
        </w:tc>
        <w:tc>
          <w:tcPr>
            <w:tcW w:w="639" w:type="dxa"/>
            <w:tcBorders>
              <w:top w:val="nil"/>
              <w:left w:val="nil"/>
              <w:bottom w:val="single" w:sz="4" w:space="0" w:color="auto"/>
              <w:right w:val="single" w:sz="4" w:space="0" w:color="auto"/>
            </w:tcBorders>
            <w:shd w:val="clear" w:color="auto" w:fill="auto"/>
            <w:vAlign w:val="center"/>
            <w:hideMark/>
          </w:tcPr>
          <w:p w:rsidR="00EE7527" w:rsidRPr="00652E79" w:rsidRDefault="00EE7527" w:rsidP="00795089">
            <w:pPr>
              <w:spacing w:line="360" w:lineRule="auto"/>
              <w:jc w:val="center"/>
              <w:rPr>
                <w:rFonts w:asciiTheme="minorHAnsi" w:hAnsiTheme="minorHAnsi" w:cstheme="minorHAnsi"/>
                <w:sz w:val="18"/>
                <w:szCs w:val="18"/>
              </w:rPr>
            </w:pPr>
            <w:r w:rsidRPr="00652E79">
              <w:rPr>
                <w:rFonts w:asciiTheme="minorHAnsi" w:hAnsiTheme="minorHAnsi" w:cstheme="minorHAnsi"/>
                <w:sz w:val="18"/>
                <w:szCs w:val="18"/>
              </w:rPr>
              <w:t>-7,3</w:t>
            </w:r>
          </w:p>
        </w:tc>
        <w:tc>
          <w:tcPr>
            <w:tcW w:w="646" w:type="dxa"/>
            <w:tcBorders>
              <w:top w:val="nil"/>
              <w:left w:val="nil"/>
              <w:bottom w:val="single" w:sz="4" w:space="0" w:color="auto"/>
              <w:right w:val="single" w:sz="4" w:space="0" w:color="auto"/>
            </w:tcBorders>
            <w:shd w:val="clear" w:color="auto" w:fill="auto"/>
            <w:vAlign w:val="center"/>
            <w:hideMark/>
          </w:tcPr>
          <w:p w:rsidR="00EE7527" w:rsidRPr="00652E79" w:rsidRDefault="00EE7527" w:rsidP="00795089">
            <w:pPr>
              <w:spacing w:line="360" w:lineRule="auto"/>
              <w:jc w:val="center"/>
              <w:rPr>
                <w:rFonts w:asciiTheme="minorHAnsi" w:hAnsiTheme="minorHAnsi" w:cstheme="minorHAnsi"/>
                <w:sz w:val="18"/>
                <w:szCs w:val="18"/>
              </w:rPr>
            </w:pPr>
            <w:r w:rsidRPr="00652E79">
              <w:rPr>
                <w:rFonts w:asciiTheme="minorHAnsi" w:hAnsiTheme="minorHAnsi" w:cstheme="minorHAnsi"/>
                <w:sz w:val="18"/>
                <w:szCs w:val="18"/>
              </w:rPr>
              <w:t>-8,9</w:t>
            </w:r>
          </w:p>
        </w:tc>
        <w:tc>
          <w:tcPr>
            <w:tcW w:w="1822" w:type="dxa"/>
            <w:gridSpan w:val="2"/>
            <w:tcBorders>
              <w:top w:val="nil"/>
              <w:left w:val="nil"/>
              <w:bottom w:val="single" w:sz="4" w:space="0" w:color="auto"/>
              <w:right w:val="single" w:sz="4" w:space="0" w:color="auto"/>
            </w:tcBorders>
            <w:shd w:val="clear" w:color="auto" w:fill="auto"/>
            <w:noWrap/>
            <w:vAlign w:val="center"/>
            <w:hideMark/>
          </w:tcPr>
          <w:p w:rsidR="00EE7527" w:rsidRPr="00652E79" w:rsidRDefault="00EE7527" w:rsidP="00795089">
            <w:pPr>
              <w:bidi/>
              <w:spacing w:line="360" w:lineRule="auto"/>
              <w:rPr>
                <w:rFonts w:asciiTheme="majorBidi" w:hAnsiTheme="majorBidi" w:cstheme="majorBidi"/>
                <w:bCs/>
                <w:color w:val="000000"/>
                <w:sz w:val="18"/>
                <w:szCs w:val="18"/>
              </w:rPr>
            </w:pPr>
            <w:r w:rsidRPr="00652E79">
              <w:rPr>
                <w:rFonts w:asciiTheme="majorBidi" w:hAnsiTheme="majorBidi" w:cstheme="majorBidi"/>
                <w:bCs/>
                <w:color w:val="000000"/>
                <w:sz w:val="18"/>
                <w:szCs w:val="18"/>
                <w:rtl/>
              </w:rPr>
              <w:t>آفاق تطور مستوى المعيشة بصفة عامة</w:t>
            </w:r>
          </w:p>
        </w:tc>
      </w:tr>
      <w:tr w:rsidR="00652E79" w:rsidRPr="005407A5" w:rsidTr="00652E79">
        <w:trPr>
          <w:trHeight w:val="674"/>
          <w:jc w:val="center"/>
        </w:trPr>
        <w:tc>
          <w:tcPr>
            <w:tcW w:w="962"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b/>
                <w:bCs/>
                <w:color w:val="000000"/>
                <w:sz w:val="18"/>
                <w:szCs w:val="18"/>
              </w:rPr>
            </w:pPr>
            <w:r w:rsidRPr="00652E79">
              <w:rPr>
                <w:rFonts w:ascii="Calibri" w:hAnsi="Calibri"/>
                <w:b/>
                <w:bCs/>
                <w:color w:val="000000"/>
                <w:sz w:val="18"/>
                <w:szCs w:val="18"/>
              </w:rPr>
              <w:t>-29,2</w:t>
            </w:r>
          </w:p>
        </w:tc>
        <w:tc>
          <w:tcPr>
            <w:tcW w:w="977"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bCs/>
                <w:color w:val="000000"/>
                <w:sz w:val="18"/>
                <w:szCs w:val="18"/>
              </w:rPr>
            </w:pPr>
            <w:r w:rsidRPr="00652E79">
              <w:rPr>
                <w:rFonts w:ascii="Calibri" w:hAnsi="Calibri"/>
                <w:bCs/>
                <w:color w:val="000000"/>
                <w:sz w:val="18"/>
                <w:szCs w:val="18"/>
              </w:rPr>
              <w:t>-37,7</w:t>
            </w:r>
          </w:p>
        </w:tc>
        <w:tc>
          <w:tcPr>
            <w:tcW w:w="794"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color w:val="000000"/>
                <w:sz w:val="18"/>
                <w:szCs w:val="18"/>
              </w:rPr>
            </w:pPr>
            <w:r w:rsidRPr="00652E79">
              <w:rPr>
                <w:rFonts w:ascii="Calibri" w:hAnsi="Calibri"/>
                <w:color w:val="000000"/>
                <w:sz w:val="18"/>
                <w:szCs w:val="18"/>
              </w:rPr>
              <w:t>-41,4</w:t>
            </w:r>
          </w:p>
        </w:tc>
        <w:tc>
          <w:tcPr>
            <w:tcW w:w="68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bCs/>
                <w:sz w:val="18"/>
                <w:szCs w:val="18"/>
              </w:rPr>
            </w:pPr>
            <w:r w:rsidRPr="00652E79">
              <w:rPr>
                <w:rFonts w:ascii="Times New Roman" w:hAnsi="Times New Roman" w:cs="Times New Roman"/>
                <w:bCs/>
                <w:sz w:val="18"/>
                <w:szCs w:val="18"/>
              </w:rPr>
              <w:t>-36,3</w:t>
            </w:r>
          </w:p>
        </w:tc>
        <w:tc>
          <w:tcPr>
            <w:tcW w:w="638"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-36,7</w:t>
            </w:r>
          </w:p>
        </w:tc>
        <w:tc>
          <w:tcPr>
            <w:tcW w:w="638"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-30,2</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-25,8</w:t>
            </w:r>
          </w:p>
        </w:tc>
        <w:tc>
          <w:tcPr>
            <w:tcW w:w="79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-27,2</w:t>
            </w:r>
          </w:p>
        </w:tc>
        <w:tc>
          <w:tcPr>
            <w:tcW w:w="797"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-25,6</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-31,5</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-28,2</w:t>
            </w:r>
          </w:p>
        </w:tc>
        <w:tc>
          <w:tcPr>
            <w:tcW w:w="641" w:type="dxa"/>
            <w:tcBorders>
              <w:top w:val="nil"/>
              <w:left w:val="single" w:sz="4" w:space="0" w:color="auto"/>
              <w:bottom w:val="single" w:sz="4" w:space="0" w:color="auto"/>
              <w:right w:val="single" w:sz="4" w:space="0" w:color="auto"/>
            </w:tcBorders>
            <w:vAlign w:val="center"/>
          </w:tcPr>
          <w:p w:rsidR="00EE7527" w:rsidRPr="00652E79" w:rsidRDefault="00EE7527" w:rsidP="00795089">
            <w:pPr>
              <w:widowControl/>
              <w:autoSpaceDE/>
              <w:autoSpaceDN/>
              <w:adjustRightInd/>
              <w:spacing w:line="360" w:lineRule="auto"/>
              <w:ind w:left="-68"/>
              <w:jc w:val="center"/>
              <w:rPr>
                <w:rFonts w:ascii="Times New Roman" w:hAnsi="Times New Roman" w:cs="Times New Roman"/>
                <w:sz w:val="18"/>
                <w:szCs w:val="18"/>
              </w:rPr>
            </w:pPr>
            <w:r w:rsidRPr="00652E79">
              <w:rPr>
                <w:rFonts w:ascii="Times New Roman" w:hAnsi="Times New Roman" w:cs="Times New Roman"/>
                <w:sz w:val="18"/>
                <w:szCs w:val="18"/>
              </w:rPr>
              <w:t>-40,0</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-43,0</w:t>
            </w:r>
          </w:p>
        </w:tc>
        <w:tc>
          <w:tcPr>
            <w:tcW w:w="60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-40,5</w:t>
            </w:r>
          </w:p>
        </w:tc>
        <w:tc>
          <w:tcPr>
            <w:tcW w:w="675"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-34,8</w:t>
            </w:r>
          </w:p>
        </w:tc>
        <w:tc>
          <w:tcPr>
            <w:tcW w:w="76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-40,2</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-37,5</w:t>
            </w:r>
          </w:p>
        </w:tc>
        <w:tc>
          <w:tcPr>
            <w:tcW w:w="639" w:type="dxa"/>
            <w:tcBorders>
              <w:top w:val="nil"/>
              <w:left w:val="single" w:sz="4" w:space="0" w:color="auto"/>
              <w:bottom w:val="single" w:sz="4" w:space="0" w:color="auto"/>
              <w:right w:val="single" w:sz="4" w:space="0" w:color="auto"/>
            </w:tcBorders>
            <w:shd w:val="clear" w:color="auto" w:fill="auto"/>
            <w:vAlign w:val="center"/>
            <w:hideMark/>
          </w:tcPr>
          <w:p w:rsidR="00EE7527" w:rsidRPr="00652E79" w:rsidRDefault="00EE7527" w:rsidP="00795089">
            <w:pPr>
              <w:spacing w:line="360" w:lineRule="auto"/>
              <w:jc w:val="center"/>
              <w:rPr>
                <w:rFonts w:asciiTheme="minorHAnsi" w:hAnsiTheme="minorHAnsi" w:cstheme="minorHAnsi"/>
                <w:sz w:val="18"/>
                <w:szCs w:val="18"/>
              </w:rPr>
            </w:pPr>
            <w:r w:rsidRPr="00652E79">
              <w:rPr>
                <w:rFonts w:asciiTheme="minorHAnsi" w:hAnsiTheme="minorHAnsi" w:cstheme="minorHAnsi"/>
                <w:sz w:val="18"/>
                <w:szCs w:val="18"/>
              </w:rPr>
              <w:t>-34,2</w:t>
            </w:r>
          </w:p>
        </w:tc>
        <w:tc>
          <w:tcPr>
            <w:tcW w:w="639" w:type="dxa"/>
            <w:tcBorders>
              <w:top w:val="nil"/>
              <w:left w:val="nil"/>
              <w:bottom w:val="single" w:sz="4" w:space="0" w:color="auto"/>
              <w:right w:val="single" w:sz="4" w:space="0" w:color="auto"/>
            </w:tcBorders>
            <w:shd w:val="clear" w:color="auto" w:fill="auto"/>
            <w:vAlign w:val="center"/>
            <w:hideMark/>
          </w:tcPr>
          <w:p w:rsidR="00EE7527" w:rsidRPr="00652E79" w:rsidRDefault="00EE7527" w:rsidP="00795089">
            <w:pPr>
              <w:spacing w:line="360" w:lineRule="auto"/>
              <w:jc w:val="center"/>
              <w:rPr>
                <w:rFonts w:asciiTheme="minorHAnsi" w:hAnsiTheme="minorHAnsi" w:cstheme="minorHAnsi"/>
                <w:sz w:val="18"/>
                <w:szCs w:val="18"/>
              </w:rPr>
            </w:pPr>
            <w:r w:rsidRPr="00652E79">
              <w:rPr>
                <w:rFonts w:asciiTheme="minorHAnsi" w:hAnsiTheme="minorHAnsi" w:cstheme="minorHAnsi"/>
                <w:sz w:val="18"/>
                <w:szCs w:val="18"/>
              </w:rPr>
              <w:t>-36,0</w:t>
            </w:r>
          </w:p>
        </w:tc>
        <w:tc>
          <w:tcPr>
            <w:tcW w:w="646" w:type="dxa"/>
            <w:tcBorders>
              <w:top w:val="nil"/>
              <w:left w:val="nil"/>
              <w:bottom w:val="single" w:sz="4" w:space="0" w:color="auto"/>
              <w:right w:val="single" w:sz="4" w:space="0" w:color="auto"/>
            </w:tcBorders>
            <w:shd w:val="clear" w:color="auto" w:fill="auto"/>
            <w:vAlign w:val="center"/>
            <w:hideMark/>
          </w:tcPr>
          <w:p w:rsidR="00EE7527" w:rsidRPr="00652E79" w:rsidRDefault="00EE7527" w:rsidP="00795089">
            <w:pPr>
              <w:spacing w:line="360" w:lineRule="auto"/>
              <w:jc w:val="center"/>
              <w:rPr>
                <w:rFonts w:asciiTheme="minorHAnsi" w:hAnsiTheme="minorHAnsi" w:cstheme="minorHAnsi"/>
                <w:sz w:val="18"/>
                <w:szCs w:val="18"/>
              </w:rPr>
            </w:pPr>
            <w:r w:rsidRPr="00652E79">
              <w:rPr>
                <w:rFonts w:asciiTheme="minorHAnsi" w:hAnsiTheme="minorHAnsi" w:cstheme="minorHAnsi"/>
                <w:sz w:val="18"/>
                <w:szCs w:val="18"/>
              </w:rPr>
              <w:t>-37,0</w:t>
            </w:r>
          </w:p>
        </w:tc>
        <w:tc>
          <w:tcPr>
            <w:tcW w:w="1822" w:type="dxa"/>
            <w:gridSpan w:val="2"/>
            <w:tcBorders>
              <w:top w:val="nil"/>
              <w:left w:val="nil"/>
              <w:bottom w:val="single" w:sz="4" w:space="0" w:color="auto"/>
              <w:right w:val="single" w:sz="4" w:space="0" w:color="auto"/>
            </w:tcBorders>
            <w:shd w:val="clear" w:color="auto" w:fill="auto"/>
            <w:noWrap/>
            <w:vAlign w:val="center"/>
            <w:hideMark/>
          </w:tcPr>
          <w:p w:rsidR="00EE7527" w:rsidRPr="00652E79" w:rsidRDefault="00EE7527" w:rsidP="00795089">
            <w:pPr>
              <w:bidi/>
              <w:spacing w:line="360" w:lineRule="auto"/>
              <w:rPr>
                <w:rFonts w:asciiTheme="majorBidi" w:hAnsiTheme="majorBidi" w:cstheme="majorBidi"/>
                <w:bCs/>
                <w:color w:val="000000"/>
                <w:sz w:val="18"/>
                <w:szCs w:val="18"/>
              </w:rPr>
            </w:pPr>
            <w:r w:rsidRPr="00652E79">
              <w:rPr>
                <w:rFonts w:asciiTheme="majorBidi" w:hAnsiTheme="majorBidi" w:cstheme="majorBidi"/>
                <w:bCs/>
                <w:color w:val="000000"/>
                <w:sz w:val="18"/>
                <w:szCs w:val="18"/>
                <w:rtl/>
              </w:rPr>
              <w:t>فرص اقتناء السلع المستديمة</w:t>
            </w:r>
          </w:p>
        </w:tc>
      </w:tr>
      <w:tr w:rsidR="00652E79" w:rsidRPr="005407A5" w:rsidTr="00652E79">
        <w:trPr>
          <w:trHeight w:val="619"/>
          <w:jc w:val="center"/>
        </w:trPr>
        <w:tc>
          <w:tcPr>
            <w:tcW w:w="962"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b/>
                <w:bCs/>
                <w:color w:val="000000"/>
                <w:sz w:val="18"/>
                <w:szCs w:val="18"/>
              </w:rPr>
            </w:pPr>
            <w:r w:rsidRPr="00652E79">
              <w:rPr>
                <w:rFonts w:ascii="Calibri" w:hAnsi="Calibri"/>
                <w:b/>
                <w:bCs/>
                <w:color w:val="000000"/>
                <w:sz w:val="18"/>
                <w:szCs w:val="18"/>
              </w:rPr>
              <w:t>-26,4</w:t>
            </w:r>
          </w:p>
        </w:tc>
        <w:tc>
          <w:tcPr>
            <w:tcW w:w="977"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bCs/>
                <w:color w:val="000000"/>
                <w:sz w:val="18"/>
                <w:szCs w:val="18"/>
              </w:rPr>
            </w:pPr>
            <w:r w:rsidRPr="00652E79">
              <w:rPr>
                <w:rFonts w:ascii="Calibri" w:hAnsi="Calibri"/>
                <w:bCs/>
                <w:color w:val="000000"/>
                <w:sz w:val="18"/>
                <w:szCs w:val="18"/>
              </w:rPr>
              <w:t>-29,5</w:t>
            </w:r>
          </w:p>
        </w:tc>
        <w:tc>
          <w:tcPr>
            <w:tcW w:w="794"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color w:val="000000"/>
                <w:sz w:val="18"/>
                <w:szCs w:val="18"/>
              </w:rPr>
            </w:pPr>
            <w:r w:rsidRPr="00652E79">
              <w:rPr>
                <w:rFonts w:ascii="Calibri" w:hAnsi="Calibri"/>
                <w:color w:val="000000"/>
                <w:sz w:val="18"/>
                <w:szCs w:val="18"/>
              </w:rPr>
              <w:t>-30,8</w:t>
            </w:r>
          </w:p>
        </w:tc>
        <w:tc>
          <w:tcPr>
            <w:tcW w:w="68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bCs/>
                <w:sz w:val="18"/>
                <w:szCs w:val="18"/>
              </w:rPr>
            </w:pPr>
            <w:r w:rsidRPr="00652E79">
              <w:rPr>
                <w:rFonts w:ascii="Times New Roman" w:hAnsi="Times New Roman" w:cs="Times New Roman"/>
                <w:bCs/>
                <w:sz w:val="18"/>
                <w:szCs w:val="18"/>
              </w:rPr>
              <w:t>-28,9</w:t>
            </w:r>
          </w:p>
        </w:tc>
        <w:tc>
          <w:tcPr>
            <w:tcW w:w="638"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-28,4</w:t>
            </w:r>
          </w:p>
        </w:tc>
        <w:tc>
          <w:tcPr>
            <w:tcW w:w="638"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-29,7</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-24,1</w:t>
            </w:r>
          </w:p>
        </w:tc>
        <w:tc>
          <w:tcPr>
            <w:tcW w:w="79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-25,2</w:t>
            </w:r>
          </w:p>
        </w:tc>
        <w:tc>
          <w:tcPr>
            <w:tcW w:w="797"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-24,4</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-22,6</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-25,3</w:t>
            </w:r>
          </w:p>
        </w:tc>
        <w:tc>
          <w:tcPr>
            <w:tcW w:w="641" w:type="dxa"/>
            <w:tcBorders>
              <w:top w:val="nil"/>
              <w:left w:val="single" w:sz="4" w:space="0" w:color="auto"/>
              <w:bottom w:val="single" w:sz="4" w:space="0" w:color="auto"/>
              <w:right w:val="single" w:sz="4" w:space="0" w:color="auto"/>
            </w:tcBorders>
            <w:vAlign w:val="center"/>
          </w:tcPr>
          <w:p w:rsidR="00EE7527" w:rsidRPr="00652E79" w:rsidRDefault="00EE7527" w:rsidP="00795089">
            <w:pPr>
              <w:widowControl/>
              <w:autoSpaceDE/>
              <w:autoSpaceDN/>
              <w:adjustRightInd/>
              <w:spacing w:line="360" w:lineRule="auto"/>
              <w:ind w:left="-68"/>
              <w:jc w:val="center"/>
              <w:rPr>
                <w:rFonts w:ascii="Times New Roman" w:hAnsi="Times New Roman" w:cs="Times New Roman"/>
                <w:sz w:val="18"/>
                <w:szCs w:val="18"/>
              </w:rPr>
            </w:pPr>
            <w:r w:rsidRPr="00652E79">
              <w:rPr>
                <w:rFonts w:ascii="Times New Roman" w:hAnsi="Times New Roman" w:cs="Times New Roman"/>
                <w:sz w:val="18"/>
                <w:szCs w:val="18"/>
              </w:rPr>
              <w:t>-27,8</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-28,7</w:t>
            </w:r>
          </w:p>
        </w:tc>
        <w:tc>
          <w:tcPr>
            <w:tcW w:w="60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-25,8</w:t>
            </w:r>
          </w:p>
        </w:tc>
        <w:tc>
          <w:tcPr>
            <w:tcW w:w="675"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-23,0</w:t>
            </w:r>
          </w:p>
        </w:tc>
        <w:tc>
          <w:tcPr>
            <w:tcW w:w="76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-27,2</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-25,7</w:t>
            </w:r>
          </w:p>
        </w:tc>
        <w:tc>
          <w:tcPr>
            <w:tcW w:w="639" w:type="dxa"/>
            <w:tcBorders>
              <w:top w:val="nil"/>
              <w:left w:val="single" w:sz="4" w:space="0" w:color="auto"/>
              <w:bottom w:val="single" w:sz="4" w:space="0" w:color="auto"/>
              <w:right w:val="single" w:sz="4" w:space="0" w:color="auto"/>
            </w:tcBorders>
            <w:shd w:val="clear" w:color="auto" w:fill="auto"/>
            <w:vAlign w:val="center"/>
            <w:hideMark/>
          </w:tcPr>
          <w:p w:rsidR="00EE7527" w:rsidRPr="00652E79" w:rsidRDefault="00EE7527" w:rsidP="00795089">
            <w:pPr>
              <w:spacing w:line="360" w:lineRule="auto"/>
              <w:jc w:val="center"/>
              <w:rPr>
                <w:rFonts w:asciiTheme="minorHAnsi" w:hAnsiTheme="minorHAnsi" w:cstheme="minorHAnsi"/>
                <w:sz w:val="18"/>
                <w:szCs w:val="18"/>
              </w:rPr>
            </w:pPr>
            <w:r w:rsidRPr="00652E79">
              <w:rPr>
                <w:rFonts w:asciiTheme="minorHAnsi" w:hAnsiTheme="minorHAnsi" w:cstheme="minorHAnsi"/>
                <w:sz w:val="18"/>
                <w:szCs w:val="18"/>
              </w:rPr>
              <w:t>-25,1</w:t>
            </w:r>
          </w:p>
        </w:tc>
        <w:tc>
          <w:tcPr>
            <w:tcW w:w="639" w:type="dxa"/>
            <w:tcBorders>
              <w:top w:val="nil"/>
              <w:left w:val="nil"/>
              <w:bottom w:val="single" w:sz="4" w:space="0" w:color="auto"/>
              <w:right w:val="single" w:sz="4" w:space="0" w:color="auto"/>
            </w:tcBorders>
            <w:shd w:val="clear" w:color="auto" w:fill="auto"/>
            <w:vAlign w:val="center"/>
            <w:hideMark/>
          </w:tcPr>
          <w:p w:rsidR="00EE7527" w:rsidRPr="00652E79" w:rsidRDefault="00EE7527" w:rsidP="00795089">
            <w:pPr>
              <w:spacing w:line="360" w:lineRule="auto"/>
              <w:jc w:val="center"/>
              <w:rPr>
                <w:rFonts w:asciiTheme="minorHAnsi" w:hAnsiTheme="minorHAnsi" w:cstheme="minorHAnsi"/>
                <w:sz w:val="18"/>
                <w:szCs w:val="18"/>
              </w:rPr>
            </w:pPr>
            <w:r w:rsidRPr="00652E79">
              <w:rPr>
                <w:rFonts w:asciiTheme="minorHAnsi" w:hAnsiTheme="minorHAnsi" w:cstheme="minorHAnsi"/>
                <w:sz w:val="18"/>
                <w:szCs w:val="18"/>
              </w:rPr>
              <w:t>-28,0</w:t>
            </w:r>
          </w:p>
        </w:tc>
        <w:tc>
          <w:tcPr>
            <w:tcW w:w="646" w:type="dxa"/>
            <w:tcBorders>
              <w:top w:val="nil"/>
              <w:left w:val="nil"/>
              <w:bottom w:val="single" w:sz="4" w:space="0" w:color="auto"/>
              <w:right w:val="single" w:sz="4" w:space="0" w:color="auto"/>
            </w:tcBorders>
            <w:shd w:val="clear" w:color="auto" w:fill="auto"/>
            <w:vAlign w:val="center"/>
            <w:hideMark/>
          </w:tcPr>
          <w:p w:rsidR="00EE7527" w:rsidRPr="00652E79" w:rsidRDefault="00EE7527" w:rsidP="00795089">
            <w:pPr>
              <w:spacing w:line="360" w:lineRule="auto"/>
              <w:jc w:val="center"/>
              <w:rPr>
                <w:rFonts w:asciiTheme="minorHAnsi" w:hAnsiTheme="minorHAnsi" w:cstheme="minorHAnsi"/>
                <w:sz w:val="18"/>
                <w:szCs w:val="18"/>
              </w:rPr>
            </w:pPr>
            <w:r w:rsidRPr="00652E79">
              <w:rPr>
                <w:rFonts w:asciiTheme="minorHAnsi" w:hAnsiTheme="minorHAnsi" w:cstheme="minorHAnsi"/>
                <w:sz w:val="18"/>
                <w:szCs w:val="18"/>
              </w:rPr>
              <w:t>-32,4</w:t>
            </w:r>
          </w:p>
        </w:tc>
        <w:tc>
          <w:tcPr>
            <w:tcW w:w="1822" w:type="dxa"/>
            <w:gridSpan w:val="2"/>
            <w:tcBorders>
              <w:top w:val="nil"/>
              <w:left w:val="nil"/>
              <w:bottom w:val="single" w:sz="4" w:space="0" w:color="auto"/>
              <w:right w:val="single" w:sz="4" w:space="0" w:color="auto"/>
            </w:tcBorders>
            <w:shd w:val="clear" w:color="auto" w:fill="auto"/>
            <w:noWrap/>
            <w:vAlign w:val="center"/>
            <w:hideMark/>
          </w:tcPr>
          <w:p w:rsidR="00EE7527" w:rsidRPr="00652E79" w:rsidRDefault="00EE7527" w:rsidP="00795089">
            <w:pPr>
              <w:bidi/>
              <w:spacing w:line="360" w:lineRule="auto"/>
              <w:rPr>
                <w:rFonts w:asciiTheme="majorBidi" w:hAnsiTheme="majorBidi" w:cstheme="majorBidi"/>
                <w:bCs/>
                <w:color w:val="000000"/>
                <w:sz w:val="18"/>
                <w:szCs w:val="18"/>
              </w:rPr>
            </w:pPr>
            <w:r w:rsidRPr="00652E79">
              <w:rPr>
                <w:rFonts w:asciiTheme="majorBidi" w:hAnsiTheme="majorBidi" w:cstheme="majorBidi"/>
                <w:bCs/>
                <w:color w:val="000000"/>
                <w:sz w:val="18"/>
                <w:szCs w:val="18"/>
                <w:rtl/>
              </w:rPr>
              <w:t>الوضعية المالية الحالية للأسرة</w:t>
            </w:r>
          </w:p>
        </w:tc>
      </w:tr>
      <w:tr w:rsidR="00652E79" w:rsidRPr="005407A5" w:rsidTr="00652E79">
        <w:trPr>
          <w:trHeight w:val="611"/>
          <w:jc w:val="center"/>
        </w:trPr>
        <w:tc>
          <w:tcPr>
            <w:tcW w:w="962"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b/>
                <w:bCs/>
                <w:color w:val="000000"/>
                <w:sz w:val="18"/>
                <w:szCs w:val="18"/>
              </w:rPr>
            </w:pPr>
            <w:r w:rsidRPr="00652E79">
              <w:rPr>
                <w:rFonts w:ascii="Calibri" w:hAnsi="Calibri"/>
                <w:b/>
                <w:bCs/>
                <w:color w:val="000000"/>
                <w:sz w:val="18"/>
                <w:szCs w:val="18"/>
              </w:rPr>
              <w:t>-22,1</w:t>
            </w:r>
          </w:p>
        </w:tc>
        <w:tc>
          <w:tcPr>
            <w:tcW w:w="977"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bCs/>
                <w:color w:val="000000"/>
                <w:sz w:val="18"/>
                <w:szCs w:val="18"/>
              </w:rPr>
            </w:pPr>
            <w:r w:rsidRPr="00652E79">
              <w:rPr>
                <w:rFonts w:ascii="Calibri" w:hAnsi="Calibri"/>
                <w:bCs/>
                <w:color w:val="000000"/>
                <w:sz w:val="18"/>
                <w:szCs w:val="18"/>
              </w:rPr>
              <w:t>-26,0</w:t>
            </w:r>
          </w:p>
        </w:tc>
        <w:tc>
          <w:tcPr>
            <w:tcW w:w="794"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color w:val="000000"/>
                <w:sz w:val="18"/>
                <w:szCs w:val="18"/>
              </w:rPr>
            </w:pPr>
            <w:r w:rsidRPr="00652E79">
              <w:rPr>
                <w:rFonts w:ascii="Calibri" w:hAnsi="Calibri"/>
                <w:color w:val="000000"/>
                <w:sz w:val="18"/>
                <w:szCs w:val="18"/>
              </w:rPr>
              <w:t>-24,2</w:t>
            </w:r>
          </w:p>
        </w:tc>
        <w:tc>
          <w:tcPr>
            <w:tcW w:w="68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bCs/>
                <w:sz w:val="18"/>
                <w:szCs w:val="18"/>
              </w:rPr>
            </w:pPr>
            <w:r w:rsidRPr="00652E79">
              <w:rPr>
                <w:rFonts w:ascii="Times New Roman" w:hAnsi="Times New Roman" w:cs="Times New Roman"/>
                <w:bCs/>
                <w:sz w:val="18"/>
                <w:szCs w:val="18"/>
              </w:rPr>
              <w:t>-21,2</w:t>
            </w:r>
          </w:p>
        </w:tc>
        <w:tc>
          <w:tcPr>
            <w:tcW w:w="638"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-20,7</w:t>
            </w:r>
          </w:p>
        </w:tc>
        <w:tc>
          <w:tcPr>
            <w:tcW w:w="638"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-18,2</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-15,2</w:t>
            </w:r>
          </w:p>
        </w:tc>
        <w:tc>
          <w:tcPr>
            <w:tcW w:w="79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-18,1</w:t>
            </w:r>
          </w:p>
        </w:tc>
        <w:tc>
          <w:tcPr>
            <w:tcW w:w="797"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-16,7</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-14,5</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-16,6</w:t>
            </w:r>
          </w:p>
        </w:tc>
        <w:tc>
          <w:tcPr>
            <w:tcW w:w="641" w:type="dxa"/>
            <w:tcBorders>
              <w:top w:val="nil"/>
              <w:left w:val="single" w:sz="4" w:space="0" w:color="auto"/>
              <w:bottom w:val="single" w:sz="4" w:space="0" w:color="auto"/>
              <w:right w:val="single" w:sz="4" w:space="0" w:color="auto"/>
            </w:tcBorders>
            <w:vAlign w:val="center"/>
          </w:tcPr>
          <w:p w:rsidR="00EE7527" w:rsidRPr="00652E79" w:rsidRDefault="00EE7527" w:rsidP="00795089">
            <w:pPr>
              <w:widowControl/>
              <w:autoSpaceDE/>
              <w:autoSpaceDN/>
              <w:adjustRightInd/>
              <w:spacing w:line="360" w:lineRule="auto"/>
              <w:ind w:left="-68"/>
              <w:jc w:val="center"/>
              <w:rPr>
                <w:rFonts w:ascii="Times New Roman" w:hAnsi="Times New Roman" w:cs="Times New Roman"/>
                <w:sz w:val="18"/>
                <w:szCs w:val="18"/>
              </w:rPr>
            </w:pPr>
            <w:r w:rsidRPr="00652E79">
              <w:rPr>
                <w:rFonts w:ascii="Times New Roman" w:hAnsi="Times New Roman" w:cs="Times New Roman"/>
                <w:sz w:val="18"/>
                <w:szCs w:val="18"/>
              </w:rPr>
              <w:t>-26,8</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-33,3</w:t>
            </w:r>
          </w:p>
        </w:tc>
        <w:tc>
          <w:tcPr>
            <w:tcW w:w="60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-27,0</w:t>
            </w:r>
          </w:p>
        </w:tc>
        <w:tc>
          <w:tcPr>
            <w:tcW w:w="675"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-22,8</w:t>
            </w:r>
          </w:p>
        </w:tc>
        <w:tc>
          <w:tcPr>
            <w:tcW w:w="76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-27,4</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-18,5</w:t>
            </w:r>
          </w:p>
        </w:tc>
        <w:tc>
          <w:tcPr>
            <w:tcW w:w="639" w:type="dxa"/>
            <w:tcBorders>
              <w:top w:val="nil"/>
              <w:left w:val="single" w:sz="4" w:space="0" w:color="auto"/>
              <w:bottom w:val="single" w:sz="4" w:space="0" w:color="auto"/>
              <w:right w:val="single" w:sz="4" w:space="0" w:color="auto"/>
            </w:tcBorders>
            <w:shd w:val="clear" w:color="auto" w:fill="auto"/>
            <w:vAlign w:val="center"/>
            <w:hideMark/>
          </w:tcPr>
          <w:p w:rsidR="00EE7527" w:rsidRPr="00652E79" w:rsidRDefault="00EE7527" w:rsidP="00795089">
            <w:pPr>
              <w:spacing w:line="360" w:lineRule="auto"/>
              <w:jc w:val="center"/>
              <w:rPr>
                <w:rFonts w:asciiTheme="minorHAnsi" w:hAnsiTheme="minorHAnsi" w:cstheme="minorHAnsi"/>
                <w:sz w:val="18"/>
                <w:szCs w:val="18"/>
              </w:rPr>
            </w:pPr>
            <w:r w:rsidRPr="00652E79">
              <w:rPr>
                <w:rFonts w:asciiTheme="minorHAnsi" w:hAnsiTheme="minorHAnsi" w:cstheme="minorHAnsi"/>
                <w:sz w:val="18"/>
                <w:szCs w:val="18"/>
              </w:rPr>
              <w:t>-20,8</w:t>
            </w:r>
          </w:p>
        </w:tc>
        <w:tc>
          <w:tcPr>
            <w:tcW w:w="639" w:type="dxa"/>
            <w:tcBorders>
              <w:top w:val="nil"/>
              <w:left w:val="nil"/>
              <w:bottom w:val="single" w:sz="4" w:space="0" w:color="auto"/>
              <w:right w:val="single" w:sz="4" w:space="0" w:color="auto"/>
            </w:tcBorders>
            <w:shd w:val="clear" w:color="auto" w:fill="auto"/>
            <w:vAlign w:val="center"/>
            <w:hideMark/>
          </w:tcPr>
          <w:p w:rsidR="00EE7527" w:rsidRPr="00652E79" w:rsidRDefault="00EE7527" w:rsidP="00795089">
            <w:pPr>
              <w:spacing w:line="360" w:lineRule="auto"/>
              <w:jc w:val="center"/>
              <w:rPr>
                <w:rFonts w:asciiTheme="minorHAnsi" w:hAnsiTheme="minorHAnsi" w:cstheme="minorHAnsi"/>
                <w:sz w:val="18"/>
                <w:szCs w:val="18"/>
              </w:rPr>
            </w:pPr>
            <w:r w:rsidRPr="00652E79">
              <w:rPr>
                <w:rFonts w:asciiTheme="minorHAnsi" w:hAnsiTheme="minorHAnsi" w:cstheme="minorHAnsi"/>
                <w:sz w:val="18"/>
                <w:szCs w:val="18"/>
              </w:rPr>
              <w:t>-20.2</w:t>
            </w:r>
          </w:p>
        </w:tc>
        <w:tc>
          <w:tcPr>
            <w:tcW w:w="646" w:type="dxa"/>
            <w:tcBorders>
              <w:top w:val="nil"/>
              <w:left w:val="nil"/>
              <w:bottom w:val="single" w:sz="4" w:space="0" w:color="auto"/>
              <w:right w:val="single" w:sz="4" w:space="0" w:color="auto"/>
            </w:tcBorders>
            <w:shd w:val="clear" w:color="auto" w:fill="auto"/>
            <w:vAlign w:val="center"/>
            <w:hideMark/>
          </w:tcPr>
          <w:p w:rsidR="00EE7527" w:rsidRPr="00652E79" w:rsidRDefault="00EE7527" w:rsidP="00795089">
            <w:pPr>
              <w:spacing w:line="360" w:lineRule="auto"/>
              <w:jc w:val="center"/>
              <w:rPr>
                <w:rFonts w:asciiTheme="minorHAnsi" w:hAnsiTheme="minorHAnsi" w:cstheme="minorHAnsi"/>
                <w:sz w:val="18"/>
                <w:szCs w:val="18"/>
              </w:rPr>
            </w:pPr>
            <w:r w:rsidRPr="00652E79">
              <w:rPr>
                <w:rFonts w:asciiTheme="minorHAnsi" w:hAnsiTheme="minorHAnsi" w:cstheme="minorHAnsi"/>
                <w:sz w:val="18"/>
                <w:szCs w:val="18"/>
              </w:rPr>
              <w:t>-27,0</w:t>
            </w:r>
          </w:p>
        </w:tc>
        <w:tc>
          <w:tcPr>
            <w:tcW w:w="1822" w:type="dxa"/>
            <w:gridSpan w:val="2"/>
            <w:tcBorders>
              <w:top w:val="nil"/>
              <w:left w:val="nil"/>
              <w:bottom w:val="single" w:sz="4" w:space="0" w:color="auto"/>
              <w:right w:val="single" w:sz="4" w:space="0" w:color="auto"/>
            </w:tcBorders>
            <w:shd w:val="clear" w:color="auto" w:fill="auto"/>
            <w:noWrap/>
            <w:vAlign w:val="center"/>
            <w:hideMark/>
          </w:tcPr>
          <w:p w:rsidR="00EE7527" w:rsidRPr="00652E79" w:rsidRDefault="00EE7527" w:rsidP="00795089">
            <w:pPr>
              <w:bidi/>
              <w:spacing w:line="360" w:lineRule="auto"/>
              <w:rPr>
                <w:rFonts w:asciiTheme="majorBidi" w:hAnsiTheme="majorBidi" w:cstheme="majorBidi"/>
                <w:bCs/>
                <w:color w:val="000000"/>
                <w:sz w:val="18"/>
                <w:szCs w:val="18"/>
              </w:rPr>
            </w:pPr>
            <w:r w:rsidRPr="00652E79">
              <w:rPr>
                <w:rFonts w:asciiTheme="majorBidi" w:hAnsiTheme="majorBidi" w:cstheme="majorBidi"/>
                <w:bCs/>
                <w:color w:val="000000"/>
                <w:sz w:val="18"/>
                <w:szCs w:val="18"/>
                <w:rtl/>
              </w:rPr>
              <w:t>التطور السابق للوضعية المالية للأسرة</w:t>
            </w:r>
          </w:p>
        </w:tc>
      </w:tr>
      <w:tr w:rsidR="00652E79" w:rsidRPr="005407A5" w:rsidTr="00652E79">
        <w:trPr>
          <w:trHeight w:val="608"/>
          <w:jc w:val="center"/>
        </w:trPr>
        <w:tc>
          <w:tcPr>
            <w:tcW w:w="962"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b/>
                <w:bCs/>
                <w:color w:val="000000"/>
                <w:sz w:val="18"/>
                <w:szCs w:val="18"/>
              </w:rPr>
            </w:pPr>
            <w:r w:rsidRPr="00652E79">
              <w:rPr>
                <w:rFonts w:ascii="Calibri" w:hAnsi="Calibri"/>
                <w:b/>
                <w:bCs/>
                <w:color w:val="000000"/>
                <w:sz w:val="18"/>
                <w:szCs w:val="18"/>
              </w:rPr>
              <w:t>15,9</w:t>
            </w:r>
          </w:p>
        </w:tc>
        <w:tc>
          <w:tcPr>
            <w:tcW w:w="977"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bCs/>
                <w:color w:val="000000"/>
                <w:sz w:val="18"/>
                <w:szCs w:val="18"/>
              </w:rPr>
            </w:pPr>
            <w:r w:rsidRPr="00652E79">
              <w:rPr>
                <w:rFonts w:ascii="Calibri" w:hAnsi="Calibri"/>
                <w:bCs/>
                <w:color w:val="000000"/>
                <w:sz w:val="18"/>
                <w:szCs w:val="18"/>
              </w:rPr>
              <w:t>12,8</w:t>
            </w:r>
          </w:p>
        </w:tc>
        <w:tc>
          <w:tcPr>
            <w:tcW w:w="794"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color w:val="000000"/>
                <w:sz w:val="18"/>
                <w:szCs w:val="18"/>
              </w:rPr>
            </w:pPr>
            <w:r w:rsidRPr="00652E79">
              <w:rPr>
                <w:rFonts w:ascii="Calibri" w:hAnsi="Calibri"/>
                <w:color w:val="000000"/>
                <w:sz w:val="18"/>
                <w:szCs w:val="18"/>
              </w:rPr>
              <w:t>18,3</w:t>
            </w:r>
          </w:p>
        </w:tc>
        <w:tc>
          <w:tcPr>
            <w:tcW w:w="68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bCs/>
                <w:sz w:val="18"/>
                <w:szCs w:val="18"/>
              </w:rPr>
            </w:pPr>
            <w:r w:rsidRPr="00652E79">
              <w:rPr>
                <w:rFonts w:ascii="Times New Roman" w:hAnsi="Times New Roman" w:cs="Times New Roman"/>
                <w:bCs/>
                <w:sz w:val="18"/>
                <w:szCs w:val="18"/>
              </w:rPr>
              <w:t>20,7</w:t>
            </w:r>
          </w:p>
        </w:tc>
        <w:tc>
          <w:tcPr>
            <w:tcW w:w="638"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19,1</w:t>
            </w:r>
          </w:p>
        </w:tc>
        <w:tc>
          <w:tcPr>
            <w:tcW w:w="638"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18,2</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28,1</w:t>
            </w:r>
          </w:p>
        </w:tc>
        <w:tc>
          <w:tcPr>
            <w:tcW w:w="79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25,9</w:t>
            </w:r>
          </w:p>
        </w:tc>
        <w:tc>
          <w:tcPr>
            <w:tcW w:w="797"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19,2</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19,6</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22,1</w:t>
            </w:r>
          </w:p>
        </w:tc>
        <w:tc>
          <w:tcPr>
            <w:tcW w:w="641" w:type="dxa"/>
            <w:tcBorders>
              <w:top w:val="nil"/>
              <w:left w:val="single" w:sz="4" w:space="0" w:color="auto"/>
              <w:bottom w:val="single" w:sz="4" w:space="0" w:color="auto"/>
              <w:right w:val="single" w:sz="4" w:space="0" w:color="auto"/>
            </w:tcBorders>
            <w:vAlign w:val="center"/>
          </w:tcPr>
          <w:p w:rsidR="00EE7527" w:rsidRPr="00652E79" w:rsidRDefault="00EE7527" w:rsidP="00795089">
            <w:pPr>
              <w:widowControl/>
              <w:autoSpaceDE/>
              <w:autoSpaceDN/>
              <w:adjustRightInd/>
              <w:spacing w:line="360" w:lineRule="auto"/>
              <w:ind w:left="-68"/>
              <w:jc w:val="center"/>
              <w:rPr>
                <w:rFonts w:ascii="Times New Roman" w:hAnsi="Times New Roman" w:cs="Times New Roman"/>
                <w:sz w:val="18"/>
                <w:szCs w:val="18"/>
              </w:rPr>
            </w:pPr>
            <w:r w:rsidRPr="00652E79">
              <w:rPr>
                <w:rFonts w:ascii="Times New Roman" w:hAnsi="Times New Roman" w:cs="Times New Roman"/>
                <w:sz w:val="18"/>
                <w:szCs w:val="18"/>
              </w:rPr>
              <w:t>13,4</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6,5</w:t>
            </w:r>
          </w:p>
        </w:tc>
        <w:tc>
          <w:tcPr>
            <w:tcW w:w="60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inorHAnsi" w:hAnsiTheme="minorHAnsi" w:cstheme="minorHAnsi"/>
                <w:sz w:val="18"/>
                <w:szCs w:val="18"/>
              </w:rPr>
            </w:pPr>
            <w:r w:rsidRPr="00652E79">
              <w:rPr>
                <w:rFonts w:asciiTheme="minorHAnsi" w:hAnsiTheme="minorHAnsi" w:cstheme="minorHAnsi"/>
                <w:sz w:val="18"/>
                <w:szCs w:val="18"/>
              </w:rPr>
              <w:t>5,0</w:t>
            </w:r>
          </w:p>
        </w:tc>
        <w:tc>
          <w:tcPr>
            <w:tcW w:w="675"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2,3</w:t>
            </w:r>
          </w:p>
        </w:tc>
        <w:tc>
          <w:tcPr>
            <w:tcW w:w="76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1,2</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7,6</w:t>
            </w:r>
          </w:p>
        </w:tc>
        <w:tc>
          <w:tcPr>
            <w:tcW w:w="639" w:type="dxa"/>
            <w:tcBorders>
              <w:top w:val="nil"/>
              <w:left w:val="single" w:sz="4" w:space="0" w:color="auto"/>
              <w:bottom w:val="single" w:sz="4" w:space="0" w:color="auto"/>
              <w:right w:val="single" w:sz="4" w:space="0" w:color="auto"/>
            </w:tcBorders>
            <w:shd w:val="clear" w:color="auto" w:fill="auto"/>
            <w:vAlign w:val="center"/>
            <w:hideMark/>
          </w:tcPr>
          <w:p w:rsidR="00EE7527" w:rsidRPr="00652E79" w:rsidRDefault="00EE7527" w:rsidP="00795089">
            <w:pPr>
              <w:spacing w:line="360" w:lineRule="auto"/>
              <w:jc w:val="center"/>
              <w:rPr>
                <w:rFonts w:asciiTheme="minorHAnsi" w:hAnsiTheme="minorHAnsi" w:cstheme="minorHAnsi"/>
                <w:sz w:val="18"/>
                <w:szCs w:val="18"/>
              </w:rPr>
            </w:pPr>
            <w:r w:rsidRPr="00652E79">
              <w:rPr>
                <w:rFonts w:asciiTheme="minorHAnsi" w:hAnsiTheme="minorHAnsi" w:cstheme="minorHAnsi"/>
                <w:sz w:val="18"/>
                <w:szCs w:val="18"/>
              </w:rPr>
              <w:t>3,3</w:t>
            </w:r>
          </w:p>
        </w:tc>
        <w:tc>
          <w:tcPr>
            <w:tcW w:w="639" w:type="dxa"/>
            <w:tcBorders>
              <w:top w:val="nil"/>
              <w:left w:val="nil"/>
              <w:bottom w:val="single" w:sz="4" w:space="0" w:color="auto"/>
              <w:right w:val="single" w:sz="4" w:space="0" w:color="auto"/>
            </w:tcBorders>
            <w:shd w:val="clear" w:color="auto" w:fill="auto"/>
            <w:vAlign w:val="center"/>
            <w:hideMark/>
          </w:tcPr>
          <w:p w:rsidR="00EE7527" w:rsidRPr="00652E79" w:rsidRDefault="00EE7527" w:rsidP="00795089">
            <w:pPr>
              <w:spacing w:line="360" w:lineRule="auto"/>
              <w:jc w:val="center"/>
              <w:rPr>
                <w:rFonts w:asciiTheme="minorHAnsi" w:hAnsiTheme="minorHAnsi" w:cstheme="minorHAnsi"/>
                <w:sz w:val="18"/>
                <w:szCs w:val="18"/>
              </w:rPr>
            </w:pPr>
            <w:r w:rsidRPr="00652E79">
              <w:rPr>
                <w:rFonts w:asciiTheme="minorHAnsi" w:hAnsiTheme="minorHAnsi" w:cstheme="minorHAnsi"/>
                <w:sz w:val="18"/>
                <w:szCs w:val="18"/>
              </w:rPr>
              <w:t>4,2</w:t>
            </w:r>
          </w:p>
        </w:tc>
        <w:tc>
          <w:tcPr>
            <w:tcW w:w="646" w:type="dxa"/>
            <w:tcBorders>
              <w:top w:val="nil"/>
              <w:left w:val="nil"/>
              <w:bottom w:val="single" w:sz="4" w:space="0" w:color="auto"/>
              <w:right w:val="single" w:sz="4" w:space="0" w:color="auto"/>
            </w:tcBorders>
            <w:shd w:val="clear" w:color="auto" w:fill="auto"/>
            <w:vAlign w:val="center"/>
            <w:hideMark/>
          </w:tcPr>
          <w:p w:rsidR="00EE7527" w:rsidRPr="00652E79" w:rsidRDefault="00EE7527" w:rsidP="00795089">
            <w:pPr>
              <w:spacing w:line="360" w:lineRule="auto"/>
              <w:jc w:val="center"/>
              <w:rPr>
                <w:rFonts w:asciiTheme="minorHAnsi" w:hAnsiTheme="minorHAnsi" w:cstheme="minorHAnsi"/>
                <w:sz w:val="18"/>
                <w:szCs w:val="18"/>
              </w:rPr>
            </w:pPr>
            <w:r w:rsidRPr="00652E79">
              <w:rPr>
                <w:rFonts w:asciiTheme="minorHAnsi" w:hAnsiTheme="minorHAnsi" w:cstheme="minorHAnsi"/>
                <w:sz w:val="18"/>
                <w:szCs w:val="18"/>
              </w:rPr>
              <w:t>0,1</w:t>
            </w:r>
          </w:p>
        </w:tc>
        <w:tc>
          <w:tcPr>
            <w:tcW w:w="1822" w:type="dxa"/>
            <w:gridSpan w:val="2"/>
            <w:tcBorders>
              <w:top w:val="nil"/>
              <w:left w:val="nil"/>
              <w:bottom w:val="single" w:sz="4" w:space="0" w:color="auto"/>
              <w:right w:val="single" w:sz="4" w:space="0" w:color="auto"/>
            </w:tcBorders>
            <w:shd w:val="clear" w:color="auto" w:fill="auto"/>
            <w:noWrap/>
            <w:vAlign w:val="center"/>
            <w:hideMark/>
          </w:tcPr>
          <w:p w:rsidR="00EE7527" w:rsidRPr="00652E79" w:rsidRDefault="00EE7527" w:rsidP="00795089">
            <w:pPr>
              <w:bidi/>
              <w:spacing w:line="360" w:lineRule="auto"/>
              <w:rPr>
                <w:rFonts w:asciiTheme="majorBidi" w:hAnsiTheme="majorBidi" w:cstheme="majorBidi"/>
                <w:bCs/>
                <w:color w:val="000000"/>
                <w:sz w:val="18"/>
                <w:szCs w:val="18"/>
              </w:rPr>
            </w:pPr>
            <w:r w:rsidRPr="00652E79">
              <w:rPr>
                <w:rFonts w:asciiTheme="majorBidi" w:hAnsiTheme="majorBidi" w:cstheme="majorBidi"/>
                <w:bCs/>
                <w:color w:val="000000"/>
                <w:sz w:val="18"/>
                <w:szCs w:val="18"/>
                <w:rtl/>
              </w:rPr>
              <w:t>التطور المرتقب للوضعية المالية للأسرة</w:t>
            </w:r>
          </w:p>
        </w:tc>
      </w:tr>
      <w:tr w:rsidR="00EE7527" w:rsidRPr="00652E79" w:rsidTr="00652E79">
        <w:trPr>
          <w:gridAfter w:val="1"/>
          <w:wAfter w:w="18" w:type="dxa"/>
          <w:trHeight w:val="314"/>
          <w:jc w:val="center"/>
        </w:trPr>
        <w:tc>
          <w:tcPr>
            <w:tcW w:w="15887" w:type="dxa"/>
            <w:gridSpan w:val="21"/>
            <w:tcBorders>
              <w:top w:val="nil"/>
              <w:left w:val="single" w:sz="4" w:space="0" w:color="auto"/>
              <w:bottom w:val="single" w:sz="4" w:space="0" w:color="auto"/>
              <w:right w:val="single" w:sz="4" w:space="0" w:color="auto"/>
            </w:tcBorders>
            <w:vAlign w:val="center"/>
          </w:tcPr>
          <w:p w:rsidR="00EE7527" w:rsidRPr="00652E79" w:rsidRDefault="00EE7527" w:rsidP="00795089">
            <w:pPr>
              <w:bidi/>
              <w:spacing w:line="360" w:lineRule="auto"/>
              <w:jc w:val="center"/>
              <w:rPr>
                <w:rFonts w:asciiTheme="majorBidi" w:hAnsiTheme="majorBidi" w:cstheme="majorBidi"/>
                <w:bCs/>
                <w:color w:val="000000"/>
                <w:sz w:val="18"/>
                <w:szCs w:val="18"/>
                <w:rtl/>
              </w:rPr>
            </w:pPr>
            <w:r w:rsidRPr="00652E79">
              <w:rPr>
                <w:rFonts w:asciiTheme="majorBidi" w:hAnsiTheme="majorBidi" w:cstheme="majorBidi" w:hint="cs"/>
                <w:bCs/>
                <w:color w:val="000000"/>
                <w:sz w:val="18"/>
                <w:szCs w:val="18"/>
                <w:rtl/>
              </w:rPr>
              <w:t>مؤشرات أخرى</w:t>
            </w:r>
          </w:p>
        </w:tc>
      </w:tr>
      <w:tr w:rsidR="00652E79" w:rsidRPr="005407A5" w:rsidTr="00652E79">
        <w:trPr>
          <w:trHeight w:val="638"/>
          <w:jc w:val="center"/>
        </w:trPr>
        <w:tc>
          <w:tcPr>
            <w:tcW w:w="962" w:type="dxa"/>
            <w:tcBorders>
              <w:top w:val="single" w:sz="4" w:space="0" w:color="auto"/>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color w:val="000000"/>
                <w:sz w:val="18"/>
                <w:szCs w:val="18"/>
              </w:rPr>
            </w:pPr>
            <w:r w:rsidRPr="00652E79">
              <w:rPr>
                <w:rFonts w:ascii="Calibri" w:hAnsi="Calibri"/>
                <w:color w:val="000000"/>
                <w:sz w:val="18"/>
                <w:szCs w:val="18"/>
              </w:rPr>
              <w:t>-82,2</w:t>
            </w:r>
          </w:p>
        </w:tc>
        <w:tc>
          <w:tcPr>
            <w:tcW w:w="977" w:type="dxa"/>
            <w:tcBorders>
              <w:top w:val="single" w:sz="4" w:space="0" w:color="auto"/>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color w:val="000000"/>
                <w:sz w:val="18"/>
                <w:szCs w:val="18"/>
              </w:rPr>
            </w:pPr>
            <w:r w:rsidRPr="00652E79">
              <w:rPr>
                <w:rFonts w:ascii="Calibri" w:hAnsi="Calibri"/>
                <w:color w:val="000000"/>
                <w:sz w:val="18"/>
                <w:szCs w:val="18"/>
              </w:rPr>
              <w:t>-83,3</w:t>
            </w:r>
          </w:p>
        </w:tc>
        <w:tc>
          <w:tcPr>
            <w:tcW w:w="794" w:type="dxa"/>
            <w:tcBorders>
              <w:top w:val="single" w:sz="4" w:space="0" w:color="auto"/>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color w:val="000000"/>
                <w:sz w:val="18"/>
                <w:szCs w:val="18"/>
              </w:rPr>
            </w:pPr>
            <w:r w:rsidRPr="00652E79">
              <w:rPr>
                <w:rFonts w:ascii="Calibri" w:hAnsi="Calibri"/>
                <w:color w:val="000000"/>
                <w:sz w:val="18"/>
                <w:szCs w:val="18"/>
              </w:rPr>
              <w:t>-86,5</w:t>
            </w:r>
          </w:p>
        </w:tc>
        <w:tc>
          <w:tcPr>
            <w:tcW w:w="681" w:type="dxa"/>
            <w:tcBorders>
              <w:top w:val="single" w:sz="4" w:space="0" w:color="auto"/>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-87,5</w:t>
            </w:r>
          </w:p>
        </w:tc>
        <w:tc>
          <w:tcPr>
            <w:tcW w:w="638" w:type="dxa"/>
            <w:tcBorders>
              <w:top w:val="single" w:sz="4" w:space="0" w:color="auto"/>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-86,6</w:t>
            </w:r>
          </w:p>
        </w:tc>
        <w:tc>
          <w:tcPr>
            <w:tcW w:w="638" w:type="dxa"/>
            <w:tcBorders>
              <w:top w:val="single" w:sz="4" w:space="0" w:color="auto"/>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-82,1</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-84,0</w:t>
            </w:r>
          </w:p>
        </w:tc>
        <w:tc>
          <w:tcPr>
            <w:tcW w:w="79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-82,9</w:t>
            </w:r>
          </w:p>
        </w:tc>
        <w:tc>
          <w:tcPr>
            <w:tcW w:w="797"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-79,6</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-74,0</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-74,5</w:t>
            </w:r>
          </w:p>
        </w:tc>
        <w:tc>
          <w:tcPr>
            <w:tcW w:w="64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imes New Roman" w:hAnsi="Times New Roman" w:cs="Times New Roman"/>
                <w:sz w:val="18"/>
                <w:szCs w:val="18"/>
              </w:rPr>
            </w:pPr>
            <w:r w:rsidRPr="00652E79">
              <w:rPr>
                <w:rFonts w:ascii="Times New Roman" w:hAnsi="Times New Roman" w:cs="Times New Roman"/>
                <w:sz w:val="18"/>
                <w:szCs w:val="18"/>
              </w:rPr>
              <w:t>-77,7</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-77,3</w:t>
            </w:r>
          </w:p>
        </w:tc>
        <w:tc>
          <w:tcPr>
            <w:tcW w:w="60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-77,9</w:t>
            </w:r>
          </w:p>
        </w:tc>
        <w:tc>
          <w:tcPr>
            <w:tcW w:w="675"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-77,3</w:t>
            </w:r>
          </w:p>
        </w:tc>
        <w:tc>
          <w:tcPr>
            <w:tcW w:w="76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-79,3</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-75,2</w:t>
            </w:r>
          </w:p>
        </w:tc>
        <w:tc>
          <w:tcPr>
            <w:tcW w:w="639" w:type="dxa"/>
            <w:tcBorders>
              <w:top w:val="nil"/>
              <w:left w:val="single" w:sz="4" w:space="0" w:color="auto"/>
              <w:bottom w:val="single" w:sz="4" w:space="0" w:color="auto"/>
              <w:right w:val="single" w:sz="4" w:space="0" w:color="auto"/>
            </w:tcBorders>
            <w:shd w:val="clear" w:color="auto" w:fill="auto"/>
            <w:vAlign w:val="center"/>
            <w:hideMark/>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-75,3</w:t>
            </w:r>
          </w:p>
        </w:tc>
        <w:tc>
          <w:tcPr>
            <w:tcW w:w="639" w:type="dxa"/>
            <w:tcBorders>
              <w:top w:val="nil"/>
              <w:left w:val="nil"/>
              <w:bottom w:val="single" w:sz="4" w:space="0" w:color="auto"/>
              <w:right w:val="nil"/>
            </w:tcBorders>
            <w:shd w:val="clear" w:color="auto" w:fill="auto"/>
            <w:vAlign w:val="center"/>
            <w:hideMark/>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-75.6</w:t>
            </w:r>
          </w:p>
        </w:tc>
        <w:tc>
          <w:tcPr>
            <w:tcW w:w="646" w:type="dxa"/>
            <w:tcBorders>
              <w:top w:val="nil"/>
              <w:left w:val="single" w:sz="4" w:space="0" w:color="auto"/>
              <w:bottom w:val="single" w:sz="4" w:space="0" w:color="auto"/>
              <w:right w:val="single" w:sz="4" w:space="0" w:color="auto"/>
            </w:tcBorders>
            <w:shd w:val="clear" w:color="auto" w:fill="auto"/>
            <w:vAlign w:val="center"/>
            <w:hideMark/>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w:t>
            </w:r>
            <w:r w:rsidRPr="00652E79">
              <w:rPr>
                <w:rFonts w:asciiTheme="minorHAnsi" w:hAnsiTheme="minorHAnsi" w:cstheme="minorHAnsi"/>
                <w:sz w:val="18"/>
                <w:szCs w:val="18"/>
                <w:rtl/>
              </w:rPr>
              <w:t>77.2</w:t>
            </w:r>
          </w:p>
        </w:tc>
        <w:tc>
          <w:tcPr>
            <w:tcW w:w="1822" w:type="dxa"/>
            <w:gridSpan w:val="2"/>
            <w:tcBorders>
              <w:top w:val="nil"/>
              <w:left w:val="nil"/>
              <w:bottom w:val="single" w:sz="4" w:space="0" w:color="auto"/>
              <w:right w:val="single" w:sz="4" w:space="0" w:color="auto"/>
            </w:tcBorders>
            <w:shd w:val="clear" w:color="auto" w:fill="auto"/>
            <w:noWrap/>
            <w:vAlign w:val="center"/>
            <w:hideMark/>
          </w:tcPr>
          <w:p w:rsidR="00EE7527" w:rsidRPr="00652E79" w:rsidRDefault="00EE7527" w:rsidP="00795089">
            <w:pPr>
              <w:bidi/>
              <w:spacing w:line="360" w:lineRule="auto"/>
              <w:rPr>
                <w:rFonts w:asciiTheme="majorBidi" w:hAnsiTheme="majorBidi" w:cstheme="majorBidi"/>
                <w:bCs/>
                <w:color w:val="000000"/>
                <w:sz w:val="18"/>
                <w:szCs w:val="18"/>
              </w:rPr>
            </w:pPr>
            <w:r w:rsidRPr="00652E79">
              <w:rPr>
                <w:rFonts w:asciiTheme="majorBidi" w:hAnsiTheme="majorBidi" w:cstheme="majorBidi"/>
                <w:bCs/>
                <w:color w:val="000000"/>
                <w:sz w:val="18"/>
                <w:szCs w:val="18"/>
                <w:rtl/>
              </w:rPr>
              <w:t xml:space="preserve">التطور المرتقب </w:t>
            </w:r>
            <w:r w:rsidRPr="00652E79">
              <w:rPr>
                <w:rFonts w:asciiTheme="majorBidi" w:hAnsiTheme="majorBidi" w:cstheme="majorBidi" w:hint="cs"/>
                <w:bCs/>
                <w:color w:val="000000"/>
                <w:sz w:val="18"/>
                <w:szCs w:val="18"/>
                <w:rtl/>
              </w:rPr>
              <w:t>لأسعار</w:t>
            </w:r>
            <w:r w:rsidRPr="00652E79">
              <w:rPr>
                <w:rFonts w:asciiTheme="majorBidi" w:hAnsiTheme="majorBidi" w:cstheme="majorBidi"/>
                <w:bCs/>
                <w:color w:val="000000"/>
                <w:sz w:val="18"/>
                <w:szCs w:val="18"/>
                <w:rtl/>
              </w:rPr>
              <w:t xml:space="preserve"> المواد الغذائية</w:t>
            </w:r>
          </w:p>
        </w:tc>
      </w:tr>
      <w:tr w:rsidR="00652E79" w:rsidRPr="005407A5" w:rsidTr="00652E79">
        <w:trPr>
          <w:trHeight w:val="611"/>
          <w:jc w:val="center"/>
        </w:trPr>
        <w:tc>
          <w:tcPr>
            <w:tcW w:w="962"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color w:val="000000"/>
                <w:sz w:val="18"/>
                <w:szCs w:val="18"/>
              </w:rPr>
            </w:pPr>
            <w:r w:rsidRPr="00652E79">
              <w:rPr>
                <w:rFonts w:ascii="Calibri" w:hAnsi="Calibri"/>
                <w:color w:val="000000"/>
                <w:sz w:val="18"/>
                <w:szCs w:val="18"/>
              </w:rPr>
              <w:t>-85,1</w:t>
            </w:r>
          </w:p>
        </w:tc>
        <w:tc>
          <w:tcPr>
            <w:tcW w:w="977"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color w:val="000000"/>
                <w:sz w:val="18"/>
                <w:szCs w:val="18"/>
              </w:rPr>
            </w:pPr>
            <w:r w:rsidRPr="00652E79">
              <w:rPr>
                <w:rFonts w:ascii="Calibri" w:hAnsi="Calibri"/>
                <w:color w:val="000000"/>
                <w:sz w:val="18"/>
                <w:szCs w:val="18"/>
              </w:rPr>
              <w:t>-83,7</w:t>
            </w:r>
          </w:p>
        </w:tc>
        <w:tc>
          <w:tcPr>
            <w:tcW w:w="794"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color w:val="000000"/>
                <w:sz w:val="18"/>
                <w:szCs w:val="18"/>
              </w:rPr>
            </w:pPr>
            <w:r w:rsidRPr="00652E79">
              <w:rPr>
                <w:rFonts w:ascii="Calibri" w:hAnsi="Calibri"/>
                <w:color w:val="000000"/>
                <w:sz w:val="18"/>
                <w:szCs w:val="18"/>
              </w:rPr>
              <w:t>-88,9</w:t>
            </w:r>
          </w:p>
        </w:tc>
        <w:tc>
          <w:tcPr>
            <w:tcW w:w="68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-88,1</w:t>
            </w:r>
          </w:p>
        </w:tc>
        <w:tc>
          <w:tcPr>
            <w:tcW w:w="638"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-90,3</w:t>
            </w:r>
          </w:p>
        </w:tc>
        <w:tc>
          <w:tcPr>
            <w:tcW w:w="638"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-88,1</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-88,2</w:t>
            </w:r>
          </w:p>
        </w:tc>
        <w:tc>
          <w:tcPr>
            <w:tcW w:w="79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-86,7</w:t>
            </w:r>
          </w:p>
        </w:tc>
        <w:tc>
          <w:tcPr>
            <w:tcW w:w="797"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-88,5</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-82,8</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-86,4</w:t>
            </w:r>
          </w:p>
        </w:tc>
        <w:tc>
          <w:tcPr>
            <w:tcW w:w="64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imes New Roman" w:hAnsi="Times New Roman" w:cs="Times New Roman"/>
                <w:sz w:val="18"/>
                <w:szCs w:val="18"/>
              </w:rPr>
            </w:pPr>
            <w:r w:rsidRPr="00652E79">
              <w:rPr>
                <w:rFonts w:ascii="Times New Roman" w:hAnsi="Times New Roman" w:cs="Times New Roman"/>
                <w:sz w:val="18"/>
                <w:szCs w:val="18"/>
              </w:rPr>
              <w:t>-86,8</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-87,3</w:t>
            </w:r>
          </w:p>
        </w:tc>
        <w:tc>
          <w:tcPr>
            <w:tcW w:w="60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-87,7</w:t>
            </w:r>
          </w:p>
        </w:tc>
        <w:tc>
          <w:tcPr>
            <w:tcW w:w="675"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-87,9</w:t>
            </w:r>
          </w:p>
        </w:tc>
        <w:tc>
          <w:tcPr>
            <w:tcW w:w="76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-85,5</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-85,4</w:t>
            </w:r>
          </w:p>
        </w:tc>
        <w:tc>
          <w:tcPr>
            <w:tcW w:w="639" w:type="dxa"/>
            <w:tcBorders>
              <w:top w:val="nil"/>
              <w:left w:val="single" w:sz="4" w:space="0" w:color="auto"/>
              <w:bottom w:val="single" w:sz="4" w:space="0" w:color="auto"/>
              <w:right w:val="single" w:sz="4" w:space="0" w:color="auto"/>
            </w:tcBorders>
            <w:shd w:val="clear" w:color="auto" w:fill="auto"/>
            <w:vAlign w:val="center"/>
            <w:hideMark/>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-84,3</w:t>
            </w:r>
          </w:p>
        </w:tc>
        <w:tc>
          <w:tcPr>
            <w:tcW w:w="639" w:type="dxa"/>
            <w:tcBorders>
              <w:top w:val="nil"/>
              <w:left w:val="nil"/>
              <w:bottom w:val="single" w:sz="4" w:space="0" w:color="auto"/>
              <w:right w:val="nil"/>
            </w:tcBorders>
            <w:shd w:val="clear" w:color="auto" w:fill="auto"/>
            <w:vAlign w:val="center"/>
            <w:hideMark/>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-85,3</w:t>
            </w:r>
          </w:p>
        </w:tc>
        <w:tc>
          <w:tcPr>
            <w:tcW w:w="646" w:type="dxa"/>
            <w:tcBorders>
              <w:top w:val="nil"/>
              <w:left w:val="single" w:sz="4" w:space="0" w:color="auto"/>
              <w:bottom w:val="single" w:sz="4" w:space="0" w:color="auto"/>
              <w:right w:val="single" w:sz="4" w:space="0" w:color="auto"/>
            </w:tcBorders>
            <w:shd w:val="clear" w:color="auto" w:fill="auto"/>
            <w:vAlign w:val="center"/>
            <w:hideMark/>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w:t>
            </w:r>
            <w:r w:rsidRPr="00652E79">
              <w:rPr>
                <w:rFonts w:asciiTheme="minorHAnsi" w:hAnsiTheme="minorHAnsi" w:cstheme="minorHAnsi"/>
                <w:sz w:val="18"/>
                <w:szCs w:val="18"/>
                <w:rtl/>
              </w:rPr>
              <w:t>87.</w:t>
            </w:r>
            <w:r w:rsidRPr="00652E79">
              <w:rPr>
                <w:rFonts w:asciiTheme="minorHAnsi" w:hAnsiTheme="minorHAnsi" w:cstheme="minorHAnsi"/>
                <w:sz w:val="18"/>
                <w:szCs w:val="18"/>
              </w:rPr>
              <w:t>2</w:t>
            </w:r>
          </w:p>
        </w:tc>
        <w:tc>
          <w:tcPr>
            <w:tcW w:w="1822" w:type="dxa"/>
            <w:gridSpan w:val="2"/>
            <w:tcBorders>
              <w:top w:val="nil"/>
              <w:left w:val="nil"/>
              <w:bottom w:val="single" w:sz="4" w:space="0" w:color="auto"/>
              <w:right w:val="single" w:sz="4" w:space="0" w:color="auto"/>
            </w:tcBorders>
            <w:shd w:val="clear" w:color="auto" w:fill="auto"/>
            <w:noWrap/>
            <w:vAlign w:val="center"/>
            <w:hideMark/>
          </w:tcPr>
          <w:p w:rsidR="00EE7527" w:rsidRPr="00652E79" w:rsidRDefault="00EE7527" w:rsidP="00795089">
            <w:pPr>
              <w:bidi/>
              <w:spacing w:line="360" w:lineRule="auto"/>
              <w:rPr>
                <w:rFonts w:asciiTheme="majorBidi" w:hAnsiTheme="majorBidi" w:cstheme="majorBidi"/>
                <w:bCs/>
                <w:color w:val="000000"/>
                <w:sz w:val="18"/>
                <w:szCs w:val="18"/>
              </w:rPr>
            </w:pPr>
            <w:r w:rsidRPr="00652E79">
              <w:rPr>
                <w:rFonts w:asciiTheme="majorBidi" w:hAnsiTheme="majorBidi" w:cstheme="majorBidi"/>
                <w:bCs/>
                <w:color w:val="000000"/>
                <w:sz w:val="18"/>
                <w:szCs w:val="18"/>
                <w:rtl/>
              </w:rPr>
              <w:t xml:space="preserve">التطور السابق </w:t>
            </w:r>
            <w:r w:rsidRPr="00652E79">
              <w:rPr>
                <w:rFonts w:asciiTheme="majorBidi" w:hAnsiTheme="majorBidi" w:cstheme="majorBidi" w:hint="cs"/>
                <w:bCs/>
                <w:color w:val="000000"/>
                <w:sz w:val="18"/>
                <w:szCs w:val="18"/>
                <w:rtl/>
              </w:rPr>
              <w:t>لأسعار</w:t>
            </w:r>
            <w:r w:rsidRPr="00652E79">
              <w:rPr>
                <w:rFonts w:asciiTheme="majorBidi" w:hAnsiTheme="majorBidi" w:cstheme="majorBidi"/>
                <w:bCs/>
                <w:color w:val="000000"/>
                <w:sz w:val="18"/>
                <w:szCs w:val="18"/>
                <w:rtl/>
              </w:rPr>
              <w:t xml:space="preserve"> المواد الغذائية</w:t>
            </w:r>
          </w:p>
        </w:tc>
      </w:tr>
      <w:tr w:rsidR="00652E79" w:rsidRPr="005407A5" w:rsidTr="00652E79">
        <w:trPr>
          <w:trHeight w:val="928"/>
          <w:jc w:val="center"/>
        </w:trPr>
        <w:tc>
          <w:tcPr>
            <w:tcW w:w="962" w:type="dxa"/>
            <w:tcBorders>
              <w:top w:val="nil"/>
              <w:left w:val="single" w:sz="4" w:space="0" w:color="auto"/>
              <w:bottom w:val="single" w:sz="4" w:space="0" w:color="auto"/>
              <w:right w:val="single" w:sz="4" w:space="0" w:color="auto"/>
            </w:tcBorders>
            <w:vAlign w:val="center"/>
          </w:tcPr>
          <w:p w:rsidR="00EE7527" w:rsidRPr="00652E79" w:rsidRDefault="00EE7527" w:rsidP="00141E9B">
            <w:pPr>
              <w:spacing w:line="360" w:lineRule="auto"/>
              <w:jc w:val="center"/>
              <w:rPr>
                <w:rFonts w:ascii="Calibri" w:hAnsi="Calibri"/>
                <w:color w:val="000000"/>
                <w:sz w:val="18"/>
                <w:szCs w:val="18"/>
              </w:rPr>
            </w:pPr>
            <w:r w:rsidRPr="00652E79">
              <w:rPr>
                <w:rFonts w:ascii="Calibri" w:hAnsi="Calibri"/>
                <w:color w:val="000000"/>
                <w:sz w:val="18"/>
                <w:szCs w:val="18"/>
              </w:rPr>
              <w:t>-64,</w:t>
            </w:r>
            <w:r w:rsidR="00141E9B" w:rsidRPr="00652E79">
              <w:rPr>
                <w:rFonts w:ascii="Calibri" w:hAnsi="Calibri"/>
                <w:color w:val="000000"/>
                <w:sz w:val="18"/>
                <w:szCs w:val="18"/>
              </w:rPr>
              <w:t>6</w:t>
            </w:r>
          </w:p>
        </w:tc>
        <w:tc>
          <w:tcPr>
            <w:tcW w:w="977"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color w:val="000000"/>
                <w:sz w:val="18"/>
                <w:szCs w:val="18"/>
              </w:rPr>
            </w:pPr>
            <w:r w:rsidRPr="00652E79">
              <w:rPr>
                <w:rFonts w:ascii="Calibri" w:hAnsi="Calibri"/>
                <w:color w:val="000000"/>
                <w:sz w:val="18"/>
                <w:szCs w:val="18"/>
              </w:rPr>
              <w:t>-64,4</w:t>
            </w:r>
          </w:p>
        </w:tc>
        <w:tc>
          <w:tcPr>
            <w:tcW w:w="794"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Calibri" w:hAnsi="Calibri"/>
                <w:color w:val="000000"/>
                <w:sz w:val="18"/>
                <w:szCs w:val="18"/>
              </w:rPr>
            </w:pPr>
            <w:r w:rsidRPr="00652E79">
              <w:rPr>
                <w:rFonts w:ascii="Calibri" w:hAnsi="Calibri"/>
                <w:color w:val="000000"/>
                <w:sz w:val="18"/>
                <w:szCs w:val="18"/>
              </w:rPr>
              <w:t>-66,6</w:t>
            </w:r>
          </w:p>
        </w:tc>
        <w:tc>
          <w:tcPr>
            <w:tcW w:w="68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-6</w:t>
            </w:r>
            <w:r w:rsidRPr="00652E79">
              <w:rPr>
                <w:rFonts w:ascii="Times New Roman" w:hAnsi="Times New Roman" w:cs="Times New Roman" w:hint="cs"/>
                <w:sz w:val="18"/>
                <w:szCs w:val="18"/>
                <w:rtl/>
              </w:rPr>
              <w:t>3</w:t>
            </w:r>
            <w:r w:rsidRPr="00652E79">
              <w:rPr>
                <w:rFonts w:ascii="Times New Roman" w:hAnsi="Times New Roman" w:cs="Times New Roman"/>
                <w:sz w:val="18"/>
                <w:szCs w:val="18"/>
              </w:rPr>
              <w:t>,</w:t>
            </w:r>
            <w:r w:rsidRPr="00652E79">
              <w:rPr>
                <w:rFonts w:ascii="Times New Roman" w:hAnsi="Times New Roman" w:cs="Times New Roman" w:hint="cs"/>
                <w:sz w:val="18"/>
                <w:szCs w:val="18"/>
                <w:rtl/>
              </w:rPr>
              <w:t>0</w:t>
            </w:r>
          </w:p>
        </w:tc>
        <w:tc>
          <w:tcPr>
            <w:tcW w:w="638"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-63,0</w:t>
            </w:r>
          </w:p>
        </w:tc>
        <w:tc>
          <w:tcPr>
            <w:tcW w:w="638"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-64,6</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-57,9</w:t>
            </w:r>
          </w:p>
        </w:tc>
        <w:tc>
          <w:tcPr>
            <w:tcW w:w="79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-54,5</w:t>
            </w:r>
          </w:p>
        </w:tc>
        <w:tc>
          <w:tcPr>
            <w:tcW w:w="797"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-58,6</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-55,7</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heme="majorBidi" w:hAnsiTheme="majorBidi" w:cstheme="majorBidi"/>
                <w:color w:val="000000"/>
                <w:sz w:val="18"/>
                <w:szCs w:val="18"/>
              </w:rPr>
            </w:pPr>
            <w:r w:rsidRPr="00652E79">
              <w:rPr>
                <w:rFonts w:asciiTheme="majorBidi" w:hAnsiTheme="majorBidi" w:cstheme="majorBidi"/>
                <w:color w:val="000000"/>
                <w:sz w:val="18"/>
                <w:szCs w:val="18"/>
              </w:rPr>
              <w:t>-59,1</w:t>
            </w:r>
          </w:p>
        </w:tc>
        <w:tc>
          <w:tcPr>
            <w:tcW w:w="64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-64,1</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jc w:val="center"/>
              <w:rPr>
                <w:rFonts w:ascii="Times New Roman" w:hAnsi="Times New Roman" w:cs="Times New Roman"/>
                <w:sz w:val="18"/>
                <w:szCs w:val="18"/>
              </w:rPr>
            </w:pPr>
            <w:r w:rsidRPr="00652E79">
              <w:rPr>
                <w:rFonts w:ascii="Times New Roman" w:hAnsi="Times New Roman" w:cs="Times New Roman"/>
                <w:sz w:val="18"/>
                <w:szCs w:val="18"/>
              </w:rPr>
              <w:t>-68,7</w:t>
            </w:r>
          </w:p>
        </w:tc>
        <w:tc>
          <w:tcPr>
            <w:tcW w:w="60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-67,9</w:t>
            </w:r>
          </w:p>
        </w:tc>
        <w:tc>
          <w:tcPr>
            <w:tcW w:w="675"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-66,6</w:t>
            </w:r>
          </w:p>
        </w:tc>
        <w:tc>
          <w:tcPr>
            <w:tcW w:w="761"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-69,7</w:t>
            </w:r>
          </w:p>
        </w:tc>
        <w:tc>
          <w:tcPr>
            <w:tcW w:w="639" w:type="dxa"/>
            <w:tcBorders>
              <w:top w:val="nil"/>
              <w:left w:val="single" w:sz="4" w:space="0" w:color="auto"/>
              <w:bottom w:val="single" w:sz="4" w:space="0" w:color="auto"/>
              <w:right w:val="single" w:sz="4" w:space="0" w:color="auto"/>
            </w:tcBorders>
            <w:vAlign w:val="center"/>
          </w:tcPr>
          <w:p w:rsidR="00EE7527" w:rsidRPr="00652E79" w:rsidRDefault="00EE7527" w:rsidP="00795089">
            <w:pPr>
              <w:spacing w:line="360" w:lineRule="auto"/>
              <w:ind w:left="-68"/>
              <w:jc w:val="center"/>
              <w:rPr>
                <w:rFonts w:asciiTheme="minorHAnsi" w:hAnsiTheme="minorHAnsi" w:cstheme="minorHAnsi"/>
                <w:sz w:val="18"/>
                <w:szCs w:val="18"/>
                <w:rtl/>
              </w:rPr>
            </w:pPr>
          </w:p>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-69,2</w:t>
            </w:r>
          </w:p>
          <w:p w:rsidR="00EE7527" w:rsidRPr="00652E79" w:rsidRDefault="00EE7527" w:rsidP="00795089">
            <w:pPr>
              <w:widowControl/>
              <w:autoSpaceDE/>
              <w:autoSpaceDN/>
              <w:adjustRightInd/>
              <w:spacing w:line="360" w:lineRule="auto"/>
              <w:ind w:left="-68"/>
              <w:jc w:val="center"/>
              <w:rPr>
                <w:rFonts w:asciiTheme="minorHAnsi" w:hAnsiTheme="minorHAnsi" w:cstheme="minorHAnsi"/>
                <w:sz w:val="18"/>
                <w:szCs w:val="18"/>
              </w:rPr>
            </w:pPr>
          </w:p>
        </w:tc>
        <w:tc>
          <w:tcPr>
            <w:tcW w:w="639" w:type="dxa"/>
            <w:tcBorders>
              <w:top w:val="nil"/>
              <w:left w:val="single" w:sz="4" w:space="0" w:color="auto"/>
              <w:bottom w:val="single" w:sz="4" w:space="0" w:color="auto"/>
              <w:right w:val="single" w:sz="4" w:space="0" w:color="auto"/>
            </w:tcBorders>
            <w:shd w:val="clear" w:color="auto" w:fill="auto"/>
            <w:vAlign w:val="center"/>
            <w:hideMark/>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-70,</w:t>
            </w:r>
            <w:r w:rsidRPr="00652E79">
              <w:rPr>
                <w:rFonts w:asciiTheme="minorHAnsi" w:hAnsiTheme="minorHAnsi" w:cstheme="minorHAnsi"/>
                <w:sz w:val="18"/>
                <w:szCs w:val="18"/>
                <w:rtl/>
              </w:rPr>
              <w:t>6</w:t>
            </w:r>
          </w:p>
        </w:tc>
        <w:tc>
          <w:tcPr>
            <w:tcW w:w="639" w:type="dxa"/>
            <w:tcBorders>
              <w:top w:val="nil"/>
              <w:left w:val="nil"/>
              <w:bottom w:val="single" w:sz="4" w:space="0" w:color="auto"/>
              <w:right w:val="nil"/>
            </w:tcBorders>
            <w:shd w:val="clear" w:color="auto" w:fill="auto"/>
            <w:vAlign w:val="center"/>
            <w:hideMark/>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-67,4</w:t>
            </w:r>
          </w:p>
        </w:tc>
        <w:tc>
          <w:tcPr>
            <w:tcW w:w="646" w:type="dxa"/>
            <w:tcBorders>
              <w:top w:val="nil"/>
              <w:left w:val="single" w:sz="4" w:space="0" w:color="auto"/>
              <w:bottom w:val="single" w:sz="4" w:space="0" w:color="auto"/>
              <w:right w:val="single" w:sz="4" w:space="0" w:color="auto"/>
            </w:tcBorders>
            <w:shd w:val="clear" w:color="auto" w:fill="auto"/>
            <w:vAlign w:val="center"/>
            <w:hideMark/>
          </w:tcPr>
          <w:p w:rsidR="00EE7527" w:rsidRPr="00652E79" w:rsidRDefault="00EE7527" w:rsidP="00795089">
            <w:pPr>
              <w:spacing w:line="360" w:lineRule="auto"/>
              <w:ind w:left="-68"/>
              <w:jc w:val="center"/>
              <w:rPr>
                <w:rFonts w:asciiTheme="minorHAnsi" w:hAnsiTheme="minorHAnsi" w:cstheme="minorHAnsi"/>
                <w:sz w:val="18"/>
                <w:szCs w:val="18"/>
              </w:rPr>
            </w:pPr>
            <w:r w:rsidRPr="00652E79">
              <w:rPr>
                <w:rFonts w:asciiTheme="minorHAnsi" w:hAnsiTheme="minorHAnsi" w:cstheme="minorHAnsi"/>
                <w:sz w:val="18"/>
                <w:szCs w:val="18"/>
              </w:rPr>
              <w:t>-</w:t>
            </w:r>
            <w:r w:rsidRPr="00652E79">
              <w:rPr>
                <w:rFonts w:asciiTheme="minorHAnsi" w:hAnsiTheme="minorHAnsi" w:cstheme="minorHAnsi"/>
                <w:sz w:val="18"/>
                <w:szCs w:val="18"/>
                <w:rtl/>
              </w:rPr>
              <w:t>69,8</w:t>
            </w:r>
          </w:p>
        </w:tc>
        <w:tc>
          <w:tcPr>
            <w:tcW w:w="1822" w:type="dxa"/>
            <w:gridSpan w:val="2"/>
            <w:tcBorders>
              <w:top w:val="nil"/>
              <w:left w:val="nil"/>
              <w:bottom w:val="single" w:sz="4" w:space="0" w:color="auto"/>
              <w:right w:val="single" w:sz="4" w:space="0" w:color="auto"/>
            </w:tcBorders>
            <w:shd w:val="clear" w:color="auto" w:fill="auto"/>
            <w:noWrap/>
            <w:vAlign w:val="center"/>
            <w:hideMark/>
          </w:tcPr>
          <w:p w:rsidR="00EE7527" w:rsidRPr="00652E79" w:rsidRDefault="00EE7527" w:rsidP="00795089">
            <w:pPr>
              <w:bidi/>
              <w:spacing w:line="360" w:lineRule="auto"/>
              <w:rPr>
                <w:rFonts w:asciiTheme="majorBidi" w:hAnsiTheme="majorBidi" w:cstheme="majorBidi"/>
                <w:b/>
                <w:bCs/>
                <w:color w:val="000000"/>
                <w:sz w:val="18"/>
                <w:szCs w:val="18"/>
                <w:rtl/>
              </w:rPr>
            </w:pPr>
          </w:p>
          <w:p w:rsidR="00EE7527" w:rsidRPr="00652E79" w:rsidRDefault="00EE7527" w:rsidP="00795089">
            <w:pPr>
              <w:bidi/>
              <w:spacing w:line="360" w:lineRule="auto"/>
              <w:rPr>
                <w:rFonts w:asciiTheme="majorBidi" w:hAnsiTheme="majorBidi" w:cstheme="majorBidi"/>
                <w:b/>
                <w:bCs/>
                <w:color w:val="000000"/>
                <w:sz w:val="18"/>
                <w:szCs w:val="18"/>
                <w:rtl/>
              </w:rPr>
            </w:pPr>
            <w:r w:rsidRPr="00652E79">
              <w:rPr>
                <w:rFonts w:asciiTheme="majorBidi" w:hAnsiTheme="majorBidi" w:cstheme="majorBidi"/>
                <w:b/>
                <w:bCs/>
                <w:color w:val="000000"/>
                <w:sz w:val="18"/>
                <w:szCs w:val="18"/>
                <w:rtl/>
              </w:rPr>
              <w:t>قدرة الأسر على الادخار خلال الأشهر المقبلة</w:t>
            </w:r>
          </w:p>
          <w:p w:rsidR="00EE7527" w:rsidRPr="00652E79" w:rsidRDefault="00EE7527" w:rsidP="00795089">
            <w:pPr>
              <w:bidi/>
              <w:spacing w:line="360" w:lineRule="auto"/>
              <w:rPr>
                <w:rFonts w:asciiTheme="majorBidi" w:hAnsiTheme="majorBidi" w:cstheme="majorBidi"/>
                <w:b/>
                <w:bCs/>
                <w:color w:val="000000"/>
                <w:sz w:val="18"/>
                <w:szCs w:val="18"/>
              </w:rPr>
            </w:pPr>
          </w:p>
        </w:tc>
      </w:tr>
    </w:tbl>
    <w:p w:rsidR="00B51E40" w:rsidRPr="0047396E" w:rsidRDefault="00B51E40" w:rsidP="00795089">
      <w:pPr>
        <w:bidi/>
        <w:spacing w:line="360" w:lineRule="auto"/>
        <w:jc w:val="both"/>
        <w:rPr>
          <w:lang w:bidi="ar-MA"/>
        </w:rPr>
      </w:pPr>
    </w:p>
    <w:sectPr w:rsidR="00B51E40" w:rsidRPr="0047396E" w:rsidSect="00E335F4">
      <w:pgSz w:w="16838" w:h="11906" w:orient="landscape"/>
      <w:pgMar w:top="284"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3B0" w:rsidRDefault="009153B0" w:rsidP="00FB5154">
      <w:r>
        <w:separator/>
      </w:r>
    </w:p>
  </w:endnote>
  <w:endnote w:type="continuationSeparator" w:id="1">
    <w:p w:rsidR="009153B0" w:rsidRDefault="009153B0" w:rsidP="00FB51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96E" w:rsidRDefault="000468D3">
    <w:pPr>
      <w:pStyle w:val="Pieddepage"/>
      <w:jc w:val="center"/>
    </w:pPr>
    <w:fldSimple w:instr=" PAGE   \* MERGEFORMAT ">
      <w:r w:rsidR="0043280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3B0" w:rsidRDefault="009153B0" w:rsidP="00FB5154">
      <w:r>
        <w:separator/>
      </w:r>
    </w:p>
  </w:footnote>
  <w:footnote w:type="continuationSeparator" w:id="1">
    <w:p w:rsidR="009153B0" w:rsidRDefault="009153B0" w:rsidP="00FB5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6FEE"/>
    <w:multiLevelType w:val="hybridMultilevel"/>
    <w:tmpl w:val="D5B400E4"/>
    <w:lvl w:ilvl="0" w:tplc="3B72FCD0">
      <w:start w:val="1"/>
      <w:numFmt w:val="bullet"/>
      <w:lvlText w:val=""/>
      <w:lvlJc w:val="left"/>
      <w:pPr>
        <w:ind w:left="502" w:hanging="360"/>
      </w:pPr>
      <w:rPr>
        <w:rFonts w:ascii="Symbol" w:hAnsi="Symbol" w:hint="default"/>
        <w:b w:val="0"/>
        <w:bCs w:val="0"/>
      </w:rPr>
    </w:lvl>
    <w:lvl w:ilvl="1" w:tplc="040C0001">
      <w:start w:val="1"/>
      <w:numFmt w:val="bullet"/>
      <w:lvlText w:val=""/>
      <w:lvlJc w:val="left"/>
      <w:pPr>
        <w:ind w:left="1582" w:hanging="360"/>
      </w:pPr>
      <w:rPr>
        <w:rFonts w:ascii="Symbol" w:hAnsi="Symbol"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nsid w:val="018B50F6"/>
    <w:multiLevelType w:val="hybridMultilevel"/>
    <w:tmpl w:val="7B2834A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CE7449C"/>
    <w:multiLevelType w:val="hybridMultilevel"/>
    <w:tmpl w:val="F3EE99E2"/>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10352B3"/>
    <w:multiLevelType w:val="hybridMultilevel"/>
    <w:tmpl w:val="835265B6"/>
    <w:lvl w:ilvl="0" w:tplc="64BC1742">
      <w:start w:val="1"/>
      <w:numFmt w:val="decimal"/>
      <w:lvlText w:val="(%1)"/>
      <w:lvlJc w:val="left"/>
      <w:pPr>
        <w:ind w:left="785" w:hanging="360"/>
      </w:pPr>
      <w:rPr>
        <w:rFonts w:ascii="Times New Roman" w:hAnsi="Times New Roman" w:hint="default"/>
        <w:sz w:val="28"/>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nsid w:val="51335564"/>
    <w:multiLevelType w:val="hybridMultilevel"/>
    <w:tmpl w:val="40FEE506"/>
    <w:lvl w:ilvl="0" w:tplc="040C0001">
      <w:start w:val="1"/>
      <w:numFmt w:val="bullet"/>
      <w:lvlText w:val=""/>
      <w:lvlJc w:val="left"/>
      <w:pPr>
        <w:ind w:left="1021" w:hanging="360"/>
      </w:pPr>
      <w:rPr>
        <w:rFonts w:ascii="Symbol" w:hAnsi="Symbol" w:hint="default"/>
      </w:rPr>
    </w:lvl>
    <w:lvl w:ilvl="1" w:tplc="040C0003" w:tentative="1">
      <w:start w:val="1"/>
      <w:numFmt w:val="bullet"/>
      <w:lvlText w:val="o"/>
      <w:lvlJc w:val="left"/>
      <w:pPr>
        <w:ind w:left="1741" w:hanging="360"/>
      </w:pPr>
      <w:rPr>
        <w:rFonts w:ascii="Courier New" w:hAnsi="Courier New" w:cs="Courier New" w:hint="default"/>
      </w:rPr>
    </w:lvl>
    <w:lvl w:ilvl="2" w:tplc="040C0005" w:tentative="1">
      <w:start w:val="1"/>
      <w:numFmt w:val="bullet"/>
      <w:lvlText w:val=""/>
      <w:lvlJc w:val="left"/>
      <w:pPr>
        <w:ind w:left="2461" w:hanging="360"/>
      </w:pPr>
      <w:rPr>
        <w:rFonts w:ascii="Wingdings" w:hAnsi="Wingdings" w:hint="default"/>
      </w:rPr>
    </w:lvl>
    <w:lvl w:ilvl="3" w:tplc="040C0001" w:tentative="1">
      <w:start w:val="1"/>
      <w:numFmt w:val="bullet"/>
      <w:lvlText w:val=""/>
      <w:lvlJc w:val="left"/>
      <w:pPr>
        <w:ind w:left="3181" w:hanging="360"/>
      </w:pPr>
      <w:rPr>
        <w:rFonts w:ascii="Symbol" w:hAnsi="Symbol" w:hint="default"/>
      </w:rPr>
    </w:lvl>
    <w:lvl w:ilvl="4" w:tplc="040C0003" w:tentative="1">
      <w:start w:val="1"/>
      <w:numFmt w:val="bullet"/>
      <w:lvlText w:val="o"/>
      <w:lvlJc w:val="left"/>
      <w:pPr>
        <w:ind w:left="3901" w:hanging="360"/>
      </w:pPr>
      <w:rPr>
        <w:rFonts w:ascii="Courier New" w:hAnsi="Courier New" w:cs="Courier New" w:hint="default"/>
      </w:rPr>
    </w:lvl>
    <w:lvl w:ilvl="5" w:tplc="040C0005" w:tentative="1">
      <w:start w:val="1"/>
      <w:numFmt w:val="bullet"/>
      <w:lvlText w:val=""/>
      <w:lvlJc w:val="left"/>
      <w:pPr>
        <w:ind w:left="4621" w:hanging="360"/>
      </w:pPr>
      <w:rPr>
        <w:rFonts w:ascii="Wingdings" w:hAnsi="Wingdings" w:hint="default"/>
      </w:rPr>
    </w:lvl>
    <w:lvl w:ilvl="6" w:tplc="040C0001" w:tentative="1">
      <w:start w:val="1"/>
      <w:numFmt w:val="bullet"/>
      <w:lvlText w:val=""/>
      <w:lvlJc w:val="left"/>
      <w:pPr>
        <w:ind w:left="5341" w:hanging="360"/>
      </w:pPr>
      <w:rPr>
        <w:rFonts w:ascii="Symbol" w:hAnsi="Symbol" w:hint="default"/>
      </w:rPr>
    </w:lvl>
    <w:lvl w:ilvl="7" w:tplc="040C0003" w:tentative="1">
      <w:start w:val="1"/>
      <w:numFmt w:val="bullet"/>
      <w:lvlText w:val="o"/>
      <w:lvlJc w:val="left"/>
      <w:pPr>
        <w:ind w:left="6061" w:hanging="360"/>
      </w:pPr>
      <w:rPr>
        <w:rFonts w:ascii="Courier New" w:hAnsi="Courier New" w:cs="Courier New" w:hint="default"/>
      </w:rPr>
    </w:lvl>
    <w:lvl w:ilvl="8" w:tplc="040C0005" w:tentative="1">
      <w:start w:val="1"/>
      <w:numFmt w:val="bullet"/>
      <w:lvlText w:val=""/>
      <w:lvlJc w:val="left"/>
      <w:pPr>
        <w:ind w:left="6781" w:hanging="360"/>
      </w:pPr>
      <w:rPr>
        <w:rFonts w:ascii="Wingdings" w:hAnsi="Wingdings" w:hint="default"/>
      </w:rPr>
    </w:lvl>
  </w:abstractNum>
  <w:abstractNum w:abstractNumId="5">
    <w:nsid w:val="64BB2837"/>
    <w:multiLevelType w:val="hybridMultilevel"/>
    <w:tmpl w:val="21A8AF70"/>
    <w:lvl w:ilvl="0" w:tplc="6D2CC2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BD81E16"/>
    <w:multiLevelType w:val="hybridMultilevel"/>
    <w:tmpl w:val="57CA4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2A56717"/>
    <w:multiLevelType w:val="hybridMultilevel"/>
    <w:tmpl w:val="75165EB6"/>
    <w:lvl w:ilvl="0" w:tplc="FA5E9E30">
      <w:start w:val="1"/>
      <w:numFmt w:val="decimal"/>
      <w:lvlText w:val="%1."/>
      <w:lvlJc w:val="left"/>
      <w:pPr>
        <w:ind w:left="502" w:hanging="360"/>
      </w:pPr>
      <w:rPr>
        <w:rFonts w:hint="default"/>
        <w:b/>
        <w:bCs/>
        <w:sz w:val="32"/>
      </w:rPr>
    </w:lvl>
    <w:lvl w:ilvl="1" w:tplc="040C0001">
      <w:start w:val="1"/>
      <w:numFmt w:val="bullet"/>
      <w:lvlText w:val=""/>
      <w:lvlJc w:val="left"/>
      <w:pPr>
        <w:ind w:left="643" w:hanging="360"/>
      </w:pPr>
      <w:rPr>
        <w:rFonts w:ascii="Symbol" w:hAnsi="Symbol" w:hint="default"/>
      </w:r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8">
    <w:nsid w:val="796616BC"/>
    <w:multiLevelType w:val="hybridMultilevel"/>
    <w:tmpl w:val="BC187EFC"/>
    <w:lvl w:ilvl="0" w:tplc="56428DAC">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7AAF6C0A"/>
    <w:multiLevelType w:val="hybridMultilevel"/>
    <w:tmpl w:val="2020F5B6"/>
    <w:lvl w:ilvl="0" w:tplc="6D2CC28E">
      <w:start w:val="1"/>
      <w:numFmt w:val="decimal"/>
      <w:lvlText w:val="%1"/>
      <w:lvlJc w:val="left"/>
      <w:pPr>
        <w:ind w:left="3583" w:hanging="360"/>
      </w:pPr>
      <w:rPr>
        <w:rFonts w:hint="default"/>
      </w:rPr>
    </w:lvl>
    <w:lvl w:ilvl="1" w:tplc="040C0019" w:tentative="1">
      <w:start w:val="1"/>
      <w:numFmt w:val="lowerLetter"/>
      <w:lvlText w:val="%2."/>
      <w:lvlJc w:val="left"/>
      <w:pPr>
        <w:ind w:left="4303" w:hanging="360"/>
      </w:pPr>
    </w:lvl>
    <w:lvl w:ilvl="2" w:tplc="040C001B" w:tentative="1">
      <w:start w:val="1"/>
      <w:numFmt w:val="lowerRoman"/>
      <w:lvlText w:val="%3."/>
      <w:lvlJc w:val="right"/>
      <w:pPr>
        <w:ind w:left="5023" w:hanging="180"/>
      </w:pPr>
    </w:lvl>
    <w:lvl w:ilvl="3" w:tplc="040C000F" w:tentative="1">
      <w:start w:val="1"/>
      <w:numFmt w:val="decimal"/>
      <w:lvlText w:val="%4."/>
      <w:lvlJc w:val="left"/>
      <w:pPr>
        <w:ind w:left="5743" w:hanging="360"/>
      </w:pPr>
    </w:lvl>
    <w:lvl w:ilvl="4" w:tplc="040C0019" w:tentative="1">
      <w:start w:val="1"/>
      <w:numFmt w:val="lowerLetter"/>
      <w:lvlText w:val="%5."/>
      <w:lvlJc w:val="left"/>
      <w:pPr>
        <w:ind w:left="6463" w:hanging="360"/>
      </w:pPr>
    </w:lvl>
    <w:lvl w:ilvl="5" w:tplc="040C001B" w:tentative="1">
      <w:start w:val="1"/>
      <w:numFmt w:val="lowerRoman"/>
      <w:lvlText w:val="%6."/>
      <w:lvlJc w:val="right"/>
      <w:pPr>
        <w:ind w:left="7183" w:hanging="180"/>
      </w:pPr>
    </w:lvl>
    <w:lvl w:ilvl="6" w:tplc="040C000F" w:tentative="1">
      <w:start w:val="1"/>
      <w:numFmt w:val="decimal"/>
      <w:lvlText w:val="%7."/>
      <w:lvlJc w:val="left"/>
      <w:pPr>
        <w:ind w:left="7903" w:hanging="360"/>
      </w:pPr>
    </w:lvl>
    <w:lvl w:ilvl="7" w:tplc="040C0019" w:tentative="1">
      <w:start w:val="1"/>
      <w:numFmt w:val="lowerLetter"/>
      <w:lvlText w:val="%8."/>
      <w:lvlJc w:val="left"/>
      <w:pPr>
        <w:ind w:left="8623" w:hanging="360"/>
      </w:pPr>
    </w:lvl>
    <w:lvl w:ilvl="8" w:tplc="040C001B" w:tentative="1">
      <w:start w:val="1"/>
      <w:numFmt w:val="lowerRoman"/>
      <w:lvlText w:val="%9."/>
      <w:lvlJc w:val="right"/>
      <w:pPr>
        <w:ind w:left="9343" w:hanging="180"/>
      </w:pPr>
    </w:lvl>
  </w:abstractNum>
  <w:abstractNum w:abstractNumId="10">
    <w:nsid w:val="7DD520AB"/>
    <w:multiLevelType w:val="hybridMultilevel"/>
    <w:tmpl w:val="7728B6E4"/>
    <w:lvl w:ilvl="0" w:tplc="FA5E9E30">
      <w:start w:val="1"/>
      <w:numFmt w:val="decimal"/>
      <w:lvlText w:val="%1."/>
      <w:lvlJc w:val="left"/>
      <w:pPr>
        <w:ind w:left="502" w:hanging="360"/>
      </w:pPr>
      <w:rPr>
        <w:rFonts w:hint="default"/>
        <w:b/>
        <w:bCs/>
        <w:sz w:val="32"/>
      </w:rPr>
    </w:lvl>
    <w:lvl w:ilvl="1" w:tplc="040C0001">
      <w:start w:val="1"/>
      <w:numFmt w:val="bullet"/>
      <w:lvlText w:val=""/>
      <w:lvlJc w:val="left"/>
      <w:pPr>
        <w:ind w:left="1079" w:hanging="360"/>
      </w:pPr>
      <w:rPr>
        <w:rFonts w:ascii="Symbol" w:hAnsi="Symbol" w:hint="default"/>
      </w:r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num w:numId="1">
    <w:abstractNumId w:val="6"/>
  </w:num>
  <w:num w:numId="2">
    <w:abstractNumId w:val="7"/>
  </w:num>
  <w:num w:numId="3">
    <w:abstractNumId w:val="0"/>
  </w:num>
  <w:num w:numId="4">
    <w:abstractNumId w:val="1"/>
  </w:num>
  <w:num w:numId="5">
    <w:abstractNumId w:val="8"/>
  </w:num>
  <w:num w:numId="6">
    <w:abstractNumId w:val="4"/>
  </w:num>
  <w:num w:numId="7">
    <w:abstractNumId w:val="3"/>
  </w:num>
  <w:num w:numId="8">
    <w:abstractNumId w:val="9"/>
  </w:num>
  <w:num w:numId="9">
    <w:abstractNumId w:val="5"/>
  </w:num>
  <w:num w:numId="10">
    <w:abstractNumId w:val="2"/>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FB5154"/>
    <w:rsid w:val="00001CFD"/>
    <w:rsid w:val="0000277D"/>
    <w:rsid w:val="00002C4D"/>
    <w:rsid w:val="00005383"/>
    <w:rsid w:val="000053B0"/>
    <w:rsid w:val="000055C9"/>
    <w:rsid w:val="00007DB8"/>
    <w:rsid w:val="0001056E"/>
    <w:rsid w:val="00012214"/>
    <w:rsid w:val="000124FB"/>
    <w:rsid w:val="00012F59"/>
    <w:rsid w:val="00013F2C"/>
    <w:rsid w:val="00014615"/>
    <w:rsid w:val="00015CC3"/>
    <w:rsid w:val="0001642B"/>
    <w:rsid w:val="00016667"/>
    <w:rsid w:val="00017D49"/>
    <w:rsid w:val="00017F39"/>
    <w:rsid w:val="00020B80"/>
    <w:rsid w:val="000210BB"/>
    <w:rsid w:val="00023B39"/>
    <w:rsid w:val="00023D51"/>
    <w:rsid w:val="00023DE3"/>
    <w:rsid w:val="00023FCD"/>
    <w:rsid w:val="00024034"/>
    <w:rsid w:val="00027878"/>
    <w:rsid w:val="00027CE8"/>
    <w:rsid w:val="0003089A"/>
    <w:rsid w:val="000316DF"/>
    <w:rsid w:val="00031A44"/>
    <w:rsid w:val="00032A33"/>
    <w:rsid w:val="00034D7A"/>
    <w:rsid w:val="000356AC"/>
    <w:rsid w:val="00037417"/>
    <w:rsid w:val="000377F1"/>
    <w:rsid w:val="00040601"/>
    <w:rsid w:val="00040872"/>
    <w:rsid w:val="00040A0F"/>
    <w:rsid w:val="0004224D"/>
    <w:rsid w:val="00042B74"/>
    <w:rsid w:val="00043971"/>
    <w:rsid w:val="0004405A"/>
    <w:rsid w:val="000468D3"/>
    <w:rsid w:val="00046B93"/>
    <w:rsid w:val="000501D5"/>
    <w:rsid w:val="000501F3"/>
    <w:rsid w:val="00050D46"/>
    <w:rsid w:val="00051406"/>
    <w:rsid w:val="00051FEC"/>
    <w:rsid w:val="00052202"/>
    <w:rsid w:val="000527EB"/>
    <w:rsid w:val="000534A5"/>
    <w:rsid w:val="000548F9"/>
    <w:rsid w:val="00055217"/>
    <w:rsid w:val="00062597"/>
    <w:rsid w:val="00063E19"/>
    <w:rsid w:val="00063F28"/>
    <w:rsid w:val="000647FE"/>
    <w:rsid w:val="00064F12"/>
    <w:rsid w:val="00065EBF"/>
    <w:rsid w:val="0006750F"/>
    <w:rsid w:val="00067D74"/>
    <w:rsid w:val="000708EE"/>
    <w:rsid w:val="00074577"/>
    <w:rsid w:val="0007598E"/>
    <w:rsid w:val="00075E5A"/>
    <w:rsid w:val="00076021"/>
    <w:rsid w:val="000800CE"/>
    <w:rsid w:val="000818E4"/>
    <w:rsid w:val="00081D50"/>
    <w:rsid w:val="00084B8A"/>
    <w:rsid w:val="000874A8"/>
    <w:rsid w:val="000901AE"/>
    <w:rsid w:val="000919FA"/>
    <w:rsid w:val="00092ADE"/>
    <w:rsid w:val="00092D42"/>
    <w:rsid w:val="000933BD"/>
    <w:rsid w:val="00093A05"/>
    <w:rsid w:val="00093CD0"/>
    <w:rsid w:val="00093D6B"/>
    <w:rsid w:val="00093FB7"/>
    <w:rsid w:val="000943DF"/>
    <w:rsid w:val="0009466F"/>
    <w:rsid w:val="00094954"/>
    <w:rsid w:val="00094FF2"/>
    <w:rsid w:val="00095E84"/>
    <w:rsid w:val="00096DF6"/>
    <w:rsid w:val="000A0912"/>
    <w:rsid w:val="000A0F7B"/>
    <w:rsid w:val="000A1AFF"/>
    <w:rsid w:val="000A258B"/>
    <w:rsid w:val="000A43AB"/>
    <w:rsid w:val="000A456E"/>
    <w:rsid w:val="000A46A4"/>
    <w:rsid w:val="000A6343"/>
    <w:rsid w:val="000A77B0"/>
    <w:rsid w:val="000A7DEF"/>
    <w:rsid w:val="000B00E5"/>
    <w:rsid w:val="000B03B2"/>
    <w:rsid w:val="000B170F"/>
    <w:rsid w:val="000B1D9C"/>
    <w:rsid w:val="000B3E0B"/>
    <w:rsid w:val="000B548C"/>
    <w:rsid w:val="000B783E"/>
    <w:rsid w:val="000B7A23"/>
    <w:rsid w:val="000C0C36"/>
    <w:rsid w:val="000C17AC"/>
    <w:rsid w:val="000C1FD6"/>
    <w:rsid w:val="000C24F1"/>
    <w:rsid w:val="000C39A4"/>
    <w:rsid w:val="000C4188"/>
    <w:rsid w:val="000C4CDC"/>
    <w:rsid w:val="000C542A"/>
    <w:rsid w:val="000C59A2"/>
    <w:rsid w:val="000C7397"/>
    <w:rsid w:val="000C7854"/>
    <w:rsid w:val="000D25E7"/>
    <w:rsid w:val="000D34AE"/>
    <w:rsid w:val="000D5E19"/>
    <w:rsid w:val="000D5FAB"/>
    <w:rsid w:val="000D626F"/>
    <w:rsid w:val="000D62D2"/>
    <w:rsid w:val="000D79A1"/>
    <w:rsid w:val="000E0292"/>
    <w:rsid w:val="000E1043"/>
    <w:rsid w:val="000E21B3"/>
    <w:rsid w:val="000E3A3B"/>
    <w:rsid w:val="000E4043"/>
    <w:rsid w:val="000E4965"/>
    <w:rsid w:val="000E4DB6"/>
    <w:rsid w:val="000E598D"/>
    <w:rsid w:val="000F02BA"/>
    <w:rsid w:val="000F0CAB"/>
    <w:rsid w:val="000F1AFE"/>
    <w:rsid w:val="000F2F41"/>
    <w:rsid w:val="000F3B8E"/>
    <w:rsid w:val="000F499D"/>
    <w:rsid w:val="000F5D92"/>
    <w:rsid w:val="000F62DE"/>
    <w:rsid w:val="000F7102"/>
    <w:rsid w:val="000F7A6C"/>
    <w:rsid w:val="001001D9"/>
    <w:rsid w:val="00101EF8"/>
    <w:rsid w:val="001022C1"/>
    <w:rsid w:val="00102A83"/>
    <w:rsid w:val="001039B0"/>
    <w:rsid w:val="00105111"/>
    <w:rsid w:val="00105F6E"/>
    <w:rsid w:val="0011034A"/>
    <w:rsid w:val="00111B44"/>
    <w:rsid w:val="00111E47"/>
    <w:rsid w:val="0011409B"/>
    <w:rsid w:val="00116CCA"/>
    <w:rsid w:val="001200B6"/>
    <w:rsid w:val="001203F7"/>
    <w:rsid w:val="001214F9"/>
    <w:rsid w:val="00121FE4"/>
    <w:rsid w:val="001222CC"/>
    <w:rsid w:val="00122369"/>
    <w:rsid w:val="00122474"/>
    <w:rsid w:val="00122BBD"/>
    <w:rsid w:val="00123D58"/>
    <w:rsid w:val="00123E30"/>
    <w:rsid w:val="00127E48"/>
    <w:rsid w:val="00131625"/>
    <w:rsid w:val="00132C76"/>
    <w:rsid w:val="00135734"/>
    <w:rsid w:val="00135C3A"/>
    <w:rsid w:val="00136CFC"/>
    <w:rsid w:val="00136F4E"/>
    <w:rsid w:val="00137B43"/>
    <w:rsid w:val="001417AD"/>
    <w:rsid w:val="00141E9B"/>
    <w:rsid w:val="00143BF2"/>
    <w:rsid w:val="00143D45"/>
    <w:rsid w:val="001451F9"/>
    <w:rsid w:val="001469D2"/>
    <w:rsid w:val="00147008"/>
    <w:rsid w:val="00147AAF"/>
    <w:rsid w:val="00150840"/>
    <w:rsid w:val="00151435"/>
    <w:rsid w:val="001527A3"/>
    <w:rsid w:val="001529FF"/>
    <w:rsid w:val="00153603"/>
    <w:rsid w:val="00155E7E"/>
    <w:rsid w:val="00156FDB"/>
    <w:rsid w:val="001604B1"/>
    <w:rsid w:val="00160CD6"/>
    <w:rsid w:val="001615E7"/>
    <w:rsid w:val="00162F0B"/>
    <w:rsid w:val="00163A7D"/>
    <w:rsid w:val="0016457A"/>
    <w:rsid w:val="001650C7"/>
    <w:rsid w:val="00165B54"/>
    <w:rsid w:val="001669E6"/>
    <w:rsid w:val="00167E60"/>
    <w:rsid w:val="00167E87"/>
    <w:rsid w:val="00170761"/>
    <w:rsid w:val="001708BF"/>
    <w:rsid w:val="0017103A"/>
    <w:rsid w:val="00171AFC"/>
    <w:rsid w:val="001730A1"/>
    <w:rsid w:val="00173E32"/>
    <w:rsid w:val="0017460D"/>
    <w:rsid w:val="001747ED"/>
    <w:rsid w:val="00174AA2"/>
    <w:rsid w:val="00176575"/>
    <w:rsid w:val="00176658"/>
    <w:rsid w:val="001767CD"/>
    <w:rsid w:val="00177108"/>
    <w:rsid w:val="0017770A"/>
    <w:rsid w:val="0018282E"/>
    <w:rsid w:val="00183556"/>
    <w:rsid w:val="00183A85"/>
    <w:rsid w:val="00185C38"/>
    <w:rsid w:val="00190362"/>
    <w:rsid w:val="00190B98"/>
    <w:rsid w:val="00192084"/>
    <w:rsid w:val="00192991"/>
    <w:rsid w:val="0019443D"/>
    <w:rsid w:val="00194803"/>
    <w:rsid w:val="00195748"/>
    <w:rsid w:val="00196E61"/>
    <w:rsid w:val="00197537"/>
    <w:rsid w:val="00197E28"/>
    <w:rsid w:val="001A02EE"/>
    <w:rsid w:val="001A0B0C"/>
    <w:rsid w:val="001A0B75"/>
    <w:rsid w:val="001A0F67"/>
    <w:rsid w:val="001A12E0"/>
    <w:rsid w:val="001A1FBB"/>
    <w:rsid w:val="001A2E0F"/>
    <w:rsid w:val="001A50AC"/>
    <w:rsid w:val="001A6534"/>
    <w:rsid w:val="001A6DC0"/>
    <w:rsid w:val="001B0A37"/>
    <w:rsid w:val="001B288F"/>
    <w:rsid w:val="001B57AE"/>
    <w:rsid w:val="001B5E1A"/>
    <w:rsid w:val="001B69E0"/>
    <w:rsid w:val="001B775D"/>
    <w:rsid w:val="001B7FB6"/>
    <w:rsid w:val="001C068B"/>
    <w:rsid w:val="001C1DC7"/>
    <w:rsid w:val="001C1ECC"/>
    <w:rsid w:val="001C2E48"/>
    <w:rsid w:val="001C36A0"/>
    <w:rsid w:val="001C4A0B"/>
    <w:rsid w:val="001C544F"/>
    <w:rsid w:val="001C58AD"/>
    <w:rsid w:val="001C7614"/>
    <w:rsid w:val="001D0ADA"/>
    <w:rsid w:val="001D0B9C"/>
    <w:rsid w:val="001D0D6A"/>
    <w:rsid w:val="001D25F8"/>
    <w:rsid w:val="001D278A"/>
    <w:rsid w:val="001D288C"/>
    <w:rsid w:val="001D2FA1"/>
    <w:rsid w:val="001D6107"/>
    <w:rsid w:val="001D6480"/>
    <w:rsid w:val="001D7239"/>
    <w:rsid w:val="001D7572"/>
    <w:rsid w:val="001E329A"/>
    <w:rsid w:val="001E55D0"/>
    <w:rsid w:val="001E583F"/>
    <w:rsid w:val="001E664F"/>
    <w:rsid w:val="001F08FC"/>
    <w:rsid w:val="001F0A87"/>
    <w:rsid w:val="001F1014"/>
    <w:rsid w:val="001F1A58"/>
    <w:rsid w:val="001F1EA8"/>
    <w:rsid w:val="001F729D"/>
    <w:rsid w:val="002004DC"/>
    <w:rsid w:val="00202646"/>
    <w:rsid w:val="00204E3E"/>
    <w:rsid w:val="00206CBA"/>
    <w:rsid w:val="00207B77"/>
    <w:rsid w:val="00211597"/>
    <w:rsid w:val="002122D0"/>
    <w:rsid w:val="0021249E"/>
    <w:rsid w:val="00213F1E"/>
    <w:rsid w:val="0021515F"/>
    <w:rsid w:val="00215F90"/>
    <w:rsid w:val="0022035B"/>
    <w:rsid w:val="00220BFD"/>
    <w:rsid w:val="00222633"/>
    <w:rsid w:val="00223DD2"/>
    <w:rsid w:val="002244C9"/>
    <w:rsid w:val="00224CF5"/>
    <w:rsid w:val="00225ADC"/>
    <w:rsid w:val="00225CC8"/>
    <w:rsid w:val="00225D94"/>
    <w:rsid w:val="00227A99"/>
    <w:rsid w:val="0023068B"/>
    <w:rsid w:val="00232F37"/>
    <w:rsid w:val="002336B9"/>
    <w:rsid w:val="00233FDB"/>
    <w:rsid w:val="0023549A"/>
    <w:rsid w:val="002367BA"/>
    <w:rsid w:val="00237549"/>
    <w:rsid w:val="002405A5"/>
    <w:rsid w:val="002419EE"/>
    <w:rsid w:val="002441C7"/>
    <w:rsid w:val="002447B7"/>
    <w:rsid w:val="0024594C"/>
    <w:rsid w:val="0024601E"/>
    <w:rsid w:val="00246AB5"/>
    <w:rsid w:val="002501E1"/>
    <w:rsid w:val="002518F7"/>
    <w:rsid w:val="0025256E"/>
    <w:rsid w:val="00253930"/>
    <w:rsid w:val="002539F4"/>
    <w:rsid w:val="00254A47"/>
    <w:rsid w:val="00254D8C"/>
    <w:rsid w:val="00254F5D"/>
    <w:rsid w:val="002550E6"/>
    <w:rsid w:val="00255827"/>
    <w:rsid w:val="00256064"/>
    <w:rsid w:val="00257304"/>
    <w:rsid w:val="002610CC"/>
    <w:rsid w:val="002617FA"/>
    <w:rsid w:val="00262199"/>
    <w:rsid w:val="0026342E"/>
    <w:rsid w:val="00264143"/>
    <w:rsid w:val="0026423C"/>
    <w:rsid w:val="00264823"/>
    <w:rsid w:val="00264A1F"/>
    <w:rsid w:val="00264AAC"/>
    <w:rsid w:val="002655BD"/>
    <w:rsid w:val="00267246"/>
    <w:rsid w:val="00267C04"/>
    <w:rsid w:val="00271AD5"/>
    <w:rsid w:val="00271D13"/>
    <w:rsid w:val="002730D2"/>
    <w:rsid w:val="002731D5"/>
    <w:rsid w:val="0027335D"/>
    <w:rsid w:val="00274C15"/>
    <w:rsid w:val="00276571"/>
    <w:rsid w:val="002804A3"/>
    <w:rsid w:val="002816DB"/>
    <w:rsid w:val="0028283C"/>
    <w:rsid w:val="00282A76"/>
    <w:rsid w:val="00283F52"/>
    <w:rsid w:val="002844D8"/>
    <w:rsid w:val="0028577F"/>
    <w:rsid w:val="00287AB0"/>
    <w:rsid w:val="002908FC"/>
    <w:rsid w:val="002909C0"/>
    <w:rsid w:val="00290D24"/>
    <w:rsid w:val="00294A82"/>
    <w:rsid w:val="00294D15"/>
    <w:rsid w:val="00295120"/>
    <w:rsid w:val="002A02EA"/>
    <w:rsid w:val="002A07F0"/>
    <w:rsid w:val="002A080C"/>
    <w:rsid w:val="002A0E57"/>
    <w:rsid w:val="002A2468"/>
    <w:rsid w:val="002A2576"/>
    <w:rsid w:val="002A369A"/>
    <w:rsid w:val="002A44F9"/>
    <w:rsid w:val="002A71C9"/>
    <w:rsid w:val="002B0885"/>
    <w:rsid w:val="002B1780"/>
    <w:rsid w:val="002B3B14"/>
    <w:rsid w:val="002B43C5"/>
    <w:rsid w:val="002B4CA1"/>
    <w:rsid w:val="002B56E7"/>
    <w:rsid w:val="002B6282"/>
    <w:rsid w:val="002B668B"/>
    <w:rsid w:val="002B6E48"/>
    <w:rsid w:val="002B72F5"/>
    <w:rsid w:val="002B7CB7"/>
    <w:rsid w:val="002C315C"/>
    <w:rsid w:val="002C3B75"/>
    <w:rsid w:val="002C3DF6"/>
    <w:rsid w:val="002C41F9"/>
    <w:rsid w:val="002C44BF"/>
    <w:rsid w:val="002C5D78"/>
    <w:rsid w:val="002C7745"/>
    <w:rsid w:val="002D1876"/>
    <w:rsid w:val="002D39D6"/>
    <w:rsid w:val="002D3D04"/>
    <w:rsid w:val="002D4F45"/>
    <w:rsid w:val="002D58E3"/>
    <w:rsid w:val="002D59E5"/>
    <w:rsid w:val="002D649E"/>
    <w:rsid w:val="002D7086"/>
    <w:rsid w:val="002E0ADB"/>
    <w:rsid w:val="002E2CB3"/>
    <w:rsid w:val="002E5376"/>
    <w:rsid w:val="002E6635"/>
    <w:rsid w:val="002E7A4A"/>
    <w:rsid w:val="002F0FB7"/>
    <w:rsid w:val="002F3305"/>
    <w:rsid w:val="002F39AB"/>
    <w:rsid w:val="002F6C71"/>
    <w:rsid w:val="0030041D"/>
    <w:rsid w:val="00301D35"/>
    <w:rsid w:val="00303111"/>
    <w:rsid w:val="00304271"/>
    <w:rsid w:val="00304C66"/>
    <w:rsid w:val="00304F41"/>
    <w:rsid w:val="003054DA"/>
    <w:rsid w:val="00305621"/>
    <w:rsid w:val="00305668"/>
    <w:rsid w:val="00306A01"/>
    <w:rsid w:val="00306B5B"/>
    <w:rsid w:val="0030712F"/>
    <w:rsid w:val="0030785C"/>
    <w:rsid w:val="00307A5B"/>
    <w:rsid w:val="00310353"/>
    <w:rsid w:val="003123A4"/>
    <w:rsid w:val="003129C4"/>
    <w:rsid w:val="0031379F"/>
    <w:rsid w:val="00313AB9"/>
    <w:rsid w:val="00313D8D"/>
    <w:rsid w:val="00313DAF"/>
    <w:rsid w:val="0031641F"/>
    <w:rsid w:val="00316A54"/>
    <w:rsid w:val="0032032C"/>
    <w:rsid w:val="003211BC"/>
    <w:rsid w:val="00321810"/>
    <w:rsid w:val="00323553"/>
    <w:rsid w:val="00323EF8"/>
    <w:rsid w:val="0032715A"/>
    <w:rsid w:val="0033012D"/>
    <w:rsid w:val="003304BC"/>
    <w:rsid w:val="00330B2D"/>
    <w:rsid w:val="00331F00"/>
    <w:rsid w:val="003321E4"/>
    <w:rsid w:val="003325D6"/>
    <w:rsid w:val="0033483C"/>
    <w:rsid w:val="00334865"/>
    <w:rsid w:val="00334D0F"/>
    <w:rsid w:val="0033541B"/>
    <w:rsid w:val="00335964"/>
    <w:rsid w:val="00336AC7"/>
    <w:rsid w:val="00340446"/>
    <w:rsid w:val="00340AA6"/>
    <w:rsid w:val="0034158E"/>
    <w:rsid w:val="00342122"/>
    <w:rsid w:val="00342635"/>
    <w:rsid w:val="00342898"/>
    <w:rsid w:val="00343D5A"/>
    <w:rsid w:val="003441CD"/>
    <w:rsid w:val="00346369"/>
    <w:rsid w:val="00346F4B"/>
    <w:rsid w:val="003505A4"/>
    <w:rsid w:val="0035206B"/>
    <w:rsid w:val="003526E0"/>
    <w:rsid w:val="0035293A"/>
    <w:rsid w:val="00353952"/>
    <w:rsid w:val="003549B7"/>
    <w:rsid w:val="00355DE2"/>
    <w:rsid w:val="00356465"/>
    <w:rsid w:val="00357020"/>
    <w:rsid w:val="00360807"/>
    <w:rsid w:val="00361074"/>
    <w:rsid w:val="0036388B"/>
    <w:rsid w:val="003639B6"/>
    <w:rsid w:val="00363FED"/>
    <w:rsid w:val="00365421"/>
    <w:rsid w:val="0036634B"/>
    <w:rsid w:val="0036643E"/>
    <w:rsid w:val="0036683F"/>
    <w:rsid w:val="0036731F"/>
    <w:rsid w:val="003708C3"/>
    <w:rsid w:val="003731F3"/>
    <w:rsid w:val="00373CA1"/>
    <w:rsid w:val="003764DE"/>
    <w:rsid w:val="00377363"/>
    <w:rsid w:val="003774FD"/>
    <w:rsid w:val="0037790B"/>
    <w:rsid w:val="003810D0"/>
    <w:rsid w:val="00381B13"/>
    <w:rsid w:val="003832F7"/>
    <w:rsid w:val="00385EA8"/>
    <w:rsid w:val="003866C9"/>
    <w:rsid w:val="003875BA"/>
    <w:rsid w:val="00387B6D"/>
    <w:rsid w:val="003915CF"/>
    <w:rsid w:val="00392A21"/>
    <w:rsid w:val="0039544A"/>
    <w:rsid w:val="00397340"/>
    <w:rsid w:val="0039764C"/>
    <w:rsid w:val="00397951"/>
    <w:rsid w:val="003A008A"/>
    <w:rsid w:val="003A1537"/>
    <w:rsid w:val="003A2E50"/>
    <w:rsid w:val="003A5AEE"/>
    <w:rsid w:val="003A6AAA"/>
    <w:rsid w:val="003B0304"/>
    <w:rsid w:val="003B48EE"/>
    <w:rsid w:val="003B50A3"/>
    <w:rsid w:val="003B6952"/>
    <w:rsid w:val="003B758F"/>
    <w:rsid w:val="003C03A4"/>
    <w:rsid w:val="003C18CC"/>
    <w:rsid w:val="003C1BB4"/>
    <w:rsid w:val="003C1E02"/>
    <w:rsid w:val="003C1FDE"/>
    <w:rsid w:val="003C3C0C"/>
    <w:rsid w:val="003C41F4"/>
    <w:rsid w:val="003C525A"/>
    <w:rsid w:val="003C5A97"/>
    <w:rsid w:val="003C6FDB"/>
    <w:rsid w:val="003D2472"/>
    <w:rsid w:val="003D2F3E"/>
    <w:rsid w:val="003D6572"/>
    <w:rsid w:val="003D76CB"/>
    <w:rsid w:val="003D7AF5"/>
    <w:rsid w:val="003E0407"/>
    <w:rsid w:val="003E0E5B"/>
    <w:rsid w:val="003E2375"/>
    <w:rsid w:val="003E2DE1"/>
    <w:rsid w:val="003E37B6"/>
    <w:rsid w:val="003E4E24"/>
    <w:rsid w:val="003F0041"/>
    <w:rsid w:val="003F10A2"/>
    <w:rsid w:val="003F16A4"/>
    <w:rsid w:val="003F2F10"/>
    <w:rsid w:val="003F35F7"/>
    <w:rsid w:val="003F4456"/>
    <w:rsid w:val="003F4E59"/>
    <w:rsid w:val="004002BC"/>
    <w:rsid w:val="00401AE2"/>
    <w:rsid w:val="00403792"/>
    <w:rsid w:val="00406DA7"/>
    <w:rsid w:val="0040708A"/>
    <w:rsid w:val="0041124B"/>
    <w:rsid w:val="0041230B"/>
    <w:rsid w:val="00412C17"/>
    <w:rsid w:val="004137F0"/>
    <w:rsid w:val="00413913"/>
    <w:rsid w:val="00414F76"/>
    <w:rsid w:val="00416B31"/>
    <w:rsid w:val="00417038"/>
    <w:rsid w:val="00417BC7"/>
    <w:rsid w:val="004221A9"/>
    <w:rsid w:val="00422C2D"/>
    <w:rsid w:val="00424701"/>
    <w:rsid w:val="00424A6C"/>
    <w:rsid w:val="004259DA"/>
    <w:rsid w:val="00426888"/>
    <w:rsid w:val="00430329"/>
    <w:rsid w:val="00430D3F"/>
    <w:rsid w:val="004317A2"/>
    <w:rsid w:val="00432805"/>
    <w:rsid w:val="004335D4"/>
    <w:rsid w:val="00434B75"/>
    <w:rsid w:val="00435F3C"/>
    <w:rsid w:val="00436324"/>
    <w:rsid w:val="004367B3"/>
    <w:rsid w:val="00440B2C"/>
    <w:rsid w:val="004414E7"/>
    <w:rsid w:val="00441C14"/>
    <w:rsid w:val="004426C4"/>
    <w:rsid w:val="004451EA"/>
    <w:rsid w:val="00446004"/>
    <w:rsid w:val="004479A1"/>
    <w:rsid w:val="00447F5A"/>
    <w:rsid w:val="00453689"/>
    <w:rsid w:val="00453863"/>
    <w:rsid w:val="0045623F"/>
    <w:rsid w:val="00456931"/>
    <w:rsid w:val="0045696E"/>
    <w:rsid w:val="00456B08"/>
    <w:rsid w:val="00457685"/>
    <w:rsid w:val="0046035D"/>
    <w:rsid w:val="004627A2"/>
    <w:rsid w:val="00462C5B"/>
    <w:rsid w:val="00464BE4"/>
    <w:rsid w:val="004662C1"/>
    <w:rsid w:val="00466D3A"/>
    <w:rsid w:val="00467660"/>
    <w:rsid w:val="004708FB"/>
    <w:rsid w:val="0047185F"/>
    <w:rsid w:val="004719B5"/>
    <w:rsid w:val="00472DBD"/>
    <w:rsid w:val="00472F8A"/>
    <w:rsid w:val="004733A6"/>
    <w:rsid w:val="0047396E"/>
    <w:rsid w:val="00473FD4"/>
    <w:rsid w:val="004744D0"/>
    <w:rsid w:val="004749DE"/>
    <w:rsid w:val="004762FA"/>
    <w:rsid w:val="00476366"/>
    <w:rsid w:val="004766CA"/>
    <w:rsid w:val="00476C9E"/>
    <w:rsid w:val="00476E69"/>
    <w:rsid w:val="004776ED"/>
    <w:rsid w:val="0048029E"/>
    <w:rsid w:val="00480CA5"/>
    <w:rsid w:val="0048182B"/>
    <w:rsid w:val="00481EFE"/>
    <w:rsid w:val="00482067"/>
    <w:rsid w:val="00483BE9"/>
    <w:rsid w:val="00485763"/>
    <w:rsid w:val="00486B84"/>
    <w:rsid w:val="00491FC0"/>
    <w:rsid w:val="00496B43"/>
    <w:rsid w:val="0049768C"/>
    <w:rsid w:val="00497946"/>
    <w:rsid w:val="004A0337"/>
    <w:rsid w:val="004A0A68"/>
    <w:rsid w:val="004A0D10"/>
    <w:rsid w:val="004A0F0D"/>
    <w:rsid w:val="004A1A98"/>
    <w:rsid w:val="004A1D3D"/>
    <w:rsid w:val="004A2939"/>
    <w:rsid w:val="004A300A"/>
    <w:rsid w:val="004A321B"/>
    <w:rsid w:val="004A5633"/>
    <w:rsid w:val="004A5752"/>
    <w:rsid w:val="004A5F8A"/>
    <w:rsid w:val="004B10C3"/>
    <w:rsid w:val="004B2B17"/>
    <w:rsid w:val="004B2CF6"/>
    <w:rsid w:val="004B448E"/>
    <w:rsid w:val="004B47BC"/>
    <w:rsid w:val="004B5740"/>
    <w:rsid w:val="004B6AF1"/>
    <w:rsid w:val="004B79A9"/>
    <w:rsid w:val="004C1865"/>
    <w:rsid w:val="004C2E15"/>
    <w:rsid w:val="004C2E3C"/>
    <w:rsid w:val="004C3136"/>
    <w:rsid w:val="004C5AD7"/>
    <w:rsid w:val="004C7FE4"/>
    <w:rsid w:val="004D0015"/>
    <w:rsid w:val="004D03B3"/>
    <w:rsid w:val="004D0C77"/>
    <w:rsid w:val="004D10A3"/>
    <w:rsid w:val="004D2C07"/>
    <w:rsid w:val="004D3675"/>
    <w:rsid w:val="004D3AC3"/>
    <w:rsid w:val="004D4F3C"/>
    <w:rsid w:val="004D5745"/>
    <w:rsid w:val="004D5AEC"/>
    <w:rsid w:val="004E0811"/>
    <w:rsid w:val="004E3A59"/>
    <w:rsid w:val="004E426A"/>
    <w:rsid w:val="004E4DF1"/>
    <w:rsid w:val="004E5F17"/>
    <w:rsid w:val="004E6D10"/>
    <w:rsid w:val="004E6F49"/>
    <w:rsid w:val="004E7AA1"/>
    <w:rsid w:val="004F094D"/>
    <w:rsid w:val="004F1F8A"/>
    <w:rsid w:val="004F6E4F"/>
    <w:rsid w:val="00500767"/>
    <w:rsid w:val="00500AA9"/>
    <w:rsid w:val="005011E5"/>
    <w:rsid w:val="00502046"/>
    <w:rsid w:val="005034E0"/>
    <w:rsid w:val="00504DDB"/>
    <w:rsid w:val="005059EA"/>
    <w:rsid w:val="00506AE4"/>
    <w:rsid w:val="00510209"/>
    <w:rsid w:val="00510502"/>
    <w:rsid w:val="005116B4"/>
    <w:rsid w:val="00512D03"/>
    <w:rsid w:val="00513331"/>
    <w:rsid w:val="00513CDE"/>
    <w:rsid w:val="00514628"/>
    <w:rsid w:val="005148C5"/>
    <w:rsid w:val="00515511"/>
    <w:rsid w:val="0051667C"/>
    <w:rsid w:val="0051752F"/>
    <w:rsid w:val="00517538"/>
    <w:rsid w:val="005226E3"/>
    <w:rsid w:val="00524451"/>
    <w:rsid w:val="005249D8"/>
    <w:rsid w:val="005268BB"/>
    <w:rsid w:val="00526C1E"/>
    <w:rsid w:val="0052708E"/>
    <w:rsid w:val="00527F86"/>
    <w:rsid w:val="00530DA5"/>
    <w:rsid w:val="00530FFD"/>
    <w:rsid w:val="005332F6"/>
    <w:rsid w:val="00533E6F"/>
    <w:rsid w:val="005361FA"/>
    <w:rsid w:val="005370AD"/>
    <w:rsid w:val="00537B2F"/>
    <w:rsid w:val="005407A5"/>
    <w:rsid w:val="0054173D"/>
    <w:rsid w:val="005417F0"/>
    <w:rsid w:val="00542E22"/>
    <w:rsid w:val="00542E8A"/>
    <w:rsid w:val="0054372D"/>
    <w:rsid w:val="0054396F"/>
    <w:rsid w:val="00543D43"/>
    <w:rsid w:val="00544648"/>
    <w:rsid w:val="00545871"/>
    <w:rsid w:val="005461C7"/>
    <w:rsid w:val="0054625D"/>
    <w:rsid w:val="00546BFA"/>
    <w:rsid w:val="00546F50"/>
    <w:rsid w:val="00551BD7"/>
    <w:rsid w:val="0055413F"/>
    <w:rsid w:val="00554D00"/>
    <w:rsid w:val="0055746E"/>
    <w:rsid w:val="00557807"/>
    <w:rsid w:val="005607B0"/>
    <w:rsid w:val="00561537"/>
    <w:rsid w:val="00561C13"/>
    <w:rsid w:val="0056293A"/>
    <w:rsid w:val="00563D30"/>
    <w:rsid w:val="00564C62"/>
    <w:rsid w:val="00566189"/>
    <w:rsid w:val="005668CF"/>
    <w:rsid w:val="0057089E"/>
    <w:rsid w:val="00570A60"/>
    <w:rsid w:val="0057415A"/>
    <w:rsid w:val="00576788"/>
    <w:rsid w:val="005768CE"/>
    <w:rsid w:val="005776A9"/>
    <w:rsid w:val="005810E2"/>
    <w:rsid w:val="00581E57"/>
    <w:rsid w:val="00586DD9"/>
    <w:rsid w:val="00586FD6"/>
    <w:rsid w:val="00587280"/>
    <w:rsid w:val="00587D10"/>
    <w:rsid w:val="00587DC3"/>
    <w:rsid w:val="0059004C"/>
    <w:rsid w:val="005901D8"/>
    <w:rsid w:val="00591390"/>
    <w:rsid w:val="0059222A"/>
    <w:rsid w:val="0059278D"/>
    <w:rsid w:val="00594830"/>
    <w:rsid w:val="00596AB7"/>
    <w:rsid w:val="0059711C"/>
    <w:rsid w:val="00597787"/>
    <w:rsid w:val="00597C7F"/>
    <w:rsid w:val="005A0430"/>
    <w:rsid w:val="005A142C"/>
    <w:rsid w:val="005A1B82"/>
    <w:rsid w:val="005A1CB8"/>
    <w:rsid w:val="005A21E2"/>
    <w:rsid w:val="005A2385"/>
    <w:rsid w:val="005A2D0A"/>
    <w:rsid w:val="005A45B7"/>
    <w:rsid w:val="005A4C7C"/>
    <w:rsid w:val="005A640C"/>
    <w:rsid w:val="005A7C02"/>
    <w:rsid w:val="005B1C7E"/>
    <w:rsid w:val="005B30C2"/>
    <w:rsid w:val="005B475A"/>
    <w:rsid w:val="005B5D9B"/>
    <w:rsid w:val="005B6985"/>
    <w:rsid w:val="005B69FE"/>
    <w:rsid w:val="005C1C08"/>
    <w:rsid w:val="005C23D9"/>
    <w:rsid w:val="005C24BD"/>
    <w:rsid w:val="005C311A"/>
    <w:rsid w:val="005C36E7"/>
    <w:rsid w:val="005C3C2D"/>
    <w:rsid w:val="005C3E33"/>
    <w:rsid w:val="005C4E3B"/>
    <w:rsid w:val="005C7210"/>
    <w:rsid w:val="005C7953"/>
    <w:rsid w:val="005C79C5"/>
    <w:rsid w:val="005D21DC"/>
    <w:rsid w:val="005D2CBE"/>
    <w:rsid w:val="005D3E17"/>
    <w:rsid w:val="005D51CA"/>
    <w:rsid w:val="005E2333"/>
    <w:rsid w:val="005E30B1"/>
    <w:rsid w:val="005E4263"/>
    <w:rsid w:val="005E53EE"/>
    <w:rsid w:val="005E75B8"/>
    <w:rsid w:val="005E7DB3"/>
    <w:rsid w:val="005F04D0"/>
    <w:rsid w:val="005F0E53"/>
    <w:rsid w:val="005F0E73"/>
    <w:rsid w:val="005F0ED8"/>
    <w:rsid w:val="005F4016"/>
    <w:rsid w:val="005F42BA"/>
    <w:rsid w:val="005F4C0B"/>
    <w:rsid w:val="005F5895"/>
    <w:rsid w:val="005F6D36"/>
    <w:rsid w:val="005F704D"/>
    <w:rsid w:val="005F7B80"/>
    <w:rsid w:val="005F7F29"/>
    <w:rsid w:val="0060024A"/>
    <w:rsid w:val="006024F0"/>
    <w:rsid w:val="00602E19"/>
    <w:rsid w:val="00607B45"/>
    <w:rsid w:val="00611033"/>
    <w:rsid w:val="00611AA3"/>
    <w:rsid w:val="006128D5"/>
    <w:rsid w:val="00612F7A"/>
    <w:rsid w:val="00614661"/>
    <w:rsid w:val="00615993"/>
    <w:rsid w:val="00620802"/>
    <w:rsid w:val="00621804"/>
    <w:rsid w:val="006225D1"/>
    <w:rsid w:val="00622A3A"/>
    <w:rsid w:val="00622D42"/>
    <w:rsid w:val="0062655E"/>
    <w:rsid w:val="00627259"/>
    <w:rsid w:val="00630E9E"/>
    <w:rsid w:val="00631571"/>
    <w:rsid w:val="00632165"/>
    <w:rsid w:val="0063275B"/>
    <w:rsid w:val="00632A0D"/>
    <w:rsid w:val="00632BA8"/>
    <w:rsid w:val="00636446"/>
    <w:rsid w:val="0063796C"/>
    <w:rsid w:val="00642F6E"/>
    <w:rsid w:val="0064366A"/>
    <w:rsid w:val="00643DBC"/>
    <w:rsid w:val="006463D8"/>
    <w:rsid w:val="006500BA"/>
    <w:rsid w:val="00652E79"/>
    <w:rsid w:val="00657AAF"/>
    <w:rsid w:val="00660179"/>
    <w:rsid w:val="006620AA"/>
    <w:rsid w:val="00663D65"/>
    <w:rsid w:val="00664B34"/>
    <w:rsid w:val="00665595"/>
    <w:rsid w:val="006656D8"/>
    <w:rsid w:val="00667AB1"/>
    <w:rsid w:val="00667F70"/>
    <w:rsid w:val="00670340"/>
    <w:rsid w:val="006705DD"/>
    <w:rsid w:val="0067071E"/>
    <w:rsid w:val="00680044"/>
    <w:rsid w:val="0068038B"/>
    <w:rsid w:val="006809E3"/>
    <w:rsid w:val="0068132A"/>
    <w:rsid w:val="00682679"/>
    <w:rsid w:val="00682F97"/>
    <w:rsid w:val="00685317"/>
    <w:rsid w:val="00687E05"/>
    <w:rsid w:val="00693796"/>
    <w:rsid w:val="006937A8"/>
    <w:rsid w:val="006938A6"/>
    <w:rsid w:val="00694905"/>
    <w:rsid w:val="0069557F"/>
    <w:rsid w:val="00695597"/>
    <w:rsid w:val="00696CBF"/>
    <w:rsid w:val="00697BCD"/>
    <w:rsid w:val="006A019B"/>
    <w:rsid w:val="006A0FD3"/>
    <w:rsid w:val="006A1177"/>
    <w:rsid w:val="006A17DF"/>
    <w:rsid w:val="006A600B"/>
    <w:rsid w:val="006A64D4"/>
    <w:rsid w:val="006A6DA5"/>
    <w:rsid w:val="006A752D"/>
    <w:rsid w:val="006B076D"/>
    <w:rsid w:val="006B1374"/>
    <w:rsid w:val="006B15AB"/>
    <w:rsid w:val="006B1887"/>
    <w:rsid w:val="006B1F26"/>
    <w:rsid w:val="006B2192"/>
    <w:rsid w:val="006B6034"/>
    <w:rsid w:val="006B7121"/>
    <w:rsid w:val="006B7D9F"/>
    <w:rsid w:val="006C2E02"/>
    <w:rsid w:val="006C6538"/>
    <w:rsid w:val="006C6950"/>
    <w:rsid w:val="006C6C31"/>
    <w:rsid w:val="006D03A6"/>
    <w:rsid w:val="006D060F"/>
    <w:rsid w:val="006D1A39"/>
    <w:rsid w:val="006D2622"/>
    <w:rsid w:val="006D32C4"/>
    <w:rsid w:val="006D449E"/>
    <w:rsid w:val="006D54BD"/>
    <w:rsid w:val="006D5E23"/>
    <w:rsid w:val="006D61DB"/>
    <w:rsid w:val="006D7C61"/>
    <w:rsid w:val="006E0B7B"/>
    <w:rsid w:val="006E351F"/>
    <w:rsid w:val="006E4001"/>
    <w:rsid w:val="006E4F29"/>
    <w:rsid w:val="006E5675"/>
    <w:rsid w:val="006F11AF"/>
    <w:rsid w:val="006F2166"/>
    <w:rsid w:val="006F2FF4"/>
    <w:rsid w:val="006F6164"/>
    <w:rsid w:val="006F7FF2"/>
    <w:rsid w:val="00700AC9"/>
    <w:rsid w:val="00701282"/>
    <w:rsid w:val="00701722"/>
    <w:rsid w:val="00703299"/>
    <w:rsid w:val="00703C64"/>
    <w:rsid w:val="00704B0E"/>
    <w:rsid w:val="00707C3E"/>
    <w:rsid w:val="0071072C"/>
    <w:rsid w:val="00711669"/>
    <w:rsid w:val="00711A50"/>
    <w:rsid w:val="00712CE2"/>
    <w:rsid w:val="007133AB"/>
    <w:rsid w:val="0071371E"/>
    <w:rsid w:val="00713AEA"/>
    <w:rsid w:val="00714F2C"/>
    <w:rsid w:val="00716460"/>
    <w:rsid w:val="00720D19"/>
    <w:rsid w:val="00721002"/>
    <w:rsid w:val="00722111"/>
    <w:rsid w:val="00722495"/>
    <w:rsid w:val="00722B36"/>
    <w:rsid w:val="007249BA"/>
    <w:rsid w:val="00725118"/>
    <w:rsid w:val="00726AA8"/>
    <w:rsid w:val="0073188D"/>
    <w:rsid w:val="00731C5E"/>
    <w:rsid w:val="00732867"/>
    <w:rsid w:val="00732DCF"/>
    <w:rsid w:val="00733628"/>
    <w:rsid w:val="00735E42"/>
    <w:rsid w:val="0074287F"/>
    <w:rsid w:val="0074437E"/>
    <w:rsid w:val="00745BD3"/>
    <w:rsid w:val="0074631B"/>
    <w:rsid w:val="007464E3"/>
    <w:rsid w:val="00750142"/>
    <w:rsid w:val="00750690"/>
    <w:rsid w:val="0075104C"/>
    <w:rsid w:val="0075170A"/>
    <w:rsid w:val="00751DD8"/>
    <w:rsid w:val="00751E8B"/>
    <w:rsid w:val="00755B45"/>
    <w:rsid w:val="00757C27"/>
    <w:rsid w:val="00761563"/>
    <w:rsid w:val="0076230F"/>
    <w:rsid w:val="007639BE"/>
    <w:rsid w:val="00763AE8"/>
    <w:rsid w:val="0076463C"/>
    <w:rsid w:val="00765C12"/>
    <w:rsid w:val="00766D96"/>
    <w:rsid w:val="00767BD9"/>
    <w:rsid w:val="00770467"/>
    <w:rsid w:val="00770A6D"/>
    <w:rsid w:val="0077217F"/>
    <w:rsid w:val="0077288B"/>
    <w:rsid w:val="0077354D"/>
    <w:rsid w:val="00775D3A"/>
    <w:rsid w:val="00777103"/>
    <w:rsid w:val="00780289"/>
    <w:rsid w:val="00782A39"/>
    <w:rsid w:val="00782FD5"/>
    <w:rsid w:val="0078374D"/>
    <w:rsid w:val="00786765"/>
    <w:rsid w:val="00787065"/>
    <w:rsid w:val="0079294D"/>
    <w:rsid w:val="007931A2"/>
    <w:rsid w:val="00793D4F"/>
    <w:rsid w:val="00795089"/>
    <w:rsid w:val="00795EDD"/>
    <w:rsid w:val="00796424"/>
    <w:rsid w:val="00796A15"/>
    <w:rsid w:val="00796ABF"/>
    <w:rsid w:val="00797092"/>
    <w:rsid w:val="007A1F39"/>
    <w:rsid w:val="007A2963"/>
    <w:rsid w:val="007A5E82"/>
    <w:rsid w:val="007A5ECA"/>
    <w:rsid w:val="007A6005"/>
    <w:rsid w:val="007A6EC8"/>
    <w:rsid w:val="007A7B5F"/>
    <w:rsid w:val="007B06C6"/>
    <w:rsid w:val="007B105D"/>
    <w:rsid w:val="007B1BB0"/>
    <w:rsid w:val="007B2624"/>
    <w:rsid w:val="007B278D"/>
    <w:rsid w:val="007B3646"/>
    <w:rsid w:val="007B47F2"/>
    <w:rsid w:val="007B5275"/>
    <w:rsid w:val="007B6797"/>
    <w:rsid w:val="007B6F00"/>
    <w:rsid w:val="007B70C4"/>
    <w:rsid w:val="007B784C"/>
    <w:rsid w:val="007B7C63"/>
    <w:rsid w:val="007B7F8C"/>
    <w:rsid w:val="007C11A7"/>
    <w:rsid w:val="007C152B"/>
    <w:rsid w:val="007C157E"/>
    <w:rsid w:val="007C2046"/>
    <w:rsid w:val="007C28A3"/>
    <w:rsid w:val="007C3399"/>
    <w:rsid w:val="007C5535"/>
    <w:rsid w:val="007C5D40"/>
    <w:rsid w:val="007C676A"/>
    <w:rsid w:val="007C69D8"/>
    <w:rsid w:val="007C7072"/>
    <w:rsid w:val="007D1CF0"/>
    <w:rsid w:val="007D2155"/>
    <w:rsid w:val="007D2924"/>
    <w:rsid w:val="007D35E5"/>
    <w:rsid w:val="007D36F3"/>
    <w:rsid w:val="007D45FF"/>
    <w:rsid w:val="007D6A8A"/>
    <w:rsid w:val="007D7613"/>
    <w:rsid w:val="007D77CF"/>
    <w:rsid w:val="007E05E2"/>
    <w:rsid w:val="007E1D09"/>
    <w:rsid w:val="007E21CC"/>
    <w:rsid w:val="007E2893"/>
    <w:rsid w:val="007E3974"/>
    <w:rsid w:val="007E52A5"/>
    <w:rsid w:val="007E61A5"/>
    <w:rsid w:val="007E754C"/>
    <w:rsid w:val="007E766D"/>
    <w:rsid w:val="007F086C"/>
    <w:rsid w:val="007F2BF7"/>
    <w:rsid w:val="007F2D66"/>
    <w:rsid w:val="007F3BFD"/>
    <w:rsid w:val="007F3DEA"/>
    <w:rsid w:val="007F508E"/>
    <w:rsid w:val="007F50A8"/>
    <w:rsid w:val="007F57C6"/>
    <w:rsid w:val="007F5826"/>
    <w:rsid w:val="007F5D2C"/>
    <w:rsid w:val="007F6595"/>
    <w:rsid w:val="007F7404"/>
    <w:rsid w:val="007F75D2"/>
    <w:rsid w:val="00800A1E"/>
    <w:rsid w:val="00800F93"/>
    <w:rsid w:val="00804146"/>
    <w:rsid w:val="00804AB7"/>
    <w:rsid w:val="008051C3"/>
    <w:rsid w:val="008052A4"/>
    <w:rsid w:val="008052DF"/>
    <w:rsid w:val="008058DA"/>
    <w:rsid w:val="00812BFB"/>
    <w:rsid w:val="008131B4"/>
    <w:rsid w:val="00813D72"/>
    <w:rsid w:val="00817133"/>
    <w:rsid w:val="00821C57"/>
    <w:rsid w:val="00822166"/>
    <w:rsid w:val="00822CE8"/>
    <w:rsid w:val="00823034"/>
    <w:rsid w:val="008230D7"/>
    <w:rsid w:val="00823743"/>
    <w:rsid w:val="00824ED9"/>
    <w:rsid w:val="0082589D"/>
    <w:rsid w:val="00825FBF"/>
    <w:rsid w:val="008320BE"/>
    <w:rsid w:val="008333EA"/>
    <w:rsid w:val="00833CD1"/>
    <w:rsid w:val="00836B1D"/>
    <w:rsid w:val="00840121"/>
    <w:rsid w:val="00840471"/>
    <w:rsid w:val="0084363B"/>
    <w:rsid w:val="00845A53"/>
    <w:rsid w:val="00846137"/>
    <w:rsid w:val="00846E2F"/>
    <w:rsid w:val="00850227"/>
    <w:rsid w:val="00851E7C"/>
    <w:rsid w:val="00853458"/>
    <w:rsid w:val="00853A3B"/>
    <w:rsid w:val="00854F89"/>
    <w:rsid w:val="00855574"/>
    <w:rsid w:val="00856DF0"/>
    <w:rsid w:val="0085717B"/>
    <w:rsid w:val="008604C9"/>
    <w:rsid w:val="008662A8"/>
    <w:rsid w:val="00867624"/>
    <w:rsid w:val="00872E0D"/>
    <w:rsid w:val="00873EFF"/>
    <w:rsid w:val="00874E58"/>
    <w:rsid w:val="00875735"/>
    <w:rsid w:val="00875A69"/>
    <w:rsid w:val="00875E6F"/>
    <w:rsid w:val="0087625F"/>
    <w:rsid w:val="008765D9"/>
    <w:rsid w:val="00877253"/>
    <w:rsid w:val="00877472"/>
    <w:rsid w:val="00877F28"/>
    <w:rsid w:val="00877F48"/>
    <w:rsid w:val="00880A10"/>
    <w:rsid w:val="00881423"/>
    <w:rsid w:val="0088321D"/>
    <w:rsid w:val="0088397A"/>
    <w:rsid w:val="00884267"/>
    <w:rsid w:val="00884C67"/>
    <w:rsid w:val="00885A82"/>
    <w:rsid w:val="0088623B"/>
    <w:rsid w:val="0088672F"/>
    <w:rsid w:val="00886E9F"/>
    <w:rsid w:val="0088706B"/>
    <w:rsid w:val="0088789A"/>
    <w:rsid w:val="00887947"/>
    <w:rsid w:val="0089053D"/>
    <w:rsid w:val="00891D95"/>
    <w:rsid w:val="00897A03"/>
    <w:rsid w:val="008A00BF"/>
    <w:rsid w:val="008A1445"/>
    <w:rsid w:val="008A21C5"/>
    <w:rsid w:val="008A2D3E"/>
    <w:rsid w:val="008A3BA3"/>
    <w:rsid w:val="008A415C"/>
    <w:rsid w:val="008A5081"/>
    <w:rsid w:val="008B0E5B"/>
    <w:rsid w:val="008B179E"/>
    <w:rsid w:val="008B1C9B"/>
    <w:rsid w:val="008B3016"/>
    <w:rsid w:val="008B3A54"/>
    <w:rsid w:val="008B3A9C"/>
    <w:rsid w:val="008B3E93"/>
    <w:rsid w:val="008B4C9A"/>
    <w:rsid w:val="008B7357"/>
    <w:rsid w:val="008B799B"/>
    <w:rsid w:val="008C3943"/>
    <w:rsid w:val="008C396C"/>
    <w:rsid w:val="008C4C0F"/>
    <w:rsid w:val="008C6B06"/>
    <w:rsid w:val="008D13EB"/>
    <w:rsid w:val="008E0585"/>
    <w:rsid w:val="008E0881"/>
    <w:rsid w:val="008E176C"/>
    <w:rsid w:val="008E4AB6"/>
    <w:rsid w:val="008E684B"/>
    <w:rsid w:val="008E6AB7"/>
    <w:rsid w:val="008E70C9"/>
    <w:rsid w:val="008F03B0"/>
    <w:rsid w:val="008F1441"/>
    <w:rsid w:val="008F1754"/>
    <w:rsid w:val="008F1B23"/>
    <w:rsid w:val="008F1FE8"/>
    <w:rsid w:val="008F25FA"/>
    <w:rsid w:val="008F2E66"/>
    <w:rsid w:val="008F30A9"/>
    <w:rsid w:val="008F471D"/>
    <w:rsid w:val="008F6075"/>
    <w:rsid w:val="008F7CE5"/>
    <w:rsid w:val="00903583"/>
    <w:rsid w:val="0090370D"/>
    <w:rsid w:val="0090540A"/>
    <w:rsid w:val="0090595D"/>
    <w:rsid w:val="00905974"/>
    <w:rsid w:val="00910A78"/>
    <w:rsid w:val="0091175D"/>
    <w:rsid w:val="00912432"/>
    <w:rsid w:val="0091447E"/>
    <w:rsid w:val="00914781"/>
    <w:rsid w:val="009153B0"/>
    <w:rsid w:val="009161CE"/>
    <w:rsid w:val="0091665C"/>
    <w:rsid w:val="00917745"/>
    <w:rsid w:val="0091774E"/>
    <w:rsid w:val="00917EC0"/>
    <w:rsid w:val="009200E9"/>
    <w:rsid w:val="00920811"/>
    <w:rsid w:val="0092383F"/>
    <w:rsid w:val="00924566"/>
    <w:rsid w:val="00925C29"/>
    <w:rsid w:val="00926EE2"/>
    <w:rsid w:val="0093011F"/>
    <w:rsid w:val="00930662"/>
    <w:rsid w:val="009324EB"/>
    <w:rsid w:val="00932827"/>
    <w:rsid w:val="00933226"/>
    <w:rsid w:val="00933B37"/>
    <w:rsid w:val="00934055"/>
    <w:rsid w:val="00936ABF"/>
    <w:rsid w:val="00936BAB"/>
    <w:rsid w:val="00940EB5"/>
    <w:rsid w:val="00941744"/>
    <w:rsid w:val="00941ADA"/>
    <w:rsid w:val="00941EA3"/>
    <w:rsid w:val="009425D1"/>
    <w:rsid w:val="009439C3"/>
    <w:rsid w:val="00944BCB"/>
    <w:rsid w:val="00945689"/>
    <w:rsid w:val="00946208"/>
    <w:rsid w:val="00947C44"/>
    <w:rsid w:val="00947DCF"/>
    <w:rsid w:val="00951643"/>
    <w:rsid w:val="00953D97"/>
    <w:rsid w:val="00955BC4"/>
    <w:rsid w:val="009569BA"/>
    <w:rsid w:val="00956A57"/>
    <w:rsid w:val="009571DB"/>
    <w:rsid w:val="00957E9E"/>
    <w:rsid w:val="0096041D"/>
    <w:rsid w:val="00960573"/>
    <w:rsid w:val="00961F83"/>
    <w:rsid w:val="00963708"/>
    <w:rsid w:val="00966260"/>
    <w:rsid w:val="00967406"/>
    <w:rsid w:val="00971E00"/>
    <w:rsid w:val="0097270B"/>
    <w:rsid w:val="00972777"/>
    <w:rsid w:val="00972BD5"/>
    <w:rsid w:val="009738D3"/>
    <w:rsid w:val="0097498A"/>
    <w:rsid w:val="00974DF7"/>
    <w:rsid w:val="00976102"/>
    <w:rsid w:val="009763FB"/>
    <w:rsid w:val="00977848"/>
    <w:rsid w:val="0098148E"/>
    <w:rsid w:val="00981DEA"/>
    <w:rsid w:val="00985534"/>
    <w:rsid w:val="0098605A"/>
    <w:rsid w:val="00986B14"/>
    <w:rsid w:val="00987220"/>
    <w:rsid w:val="0098747B"/>
    <w:rsid w:val="00987FAA"/>
    <w:rsid w:val="009920C3"/>
    <w:rsid w:val="0099280D"/>
    <w:rsid w:val="009928BB"/>
    <w:rsid w:val="00993736"/>
    <w:rsid w:val="00996A25"/>
    <w:rsid w:val="0099755F"/>
    <w:rsid w:val="009A05B6"/>
    <w:rsid w:val="009A080B"/>
    <w:rsid w:val="009A0CE1"/>
    <w:rsid w:val="009A19BD"/>
    <w:rsid w:val="009A1F07"/>
    <w:rsid w:val="009A27DE"/>
    <w:rsid w:val="009A32B7"/>
    <w:rsid w:val="009A32C7"/>
    <w:rsid w:val="009B0E38"/>
    <w:rsid w:val="009B2202"/>
    <w:rsid w:val="009B3F6C"/>
    <w:rsid w:val="009B4A5D"/>
    <w:rsid w:val="009B53C6"/>
    <w:rsid w:val="009B5B17"/>
    <w:rsid w:val="009B5BC3"/>
    <w:rsid w:val="009B66EF"/>
    <w:rsid w:val="009B7782"/>
    <w:rsid w:val="009C0B86"/>
    <w:rsid w:val="009C11F4"/>
    <w:rsid w:val="009C15BC"/>
    <w:rsid w:val="009C1BDC"/>
    <w:rsid w:val="009C47EB"/>
    <w:rsid w:val="009C6459"/>
    <w:rsid w:val="009C77F2"/>
    <w:rsid w:val="009D00C3"/>
    <w:rsid w:val="009D049E"/>
    <w:rsid w:val="009D2F82"/>
    <w:rsid w:val="009D7DC2"/>
    <w:rsid w:val="009E0E01"/>
    <w:rsid w:val="009E0E2A"/>
    <w:rsid w:val="009E158B"/>
    <w:rsid w:val="009E1623"/>
    <w:rsid w:val="009E67CB"/>
    <w:rsid w:val="009F00A5"/>
    <w:rsid w:val="009F1CF6"/>
    <w:rsid w:val="009F4A32"/>
    <w:rsid w:val="00A00E87"/>
    <w:rsid w:val="00A010B5"/>
    <w:rsid w:val="00A03786"/>
    <w:rsid w:val="00A03926"/>
    <w:rsid w:val="00A03ED5"/>
    <w:rsid w:val="00A04061"/>
    <w:rsid w:val="00A0641C"/>
    <w:rsid w:val="00A06CE7"/>
    <w:rsid w:val="00A072CC"/>
    <w:rsid w:val="00A10157"/>
    <w:rsid w:val="00A10B1A"/>
    <w:rsid w:val="00A11AA2"/>
    <w:rsid w:val="00A148D9"/>
    <w:rsid w:val="00A1671D"/>
    <w:rsid w:val="00A16DE0"/>
    <w:rsid w:val="00A17650"/>
    <w:rsid w:val="00A17857"/>
    <w:rsid w:val="00A206FE"/>
    <w:rsid w:val="00A209C7"/>
    <w:rsid w:val="00A20F48"/>
    <w:rsid w:val="00A214E5"/>
    <w:rsid w:val="00A21DD0"/>
    <w:rsid w:val="00A22020"/>
    <w:rsid w:val="00A22216"/>
    <w:rsid w:val="00A240FF"/>
    <w:rsid w:val="00A2494B"/>
    <w:rsid w:val="00A27178"/>
    <w:rsid w:val="00A273CE"/>
    <w:rsid w:val="00A30EDE"/>
    <w:rsid w:val="00A3155D"/>
    <w:rsid w:val="00A32208"/>
    <w:rsid w:val="00A35F5C"/>
    <w:rsid w:val="00A367E6"/>
    <w:rsid w:val="00A374FC"/>
    <w:rsid w:val="00A4220D"/>
    <w:rsid w:val="00A4281E"/>
    <w:rsid w:val="00A4340C"/>
    <w:rsid w:val="00A43F86"/>
    <w:rsid w:val="00A44892"/>
    <w:rsid w:val="00A448BA"/>
    <w:rsid w:val="00A44914"/>
    <w:rsid w:val="00A46940"/>
    <w:rsid w:val="00A50A31"/>
    <w:rsid w:val="00A51077"/>
    <w:rsid w:val="00A52A6E"/>
    <w:rsid w:val="00A54DBB"/>
    <w:rsid w:val="00A553E9"/>
    <w:rsid w:val="00A55AE3"/>
    <w:rsid w:val="00A57782"/>
    <w:rsid w:val="00A57FC8"/>
    <w:rsid w:val="00A60C6B"/>
    <w:rsid w:val="00A61CF9"/>
    <w:rsid w:val="00A62F66"/>
    <w:rsid w:val="00A6300E"/>
    <w:rsid w:val="00A64AE5"/>
    <w:rsid w:val="00A65BF3"/>
    <w:rsid w:val="00A7047C"/>
    <w:rsid w:val="00A72B59"/>
    <w:rsid w:val="00A73D72"/>
    <w:rsid w:val="00A73F09"/>
    <w:rsid w:val="00A74066"/>
    <w:rsid w:val="00A745BC"/>
    <w:rsid w:val="00A754EB"/>
    <w:rsid w:val="00A77179"/>
    <w:rsid w:val="00A8093A"/>
    <w:rsid w:val="00A82F0E"/>
    <w:rsid w:val="00A83C1A"/>
    <w:rsid w:val="00A843B7"/>
    <w:rsid w:val="00A8552D"/>
    <w:rsid w:val="00A865CE"/>
    <w:rsid w:val="00A87826"/>
    <w:rsid w:val="00A87B93"/>
    <w:rsid w:val="00A91526"/>
    <w:rsid w:val="00A92AD1"/>
    <w:rsid w:val="00A93739"/>
    <w:rsid w:val="00A964B8"/>
    <w:rsid w:val="00A97818"/>
    <w:rsid w:val="00A97848"/>
    <w:rsid w:val="00AA0101"/>
    <w:rsid w:val="00AA1E0E"/>
    <w:rsid w:val="00AA20CA"/>
    <w:rsid w:val="00AA3B9F"/>
    <w:rsid w:val="00AA4CB9"/>
    <w:rsid w:val="00AA4EB5"/>
    <w:rsid w:val="00AA50D0"/>
    <w:rsid w:val="00AA6437"/>
    <w:rsid w:val="00AA6C74"/>
    <w:rsid w:val="00AB0590"/>
    <w:rsid w:val="00AB2CF1"/>
    <w:rsid w:val="00AB31AC"/>
    <w:rsid w:val="00AB4028"/>
    <w:rsid w:val="00AB52CE"/>
    <w:rsid w:val="00AB7028"/>
    <w:rsid w:val="00AB7390"/>
    <w:rsid w:val="00AB7A01"/>
    <w:rsid w:val="00AC0047"/>
    <w:rsid w:val="00AC3383"/>
    <w:rsid w:val="00AC43FD"/>
    <w:rsid w:val="00AC630A"/>
    <w:rsid w:val="00AC7F2B"/>
    <w:rsid w:val="00AD0BEF"/>
    <w:rsid w:val="00AD4B21"/>
    <w:rsid w:val="00AD65B8"/>
    <w:rsid w:val="00AE09D2"/>
    <w:rsid w:val="00AE270D"/>
    <w:rsid w:val="00AE2F32"/>
    <w:rsid w:val="00AF12DE"/>
    <w:rsid w:val="00AF1EE9"/>
    <w:rsid w:val="00AF2C6A"/>
    <w:rsid w:val="00AF3E93"/>
    <w:rsid w:val="00AF4A28"/>
    <w:rsid w:val="00AF69B7"/>
    <w:rsid w:val="00AF6CD7"/>
    <w:rsid w:val="00B0165C"/>
    <w:rsid w:val="00B01E1E"/>
    <w:rsid w:val="00B03094"/>
    <w:rsid w:val="00B054D3"/>
    <w:rsid w:val="00B05916"/>
    <w:rsid w:val="00B10412"/>
    <w:rsid w:val="00B107F4"/>
    <w:rsid w:val="00B10F14"/>
    <w:rsid w:val="00B12659"/>
    <w:rsid w:val="00B12E9D"/>
    <w:rsid w:val="00B1554E"/>
    <w:rsid w:val="00B156E3"/>
    <w:rsid w:val="00B1576B"/>
    <w:rsid w:val="00B1639D"/>
    <w:rsid w:val="00B1772B"/>
    <w:rsid w:val="00B17ABB"/>
    <w:rsid w:val="00B20EC1"/>
    <w:rsid w:val="00B2145A"/>
    <w:rsid w:val="00B21FE3"/>
    <w:rsid w:val="00B224E6"/>
    <w:rsid w:val="00B22776"/>
    <w:rsid w:val="00B230FC"/>
    <w:rsid w:val="00B23642"/>
    <w:rsid w:val="00B23C8C"/>
    <w:rsid w:val="00B30C1F"/>
    <w:rsid w:val="00B30EB1"/>
    <w:rsid w:val="00B31DF9"/>
    <w:rsid w:val="00B31EEF"/>
    <w:rsid w:val="00B337E0"/>
    <w:rsid w:val="00B346AE"/>
    <w:rsid w:val="00B35F02"/>
    <w:rsid w:val="00B36DCD"/>
    <w:rsid w:val="00B401EE"/>
    <w:rsid w:val="00B41C33"/>
    <w:rsid w:val="00B426C3"/>
    <w:rsid w:val="00B43F20"/>
    <w:rsid w:val="00B44317"/>
    <w:rsid w:val="00B44768"/>
    <w:rsid w:val="00B45958"/>
    <w:rsid w:val="00B46251"/>
    <w:rsid w:val="00B46A91"/>
    <w:rsid w:val="00B4744D"/>
    <w:rsid w:val="00B476B4"/>
    <w:rsid w:val="00B4789B"/>
    <w:rsid w:val="00B51C49"/>
    <w:rsid w:val="00B51E40"/>
    <w:rsid w:val="00B5280F"/>
    <w:rsid w:val="00B529DB"/>
    <w:rsid w:val="00B539BE"/>
    <w:rsid w:val="00B55B0F"/>
    <w:rsid w:val="00B55BE1"/>
    <w:rsid w:val="00B55DCA"/>
    <w:rsid w:val="00B56FE1"/>
    <w:rsid w:val="00B57373"/>
    <w:rsid w:val="00B60126"/>
    <w:rsid w:val="00B6301D"/>
    <w:rsid w:val="00B631C4"/>
    <w:rsid w:val="00B63628"/>
    <w:rsid w:val="00B651D4"/>
    <w:rsid w:val="00B66797"/>
    <w:rsid w:val="00B731DD"/>
    <w:rsid w:val="00B73403"/>
    <w:rsid w:val="00B74353"/>
    <w:rsid w:val="00B77F33"/>
    <w:rsid w:val="00B80E5A"/>
    <w:rsid w:val="00B81062"/>
    <w:rsid w:val="00B86C16"/>
    <w:rsid w:val="00B91E02"/>
    <w:rsid w:val="00B92466"/>
    <w:rsid w:val="00B927E3"/>
    <w:rsid w:val="00B9414B"/>
    <w:rsid w:val="00B94777"/>
    <w:rsid w:val="00B95643"/>
    <w:rsid w:val="00B95B8F"/>
    <w:rsid w:val="00B95D34"/>
    <w:rsid w:val="00B96052"/>
    <w:rsid w:val="00B97410"/>
    <w:rsid w:val="00B979A3"/>
    <w:rsid w:val="00BA03CE"/>
    <w:rsid w:val="00BA05B0"/>
    <w:rsid w:val="00BA371E"/>
    <w:rsid w:val="00BA3B99"/>
    <w:rsid w:val="00BA517E"/>
    <w:rsid w:val="00BA70F2"/>
    <w:rsid w:val="00BB2CF3"/>
    <w:rsid w:val="00BB334D"/>
    <w:rsid w:val="00BB3B84"/>
    <w:rsid w:val="00BB5D7C"/>
    <w:rsid w:val="00BB6DDD"/>
    <w:rsid w:val="00BC03B1"/>
    <w:rsid w:val="00BC060E"/>
    <w:rsid w:val="00BC1D30"/>
    <w:rsid w:val="00BC235D"/>
    <w:rsid w:val="00BC28F4"/>
    <w:rsid w:val="00BC5E73"/>
    <w:rsid w:val="00BC7302"/>
    <w:rsid w:val="00BD06CF"/>
    <w:rsid w:val="00BD3618"/>
    <w:rsid w:val="00BD3831"/>
    <w:rsid w:val="00BD6ECC"/>
    <w:rsid w:val="00BE0FF5"/>
    <w:rsid w:val="00BE2007"/>
    <w:rsid w:val="00BE2B94"/>
    <w:rsid w:val="00BE2FF6"/>
    <w:rsid w:val="00BE3573"/>
    <w:rsid w:val="00BE54AF"/>
    <w:rsid w:val="00BE6191"/>
    <w:rsid w:val="00BE78CD"/>
    <w:rsid w:val="00BF0C06"/>
    <w:rsid w:val="00BF0CAE"/>
    <w:rsid w:val="00BF5711"/>
    <w:rsid w:val="00BF5CFA"/>
    <w:rsid w:val="00C000EC"/>
    <w:rsid w:val="00C01778"/>
    <w:rsid w:val="00C01A85"/>
    <w:rsid w:val="00C01F79"/>
    <w:rsid w:val="00C03356"/>
    <w:rsid w:val="00C04909"/>
    <w:rsid w:val="00C05D64"/>
    <w:rsid w:val="00C062A5"/>
    <w:rsid w:val="00C07D36"/>
    <w:rsid w:val="00C1247B"/>
    <w:rsid w:val="00C1289A"/>
    <w:rsid w:val="00C12FD1"/>
    <w:rsid w:val="00C13245"/>
    <w:rsid w:val="00C13340"/>
    <w:rsid w:val="00C143EE"/>
    <w:rsid w:val="00C15BD5"/>
    <w:rsid w:val="00C17780"/>
    <w:rsid w:val="00C17D4A"/>
    <w:rsid w:val="00C22F52"/>
    <w:rsid w:val="00C254E5"/>
    <w:rsid w:val="00C30106"/>
    <w:rsid w:val="00C308B8"/>
    <w:rsid w:val="00C331F5"/>
    <w:rsid w:val="00C33F61"/>
    <w:rsid w:val="00C35C32"/>
    <w:rsid w:val="00C367C6"/>
    <w:rsid w:val="00C3687F"/>
    <w:rsid w:val="00C36D30"/>
    <w:rsid w:val="00C3724B"/>
    <w:rsid w:val="00C37878"/>
    <w:rsid w:val="00C3791A"/>
    <w:rsid w:val="00C40181"/>
    <w:rsid w:val="00C412DC"/>
    <w:rsid w:val="00C4484F"/>
    <w:rsid w:val="00C450FB"/>
    <w:rsid w:val="00C47946"/>
    <w:rsid w:val="00C501DE"/>
    <w:rsid w:val="00C50B8D"/>
    <w:rsid w:val="00C5234E"/>
    <w:rsid w:val="00C528B5"/>
    <w:rsid w:val="00C53082"/>
    <w:rsid w:val="00C55C52"/>
    <w:rsid w:val="00C5640E"/>
    <w:rsid w:val="00C57243"/>
    <w:rsid w:val="00C61F46"/>
    <w:rsid w:val="00C620B6"/>
    <w:rsid w:val="00C620FA"/>
    <w:rsid w:val="00C623F7"/>
    <w:rsid w:val="00C627C6"/>
    <w:rsid w:val="00C63D4E"/>
    <w:rsid w:val="00C64B20"/>
    <w:rsid w:val="00C650B9"/>
    <w:rsid w:val="00C711B5"/>
    <w:rsid w:val="00C7462B"/>
    <w:rsid w:val="00C77121"/>
    <w:rsid w:val="00C77367"/>
    <w:rsid w:val="00C77851"/>
    <w:rsid w:val="00C81DB3"/>
    <w:rsid w:val="00C82369"/>
    <w:rsid w:val="00C842EA"/>
    <w:rsid w:val="00C85C5D"/>
    <w:rsid w:val="00C85DEA"/>
    <w:rsid w:val="00C87607"/>
    <w:rsid w:val="00C87645"/>
    <w:rsid w:val="00C90F31"/>
    <w:rsid w:val="00C91537"/>
    <w:rsid w:val="00C91658"/>
    <w:rsid w:val="00C92969"/>
    <w:rsid w:val="00C92B1B"/>
    <w:rsid w:val="00C9379C"/>
    <w:rsid w:val="00C93AD6"/>
    <w:rsid w:val="00C94012"/>
    <w:rsid w:val="00C9429C"/>
    <w:rsid w:val="00C947BB"/>
    <w:rsid w:val="00C952F6"/>
    <w:rsid w:val="00C95317"/>
    <w:rsid w:val="00C9541E"/>
    <w:rsid w:val="00C95A86"/>
    <w:rsid w:val="00C97654"/>
    <w:rsid w:val="00C97A5C"/>
    <w:rsid w:val="00CA0478"/>
    <w:rsid w:val="00CA04C4"/>
    <w:rsid w:val="00CA1116"/>
    <w:rsid w:val="00CA31B0"/>
    <w:rsid w:val="00CA479E"/>
    <w:rsid w:val="00CA679E"/>
    <w:rsid w:val="00CA67D5"/>
    <w:rsid w:val="00CA6A4C"/>
    <w:rsid w:val="00CA6D7E"/>
    <w:rsid w:val="00CB1822"/>
    <w:rsid w:val="00CB2A34"/>
    <w:rsid w:val="00CB3F41"/>
    <w:rsid w:val="00CB44F0"/>
    <w:rsid w:val="00CB4FF4"/>
    <w:rsid w:val="00CB504D"/>
    <w:rsid w:val="00CB5D0D"/>
    <w:rsid w:val="00CB69B4"/>
    <w:rsid w:val="00CB6DA4"/>
    <w:rsid w:val="00CB7EF1"/>
    <w:rsid w:val="00CC0D2C"/>
    <w:rsid w:val="00CC12C4"/>
    <w:rsid w:val="00CC16E1"/>
    <w:rsid w:val="00CC481D"/>
    <w:rsid w:val="00CC5195"/>
    <w:rsid w:val="00CC529F"/>
    <w:rsid w:val="00CC55C3"/>
    <w:rsid w:val="00CC627E"/>
    <w:rsid w:val="00CC6815"/>
    <w:rsid w:val="00CC6944"/>
    <w:rsid w:val="00CC6D5B"/>
    <w:rsid w:val="00CD0D27"/>
    <w:rsid w:val="00CD1544"/>
    <w:rsid w:val="00CD2562"/>
    <w:rsid w:val="00CD3444"/>
    <w:rsid w:val="00CD590D"/>
    <w:rsid w:val="00CD6EA6"/>
    <w:rsid w:val="00CD7023"/>
    <w:rsid w:val="00CE10AE"/>
    <w:rsid w:val="00CE3D8D"/>
    <w:rsid w:val="00CE52E9"/>
    <w:rsid w:val="00CE6D4B"/>
    <w:rsid w:val="00CF172D"/>
    <w:rsid w:val="00CF1A2E"/>
    <w:rsid w:val="00CF3B9B"/>
    <w:rsid w:val="00CF4B74"/>
    <w:rsid w:val="00CF4BC9"/>
    <w:rsid w:val="00CF5749"/>
    <w:rsid w:val="00CF5A1C"/>
    <w:rsid w:val="00D033E3"/>
    <w:rsid w:val="00D03FF9"/>
    <w:rsid w:val="00D07129"/>
    <w:rsid w:val="00D076C6"/>
    <w:rsid w:val="00D11296"/>
    <w:rsid w:val="00D1164E"/>
    <w:rsid w:val="00D12B7C"/>
    <w:rsid w:val="00D12EE3"/>
    <w:rsid w:val="00D12FE4"/>
    <w:rsid w:val="00D155CE"/>
    <w:rsid w:val="00D17912"/>
    <w:rsid w:val="00D201EF"/>
    <w:rsid w:val="00D20B1A"/>
    <w:rsid w:val="00D20D48"/>
    <w:rsid w:val="00D212C6"/>
    <w:rsid w:val="00D22424"/>
    <w:rsid w:val="00D2415E"/>
    <w:rsid w:val="00D25D18"/>
    <w:rsid w:val="00D26FC3"/>
    <w:rsid w:val="00D32293"/>
    <w:rsid w:val="00D324E4"/>
    <w:rsid w:val="00D339EB"/>
    <w:rsid w:val="00D34672"/>
    <w:rsid w:val="00D358C0"/>
    <w:rsid w:val="00D36F19"/>
    <w:rsid w:val="00D37A13"/>
    <w:rsid w:val="00D40493"/>
    <w:rsid w:val="00D41B86"/>
    <w:rsid w:val="00D41EBC"/>
    <w:rsid w:val="00D427F1"/>
    <w:rsid w:val="00D44881"/>
    <w:rsid w:val="00D45319"/>
    <w:rsid w:val="00D45BD6"/>
    <w:rsid w:val="00D50E48"/>
    <w:rsid w:val="00D518A6"/>
    <w:rsid w:val="00D5352C"/>
    <w:rsid w:val="00D55496"/>
    <w:rsid w:val="00D554A9"/>
    <w:rsid w:val="00D55A0D"/>
    <w:rsid w:val="00D55AD0"/>
    <w:rsid w:val="00D56D2A"/>
    <w:rsid w:val="00D60873"/>
    <w:rsid w:val="00D609D6"/>
    <w:rsid w:val="00D621ED"/>
    <w:rsid w:val="00D64A57"/>
    <w:rsid w:val="00D65EA2"/>
    <w:rsid w:val="00D660DE"/>
    <w:rsid w:val="00D66C55"/>
    <w:rsid w:val="00D70A67"/>
    <w:rsid w:val="00D71962"/>
    <w:rsid w:val="00D726FE"/>
    <w:rsid w:val="00D7339B"/>
    <w:rsid w:val="00D734FE"/>
    <w:rsid w:val="00D73AC1"/>
    <w:rsid w:val="00D74796"/>
    <w:rsid w:val="00D74937"/>
    <w:rsid w:val="00D752A5"/>
    <w:rsid w:val="00D77207"/>
    <w:rsid w:val="00D80529"/>
    <w:rsid w:val="00D80851"/>
    <w:rsid w:val="00D84CC8"/>
    <w:rsid w:val="00D8657A"/>
    <w:rsid w:val="00D868EF"/>
    <w:rsid w:val="00D904A7"/>
    <w:rsid w:val="00D9208D"/>
    <w:rsid w:val="00D9327A"/>
    <w:rsid w:val="00D951F7"/>
    <w:rsid w:val="00D9528F"/>
    <w:rsid w:val="00D96375"/>
    <w:rsid w:val="00D968D1"/>
    <w:rsid w:val="00D970A1"/>
    <w:rsid w:val="00D97315"/>
    <w:rsid w:val="00D9799F"/>
    <w:rsid w:val="00DA0092"/>
    <w:rsid w:val="00DA015B"/>
    <w:rsid w:val="00DA0DBB"/>
    <w:rsid w:val="00DA1ABF"/>
    <w:rsid w:val="00DA2AC1"/>
    <w:rsid w:val="00DA3446"/>
    <w:rsid w:val="00DA3E5A"/>
    <w:rsid w:val="00DA522C"/>
    <w:rsid w:val="00DA5C1A"/>
    <w:rsid w:val="00DB0BF0"/>
    <w:rsid w:val="00DB10C4"/>
    <w:rsid w:val="00DB1264"/>
    <w:rsid w:val="00DB1308"/>
    <w:rsid w:val="00DB2DE8"/>
    <w:rsid w:val="00DB40DE"/>
    <w:rsid w:val="00DB4E15"/>
    <w:rsid w:val="00DB58F0"/>
    <w:rsid w:val="00DB59CC"/>
    <w:rsid w:val="00DB5D7C"/>
    <w:rsid w:val="00DC038B"/>
    <w:rsid w:val="00DC0EB7"/>
    <w:rsid w:val="00DC17BE"/>
    <w:rsid w:val="00DC2D96"/>
    <w:rsid w:val="00DC2EE9"/>
    <w:rsid w:val="00DC3BB6"/>
    <w:rsid w:val="00DD171D"/>
    <w:rsid w:val="00DD2977"/>
    <w:rsid w:val="00DD3553"/>
    <w:rsid w:val="00DD36DB"/>
    <w:rsid w:val="00DD38B5"/>
    <w:rsid w:val="00DD46CE"/>
    <w:rsid w:val="00DD5439"/>
    <w:rsid w:val="00DD56AE"/>
    <w:rsid w:val="00DD5CEF"/>
    <w:rsid w:val="00DD67FC"/>
    <w:rsid w:val="00DD7822"/>
    <w:rsid w:val="00DD79CD"/>
    <w:rsid w:val="00DD7AA5"/>
    <w:rsid w:val="00DE2A91"/>
    <w:rsid w:val="00DE55E3"/>
    <w:rsid w:val="00DE626B"/>
    <w:rsid w:val="00DE6981"/>
    <w:rsid w:val="00DE74C8"/>
    <w:rsid w:val="00DE7C8F"/>
    <w:rsid w:val="00DF08AE"/>
    <w:rsid w:val="00DF0E2A"/>
    <w:rsid w:val="00DF3348"/>
    <w:rsid w:val="00DF53CE"/>
    <w:rsid w:val="00DF5B36"/>
    <w:rsid w:val="00DF6A0F"/>
    <w:rsid w:val="00DF70DA"/>
    <w:rsid w:val="00DF74BA"/>
    <w:rsid w:val="00DF7C72"/>
    <w:rsid w:val="00E00762"/>
    <w:rsid w:val="00E01D03"/>
    <w:rsid w:val="00E04073"/>
    <w:rsid w:val="00E0471C"/>
    <w:rsid w:val="00E0538F"/>
    <w:rsid w:val="00E076C0"/>
    <w:rsid w:val="00E1031F"/>
    <w:rsid w:val="00E104FB"/>
    <w:rsid w:val="00E11D9C"/>
    <w:rsid w:val="00E1227C"/>
    <w:rsid w:val="00E15311"/>
    <w:rsid w:val="00E1737A"/>
    <w:rsid w:val="00E220D6"/>
    <w:rsid w:val="00E255F1"/>
    <w:rsid w:val="00E30073"/>
    <w:rsid w:val="00E326A4"/>
    <w:rsid w:val="00E329C0"/>
    <w:rsid w:val="00E33192"/>
    <w:rsid w:val="00E335F4"/>
    <w:rsid w:val="00E33D60"/>
    <w:rsid w:val="00E34DC8"/>
    <w:rsid w:val="00E351BD"/>
    <w:rsid w:val="00E36D6F"/>
    <w:rsid w:val="00E371C5"/>
    <w:rsid w:val="00E40CF6"/>
    <w:rsid w:val="00E41202"/>
    <w:rsid w:val="00E4121A"/>
    <w:rsid w:val="00E42E8F"/>
    <w:rsid w:val="00E430CF"/>
    <w:rsid w:val="00E4338F"/>
    <w:rsid w:val="00E439E8"/>
    <w:rsid w:val="00E43FA4"/>
    <w:rsid w:val="00E4487B"/>
    <w:rsid w:val="00E44D92"/>
    <w:rsid w:val="00E46EB0"/>
    <w:rsid w:val="00E52C37"/>
    <w:rsid w:val="00E53D38"/>
    <w:rsid w:val="00E54237"/>
    <w:rsid w:val="00E5675A"/>
    <w:rsid w:val="00E572F4"/>
    <w:rsid w:val="00E60897"/>
    <w:rsid w:val="00E614D9"/>
    <w:rsid w:val="00E6277D"/>
    <w:rsid w:val="00E63B9D"/>
    <w:rsid w:val="00E64B0A"/>
    <w:rsid w:val="00E6577F"/>
    <w:rsid w:val="00E65DC9"/>
    <w:rsid w:val="00E65F1B"/>
    <w:rsid w:val="00E6781F"/>
    <w:rsid w:val="00E7020F"/>
    <w:rsid w:val="00E72EC2"/>
    <w:rsid w:val="00E73EFF"/>
    <w:rsid w:val="00E77F57"/>
    <w:rsid w:val="00E815D5"/>
    <w:rsid w:val="00E81ADE"/>
    <w:rsid w:val="00E81B92"/>
    <w:rsid w:val="00E837A5"/>
    <w:rsid w:val="00E8429E"/>
    <w:rsid w:val="00E843F0"/>
    <w:rsid w:val="00E85157"/>
    <w:rsid w:val="00E862E4"/>
    <w:rsid w:val="00E8678C"/>
    <w:rsid w:val="00E90A95"/>
    <w:rsid w:val="00E92209"/>
    <w:rsid w:val="00E92EA5"/>
    <w:rsid w:val="00E96863"/>
    <w:rsid w:val="00E976D3"/>
    <w:rsid w:val="00EA06E8"/>
    <w:rsid w:val="00EA16EA"/>
    <w:rsid w:val="00EA1AA9"/>
    <w:rsid w:val="00EA2429"/>
    <w:rsid w:val="00EA3DF2"/>
    <w:rsid w:val="00EA61D5"/>
    <w:rsid w:val="00EA6EC9"/>
    <w:rsid w:val="00EA782F"/>
    <w:rsid w:val="00EB0310"/>
    <w:rsid w:val="00EB076B"/>
    <w:rsid w:val="00EB1053"/>
    <w:rsid w:val="00EB2E14"/>
    <w:rsid w:val="00EB48C6"/>
    <w:rsid w:val="00EB4AF5"/>
    <w:rsid w:val="00EB5102"/>
    <w:rsid w:val="00EB554C"/>
    <w:rsid w:val="00EB59FE"/>
    <w:rsid w:val="00EB71AB"/>
    <w:rsid w:val="00EB7AA5"/>
    <w:rsid w:val="00EC1FFE"/>
    <w:rsid w:val="00EC56D7"/>
    <w:rsid w:val="00EC7802"/>
    <w:rsid w:val="00ED1E96"/>
    <w:rsid w:val="00ED318F"/>
    <w:rsid w:val="00ED4310"/>
    <w:rsid w:val="00ED4B5C"/>
    <w:rsid w:val="00ED4C79"/>
    <w:rsid w:val="00ED7D7F"/>
    <w:rsid w:val="00EE3D2C"/>
    <w:rsid w:val="00EE3F16"/>
    <w:rsid w:val="00EE4C28"/>
    <w:rsid w:val="00EE540B"/>
    <w:rsid w:val="00EE74B3"/>
    <w:rsid w:val="00EE7527"/>
    <w:rsid w:val="00EE7C1E"/>
    <w:rsid w:val="00EF09E5"/>
    <w:rsid w:val="00EF0DB8"/>
    <w:rsid w:val="00EF2001"/>
    <w:rsid w:val="00EF3CE1"/>
    <w:rsid w:val="00EF40BC"/>
    <w:rsid w:val="00EF47AF"/>
    <w:rsid w:val="00EF621B"/>
    <w:rsid w:val="00EF656B"/>
    <w:rsid w:val="00EF6A6B"/>
    <w:rsid w:val="00F00B8A"/>
    <w:rsid w:val="00F02133"/>
    <w:rsid w:val="00F02141"/>
    <w:rsid w:val="00F04688"/>
    <w:rsid w:val="00F108F0"/>
    <w:rsid w:val="00F10AC4"/>
    <w:rsid w:val="00F12585"/>
    <w:rsid w:val="00F13398"/>
    <w:rsid w:val="00F1499A"/>
    <w:rsid w:val="00F15496"/>
    <w:rsid w:val="00F1712B"/>
    <w:rsid w:val="00F17E30"/>
    <w:rsid w:val="00F2138E"/>
    <w:rsid w:val="00F22D86"/>
    <w:rsid w:val="00F24833"/>
    <w:rsid w:val="00F2492F"/>
    <w:rsid w:val="00F26F33"/>
    <w:rsid w:val="00F3120B"/>
    <w:rsid w:val="00F325B2"/>
    <w:rsid w:val="00F334F8"/>
    <w:rsid w:val="00F34E0F"/>
    <w:rsid w:val="00F350EB"/>
    <w:rsid w:val="00F355D8"/>
    <w:rsid w:val="00F366ED"/>
    <w:rsid w:val="00F3783F"/>
    <w:rsid w:val="00F4022A"/>
    <w:rsid w:val="00F410CD"/>
    <w:rsid w:val="00F41197"/>
    <w:rsid w:val="00F44A93"/>
    <w:rsid w:val="00F4706C"/>
    <w:rsid w:val="00F47A59"/>
    <w:rsid w:val="00F50BF6"/>
    <w:rsid w:val="00F5174D"/>
    <w:rsid w:val="00F5197F"/>
    <w:rsid w:val="00F5371E"/>
    <w:rsid w:val="00F548D2"/>
    <w:rsid w:val="00F56184"/>
    <w:rsid w:val="00F564F4"/>
    <w:rsid w:val="00F57B2B"/>
    <w:rsid w:val="00F603FA"/>
    <w:rsid w:val="00F60B37"/>
    <w:rsid w:val="00F614DD"/>
    <w:rsid w:val="00F62DE9"/>
    <w:rsid w:val="00F63974"/>
    <w:rsid w:val="00F64031"/>
    <w:rsid w:val="00F640F9"/>
    <w:rsid w:val="00F66075"/>
    <w:rsid w:val="00F66AB4"/>
    <w:rsid w:val="00F676A1"/>
    <w:rsid w:val="00F71A38"/>
    <w:rsid w:val="00F72019"/>
    <w:rsid w:val="00F72A84"/>
    <w:rsid w:val="00F75299"/>
    <w:rsid w:val="00F75EE3"/>
    <w:rsid w:val="00F82429"/>
    <w:rsid w:val="00F82BB8"/>
    <w:rsid w:val="00F831A0"/>
    <w:rsid w:val="00F83527"/>
    <w:rsid w:val="00F836A5"/>
    <w:rsid w:val="00F837A6"/>
    <w:rsid w:val="00F840C8"/>
    <w:rsid w:val="00F85589"/>
    <w:rsid w:val="00F85E7F"/>
    <w:rsid w:val="00F85FE1"/>
    <w:rsid w:val="00F8672B"/>
    <w:rsid w:val="00F86972"/>
    <w:rsid w:val="00F86A5D"/>
    <w:rsid w:val="00F916C8"/>
    <w:rsid w:val="00F92F53"/>
    <w:rsid w:val="00F93BFF"/>
    <w:rsid w:val="00F94706"/>
    <w:rsid w:val="00F9498D"/>
    <w:rsid w:val="00F94A64"/>
    <w:rsid w:val="00F96462"/>
    <w:rsid w:val="00F966F1"/>
    <w:rsid w:val="00FA0F2B"/>
    <w:rsid w:val="00FA12BF"/>
    <w:rsid w:val="00FA2A94"/>
    <w:rsid w:val="00FA3174"/>
    <w:rsid w:val="00FA324D"/>
    <w:rsid w:val="00FA5597"/>
    <w:rsid w:val="00FA60E1"/>
    <w:rsid w:val="00FA7D5C"/>
    <w:rsid w:val="00FB0C51"/>
    <w:rsid w:val="00FB0E1E"/>
    <w:rsid w:val="00FB2760"/>
    <w:rsid w:val="00FB2D41"/>
    <w:rsid w:val="00FB3BFE"/>
    <w:rsid w:val="00FB49EE"/>
    <w:rsid w:val="00FB5154"/>
    <w:rsid w:val="00FB51F4"/>
    <w:rsid w:val="00FB5E15"/>
    <w:rsid w:val="00FB764B"/>
    <w:rsid w:val="00FB7B87"/>
    <w:rsid w:val="00FB7F68"/>
    <w:rsid w:val="00FC0190"/>
    <w:rsid w:val="00FC2E67"/>
    <w:rsid w:val="00FC5367"/>
    <w:rsid w:val="00FC5522"/>
    <w:rsid w:val="00FC797C"/>
    <w:rsid w:val="00FD1A12"/>
    <w:rsid w:val="00FD1ED5"/>
    <w:rsid w:val="00FD203C"/>
    <w:rsid w:val="00FD2C7E"/>
    <w:rsid w:val="00FD39CD"/>
    <w:rsid w:val="00FD43BF"/>
    <w:rsid w:val="00FD4560"/>
    <w:rsid w:val="00FD46D6"/>
    <w:rsid w:val="00FD5220"/>
    <w:rsid w:val="00FD54D1"/>
    <w:rsid w:val="00FD5C8A"/>
    <w:rsid w:val="00FD67AA"/>
    <w:rsid w:val="00FD6CAA"/>
    <w:rsid w:val="00FD6E14"/>
    <w:rsid w:val="00FE0324"/>
    <w:rsid w:val="00FE0C04"/>
    <w:rsid w:val="00FE2E6A"/>
    <w:rsid w:val="00FE4ED8"/>
    <w:rsid w:val="00FE6340"/>
    <w:rsid w:val="00FE7B37"/>
    <w:rsid w:val="00FF3142"/>
    <w:rsid w:val="00FF6791"/>
    <w:rsid w:val="00FF6C9D"/>
    <w:rsid w:val="00FF73B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154"/>
    <w:pPr>
      <w:widowControl w:val="0"/>
      <w:autoSpaceDE w:val="0"/>
      <w:autoSpaceDN w:val="0"/>
      <w:adjustRightInd w:val="0"/>
      <w:spacing w:after="0" w:line="240" w:lineRule="auto"/>
    </w:pPr>
    <w:rPr>
      <w:rFonts w:ascii="Courier New" w:eastAsia="Times New Roman" w:hAnsi="Courier New" w:cs="Courier New"/>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5154"/>
    <w:rPr>
      <w:rFonts w:ascii="Tahoma" w:hAnsi="Tahoma" w:cs="Tahoma"/>
      <w:sz w:val="16"/>
      <w:szCs w:val="16"/>
    </w:rPr>
  </w:style>
  <w:style w:type="character" w:customStyle="1" w:styleId="TextedebullesCar">
    <w:name w:val="Texte de bulles Car"/>
    <w:basedOn w:val="Policepardfaut"/>
    <w:link w:val="Textedebulles"/>
    <w:uiPriority w:val="99"/>
    <w:semiHidden/>
    <w:rsid w:val="00FB5154"/>
    <w:rPr>
      <w:rFonts w:ascii="Tahoma" w:hAnsi="Tahoma" w:cs="Tahoma"/>
      <w:sz w:val="16"/>
      <w:szCs w:val="16"/>
    </w:rPr>
  </w:style>
  <w:style w:type="paragraph" w:styleId="En-tte">
    <w:name w:val="header"/>
    <w:basedOn w:val="Normal"/>
    <w:link w:val="En-tteCar"/>
    <w:uiPriority w:val="99"/>
    <w:semiHidden/>
    <w:unhideWhenUsed/>
    <w:rsid w:val="00FB5154"/>
    <w:pPr>
      <w:tabs>
        <w:tab w:val="center" w:pos="4536"/>
        <w:tab w:val="right" w:pos="9072"/>
      </w:tabs>
    </w:pPr>
  </w:style>
  <w:style w:type="character" w:customStyle="1" w:styleId="En-tteCar">
    <w:name w:val="En-tête Car"/>
    <w:basedOn w:val="Policepardfaut"/>
    <w:link w:val="En-tte"/>
    <w:uiPriority w:val="99"/>
    <w:semiHidden/>
    <w:rsid w:val="00FB5154"/>
  </w:style>
  <w:style w:type="paragraph" w:styleId="Pieddepage">
    <w:name w:val="footer"/>
    <w:basedOn w:val="Normal"/>
    <w:link w:val="PieddepageCar"/>
    <w:uiPriority w:val="99"/>
    <w:unhideWhenUsed/>
    <w:rsid w:val="00FB5154"/>
    <w:pPr>
      <w:tabs>
        <w:tab w:val="center" w:pos="4536"/>
        <w:tab w:val="right" w:pos="9072"/>
      </w:tabs>
    </w:pPr>
  </w:style>
  <w:style w:type="character" w:customStyle="1" w:styleId="PieddepageCar">
    <w:name w:val="Pied de page Car"/>
    <w:basedOn w:val="Policepardfaut"/>
    <w:link w:val="Pieddepage"/>
    <w:uiPriority w:val="99"/>
    <w:rsid w:val="00FB5154"/>
  </w:style>
  <w:style w:type="paragraph" w:styleId="Paragraphedeliste">
    <w:name w:val="List Paragraph"/>
    <w:basedOn w:val="Normal"/>
    <w:uiPriority w:val="34"/>
    <w:qFormat/>
    <w:rsid w:val="00FB5154"/>
    <w:pPr>
      <w:ind w:left="720"/>
      <w:contextualSpacing/>
    </w:pPr>
  </w:style>
  <w:style w:type="character" w:styleId="Lienhypertexte">
    <w:name w:val="Hyperlink"/>
    <w:basedOn w:val="Policepardfaut"/>
    <w:uiPriority w:val="99"/>
    <w:unhideWhenUsed/>
    <w:rsid w:val="00B51E40"/>
    <w:rPr>
      <w:color w:val="0000FF"/>
      <w:u w:val="single"/>
    </w:rPr>
  </w:style>
  <w:style w:type="character" w:customStyle="1" w:styleId="hps">
    <w:name w:val="hps"/>
    <w:basedOn w:val="Policepardfaut"/>
    <w:rsid w:val="009569BA"/>
  </w:style>
  <w:style w:type="table" w:styleId="Grilledutableau">
    <w:name w:val="Table Grid"/>
    <w:basedOn w:val="TableauNormal"/>
    <w:uiPriority w:val="59"/>
    <w:rsid w:val="007517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3881847">
      <w:bodyDiv w:val="1"/>
      <w:marLeft w:val="0"/>
      <w:marRight w:val="0"/>
      <w:marTop w:val="0"/>
      <w:marBottom w:val="0"/>
      <w:divBdr>
        <w:top w:val="none" w:sz="0" w:space="0" w:color="auto"/>
        <w:left w:val="none" w:sz="0" w:space="0" w:color="auto"/>
        <w:bottom w:val="none" w:sz="0" w:space="0" w:color="auto"/>
        <w:right w:val="none" w:sz="0" w:space="0" w:color="auto"/>
      </w:divBdr>
    </w:div>
    <w:div w:id="566497277">
      <w:bodyDiv w:val="1"/>
      <w:marLeft w:val="0"/>
      <w:marRight w:val="0"/>
      <w:marTop w:val="0"/>
      <w:marBottom w:val="0"/>
      <w:divBdr>
        <w:top w:val="none" w:sz="0" w:space="0" w:color="auto"/>
        <w:left w:val="none" w:sz="0" w:space="0" w:color="auto"/>
        <w:bottom w:val="none" w:sz="0" w:space="0" w:color="auto"/>
        <w:right w:val="none" w:sz="0" w:space="0" w:color="auto"/>
      </w:divBdr>
    </w:div>
    <w:div w:id="616109685">
      <w:bodyDiv w:val="1"/>
      <w:marLeft w:val="0"/>
      <w:marRight w:val="0"/>
      <w:marTop w:val="0"/>
      <w:marBottom w:val="0"/>
      <w:divBdr>
        <w:top w:val="none" w:sz="0" w:space="0" w:color="auto"/>
        <w:left w:val="none" w:sz="0" w:space="0" w:color="auto"/>
        <w:bottom w:val="none" w:sz="0" w:space="0" w:color="auto"/>
        <w:right w:val="none" w:sz="0" w:space="0" w:color="auto"/>
      </w:divBdr>
    </w:div>
    <w:div w:id="819343458">
      <w:bodyDiv w:val="1"/>
      <w:marLeft w:val="0"/>
      <w:marRight w:val="0"/>
      <w:marTop w:val="0"/>
      <w:marBottom w:val="0"/>
      <w:divBdr>
        <w:top w:val="none" w:sz="0" w:space="0" w:color="auto"/>
        <w:left w:val="none" w:sz="0" w:space="0" w:color="auto"/>
        <w:bottom w:val="none" w:sz="0" w:space="0" w:color="auto"/>
        <w:right w:val="none" w:sz="0" w:space="0" w:color="auto"/>
      </w:divBdr>
    </w:div>
    <w:div w:id="833566169">
      <w:bodyDiv w:val="1"/>
      <w:marLeft w:val="0"/>
      <w:marRight w:val="0"/>
      <w:marTop w:val="0"/>
      <w:marBottom w:val="0"/>
      <w:divBdr>
        <w:top w:val="none" w:sz="0" w:space="0" w:color="auto"/>
        <w:left w:val="none" w:sz="0" w:space="0" w:color="auto"/>
        <w:bottom w:val="none" w:sz="0" w:space="0" w:color="auto"/>
        <w:right w:val="none" w:sz="0" w:space="0" w:color="auto"/>
      </w:divBdr>
    </w:div>
    <w:div w:id="1050692214">
      <w:bodyDiv w:val="1"/>
      <w:marLeft w:val="0"/>
      <w:marRight w:val="0"/>
      <w:marTop w:val="0"/>
      <w:marBottom w:val="0"/>
      <w:divBdr>
        <w:top w:val="none" w:sz="0" w:space="0" w:color="auto"/>
        <w:left w:val="none" w:sz="0" w:space="0" w:color="auto"/>
        <w:bottom w:val="none" w:sz="0" w:space="0" w:color="auto"/>
        <w:right w:val="none" w:sz="0" w:space="0" w:color="auto"/>
      </w:divBdr>
    </w:div>
    <w:div w:id="1392078431">
      <w:bodyDiv w:val="1"/>
      <w:marLeft w:val="0"/>
      <w:marRight w:val="0"/>
      <w:marTop w:val="0"/>
      <w:marBottom w:val="0"/>
      <w:divBdr>
        <w:top w:val="none" w:sz="0" w:space="0" w:color="auto"/>
        <w:left w:val="none" w:sz="0" w:space="0" w:color="auto"/>
        <w:bottom w:val="none" w:sz="0" w:space="0" w:color="auto"/>
        <w:right w:val="none" w:sz="0" w:space="0" w:color="auto"/>
      </w:divBdr>
    </w:div>
    <w:div w:id="1470130386">
      <w:bodyDiv w:val="1"/>
      <w:marLeft w:val="0"/>
      <w:marRight w:val="0"/>
      <w:marTop w:val="0"/>
      <w:marBottom w:val="0"/>
      <w:divBdr>
        <w:top w:val="none" w:sz="0" w:space="0" w:color="auto"/>
        <w:left w:val="none" w:sz="0" w:space="0" w:color="auto"/>
        <w:bottom w:val="none" w:sz="0" w:space="0" w:color="auto"/>
        <w:right w:val="none" w:sz="0" w:space="0" w:color="auto"/>
      </w:divBdr>
    </w:div>
    <w:div w:id="1496265545">
      <w:bodyDiv w:val="1"/>
      <w:marLeft w:val="0"/>
      <w:marRight w:val="0"/>
      <w:marTop w:val="0"/>
      <w:marBottom w:val="0"/>
      <w:divBdr>
        <w:top w:val="none" w:sz="0" w:space="0" w:color="auto"/>
        <w:left w:val="none" w:sz="0" w:space="0" w:color="auto"/>
        <w:bottom w:val="none" w:sz="0" w:space="0" w:color="auto"/>
        <w:right w:val="none" w:sz="0" w:space="0" w:color="auto"/>
      </w:divBdr>
    </w:div>
    <w:div w:id="15868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hcp.m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bghmimat\Desktop\ECM\resultatseECM(trim1-08-trim4-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ghmimat\Desktop\ECM\resultatseECM(trim1-08-trim4-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ghmimat\Desktop\ECM\resultatseECM(trim1-08-trim4-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ghmimat\Desktop\ECM\resultatseECM(trim1-08-trim4-20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bghmimat\Desktop\ECM\resultatseECM(trim1-08-trim4-201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drissi\Desktop\PC_portable\ECM_2020\T4-2019\resultatseECM(trim1-08-trim4-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sz="1400"/>
            </a:pPr>
            <a:r>
              <a:rPr lang="ar-MA" sz="1800" b="1" i="0" baseline="0"/>
              <a:t>تطور مؤشر الثقة للأسر المغربية </a:t>
            </a:r>
            <a:endParaRPr lang="fr-FR" sz="1400"/>
          </a:p>
        </c:rich>
      </c:tx>
    </c:title>
    <c:plotArea>
      <c:layout/>
      <c:barChart>
        <c:barDir val="col"/>
        <c:grouping val="clustered"/>
        <c:ser>
          <c:idx val="0"/>
          <c:order val="0"/>
          <c:tx>
            <c:strRef>
              <c:f>'tableau note fr'!$A$4</c:f>
              <c:strCache>
                <c:ptCount val="1"/>
                <c:pt idx="0">
                  <c:v>Indice de Confiance des Ménages</c:v>
                </c:pt>
              </c:strCache>
            </c:strRef>
          </c:tx>
          <c:dPt>
            <c:idx val="43"/>
            <c:spPr>
              <a:solidFill>
                <a:schemeClr val="accent5">
                  <a:lumMod val="60000"/>
                  <a:lumOff val="40000"/>
                </a:schemeClr>
              </a:solidFill>
              <a:effectLst>
                <a:outerShdw blurRad="40000" dist="23000" dir="5400000" rotWithShape="0">
                  <a:schemeClr val="accent2">
                    <a:lumMod val="40000"/>
                    <a:lumOff val="60000"/>
                    <a:alpha val="35000"/>
                  </a:schemeClr>
                </a:outerShdw>
              </a:effectLst>
            </c:spPr>
          </c:dPt>
          <c:dPt>
            <c:idx val="46"/>
            <c:spPr>
              <a:solidFill>
                <a:schemeClr val="accent5">
                  <a:lumMod val="60000"/>
                  <a:lumOff val="40000"/>
                </a:schemeClr>
              </a:solidFill>
            </c:spPr>
          </c:dPt>
          <c:dPt>
            <c:idx val="47"/>
            <c:spPr>
              <a:solidFill>
                <a:schemeClr val="accent5">
                  <a:lumMod val="60000"/>
                  <a:lumOff val="40000"/>
                </a:schemeClr>
              </a:solidFill>
            </c:spPr>
          </c:dPt>
          <c:dLbls>
            <c:dLbl>
              <c:idx val="43"/>
              <c:layout>
                <c:manualLayout>
                  <c:x val="4.2873214164564719E-3"/>
                  <c:y val="2.887343304884975E-3"/>
                </c:manualLayout>
              </c:layout>
              <c:showVal val="1"/>
            </c:dLbl>
            <c:dLbl>
              <c:idx val="46"/>
              <c:layout>
                <c:manualLayout>
                  <c:x val="-2.1433231770192646E-3"/>
                  <c:y val="0"/>
                </c:manualLayout>
              </c:layout>
              <c:showVal val="1"/>
            </c:dLbl>
            <c:dLbl>
              <c:idx val="47"/>
              <c:showVal val="1"/>
            </c:dLbl>
            <c:delete val="1"/>
          </c:dLbls>
          <c:cat>
            <c:strRef>
              <c:f>'tableau note fr'!$B$3:$AW$3</c:f>
              <c:strCache>
                <c:ptCount val="48"/>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pt idx="34">
                  <c:v>T3/16</c:v>
                </c:pt>
                <c:pt idx="35">
                  <c:v>T4/16</c:v>
                </c:pt>
                <c:pt idx="36">
                  <c:v>T1/17</c:v>
                </c:pt>
                <c:pt idx="37">
                  <c:v>T2/17</c:v>
                </c:pt>
                <c:pt idx="38">
                  <c:v>T3/17</c:v>
                </c:pt>
                <c:pt idx="39">
                  <c:v>T4/17</c:v>
                </c:pt>
                <c:pt idx="40">
                  <c:v>T1/18</c:v>
                </c:pt>
                <c:pt idx="41">
                  <c:v>T2/18</c:v>
                </c:pt>
                <c:pt idx="42">
                  <c:v>T3/18</c:v>
                </c:pt>
                <c:pt idx="43">
                  <c:v>T4/18</c:v>
                </c:pt>
                <c:pt idx="44">
                  <c:v>T1/19</c:v>
                </c:pt>
                <c:pt idx="45">
                  <c:v>T2/19</c:v>
                </c:pt>
                <c:pt idx="46">
                  <c:v>T3/19</c:v>
                </c:pt>
                <c:pt idx="47">
                  <c:v>T4/19</c:v>
                </c:pt>
              </c:strCache>
            </c:strRef>
          </c:cat>
          <c:val>
            <c:numRef>
              <c:f>'tableau note fr'!$B$4:$AW$4</c:f>
              <c:numCache>
                <c:formatCode>0.0</c:formatCode>
                <c:ptCount val="48"/>
                <c:pt idx="0">
                  <c:v>85.866502294191648</c:v>
                </c:pt>
                <c:pt idx="1">
                  <c:v>77.678707955852445</c:v>
                </c:pt>
                <c:pt idx="2">
                  <c:v>75.552480635755956</c:v>
                </c:pt>
                <c:pt idx="3">
                  <c:v>80.136884034904099</c:v>
                </c:pt>
                <c:pt idx="4">
                  <c:v>76.902419880745626</c:v>
                </c:pt>
                <c:pt idx="5">
                  <c:v>77.636131881705708</c:v>
                </c:pt>
                <c:pt idx="6">
                  <c:v>79.135624759962667</c:v>
                </c:pt>
                <c:pt idx="7">
                  <c:v>79.463913413558046</c:v>
                </c:pt>
                <c:pt idx="8">
                  <c:v>80.1360860936188</c:v>
                </c:pt>
                <c:pt idx="9">
                  <c:v>78.833388330573456</c:v>
                </c:pt>
                <c:pt idx="10">
                  <c:v>78.629956901853419</c:v>
                </c:pt>
                <c:pt idx="11">
                  <c:v>74.744893710814793</c:v>
                </c:pt>
                <c:pt idx="12">
                  <c:v>78.406406130604225</c:v>
                </c:pt>
                <c:pt idx="13">
                  <c:v>85.789532632532215</c:v>
                </c:pt>
                <c:pt idx="14">
                  <c:v>86.506225251482533</c:v>
                </c:pt>
                <c:pt idx="15">
                  <c:v>84.477214694877858</c:v>
                </c:pt>
                <c:pt idx="16">
                  <c:v>82.880478542820754</c:v>
                </c:pt>
                <c:pt idx="17">
                  <c:v>80.673652783725359</c:v>
                </c:pt>
                <c:pt idx="18">
                  <c:v>77.553867036568775</c:v>
                </c:pt>
                <c:pt idx="19">
                  <c:v>78.403353681350197</c:v>
                </c:pt>
                <c:pt idx="20">
                  <c:v>75.830193123476278</c:v>
                </c:pt>
                <c:pt idx="21">
                  <c:v>74.26831493920966</c:v>
                </c:pt>
                <c:pt idx="22">
                  <c:v>75.40113716912164</c:v>
                </c:pt>
                <c:pt idx="23">
                  <c:v>74.15325435026638</c:v>
                </c:pt>
                <c:pt idx="24">
                  <c:v>74.110620959006027</c:v>
                </c:pt>
                <c:pt idx="25">
                  <c:v>74.0145530999621</c:v>
                </c:pt>
                <c:pt idx="26">
                  <c:v>73.148145370690258</c:v>
                </c:pt>
                <c:pt idx="27">
                  <c:v>71.583460003653357</c:v>
                </c:pt>
                <c:pt idx="28">
                  <c:v>73.659282965035374</c:v>
                </c:pt>
                <c:pt idx="29">
                  <c:v>76.125099572807514</c:v>
                </c:pt>
                <c:pt idx="30">
                  <c:v>76.315005733685396</c:v>
                </c:pt>
                <c:pt idx="31">
                  <c:v>77.131028825386352</c:v>
                </c:pt>
                <c:pt idx="32">
                  <c:v>71.648499016392478</c:v>
                </c:pt>
                <c:pt idx="33">
                  <c:v>75.703427371681059</c:v>
                </c:pt>
                <c:pt idx="34">
                  <c:v>73.804891243097046</c:v>
                </c:pt>
                <c:pt idx="35">
                  <c:v>73.539376287214708</c:v>
                </c:pt>
                <c:pt idx="36">
                  <c:v>78.230698468980961</c:v>
                </c:pt>
                <c:pt idx="37">
                  <c:v>85.8</c:v>
                </c:pt>
                <c:pt idx="38">
                  <c:v>85.5</c:v>
                </c:pt>
                <c:pt idx="39">
                  <c:v>85.9</c:v>
                </c:pt>
                <c:pt idx="40">
                  <c:v>87.317111388814197</c:v>
                </c:pt>
                <c:pt idx="41">
                  <c:v>87.279337774028676</c:v>
                </c:pt>
                <c:pt idx="42">
                  <c:v>82.473279380066572</c:v>
                </c:pt>
                <c:pt idx="43">
                  <c:v>79.8</c:v>
                </c:pt>
                <c:pt idx="44">
                  <c:v>79.104981863169385</c:v>
                </c:pt>
                <c:pt idx="45">
                  <c:v>74.905107002702309</c:v>
                </c:pt>
                <c:pt idx="46">
                  <c:v>74.821311833193334</c:v>
                </c:pt>
                <c:pt idx="47">
                  <c:v>77.783342120372509</c:v>
                </c:pt>
              </c:numCache>
            </c:numRef>
          </c:val>
        </c:ser>
        <c:axId val="114723072"/>
        <c:axId val="114733056"/>
      </c:barChart>
      <c:catAx>
        <c:axId val="114723072"/>
        <c:scaling>
          <c:orientation val="minMax"/>
        </c:scaling>
        <c:axPos val="b"/>
        <c:tickLblPos val="nextTo"/>
        <c:txPr>
          <a:bodyPr/>
          <a:lstStyle/>
          <a:p>
            <a:pPr>
              <a:defRPr sz="700"/>
            </a:pPr>
            <a:endParaRPr lang="fr-FR"/>
          </a:p>
        </c:txPr>
        <c:crossAx val="114733056"/>
        <c:crosses val="autoZero"/>
        <c:auto val="1"/>
        <c:lblAlgn val="ctr"/>
        <c:lblOffset val="100"/>
      </c:catAx>
      <c:valAx>
        <c:axId val="114733056"/>
        <c:scaling>
          <c:orientation val="minMax"/>
          <c:min val="50"/>
        </c:scaling>
        <c:axPos val="l"/>
        <c:numFmt formatCode="#,##0" sourceLinked="0"/>
        <c:tickLblPos val="nextTo"/>
        <c:txPr>
          <a:bodyPr/>
          <a:lstStyle/>
          <a:p>
            <a:pPr>
              <a:defRPr sz="900"/>
            </a:pPr>
            <a:endParaRPr lang="fr-FR"/>
          </a:p>
        </c:txPr>
        <c:crossAx val="114723072"/>
        <c:crosses val="autoZero"/>
        <c:crossBetween val="between"/>
      </c:valAx>
    </c:plotArea>
    <c:plotVisOnly val="1"/>
  </c:chart>
  <c:spPr>
    <a:ln w="3175">
      <a:solidFill>
        <a:schemeClr val="tx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marL="0" marR="0" indent="0" algn="ctr" defTabSz="914400" rtl="1"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mn-lt"/>
                <a:ea typeface="+mn-ea"/>
                <a:cs typeface="+mn-cs"/>
              </a:defRPr>
            </a:pPr>
            <a:r>
              <a:rPr lang="ar-MA" sz="1800" b="1" i="0" baseline="0"/>
              <a:t>تصور الأسر للتطور السابق و المستقبلي للمستوى العام للمعيشة</a:t>
            </a:r>
            <a:r>
              <a:rPr lang="fr-FR" sz="1800" b="1" i="0" baseline="0"/>
              <a:t> </a:t>
            </a:r>
            <a:r>
              <a:rPr lang="ar-MA" sz="1800" b="1" i="0" baseline="0"/>
              <a:t>(أرصدة الآراء)</a:t>
            </a:r>
            <a:endParaRPr lang="fr-FR" sz="1800" b="1" i="0" baseline="0"/>
          </a:p>
          <a:p>
            <a:pPr marL="0" marR="0" indent="0" algn="ctr" defTabSz="914400" rtl="1"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mn-lt"/>
                <a:ea typeface="+mn-ea"/>
                <a:cs typeface="+mn-cs"/>
              </a:defRPr>
            </a:pPr>
            <a:endParaRPr lang="fr-FR" sz="1800" b="1" i="0" baseline="0"/>
          </a:p>
        </c:rich>
      </c:tx>
    </c:title>
    <c:plotArea>
      <c:layout>
        <c:manualLayout>
          <c:layoutTarget val="inner"/>
          <c:xMode val="edge"/>
          <c:yMode val="edge"/>
          <c:x val="6.9236021175992132E-2"/>
          <c:y val="0.19982375176623324"/>
          <c:w val="0.90676282704361133"/>
          <c:h val="0.54909003133988876"/>
        </c:manualLayout>
      </c:layout>
      <c:lineChart>
        <c:grouping val="standard"/>
        <c:ser>
          <c:idx val="0"/>
          <c:order val="0"/>
          <c:tx>
            <c:strRef>
              <c:f>'tableau note ar'!$A$4</c:f>
              <c:strCache>
                <c:ptCount val="1"/>
                <c:pt idx="0">
                  <c:v>التطور السابق لمستوى المعيشة</c:v>
                </c:pt>
              </c:strCache>
            </c:strRef>
          </c:tx>
          <c:marker>
            <c:symbol val="circle"/>
            <c:size val="4"/>
          </c:marker>
          <c:cat>
            <c:strRef>
              <c:f>'tableau note ar'!$B$1:$AW$1</c:f>
              <c:strCache>
                <c:ptCount val="48"/>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pt idx="34">
                  <c:v>T3/16</c:v>
                </c:pt>
                <c:pt idx="35">
                  <c:v>T4/16</c:v>
                </c:pt>
                <c:pt idx="36">
                  <c:v>T1/17</c:v>
                </c:pt>
                <c:pt idx="37">
                  <c:v>T2/17</c:v>
                </c:pt>
                <c:pt idx="38">
                  <c:v>T3/17</c:v>
                </c:pt>
                <c:pt idx="39">
                  <c:v>T4/17</c:v>
                </c:pt>
                <c:pt idx="40">
                  <c:v>T1/18</c:v>
                </c:pt>
                <c:pt idx="41">
                  <c:v>T2/18</c:v>
                </c:pt>
                <c:pt idx="42">
                  <c:v>T3/18</c:v>
                </c:pt>
                <c:pt idx="43">
                  <c:v>T4/18</c:v>
                </c:pt>
                <c:pt idx="44">
                  <c:v>T1/19</c:v>
                </c:pt>
                <c:pt idx="45">
                  <c:v>T2/19</c:v>
                </c:pt>
                <c:pt idx="46">
                  <c:v>T3/19</c:v>
                </c:pt>
                <c:pt idx="47">
                  <c:v>T4/19</c:v>
                </c:pt>
              </c:strCache>
            </c:strRef>
          </c:cat>
          <c:val>
            <c:numRef>
              <c:f>'tableau note ar'!$B$4:$AW$4</c:f>
              <c:numCache>
                <c:formatCode>#,##0.0</c:formatCode>
                <c:ptCount val="48"/>
                <c:pt idx="0">
                  <c:v>-10.399945582052929</c:v>
                </c:pt>
                <c:pt idx="1">
                  <c:v>-25.15337945599229</c:v>
                </c:pt>
                <c:pt idx="2">
                  <c:v>-31.141291421499837</c:v>
                </c:pt>
                <c:pt idx="3">
                  <c:v>-29.393844818665286</c:v>
                </c:pt>
                <c:pt idx="4">
                  <c:v>-36.652789359955584</c:v>
                </c:pt>
                <c:pt idx="5">
                  <c:v>-29.108394514506987</c:v>
                </c:pt>
                <c:pt idx="6">
                  <c:v>-25.702364309825629</c:v>
                </c:pt>
                <c:pt idx="7">
                  <c:v>-26.546435956901789</c:v>
                </c:pt>
                <c:pt idx="8">
                  <c:v>-25.72363462957291</c:v>
                </c:pt>
                <c:pt idx="9">
                  <c:v>-28.56499551903989</c:v>
                </c:pt>
                <c:pt idx="10">
                  <c:v>-27.930454212484364</c:v>
                </c:pt>
                <c:pt idx="11">
                  <c:v>-37.236760344983587</c:v>
                </c:pt>
                <c:pt idx="12">
                  <c:v>-26.050959167650216</c:v>
                </c:pt>
                <c:pt idx="13">
                  <c:v>-16.961438303130773</c:v>
                </c:pt>
                <c:pt idx="14">
                  <c:v>-13.43914251985206</c:v>
                </c:pt>
                <c:pt idx="15">
                  <c:v>-20.224270151200944</c:v>
                </c:pt>
                <c:pt idx="16">
                  <c:v>-26.170201326733839</c:v>
                </c:pt>
                <c:pt idx="17">
                  <c:v>-21.816848529134631</c:v>
                </c:pt>
                <c:pt idx="18">
                  <c:v>-27.85707555673623</c:v>
                </c:pt>
                <c:pt idx="19">
                  <c:v>-28.088708351168574</c:v>
                </c:pt>
                <c:pt idx="20">
                  <c:v>-29.212341127418195</c:v>
                </c:pt>
                <c:pt idx="21">
                  <c:v>-23.102864483982131</c:v>
                </c:pt>
                <c:pt idx="22">
                  <c:v>-21.158266803557588</c:v>
                </c:pt>
                <c:pt idx="23">
                  <c:v>-19.887264929132375</c:v>
                </c:pt>
                <c:pt idx="24">
                  <c:v>-18.060219769201886</c:v>
                </c:pt>
                <c:pt idx="25">
                  <c:v>-17.740461010850293</c:v>
                </c:pt>
                <c:pt idx="26">
                  <c:v>-17.387590506775538</c:v>
                </c:pt>
                <c:pt idx="27">
                  <c:v>-16.459915505713987</c:v>
                </c:pt>
                <c:pt idx="28">
                  <c:v>-14.108179132101393</c:v>
                </c:pt>
                <c:pt idx="29">
                  <c:v>-12.785821926678448</c:v>
                </c:pt>
                <c:pt idx="30">
                  <c:v>-15.129825087046068</c:v>
                </c:pt>
                <c:pt idx="31">
                  <c:v>-13.828410383657548</c:v>
                </c:pt>
                <c:pt idx="32">
                  <c:v>-22.864633579953651</c:v>
                </c:pt>
                <c:pt idx="33">
                  <c:v>-15.196177330129153</c:v>
                </c:pt>
                <c:pt idx="34">
                  <c:v>-17.372021059071617</c:v>
                </c:pt>
                <c:pt idx="35">
                  <c:v>-17.464225574589182</c:v>
                </c:pt>
                <c:pt idx="36">
                  <c:v>-11.990228520502548</c:v>
                </c:pt>
                <c:pt idx="37">
                  <c:v>-8.1644944099805006</c:v>
                </c:pt>
                <c:pt idx="38">
                  <c:v>-3.1370023233621227</c:v>
                </c:pt>
                <c:pt idx="39">
                  <c:v>-3.7719246964283601</c:v>
                </c:pt>
                <c:pt idx="40">
                  <c:v>-6.24696090915109</c:v>
                </c:pt>
                <c:pt idx="41">
                  <c:v>-5.3830093381329069</c:v>
                </c:pt>
                <c:pt idx="42">
                  <c:v>-9.5049571220917919</c:v>
                </c:pt>
                <c:pt idx="43">
                  <c:v>-13.3</c:v>
                </c:pt>
                <c:pt idx="44">
                  <c:v>-14.967427927122976</c:v>
                </c:pt>
                <c:pt idx="45">
                  <c:v>-25.353008106891597</c:v>
                </c:pt>
                <c:pt idx="46" formatCode="0.0">
                  <c:v>-20.237097183526259</c:v>
                </c:pt>
                <c:pt idx="47" formatCode="0.0">
                  <c:v>-19.996896512157289</c:v>
                </c:pt>
              </c:numCache>
            </c:numRef>
          </c:val>
        </c:ser>
        <c:ser>
          <c:idx val="1"/>
          <c:order val="1"/>
          <c:tx>
            <c:strRef>
              <c:f>'tableau note ar'!$A$5</c:f>
              <c:strCache>
                <c:ptCount val="1"/>
                <c:pt idx="0">
                  <c:v>التطور المستقبلي لمستوى المعيشة</c:v>
                </c:pt>
              </c:strCache>
            </c:strRef>
          </c:tx>
          <c:cat>
            <c:strRef>
              <c:f>'tableau note ar'!$B$1:$AW$1</c:f>
              <c:strCache>
                <c:ptCount val="48"/>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pt idx="34">
                  <c:v>T3/16</c:v>
                </c:pt>
                <c:pt idx="35">
                  <c:v>T4/16</c:v>
                </c:pt>
                <c:pt idx="36">
                  <c:v>T1/17</c:v>
                </c:pt>
                <c:pt idx="37">
                  <c:v>T2/17</c:v>
                </c:pt>
                <c:pt idx="38">
                  <c:v>T3/17</c:v>
                </c:pt>
                <c:pt idx="39">
                  <c:v>T4/17</c:v>
                </c:pt>
                <c:pt idx="40">
                  <c:v>T1/18</c:v>
                </c:pt>
                <c:pt idx="41">
                  <c:v>T2/18</c:v>
                </c:pt>
                <c:pt idx="42">
                  <c:v>T3/18</c:v>
                </c:pt>
                <c:pt idx="43">
                  <c:v>T4/18</c:v>
                </c:pt>
                <c:pt idx="44">
                  <c:v>T1/19</c:v>
                </c:pt>
                <c:pt idx="45">
                  <c:v>T2/19</c:v>
                </c:pt>
                <c:pt idx="46">
                  <c:v>T3/19</c:v>
                </c:pt>
                <c:pt idx="47">
                  <c:v>T4/19</c:v>
                </c:pt>
              </c:strCache>
            </c:strRef>
          </c:cat>
          <c:val>
            <c:numRef>
              <c:f>'tableau note ar'!$B$5:$AW$5</c:f>
              <c:numCache>
                <c:formatCode>#,##0.0</c:formatCode>
                <c:ptCount val="48"/>
                <c:pt idx="0">
                  <c:v>14.440493946063453</c:v>
                </c:pt>
                <c:pt idx="1">
                  <c:v>-11.52673084245559</c:v>
                </c:pt>
                <c:pt idx="2">
                  <c:v>-21.380291437825413</c:v>
                </c:pt>
                <c:pt idx="3">
                  <c:v>-3.4692228168248267</c:v>
                </c:pt>
                <c:pt idx="4">
                  <c:v>-9.3118753956095954</c:v>
                </c:pt>
                <c:pt idx="5">
                  <c:v>-3.5223109272796771</c:v>
                </c:pt>
                <c:pt idx="6">
                  <c:v>8.4334302751113588E-2</c:v>
                </c:pt>
                <c:pt idx="7">
                  <c:v>2.1853913991610052</c:v>
                </c:pt>
                <c:pt idx="8">
                  <c:v>0.39154986438085998</c:v>
                </c:pt>
                <c:pt idx="9">
                  <c:v>2.7314646872285109</c:v>
                </c:pt>
                <c:pt idx="10">
                  <c:v>0.19418325799955047</c:v>
                </c:pt>
                <c:pt idx="11">
                  <c:v>-11.371112777150765</c:v>
                </c:pt>
                <c:pt idx="12">
                  <c:v>-1.8875512037963609</c:v>
                </c:pt>
                <c:pt idx="13">
                  <c:v>18.132139936578714</c:v>
                </c:pt>
                <c:pt idx="14">
                  <c:v>11.870106120928339</c:v>
                </c:pt>
                <c:pt idx="15">
                  <c:v>13.146309479543481</c:v>
                </c:pt>
                <c:pt idx="16">
                  <c:v>11.211772002164619</c:v>
                </c:pt>
                <c:pt idx="17">
                  <c:v>8.9776180181468028</c:v>
                </c:pt>
                <c:pt idx="18">
                  <c:v>-3.2327838268829292</c:v>
                </c:pt>
                <c:pt idx="19">
                  <c:v>-1.2159862376115478</c:v>
                </c:pt>
                <c:pt idx="20">
                  <c:v>-5.0957647237932591</c:v>
                </c:pt>
                <c:pt idx="21">
                  <c:v>-4.2068608448306524</c:v>
                </c:pt>
                <c:pt idx="22">
                  <c:v>-3.0973555754801207</c:v>
                </c:pt>
                <c:pt idx="23">
                  <c:v>-7.9340099346010531</c:v>
                </c:pt>
                <c:pt idx="24">
                  <c:v>-11.389732068783681</c:v>
                </c:pt>
                <c:pt idx="25">
                  <c:v>-13.063768224593518</c:v>
                </c:pt>
                <c:pt idx="26">
                  <c:v>-13.090700094553394</c:v>
                </c:pt>
                <c:pt idx="27">
                  <c:v>-12.672429336417776</c:v>
                </c:pt>
                <c:pt idx="28">
                  <c:v>-8.8537661336825266</c:v>
                </c:pt>
                <c:pt idx="29">
                  <c:v>-7.2727206831162023</c:v>
                </c:pt>
                <c:pt idx="30">
                  <c:v>-7.7131091840762114</c:v>
                </c:pt>
                <c:pt idx="31">
                  <c:v>-8.0828133778612727</c:v>
                </c:pt>
                <c:pt idx="32">
                  <c:v>-14.22824639578895</c:v>
                </c:pt>
                <c:pt idx="33">
                  <c:v>-7.5906192549525784</c:v>
                </c:pt>
                <c:pt idx="34">
                  <c:v>-7.0591296227720894</c:v>
                </c:pt>
                <c:pt idx="35">
                  <c:v>-2.3745123557304657</c:v>
                </c:pt>
                <c:pt idx="36">
                  <c:v>5.7386765593441833</c:v>
                </c:pt>
                <c:pt idx="37">
                  <c:v>11.056984366480394</c:v>
                </c:pt>
                <c:pt idx="38">
                  <c:v>10.513852464527606</c:v>
                </c:pt>
                <c:pt idx="39">
                  <c:v>11.534776778164916</c:v>
                </c:pt>
                <c:pt idx="40">
                  <c:v>16.612852585837704</c:v>
                </c:pt>
                <c:pt idx="41">
                  <c:v>14.986375562038818</c:v>
                </c:pt>
                <c:pt idx="42">
                  <c:v>11.908882798368182</c:v>
                </c:pt>
                <c:pt idx="43">
                  <c:v>9</c:v>
                </c:pt>
                <c:pt idx="44">
                  <c:v>9.9894562713734842</c:v>
                </c:pt>
                <c:pt idx="45">
                  <c:v>4.7256177899689273</c:v>
                </c:pt>
                <c:pt idx="46" formatCode="0.0">
                  <c:v>-3.6764057837750337</c:v>
                </c:pt>
                <c:pt idx="47" formatCode="0.0">
                  <c:v>-2.1591381326741157</c:v>
                </c:pt>
              </c:numCache>
            </c:numRef>
          </c:val>
        </c:ser>
        <c:marker val="1"/>
        <c:axId val="114692864"/>
        <c:axId val="114694400"/>
      </c:lineChart>
      <c:catAx>
        <c:axId val="114692864"/>
        <c:scaling>
          <c:orientation val="minMax"/>
        </c:scaling>
        <c:axPos val="b"/>
        <c:majorTickMark val="none"/>
        <c:tickLblPos val="low"/>
        <c:txPr>
          <a:bodyPr/>
          <a:lstStyle/>
          <a:p>
            <a:pPr>
              <a:defRPr sz="700"/>
            </a:pPr>
            <a:endParaRPr lang="fr-FR"/>
          </a:p>
        </c:txPr>
        <c:crossAx val="114694400"/>
        <c:crosses val="autoZero"/>
        <c:auto val="1"/>
        <c:lblAlgn val="ctr"/>
        <c:lblOffset val="100"/>
      </c:catAx>
      <c:valAx>
        <c:axId val="114694400"/>
        <c:scaling>
          <c:orientation val="minMax"/>
        </c:scaling>
        <c:axPos val="l"/>
        <c:majorGridlines/>
        <c:numFmt formatCode="#,##0" sourceLinked="0"/>
        <c:majorTickMark val="none"/>
        <c:tickLblPos val="nextTo"/>
        <c:spPr>
          <a:ln w="9525">
            <a:noFill/>
          </a:ln>
        </c:spPr>
        <c:txPr>
          <a:bodyPr/>
          <a:lstStyle/>
          <a:p>
            <a:pPr>
              <a:defRPr sz="900"/>
            </a:pPr>
            <a:endParaRPr lang="fr-FR"/>
          </a:p>
        </c:txPr>
        <c:crossAx val="114692864"/>
        <c:crosses val="autoZero"/>
        <c:crossBetween val="between"/>
      </c:valAx>
    </c:plotArea>
    <c:legend>
      <c:legendPos val="b"/>
    </c:legend>
    <c:plotVisOnly val="1"/>
  </c:chart>
  <c:spPr>
    <a:ln w="3175">
      <a:solidFill>
        <a:schemeClr val="tx1"/>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marL="0" marR="0" indent="0" algn="ctr" defTabSz="914400" rtl="1"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ar-MA" sz="1800" b="1" i="0" baseline="0"/>
              <a:t>التطور المستقبلي للبطالة</a:t>
            </a:r>
            <a:endParaRPr lang="fr-FR" sz="1800" b="1" i="0" baseline="0"/>
          </a:p>
          <a:p>
            <a:pPr marL="0" marR="0" indent="0" algn="ctr" defTabSz="914400" rtl="1"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ar-MA" sz="1800" b="1" i="0" baseline="0"/>
              <a:t>(أرصدة الآراء)</a:t>
            </a:r>
            <a:endParaRPr lang="fr-FR" sz="1800" b="1" i="0" baseline="0"/>
          </a:p>
          <a:p>
            <a:pPr marL="0" marR="0" indent="0" algn="ctr" defTabSz="914400" rtl="1"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fr-FR" sz="1600"/>
          </a:p>
        </c:rich>
      </c:tx>
      <c:layout>
        <c:manualLayout>
          <c:xMode val="edge"/>
          <c:yMode val="edge"/>
          <c:x val="0.3473136894255654"/>
          <c:y val="1.97031422002166E-2"/>
        </c:manualLayout>
      </c:layout>
    </c:title>
    <c:plotArea>
      <c:layout/>
      <c:lineChart>
        <c:grouping val="standard"/>
        <c:ser>
          <c:idx val="0"/>
          <c:order val="0"/>
          <c:tx>
            <c:strRef>
              <c:f>'tableau note ar'!$A$3</c:f>
              <c:strCache>
                <c:ptCount val="1"/>
                <c:pt idx="0">
                  <c:v>التطور المستقبلي للبطالة</c:v>
                </c:pt>
              </c:strCache>
            </c:strRef>
          </c:tx>
          <c:marker>
            <c:symbol val="none"/>
          </c:marker>
          <c:cat>
            <c:strRef>
              <c:f>'tableau note ar'!$B$1:$AW$1</c:f>
              <c:strCache>
                <c:ptCount val="48"/>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pt idx="34">
                  <c:v>T3/16</c:v>
                </c:pt>
                <c:pt idx="35">
                  <c:v>T4/16</c:v>
                </c:pt>
                <c:pt idx="36">
                  <c:v>T1/17</c:v>
                </c:pt>
                <c:pt idx="37">
                  <c:v>T2/17</c:v>
                </c:pt>
                <c:pt idx="38">
                  <c:v>T3/17</c:v>
                </c:pt>
                <c:pt idx="39">
                  <c:v>T4/17</c:v>
                </c:pt>
                <c:pt idx="40">
                  <c:v>T1/18</c:v>
                </c:pt>
                <c:pt idx="41">
                  <c:v>T2/18</c:v>
                </c:pt>
                <c:pt idx="42">
                  <c:v>T3/18</c:v>
                </c:pt>
                <c:pt idx="43">
                  <c:v>T4/18</c:v>
                </c:pt>
                <c:pt idx="44">
                  <c:v>T1/19</c:v>
                </c:pt>
                <c:pt idx="45">
                  <c:v>T2/19</c:v>
                </c:pt>
                <c:pt idx="46">
                  <c:v>T3/19</c:v>
                </c:pt>
                <c:pt idx="47">
                  <c:v>T4/19</c:v>
                </c:pt>
              </c:strCache>
            </c:strRef>
          </c:cat>
          <c:val>
            <c:numRef>
              <c:f>'tableau note ar'!$B$3:$AW$3</c:f>
              <c:numCache>
                <c:formatCode>#,##0.0</c:formatCode>
                <c:ptCount val="48"/>
                <c:pt idx="0">
                  <c:v>-52.095692279179438</c:v>
                </c:pt>
                <c:pt idx="1">
                  <c:v>-56.601297669292862</c:v>
                </c:pt>
                <c:pt idx="2">
                  <c:v>-51.593765595534528</c:v>
                </c:pt>
                <c:pt idx="3">
                  <c:v>-51.137343653505525</c:v>
                </c:pt>
                <c:pt idx="4">
                  <c:v>-50.999102607130283</c:v>
                </c:pt>
                <c:pt idx="5">
                  <c:v>-59.135165785990033</c:v>
                </c:pt>
                <c:pt idx="6">
                  <c:v>-57.9306004585683</c:v>
                </c:pt>
                <c:pt idx="7">
                  <c:v>-57.51774952397632</c:v>
                </c:pt>
                <c:pt idx="8">
                  <c:v>-59.239397454073007</c:v>
                </c:pt>
                <c:pt idx="9">
                  <c:v>-61.048152851769579</c:v>
                </c:pt>
                <c:pt idx="10">
                  <c:v>-56.106436371502731</c:v>
                </c:pt>
                <c:pt idx="11">
                  <c:v>-52.335316844022628</c:v>
                </c:pt>
                <c:pt idx="12">
                  <c:v>-52.408437207990296</c:v>
                </c:pt>
                <c:pt idx="13">
                  <c:v>-45.982278486233263</c:v>
                </c:pt>
                <c:pt idx="14">
                  <c:v>-40.986479794930496</c:v>
                </c:pt>
                <c:pt idx="15">
                  <c:v>-41.619683700101234</c:v>
                </c:pt>
                <c:pt idx="16">
                  <c:v>-44.058495214148614</c:v>
                </c:pt>
                <c:pt idx="17">
                  <c:v>-48.557155794606146</c:v>
                </c:pt>
                <c:pt idx="18">
                  <c:v>-56.657119953107134</c:v>
                </c:pt>
                <c:pt idx="19">
                  <c:v>-58.054676707354794</c:v>
                </c:pt>
                <c:pt idx="20">
                  <c:v>-61.683132655398175</c:v>
                </c:pt>
                <c:pt idx="21">
                  <c:v>-67.848891093145681</c:v>
                </c:pt>
                <c:pt idx="22">
                  <c:v>-69.816287861188869</c:v>
                </c:pt>
                <c:pt idx="23">
                  <c:v>-68.20001271186625</c:v>
                </c:pt>
                <c:pt idx="24">
                  <c:v>-69.100751044168078</c:v>
                </c:pt>
                <c:pt idx="25">
                  <c:v>-66.493969881109734</c:v>
                </c:pt>
                <c:pt idx="26">
                  <c:v>-68.825577821249354</c:v>
                </c:pt>
                <c:pt idx="27">
                  <c:v>-68.019160185663324</c:v>
                </c:pt>
                <c:pt idx="28">
                  <c:v>-65.155740215393067</c:v>
                </c:pt>
                <c:pt idx="29">
                  <c:v>-67.056481822588779</c:v>
                </c:pt>
                <c:pt idx="30">
                  <c:v>-66.189276460398091</c:v>
                </c:pt>
                <c:pt idx="31">
                  <c:v>-64.100777949741371</c:v>
                </c:pt>
                <c:pt idx="32">
                  <c:v>-67.734442836360586</c:v>
                </c:pt>
                <c:pt idx="33">
                  <c:v>-68.976178952187183</c:v>
                </c:pt>
                <c:pt idx="34">
                  <c:v>-70.599999999999994</c:v>
                </c:pt>
                <c:pt idx="35">
                  <c:v>-66.808709762830389</c:v>
                </c:pt>
                <c:pt idx="36">
                  <c:v>-64.932045987858601</c:v>
                </c:pt>
                <c:pt idx="37">
                  <c:v>-54.327058153454743</c:v>
                </c:pt>
                <c:pt idx="38">
                  <c:v>-59.886763094222957</c:v>
                </c:pt>
                <c:pt idx="39">
                  <c:v>-58.5</c:v>
                </c:pt>
                <c:pt idx="40">
                  <c:v>-54.525998602090162</c:v>
                </c:pt>
                <c:pt idx="41">
                  <c:v>-61.706282712863526</c:v>
                </c:pt>
                <c:pt idx="42">
                  <c:v>-65.247643368132813</c:v>
                </c:pt>
                <c:pt idx="43">
                  <c:v>-70</c:v>
                </c:pt>
                <c:pt idx="44">
                  <c:v>-75.565732444458249</c:v>
                </c:pt>
                <c:pt idx="45">
                  <c:v>-76.905120512383789</c:v>
                </c:pt>
                <c:pt idx="46" formatCode="0.0">
                  <c:v>-71.817697941941006</c:v>
                </c:pt>
                <c:pt idx="47" formatCode="0.0">
                  <c:v>-71.645886731132009</c:v>
                </c:pt>
              </c:numCache>
            </c:numRef>
          </c:val>
        </c:ser>
        <c:marker val="1"/>
        <c:axId val="114891008"/>
        <c:axId val="114900992"/>
      </c:lineChart>
      <c:catAx>
        <c:axId val="114891008"/>
        <c:scaling>
          <c:orientation val="minMax"/>
        </c:scaling>
        <c:axPos val="b"/>
        <c:numFmt formatCode="General" sourceLinked="1"/>
        <c:majorTickMark val="none"/>
        <c:tickLblPos val="low"/>
        <c:txPr>
          <a:bodyPr/>
          <a:lstStyle/>
          <a:p>
            <a:pPr>
              <a:defRPr sz="800"/>
            </a:pPr>
            <a:endParaRPr lang="fr-FR"/>
          </a:p>
        </c:txPr>
        <c:crossAx val="114900992"/>
        <c:crosses val="autoZero"/>
        <c:auto val="1"/>
        <c:lblAlgn val="ctr"/>
        <c:lblOffset val="100"/>
      </c:catAx>
      <c:valAx>
        <c:axId val="114900992"/>
        <c:scaling>
          <c:orientation val="minMax"/>
        </c:scaling>
        <c:axPos val="l"/>
        <c:majorGridlines/>
        <c:numFmt formatCode="#,##0" sourceLinked="0"/>
        <c:majorTickMark val="none"/>
        <c:tickLblPos val="nextTo"/>
        <c:spPr>
          <a:ln w="9525">
            <a:noFill/>
          </a:ln>
        </c:spPr>
        <c:txPr>
          <a:bodyPr/>
          <a:lstStyle/>
          <a:p>
            <a:pPr>
              <a:defRPr sz="900"/>
            </a:pPr>
            <a:endParaRPr lang="fr-FR"/>
          </a:p>
        </c:txPr>
        <c:crossAx val="114891008"/>
        <c:crosses val="autoZero"/>
        <c:crossBetween val="between"/>
      </c:valAx>
    </c:plotArea>
    <c:plotVisOnly val="1"/>
  </c:chart>
  <c:spPr>
    <a:ln w="3175">
      <a:solidFill>
        <a:schemeClr val="tx1"/>
      </a:solid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marL="0" marR="0" indent="0" algn="ctr" defTabSz="914400" rtl="1"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mn-lt"/>
                <a:ea typeface="+mn-ea"/>
                <a:cs typeface="+mn-cs"/>
              </a:defRPr>
            </a:pPr>
            <a:r>
              <a:rPr lang="ar-MA" sz="1800" b="1" i="0" baseline="0"/>
              <a:t>فرص اقتناء السلع المستديمة</a:t>
            </a:r>
            <a:endParaRPr lang="fr-FR" sz="1800" b="1" i="0" baseline="0"/>
          </a:p>
          <a:p>
            <a:pPr marL="0" marR="0" indent="0" algn="ctr" defTabSz="914400" rtl="1"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mn-lt"/>
                <a:ea typeface="+mn-ea"/>
                <a:cs typeface="+mn-cs"/>
              </a:defRPr>
            </a:pPr>
            <a:r>
              <a:rPr lang="ar-MA" sz="1800" b="1" i="0" baseline="0"/>
              <a:t>(أرصدة الآراء)</a:t>
            </a:r>
            <a:endParaRPr lang="fr-FR" sz="1800" b="1" i="0" baseline="0"/>
          </a:p>
          <a:p>
            <a:pPr marL="0" marR="0" indent="0" algn="ctr" defTabSz="914400" rtl="1"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mn-lt"/>
                <a:ea typeface="+mn-ea"/>
                <a:cs typeface="+mn-cs"/>
              </a:defRPr>
            </a:pPr>
            <a:endParaRPr lang="fr-FR" sz="1400"/>
          </a:p>
        </c:rich>
      </c:tx>
    </c:title>
    <c:plotArea>
      <c:layout>
        <c:manualLayout>
          <c:layoutTarget val="inner"/>
          <c:xMode val="edge"/>
          <c:yMode val="edge"/>
          <c:x val="4.4585646633312916E-2"/>
          <c:y val="0.2430240549828179"/>
          <c:w val="0.93412675515649912"/>
          <c:h val="0.48787293340910026"/>
        </c:manualLayout>
      </c:layout>
      <c:lineChart>
        <c:grouping val="standard"/>
        <c:ser>
          <c:idx val="0"/>
          <c:order val="0"/>
          <c:tx>
            <c:strRef>
              <c:f>'tableau note ar'!$A$6</c:f>
              <c:strCache>
                <c:ptCount val="1"/>
                <c:pt idx="0">
                  <c:v>فرص اقتناء السلع المستديمة</c:v>
                </c:pt>
              </c:strCache>
            </c:strRef>
          </c:tx>
          <c:marker>
            <c:symbol val="none"/>
          </c:marker>
          <c:cat>
            <c:strRef>
              <c:f>'tableau note ar'!$B$1:$AW$1</c:f>
              <c:strCache>
                <c:ptCount val="48"/>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pt idx="34">
                  <c:v>T3/16</c:v>
                </c:pt>
                <c:pt idx="35">
                  <c:v>T4/16</c:v>
                </c:pt>
                <c:pt idx="36">
                  <c:v>T1/17</c:v>
                </c:pt>
                <c:pt idx="37">
                  <c:v>T2/17</c:v>
                </c:pt>
                <c:pt idx="38">
                  <c:v>T3/17</c:v>
                </c:pt>
                <c:pt idx="39">
                  <c:v>T4/17</c:v>
                </c:pt>
                <c:pt idx="40">
                  <c:v>T1/18</c:v>
                </c:pt>
                <c:pt idx="41">
                  <c:v>T2/18</c:v>
                </c:pt>
                <c:pt idx="42">
                  <c:v>T3/18</c:v>
                </c:pt>
                <c:pt idx="43">
                  <c:v>T4/18</c:v>
                </c:pt>
                <c:pt idx="44">
                  <c:v>T1/19</c:v>
                </c:pt>
                <c:pt idx="45">
                  <c:v>T2/19</c:v>
                </c:pt>
                <c:pt idx="46">
                  <c:v>T3/19</c:v>
                </c:pt>
                <c:pt idx="47">
                  <c:v>T4/19</c:v>
                </c:pt>
              </c:strCache>
            </c:strRef>
          </c:cat>
          <c:val>
            <c:numRef>
              <c:f>'tableau note ar'!$B$6:$AW$6</c:f>
              <c:numCache>
                <c:formatCode>#,##0.0</c:formatCode>
                <c:ptCount val="48"/>
                <c:pt idx="0">
                  <c:v>-30.018449770831673</c:v>
                </c:pt>
                <c:pt idx="1">
                  <c:v>-34.254528080670752</c:v>
                </c:pt>
                <c:pt idx="2">
                  <c:v>-37.471777984571169</c:v>
                </c:pt>
                <c:pt idx="3">
                  <c:v>-39.103064640682895</c:v>
                </c:pt>
                <c:pt idx="4">
                  <c:v>-41.765350509034107</c:v>
                </c:pt>
                <c:pt idx="5">
                  <c:v>-46.542730671354157</c:v>
                </c:pt>
                <c:pt idx="6">
                  <c:v>-43.408027388108131</c:v>
                </c:pt>
                <c:pt idx="7">
                  <c:v>-42.642623532569331</c:v>
                </c:pt>
                <c:pt idx="8">
                  <c:v>-34.756506471721544</c:v>
                </c:pt>
                <c:pt idx="9">
                  <c:v>-37.532519098272012</c:v>
                </c:pt>
                <c:pt idx="10">
                  <c:v>-36.012077907569903</c:v>
                </c:pt>
                <c:pt idx="11">
                  <c:v>-44.335673139521013</c:v>
                </c:pt>
                <c:pt idx="12">
                  <c:v>-39.860076277616415</c:v>
                </c:pt>
                <c:pt idx="13">
                  <c:v>-39.017818744674372</c:v>
                </c:pt>
                <c:pt idx="14">
                  <c:v>-36.350911088685244</c:v>
                </c:pt>
                <c:pt idx="15">
                  <c:v>-38.491211120248494</c:v>
                </c:pt>
                <c:pt idx="16">
                  <c:v>-32.485234146306901</c:v>
                </c:pt>
                <c:pt idx="17">
                  <c:v>-37.388587169100255</c:v>
                </c:pt>
                <c:pt idx="18">
                  <c:v>-29.521996232881474</c:v>
                </c:pt>
                <c:pt idx="19">
                  <c:v>-29.332441443088875</c:v>
                </c:pt>
                <c:pt idx="20">
                  <c:v>-28.348240299081603</c:v>
                </c:pt>
                <c:pt idx="21">
                  <c:v>-31.722199742496027</c:v>
                </c:pt>
                <c:pt idx="22">
                  <c:v>-29.53704552622213</c:v>
                </c:pt>
                <c:pt idx="23">
                  <c:v>-31.849081241594892</c:v>
                </c:pt>
                <c:pt idx="24">
                  <c:v>-31.319060011477994</c:v>
                </c:pt>
                <c:pt idx="25">
                  <c:v>-28.892463445062127</c:v>
                </c:pt>
                <c:pt idx="26">
                  <c:v>-33.067265037911191</c:v>
                </c:pt>
                <c:pt idx="27">
                  <c:v>-38.061946980941102</c:v>
                </c:pt>
                <c:pt idx="28">
                  <c:v>-36.986420638663795</c:v>
                </c:pt>
                <c:pt idx="29">
                  <c:v>-35.967938268219903</c:v>
                </c:pt>
                <c:pt idx="30">
                  <c:v>-34.247070009141204</c:v>
                </c:pt>
                <c:pt idx="31">
                  <c:v>-37.509325471422294</c:v>
                </c:pt>
                <c:pt idx="32">
                  <c:v>-40.239810197161113</c:v>
                </c:pt>
                <c:pt idx="33">
                  <c:v>-34.794169125290885</c:v>
                </c:pt>
                <c:pt idx="34">
                  <c:v>-40.511458517814845</c:v>
                </c:pt>
                <c:pt idx="35">
                  <c:v>-43.033835365277199</c:v>
                </c:pt>
                <c:pt idx="36">
                  <c:v>-39.999291784066394</c:v>
                </c:pt>
                <c:pt idx="37">
                  <c:v>-28.160977836062902</c:v>
                </c:pt>
                <c:pt idx="38">
                  <c:v>-31.475843594428</c:v>
                </c:pt>
                <c:pt idx="39">
                  <c:v>-25.6</c:v>
                </c:pt>
                <c:pt idx="40">
                  <c:v>-27.189644342164446</c:v>
                </c:pt>
                <c:pt idx="41">
                  <c:v>-25.753095123938731</c:v>
                </c:pt>
                <c:pt idx="42">
                  <c:v>-30.193271317535196</c:v>
                </c:pt>
                <c:pt idx="43">
                  <c:v>-36.800000000000004</c:v>
                </c:pt>
                <c:pt idx="44">
                  <c:v>-36.294477943510053</c:v>
                </c:pt>
                <c:pt idx="45">
                  <c:v>-41.423646990592751</c:v>
                </c:pt>
                <c:pt idx="46" formatCode="0.0">
                  <c:v>-37.730567473068184</c:v>
                </c:pt>
                <c:pt idx="47" formatCode="0.0">
                  <c:v>-29.21833531467249</c:v>
                </c:pt>
              </c:numCache>
            </c:numRef>
          </c:val>
        </c:ser>
        <c:marker val="1"/>
        <c:axId val="134024576"/>
        <c:axId val="134038656"/>
      </c:lineChart>
      <c:catAx>
        <c:axId val="134024576"/>
        <c:scaling>
          <c:orientation val="minMax"/>
        </c:scaling>
        <c:axPos val="b"/>
        <c:majorTickMark val="none"/>
        <c:tickLblPos val="low"/>
        <c:txPr>
          <a:bodyPr/>
          <a:lstStyle/>
          <a:p>
            <a:pPr>
              <a:defRPr sz="800"/>
            </a:pPr>
            <a:endParaRPr lang="fr-FR"/>
          </a:p>
        </c:txPr>
        <c:crossAx val="134038656"/>
        <c:crosses val="autoZero"/>
        <c:auto val="1"/>
        <c:lblAlgn val="ctr"/>
        <c:lblOffset val="100"/>
      </c:catAx>
      <c:valAx>
        <c:axId val="134038656"/>
        <c:scaling>
          <c:orientation val="minMax"/>
        </c:scaling>
        <c:axPos val="l"/>
        <c:majorGridlines/>
        <c:numFmt formatCode="#,##0" sourceLinked="0"/>
        <c:tickLblPos val="nextTo"/>
        <c:txPr>
          <a:bodyPr/>
          <a:lstStyle/>
          <a:p>
            <a:pPr>
              <a:defRPr sz="900"/>
            </a:pPr>
            <a:endParaRPr lang="fr-FR"/>
          </a:p>
        </c:txPr>
        <c:crossAx val="134024576"/>
        <c:crosses val="autoZero"/>
        <c:crossBetween val="between"/>
      </c:valAx>
    </c:plotArea>
    <c:plotVisOnly val="1"/>
  </c:chart>
  <c:spPr>
    <a:ln w="3175">
      <a:solidFill>
        <a:schemeClr val="tx1"/>
      </a:solid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marL="0" marR="0" indent="0" algn="ctr" defTabSz="914400" rtl="1"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ar-MA" sz="1800" b="1" i="0" baseline="0"/>
              <a:t>تصور الأسر حول وضعيتهم المالية</a:t>
            </a:r>
            <a:endParaRPr lang="fr-FR" sz="1800" b="1" i="0" baseline="0"/>
          </a:p>
          <a:p>
            <a:pPr marL="0" marR="0" indent="0" algn="ctr" defTabSz="914400" rtl="1"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ar-MA" sz="1800" b="1" i="0" baseline="0"/>
              <a:t>(أرصدة الآراء)</a:t>
            </a:r>
            <a:endParaRPr lang="fr-FR" sz="1800" b="1" i="0" baseline="0"/>
          </a:p>
          <a:p>
            <a:pPr marL="0" marR="0" indent="0" algn="ctr" defTabSz="914400" rtl="1"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fr-FR" sz="1800" b="1" i="0" baseline="0"/>
          </a:p>
        </c:rich>
      </c:tx>
    </c:title>
    <c:plotArea>
      <c:layout/>
      <c:lineChart>
        <c:grouping val="standard"/>
        <c:ser>
          <c:idx val="0"/>
          <c:order val="0"/>
          <c:tx>
            <c:strRef>
              <c:f>'tableau note ar'!$A$7</c:f>
              <c:strCache>
                <c:ptCount val="1"/>
                <c:pt idx="0">
                  <c:v>الوضعية المالية الحالية للأسرة</c:v>
                </c:pt>
              </c:strCache>
            </c:strRef>
          </c:tx>
          <c:marker>
            <c:symbol val="square"/>
            <c:size val="5"/>
          </c:marker>
          <c:cat>
            <c:strRef>
              <c:f>'tableau note ar'!$B$1:$AW$1</c:f>
              <c:strCache>
                <c:ptCount val="48"/>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pt idx="34">
                  <c:v>T3/16</c:v>
                </c:pt>
                <c:pt idx="35">
                  <c:v>T4/16</c:v>
                </c:pt>
                <c:pt idx="36">
                  <c:v>T1/17</c:v>
                </c:pt>
                <c:pt idx="37">
                  <c:v>T2/17</c:v>
                </c:pt>
                <c:pt idx="38">
                  <c:v>T3/17</c:v>
                </c:pt>
                <c:pt idx="39">
                  <c:v>T4/17</c:v>
                </c:pt>
                <c:pt idx="40">
                  <c:v>T1/18</c:v>
                </c:pt>
                <c:pt idx="41">
                  <c:v>T2/18</c:v>
                </c:pt>
                <c:pt idx="42">
                  <c:v>T3/18</c:v>
                </c:pt>
                <c:pt idx="43">
                  <c:v>T4/18</c:v>
                </c:pt>
                <c:pt idx="44">
                  <c:v>T1/19</c:v>
                </c:pt>
                <c:pt idx="45">
                  <c:v>T2/19</c:v>
                </c:pt>
                <c:pt idx="46">
                  <c:v>T3/19</c:v>
                </c:pt>
                <c:pt idx="47">
                  <c:v>T4/19</c:v>
                </c:pt>
              </c:strCache>
            </c:strRef>
          </c:cat>
          <c:val>
            <c:numRef>
              <c:f>'tableau note ar'!$B$7:$AW$7</c:f>
              <c:numCache>
                <c:formatCode>#,##0.0</c:formatCode>
                <c:ptCount val="48"/>
                <c:pt idx="0">
                  <c:v>-33.000396349797541</c:v>
                </c:pt>
                <c:pt idx="1">
                  <c:v>-32.92085732825101</c:v>
                </c:pt>
                <c:pt idx="2">
                  <c:v>-34.418326375664194</c:v>
                </c:pt>
                <c:pt idx="3">
                  <c:v>-33.119220631579381</c:v>
                </c:pt>
                <c:pt idx="4">
                  <c:v>-31.284887127595891</c:v>
                </c:pt>
                <c:pt idx="5">
                  <c:v>-26.871936633729426</c:v>
                </c:pt>
                <c:pt idx="6">
                  <c:v>-28.286909450889887</c:v>
                </c:pt>
                <c:pt idx="7">
                  <c:v>-25.297554133135563</c:v>
                </c:pt>
                <c:pt idx="8">
                  <c:v>-27.535808431365773</c:v>
                </c:pt>
                <c:pt idx="9">
                  <c:v>-27.628417792744592</c:v>
                </c:pt>
                <c:pt idx="10">
                  <c:v>-29.997502753451052</c:v>
                </c:pt>
                <c:pt idx="11">
                  <c:v>-28.062624892496217</c:v>
                </c:pt>
                <c:pt idx="12">
                  <c:v>-30.645498931903646</c:v>
                </c:pt>
                <c:pt idx="13">
                  <c:v>-27.092549889444175</c:v>
                </c:pt>
                <c:pt idx="14">
                  <c:v>-24.28899054728441</c:v>
                </c:pt>
                <c:pt idx="15">
                  <c:v>-25.669712181349638</c:v>
                </c:pt>
                <c:pt idx="16">
                  <c:v>-25.435462945688826</c:v>
                </c:pt>
                <c:pt idx="17">
                  <c:v>-31.040689498948886</c:v>
                </c:pt>
                <c:pt idx="18">
                  <c:v>-30.846093343724114</c:v>
                </c:pt>
                <c:pt idx="19">
                  <c:v>-29.426966691861189</c:v>
                </c:pt>
                <c:pt idx="20">
                  <c:v>-29.764200665198015</c:v>
                </c:pt>
                <c:pt idx="21">
                  <c:v>-30.168616451396016</c:v>
                </c:pt>
                <c:pt idx="22">
                  <c:v>-29.484131282651113</c:v>
                </c:pt>
                <c:pt idx="23">
                  <c:v>-29.485585569479852</c:v>
                </c:pt>
                <c:pt idx="24">
                  <c:v>-31.290770339914989</c:v>
                </c:pt>
                <c:pt idx="25">
                  <c:v>-29.704256665370011</c:v>
                </c:pt>
                <c:pt idx="26">
                  <c:v>-28.344504427944035</c:v>
                </c:pt>
                <c:pt idx="27">
                  <c:v>-30.637429411694146</c:v>
                </c:pt>
                <c:pt idx="28">
                  <c:v>-32.404955656558201</c:v>
                </c:pt>
                <c:pt idx="29">
                  <c:v>-28</c:v>
                </c:pt>
                <c:pt idx="30">
                  <c:v>-25.071467645625653</c:v>
                </c:pt>
                <c:pt idx="31">
                  <c:v>-25.699936983325774</c:v>
                </c:pt>
                <c:pt idx="32">
                  <c:v>-27.232686212381271</c:v>
                </c:pt>
                <c:pt idx="33">
                  <c:v>-22.997618165471859</c:v>
                </c:pt>
                <c:pt idx="34">
                  <c:v>-25.8</c:v>
                </c:pt>
                <c:pt idx="35">
                  <c:v>-28.725836843763862</c:v>
                </c:pt>
                <c:pt idx="36">
                  <c:v>-27.797585066069505</c:v>
                </c:pt>
                <c:pt idx="37">
                  <c:v>-25.340990239285759</c:v>
                </c:pt>
                <c:pt idx="38">
                  <c:v>-22.581783906285729</c:v>
                </c:pt>
                <c:pt idx="39">
                  <c:v>-24.392000147868323</c:v>
                </c:pt>
                <c:pt idx="40">
                  <c:v>-25.236685531801289</c:v>
                </c:pt>
                <c:pt idx="41">
                  <c:v>-24.077817715725971</c:v>
                </c:pt>
                <c:pt idx="42">
                  <c:v>-29.675061855859198</c:v>
                </c:pt>
                <c:pt idx="43">
                  <c:v>-28.4</c:v>
                </c:pt>
                <c:pt idx="44">
                  <c:v>-28.874306637901253</c:v>
                </c:pt>
                <c:pt idx="45">
                  <c:v>-30.794330285810986</c:v>
                </c:pt>
                <c:pt idx="46" formatCode="0.0">
                  <c:v>-29.543474949783889</c:v>
                </c:pt>
                <c:pt idx="47" formatCode="0.0">
                  <c:v>-26.38685501138583</c:v>
                </c:pt>
              </c:numCache>
            </c:numRef>
          </c:val>
        </c:ser>
        <c:ser>
          <c:idx val="1"/>
          <c:order val="1"/>
          <c:tx>
            <c:strRef>
              <c:f>'tableau note ar'!$A$8</c:f>
              <c:strCache>
                <c:ptCount val="1"/>
                <c:pt idx="0">
                  <c:v>التطور السابق للوضعية المالية للأسرة</c:v>
                </c:pt>
              </c:strCache>
            </c:strRef>
          </c:tx>
          <c:cat>
            <c:strRef>
              <c:f>'tableau note ar'!$B$1:$AW$1</c:f>
              <c:strCache>
                <c:ptCount val="48"/>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pt idx="34">
                  <c:v>T3/16</c:v>
                </c:pt>
                <c:pt idx="35">
                  <c:v>T4/16</c:v>
                </c:pt>
                <c:pt idx="36">
                  <c:v>T1/17</c:v>
                </c:pt>
                <c:pt idx="37">
                  <c:v>T2/17</c:v>
                </c:pt>
                <c:pt idx="38">
                  <c:v>T3/17</c:v>
                </c:pt>
                <c:pt idx="39">
                  <c:v>T4/17</c:v>
                </c:pt>
                <c:pt idx="40">
                  <c:v>T1/18</c:v>
                </c:pt>
                <c:pt idx="41">
                  <c:v>T2/18</c:v>
                </c:pt>
                <c:pt idx="42">
                  <c:v>T3/18</c:v>
                </c:pt>
                <c:pt idx="43">
                  <c:v>T4/18</c:v>
                </c:pt>
                <c:pt idx="44">
                  <c:v>T1/19</c:v>
                </c:pt>
                <c:pt idx="45">
                  <c:v>T2/19</c:v>
                </c:pt>
                <c:pt idx="46">
                  <c:v>T3/19</c:v>
                </c:pt>
                <c:pt idx="47">
                  <c:v>T4/19</c:v>
                </c:pt>
              </c:strCache>
            </c:strRef>
          </c:cat>
          <c:val>
            <c:numRef>
              <c:f>'tableau note ar'!$B$8:$AW$8</c:f>
              <c:numCache>
                <c:formatCode>#,##0.0</c:formatCode>
                <c:ptCount val="48"/>
                <c:pt idx="0">
                  <c:v>-11.760493904860514</c:v>
                </c:pt>
                <c:pt idx="1">
                  <c:v>-11.376439540974253</c:v>
                </c:pt>
                <c:pt idx="2">
                  <c:v>-11.707546774199256</c:v>
                </c:pt>
                <c:pt idx="3">
                  <c:v>-9.5250570435126427</c:v>
                </c:pt>
                <c:pt idx="4">
                  <c:v>-18.438210074457263</c:v>
                </c:pt>
                <c:pt idx="5">
                  <c:v>-13.353492384896814</c:v>
                </c:pt>
                <c:pt idx="6">
                  <c:v>-8.3398771422969418</c:v>
                </c:pt>
                <c:pt idx="7">
                  <c:v>-11.02764060888175</c:v>
                </c:pt>
                <c:pt idx="8">
                  <c:v>-9.9712946623485852</c:v>
                </c:pt>
                <c:pt idx="9">
                  <c:v>-7.900036816111526</c:v>
                </c:pt>
                <c:pt idx="10">
                  <c:v>-7.5448517126855705</c:v>
                </c:pt>
                <c:pt idx="11">
                  <c:v>-12.80990794833837</c:v>
                </c:pt>
                <c:pt idx="12">
                  <c:v>-10.526395373972909</c:v>
                </c:pt>
                <c:pt idx="13">
                  <c:v>-8.9058745431594577</c:v>
                </c:pt>
                <c:pt idx="14">
                  <c:v>-6.3663328535796895</c:v>
                </c:pt>
                <c:pt idx="15">
                  <c:v>-9.8004349690184611</c:v>
                </c:pt>
                <c:pt idx="16">
                  <c:v>-14.12986220998387</c:v>
                </c:pt>
                <c:pt idx="17">
                  <c:v>-16.595107957258964</c:v>
                </c:pt>
                <c:pt idx="18">
                  <c:v>-16.673706990082124</c:v>
                </c:pt>
                <c:pt idx="19">
                  <c:v>-15.707035536653336</c:v>
                </c:pt>
                <c:pt idx="20">
                  <c:v>-19.633449783694058</c:v>
                </c:pt>
                <c:pt idx="21">
                  <c:v>-23.788807201688929</c:v>
                </c:pt>
                <c:pt idx="22">
                  <c:v>-21.891965579068604</c:v>
                </c:pt>
                <c:pt idx="23">
                  <c:v>-21.870867995539985</c:v>
                </c:pt>
                <c:pt idx="24">
                  <c:v>-21.277780753263979</c:v>
                </c:pt>
                <c:pt idx="25">
                  <c:v>-23.337257864101161</c:v>
                </c:pt>
                <c:pt idx="26">
                  <c:v>-25.773771694272</c:v>
                </c:pt>
                <c:pt idx="27">
                  <c:v>-29.150994705705731</c:v>
                </c:pt>
                <c:pt idx="28">
                  <c:v>-26.965288381475659</c:v>
                </c:pt>
                <c:pt idx="29">
                  <c:v>-20.216971341645095</c:v>
                </c:pt>
                <c:pt idx="30">
                  <c:v>-20.789363149769162</c:v>
                </c:pt>
                <c:pt idx="31">
                  <c:v>-18.50333400384844</c:v>
                </c:pt>
                <c:pt idx="32">
                  <c:v>-27.398022856415189</c:v>
                </c:pt>
                <c:pt idx="33">
                  <c:v>-22.820131487915329</c:v>
                </c:pt>
                <c:pt idx="34">
                  <c:v>-26.987361336961058</c:v>
                </c:pt>
                <c:pt idx="35">
                  <c:v>-33.305012733303052</c:v>
                </c:pt>
                <c:pt idx="36">
                  <c:v>-26.764408087130526</c:v>
                </c:pt>
                <c:pt idx="37">
                  <c:v>-16.626704252959726</c:v>
                </c:pt>
                <c:pt idx="38">
                  <c:v>-14.506801572644624</c:v>
                </c:pt>
                <c:pt idx="39">
                  <c:v>-16.7</c:v>
                </c:pt>
                <c:pt idx="40">
                  <c:v>-18.12020796730943</c:v>
                </c:pt>
                <c:pt idx="41">
                  <c:v>-15.241299993196462</c:v>
                </c:pt>
                <c:pt idx="42">
                  <c:v>-18.212765523946558</c:v>
                </c:pt>
                <c:pt idx="43">
                  <c:v>-20.7</c:v>
                </c:pt>
                <c:pt idx="44">
                  <c:v>-21.239570741294095</c:v>
                </c:pt>
                <c:pt idx="45">
                  <c:v>-24.187755596841431</c:v>
                </c:pt>
                <c:pt idx="46" formatCode="0.0">
                  <c:v>-26.020639530378062</c:v>
                </c:pt>
                <c:pt idx="47" formatCode="0.0">
                  <c:v>-22.058531326387186</c:v>
                </c:pt>
              </c:numCache>
            </c:numRef>
          </c:val>
        </c:ser>
        <c:ser>
          <c:idx val="2"/>
          <c:order val="2"/>
          <c:tx>
            <c:strRef>
              <c:f>'tableau note ar'!$A$9</c:f>
              <c:strCache>
                <c:ptCount val="1"/>
                <c:pt idx="0">
                  <c:v>التطور المرتقب للوضعية المالية للأسرة</c:v>
                </c:pt>
              </c:strCache>
            </c:strRef>
          </c:tx>
          <c:cat>
            <c:strRef>
              <c:f>'tableau note ar'!$B$1:$AW$1</c:f>
              <c:strCache>
                <c:ptCount val="48"/>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pt idx="34">
                  <c:v>T3/16</c:v>
                </c:pt>
                <c:pt idx="35">
                  <c:v>T4/16</c:v>
                </c:pt>
                <c:pt idx="36">
                  <c:v>T1/17</c:v>
                </c:pt>
                <c:pt idx="37">
                  <c:v>T2/17</c:v>
                </c:pt>
                <c:pt idx="38">
                  <c:v>T3/17</c:v>
                </c:pt>
                <c:pt idx="39">
                  <c:v>T4/17</c:v>
                </c:pt>
                <c:pt idx="40">
                  <c:v>T1/18</c:v>
                </c:pt>
                <c:pt idx="41">
                  <c:v>T2/18</c:v>
                </c:pt>
                <c:pt idx="42">
                  <c:v>T3/18</c:v>
                </c:pt>
                <c:pt idx="43">
                  <c:v>T4/18</c:v>
                </c:pt>
                <c:pt idx="44">
                  <c:v>T1/19</c:v>
                </c:pt>
                <c:pt idx="45">
                  <c:v>T2/19</c:v>
                </c:pt>
                <c:pt idx="46">
                  <c:v>T3/19</c:v>
                </c:pt>
                <c:pt idx="47">
                  <c:v>T4/19</c:v>
                </c:pt>
              </c:strCache>
            </c:strRef>
          </c:cat>
          <c:val>
            <c:numRef>
              <c:f>'tableau note ar'!$B$9:$AW$9</c:f>
              <c:numCache>
                <c:formatCode>#,##0.0</c:formatCode>
                <c:ptCount val="48"/>
                <c:pt idx="0">
                  <c:v>23.9</c:v>
                </c:pt>
                <c:pt idx="1">
                  <c:v>15.58418860861071</c:v>
                </c:pt>
                <c:pt idx="2">
                  <c:v>16.580364039590329</c:v>
                </c:pt>
                <c:pt idx="3">
                  <c:v>26.705941849103077</c:v>
                </c:pt>
                <c:pt idx="4">
                  <c:v>26.769154239001889</c:v>
                </c:pt>
                <c:pt idx="5">
                  <c:v>21.986954089697061</c:v>
                </c:pt>
                <c:pt idx="6">
                  <c:v>17.532817766676605</c:v>
                </c:pt>
                <c:pt idx="7">
                  <c:v>17.09400625121032</c:v>
                </c:pt>
                <c:pt idx="8">
                  <c:v>17.787694440036187</c:v>
                </c:pt>
                <c:pt idx="9">
                  <c:v>11.776375704730428</c:v>
                </c:pt>
                <c:pt idx="10">
                  <c:v>7.8068380126684715</c:v>
                </c:pt>
                <c:pt idx="11">
                  <c:v>9.3656519222157506</c:v>
                </c:pt>
                <c:pt idx="12">
                  <c:v>10.223761077165181</c:v>
                </c:pt>
                <c:pt idx="13">
                  <c:v>20.354548457792731</c:v>
                </c:pt>
                <c:pt idx="14">
                  <c:v>15.105327443781253</c:v>
                </c:pt>
                <c:pt idx="15">
                  <c:v>13.999505506513676</c:v>
                </c:pt>
                <c:pt idx="16">
                  <c:v>11.230833640450298</c:v>
                </c:pt>
                <c:pt idx="17">
                  <c:v>11.136340416980383</c:v>
                </c:pt>
                <c:pt idx="18">
                  <c:v>7.6658451594012718</c:v>
                </c:pt>
                <c:pt idx="19">
                  <c:v>10.649290737183625</c:v>
                </c:pt>
                <c:pt idx="20">
                  <c:v>4.5484811189173895</c:v>
                </c:pt>
                <c:pt idx="21">
                  <c:v>0.71644439200690369</c:v>
                </c:pt>
                <c:pt idx="22">
                  <c:v>2.7930128120198785</c:v>
                </c:pt>
                <c:pt idx="23">
                  <c:v>-1.7003971659207258</c:v>
                </c:pt>
                <c:pt idx="24">
                  <c:v>1.2126606998519158</c:v>
                </c:pt>
                <c:pt idx="25">
                  <c:v>-2.6659512091834952</c:v>
                </c:pt>
                <c:pt idx="26">
                  <c:v>-1.4735728224612341</c:v>
                </c:pt>
                <c:pt idx="27">
                  <c:v>-3.9139038482871684</c:v>
                </c:pt>
                <c:pt idx="28">
                  <c:v>8.9330913123193523E-2</c:v>
                </c:pt>
                <c:pt idx="29">
                  <c:v>4.1756310519058966</c:v>
                </c:pt>
                <c:pt idx="30">
                  <c:v>3.3451516718598637</c:v>
                </c:pt>
                <c:pt idx="31">
                  <c:v>7.6417999475620588</c:v>
                </c:pt>
                <c:pt idx="32">
                  <c:v>1.2373351928093936</c:v>
                </c:pt>
                <c:pt idx="33">
                  <c:v>2.2988859177154</c:v>
                </c:pt>
                <c:pt idx="34">
                  <c:v>4.9642092382991612</c:v>
                </c:pt>
                <c:pt idx="35">
                  <c:v>6.4877666459978194</c:v>
                </c:pt>
                <c:pt idx="36">
                  <c:v>13.359772169150252</c:v>
                </c:pt>
                <c:pt idx="37">
                  <c:v>22.123807522802235</c:v>
                </c:pt>
                <c:pt idx="38">
                  <c:v>19.596485843359812</c:v>
                </c:pt>
                <c:pt idx="39">
                  <c:v>19.180868333171652</c:v>
                </c:pt>
                <c:pt idx="40">
                  <c:v>25.926424488378139</c:v>
                </c:pt>
                <c:pt idx="41">
                  <c:v>28.130493740025226</c:v>
                </c:pt>
                <c:pt idx="42">
                  <c:v>18.237772049662329</c:v>
                </c:pt>
                <c:pt idx="43">
                  <c:v>19.100000000000001</c:v>
                </c:pt>
                <c:pt idx="44">
                  <c:v>20.686932465103727</c:v>
                </c:pt>
                <c:pt idx="45">
                  <c:v>18.273992721467774</c:v>
                </c:pt>
                <c:pt idx="46" formatCode="0.0">
                  <c:v>12.775065694831193</c:v>
                </c:pt>
                <c:pt idx="47" formatCode="0.0">
                  <c:v>15.949037871016669</c:v>
                </c:pt>
              </c:numCache>
            </c:numRef>
          </c:val>
        </c:ser>
        <c:marker val="1"/>
        <c:axId val="134069248"/>
        <c:axId val="134075136"/>
      </c:lineChart>
      <c:catAx>
        <c:axId val="134069248"/>
        <c:scaling>
          <c:orientation val="minMax"/>
        </c:scaling>
        <c:axPos val="b"/>
        <c:numFmt formatCode="General" sourceLinked="1"/>
        <c:majorTickMark val="none"/>
        <c:tickLblPos val="low"/>
        <c:txPr>
          <a:bodyPr/>
          <a:lstStyle/>
          <a:p>
            <a:pPr>
              <a:defRPr sz="800"/>
            </a:pPr>
            <a:endParaRPr lang="fr-FR"/>
          </a:p>
        </c:txPr>
        <c:crossAx val="134075136"/>
        <c:crosses val="autoZero"/>
        <c:auto val="1"/>
        <c:lblAlgn val="ctr"/>
        <c:lblOffset val="100"/>
      </c:catAx>
      <c:valAx>
        <c:axId val="134075136"/>
        <c:scaling>
          <c:orientation val="minMax"/>
        </c:scaling>
        <c:axPos val="l"/>
        <c:majorGridlines/>
        <c:numFmt formatCode="#,##0" sourceLinked="0"/>
        <c:majorTickMark val="none"/>
        <c:tickLblPos val="nextTo"/>
        <c:spPr>
          <a:ln w="9525">
            <a:noFill/>
          </a:ln>
        </c:spPr>
        <c:txPr>
          <a:bodyPr/>
          <a:lstStyle/>
          <a:p>
            <a:pPr>
              <a:defRPr sz="900"/>
            </a:pPr>
            <a:endParaRPr lang="fr-FR"/>
          </a:p>
        </c:txPr>
        <c:crossAx val="134069248"/>
        <c:crosses val="autoZero"/>
        <c:crossBetween val="between"/>
      </c:valAx>
    </c:plotArea>
    <c:legend>
      <c:legendPos val="b"/>
    </c:legend>
    <c:plotVisOnly val="1"/>
  </c:chart>
  <c:spPr>
    <a:ln w="3175">
      <a:solidFill>
        <a:schemeClr val="tx1"/>
      </a:solid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400"/>
            </a:pPr>
            <a:r>
              <a:rPr lang="ar-MA" sz="1800" b="1" i="0" baseline="0"/>
              <a:t>تصور الأسر للتطور السابق و المستقبلي لأثمنة المواد الغذائية</a:t>
            </a:r>
            <a:endParaRPr lang="fr-FR" sz="1800" b="1" i="0" baseline="0"/>
          </a:p>
          <a:p>
            <a:pPr>
              <a:defRPr sz="1400"/>
            </a:pPr>
            <a:r>
              <a:rPr lang="ar-MA" sz="1800" b="1" i="0" baseline="0"/>
              <a:t>(أرصدة الآراء)</a:t>
            </a:r>
            <a:endParaRPr lang="fr-FR" sz="1800" b="1" i="0" baseline="0"/>
          </a:p>
        </c:rich>
      </c:tx>
      <c:layout>
        <c:manualLayout>
          <c:xMode val="edge"/>
          <c:yMode val="edge"/>
          <c:x val="0.13624354404340441"/>
          <c:y val="3.9132425218750804E-3"/>
        </c:manualLayout>
      </c:layout>
    </c:title>
    <c:plotArea>
      <c:layout>
        <c:manualLayout>
          <c:layoutTarget val="inner"/>
          <c:xMode val="edge"/>
          <c:yMode val="edge"/>
          <c:x val="7.5035168444331543E-2"/>
          <c:y val="0.17448188899857822"/>
          <c:w val="0.91007862895562319"/>
          <c:h val="0.53428380945537268"/>
        </c:manualLayout>
      </c:layout>
      <c:lineChart>
        <c:grouping val="standard"/>
        <c:ser>
          <c:idx val="0"/>
          <c:order val="0"/>
          <c:tx>
            <c:strRef>
              <c:f>'tableau note ar'!$A$11</c:f>
              <c:strCache>
                <c:ptCount val="1"/>
                <c:pt idx="0">
                  <c:v>التطور المرتقب لأسعار المواد الغذائية</c:v>
                </c:pt>
              </c:strCache>
            </c:strRef>
          </c:tx>
          <c:marker>
            <c:symbol val="circle"/>
            <c:size val="4"/>
          </c:marker>
          <c:cat>
            <c:strRef>
              <c:f>'tableau note ar'!$B$1:$AW$1</c:f>
              <c:strCache>
                <c:ptCount val="48"/>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pt idx="34">
                  <c:v>T3/16</c:v>
                </c:pt>
                <c:pt idx="35">
                  <c:v>T4/16</c:v>
                </c:pt>
                <c:pt idx="36">
                  <c:v>T1/17</c:v>
                </c:pt>
                <c:pt idx="37">
                  <c:v>T2/17</c:v>
                </c:pt>
                <c:pt idx="38">
                  <c:v>T3/17</c:v>
                </c:pt>
                <c:pt idx="39">
                  <c:v>T4/17</c:v>
                </c:pt>
                <c:pt idx="40">
                  <c:v>T1/18</c:v>
                </c:pt>
                <c:pt idx="41">
                  <c:v>T2/18</c:v>
                </c:pt>
                <c:pt idx="42">
                  <c:v>T3/18</c:v>
                </c:pt>
                <c:pt idx="43">
                  <c:v>T4/18</c:v>
                </c:pt>
                <c:pt idx="44">
                  <c:v>T1/19</c:v>
                </c:pt>
                <c:pt idx="45">
                  <c:v>T2/19</c:v>
                </c:pt>
                <c:pt idx="46">
                  <c:v>T3/19</c:v>
                </c:pt>
                <c:pt idx="47">
                  <c:v>T4/19</c:v>
                </c:pt>
              </c:strCache>
            </c:strRef>
          </c:cat>
          <c:val>
            <c:numRef>
              <c:f>'tableau note ar'!$B$11:$AW$11</c:f>
              <c:numCache>
                <c:formatCode>#,##0.0</c:formatCode>
                <c:ptCount val="48"/>
                <c:pt idx="0">
                  <c:v>-74.061389031284818</c:v>
                </c:pt>
                <c:pt idx="1">
                  <c:v>-77.716574651610614</c:v>
                </c:pt>
                <c:pt idx="2">
                  <c:v>-78.940542419693813</c:v>
                </c:pt>
                <c:pt idx="3">
                  <c:v>-49.653420650313308</c:v>
                </c:pt>
                <c:pt idx="4">
                  <c:v>-34.869529990694446</c:v>
                </c:pt>
                <c:pt idx="5">
                  <c:v>-33.523065681383294</c:v>
                </c:pt>
                <c:pt idx="6">
                  <c:v>-50.919242344766445</c:v>
                </c:pt>
                <c:pt idx="7">
                  <c:v>-47.871947864454434</c:v>
                </c:pt>
                <c:pt idx="8">
                  <c:v>-46.515022811525974</c:v>
                </c:pt>
                <c:pt idx="9">
                  <c:v>-56.832932011428042</c:v>
                </c:pt>
                <c:pt idx="10">
                  <c:v>-62.176731306137043</c:v>
                </c:pt>
                <c:pt idx="11">
                  <c:v>-70.131788082403745</c:v>
                </c:pt>
                <c:pt idx="12">
                  <c:v>-73.412747182583445</c:v>
                </c:pt>
                <c:pt idx="13">
                  <c:v>-58.832065504603946</c:v>
                </c:pt>
                <c:pt idx="14">
                  <c:v>-72.59048616904964</c:v>
                </c:pt>
                <c:pt idx="15">
                  <c:v>-72.965887012434422</c:v>
                </c:pt>
                <c:pt idx="16">
                  <c:v>-69.834720496858949</c:v>
                </c:pt>
                <c:pt idx="17">
                  <c:v>-71.450027411204985</c:v>
                </c:pt>
                <c:pt idx="18">
                  <c:v>-73.578371466433353</c:v>
                </c:pt>
                <c:pt idx="19">
                  <c:v>-70.049698245525676</c:v>
                </c:pt>
                <c:pt idx="20">
                  <c:v>-76.096296687300978</c:v>
                </c:pt>
                <c:pt idx="21">
                  <c:v>-73.375476646911167</c:v>
                </c:pt>
                <c:pt idx="22">
                  <c:v>-76.007455926126042</c:v>
                </c:pt>
                <c:pt idx="23">
                  <c:v>-76.04855584262414</c:v>
                </c:pt>
                <c:pt idx="24">
                  <c:v>-77.551787041299889</c:v>
                </c:pt>
                <c:pt idx="25">
                  <c:v>-78.042355521266373</c:v>
                </c:pt>
                <c:pt idx="26">
                  <c:v>-76.898841721729426</c:v>
                </c:pt>
                <c:pt idx="27">
                  <c:v>-77.2</c:v>
                </c:pt>
                <c:pt idx="28">
                  <c:v>-77.231717010323948</c:v>
                </c:pt>
                <c:pt idx="29">
                  <c:v>-75.641194802119557</c:v>
                </c:pt>
                <c:pt idx="30">
                  <c:v>-75.301499740412396</c:v>
                </c:pt>
                <c:pt idx="31">
                  <c:v>-75.201077205088083</c:v>
                </c:pt>
                <c:pt idx="32">
                  <c:v>-79.25874198980361</c:v>
                </c:pt>
                <c:pt idx="33">
                  <c:v>-77.326465444648022</c:v>
                </c:pt>
                <c:pt idx="34">
                  <c:v>-77.900000000000006</c:v>
                </c:pt>
                <c:pt idx="35">
                  <c:v>-77.33590195130148</c:v>
                </c:pt>
                <c:pt idx="36">
                  <c:v>-77.664169536728878</c:v>
                </c:pt>
                <c:pt idx="37">
                  <c:v>-74.5</c:v>
                </c:pt>
                <c:pt idx="38">
                  <c:v>-73.964173414184586</c:v>
                </c:pt>
                <c:pt idx="39">
                  <c:v>-79.602800137507415</c:v>
                </c:pt>
                <c:pt idx="40">
                  <c:v>-82.909090889011466</c:v>
                </c:pt>
                <c:pt idx="41">
                  <c:v>-84.024833717392056</c:v>
                </c:pt>
                <c:pt idx="42">
                  <c:v>-82.07803817683677</c:v>
                </c:pt>
                <c:pt idx="43">
                  <c:v>-86.6</c:v>
                </c:pt>
                <c:pt idx="44">
                  <c:v>-87.54271632969234</c:v>
                </c:pt>
                <c:pt idx="45">
                  <c:v>-86.508482649196509</c:v>
                </c:pt>
                <c:pt idx="46" formatCode="0.0">
                  <c:v>-83.288697742697579</c:v>
                </c:pt>
                <c:pt idx="47" formatCode="0.0">
                  <c:v>-82.220036585575144</c:v>
                </c:pt>
              </c:numCache>
            </c:numRef>
          </c:val>
        </c:ser>
        <c:ser>
          <c:idx val="1"/>
          <c:order val="1"/>
          <c:tx>
            <c:strRef>
              <c:f>'tableau note ar'!$A$12</c:f>
              <c:strCache>
                <c:ptCount val="1"/>
                <c:pt idx="0">
                  <c:v>التطور السابق لأسعار المواد الغذائية</c:v>
                </c:pt>
              </c:strCache>
            </c:strRef>
          </c:tx>
          <c:cat>
            <c:strRef>
              <c:f>'tableau note ar'!$B$1:$AW$1</c:f>
              <c:strCache>
                <c:ptCount val="48"/>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pt idx="34">
                  <c:v>T3/16</c:v>
                </c:pt>
                <c:pt idx="35">
                  <c:v>T4/16</c:v>
                </c:pt>
                <c:pt idx="36">
                  <c:v>T1/17</c:v>
                </c:pt>
                <c:pt idx="37">
                  <c:v>T2/17</c:v>
                </c:pt>
                <c:pt idx="38">
                  <c:v>T3/17</c:v>
                </c:pt>
                <c:pt idx="39">
                  <c:v>T4/17</c:v>
                </c:pt>
                <c:pt idx="40">
                  <c:v>T1/18</c:v>
                </c:pt>
                <c:pt idx="41">
                  <c:v>T2/18</c:v>
                </c:pt>
                <c:pt idx="42">
                  <c:v>T3/18</c:v>
                </c:pt>
                <c:pt idx="43">
                  <c:v>T4/18</c:v>
                </c:pt>
                <c:pt idx="44">
                  <c:v>T1/19</c:v>
                </c:pt>
                <c:pt idx="45">
                  <c:v>T2/19</c:v>
                </c:pt>
                <c:pt idx="46">
                  <c:v>T3/19</c:v>
                </c:pt>
                <c:pt idx="47">
                  <c:v>T4/19</c:v>
                </c:pt>
              </c:strCache>
            </c:strRef>
          </c:cat>
          <c:val>
            <c:numRef>
              <c:f>'tableau note ar'!$B$12:$AW$12</c:f>
              <c:numCache>
                <c:formatCode>#,##0.0</c:formatCode>
                <c:ptCount val="48"/>
                <c:pt idx="0">
                  <c:v>-93.561530615416999</c:v>
                </c:pt>
                <c:pt idx="1">
                  <c:v>-95.947220816722407</c:v>
                </c:pt>
                <c:pt idx="2">
                  <c:v>-98.048475442965014</c:v>
                </c:pt>
                <c:pt idx="3">
                  <c:v>-96.216541508823312</c:v>
                </c:pt>
                <c:pt idx="4">
                  <c:v>-93.990402062896209</c:v>
                </c:pt>
                <c:pt idx="5">
                  <c:v>-87.215803326852651</c:v>
                </c:pt>
                <c:pt idx="6">
                  <c:v>-85.738329527783449</c:v>
                </c:pt>
                <c:pt idx="7">
                  <c:v>-83.278098478101185</c:v>
                </c:pt>
                <c:pt idx="8">
                  <c:v>-79.493520436579956</c:v>
                </c:pt>
                <c:pt idx="9">
                  <c:v>-87.814557184919167</c:v>
                </c:pt>
                <c:pt idx="10">
                  <c:v>-89.729007404339953</c:v>
                </c:pt>
                <c:pt idx="11">
                  <c:v>-90.967802162493257</c:v>
                </c:pt>
                <c:pt idx="12">
                  <c:v>-95.526783459398686</c:v>
                </c:pt>
                <c:pt idx="13">
                  <c:v>-87.197236284295727</c:v>
                </c:pt>
                <c:pt idx="14">
                  <c:v>-89.924388392525557</c:v>
                </c:pt>
                <c:pt idx="15">
                  <c:v>-92.495216554148044</c:v>
                </c:pt>
                <c:pt idx="16">
                  <c:v>-91.625316584481254</c:v>
                </c:pt>
                <c:pt idx="17">
                  <c:v>-91.140544889708991</c:v>
                </c:pt>
                <c:pt idx="18">
                  <c:v>-91.653648288633619</c:v>
                </c:pt>
                <c:pt idx="19">
                  <c:v>-90.602273539903038</c:v>
                </c:pt>
                <c:pt idx="20">
                  <c:v>-91.630328830979238</c:v>
                </c:pt>
                <c:pt idx="21">
                  <c:v>-88.947630714849396</c:v>
                </c:pt>
                <c:pt idx="22">
                  <c:v>-90.507981291878522</c:v>
                </c:pt>
                <c:pt idx="23">
                  <c:v>-90.842402571703019</c:v>
                </c:pt>
                <c:pt idx="24">
                  <c:v>-89.421972084851788</c:v>
                </c:pt>
                <c:pt idx="25">
                  <c:v>-84.135715875788648</c:v>
                </c:pt>
                <c:pt idx="26">
                  <c:v>-81.763249669624045</c:v>
                </c:pt>
                <c:pt idx="27">
                  <c:v>-84.521199779532196</c:v>
                </c:pt>
                <c:pt idx="28">
                  <c:v>-87.223881643150108</c:v>
                </c:pt>
                <c:pt idx="29">
                  <c:v>-85.304961002513068</c:v>
                </c:pt>
                <c:pt idx="30">
                  <c:v>-84.2845071595235</c:v>
                </c:pt>
                <c:pt idx="31">
                  <c:v>-85.427496568127424</c:v>
                </c:pt>
                <c:pt idx="32">
                  <c:v>-85.452277394276848</c:v>
                </c:pt>
                <c:pt idx="33">
                  <c:v>-87.871778057967717</c:v>
                </c:pt>
                <c:pt idx="34">
                  <c:v>-87.672521775530583</c:v>
                </c:pt>
                <c:pt idx="35">
                  <c:v>-87.308587775462954</c:v>
                </c:pt>
                <c:pt idx="36">
                  <c:v>-86.771015006658288</c:v>
                </c:pt>
                <c:pt idx="37">
                  <c:v>-86.4</c:v>
                </c:pt>
                <c:pt idx="38">
                  <c:v>-82.805018292488882</c:v>
                </c:pt>
                <c:pt idx="39">
                  <c:v>-88.513579156072012</c:v>
                </c:pt>
                <c:pt idx="40">
                  <c:v>-86.694812387811382</c:v>
                </c:pt>
                <c:pt idx="41">
                  <c:v>-88.182833745436355</c:v>
                </c:pt>
                <c:pt idx="42">
                  <c:v>-88.119908444008828</c:v>
                </c:pt>
                <c:pt idx="43">
                  <c:v>-90.3</c:v>
                </c:pt>
                <c:pt idx="44">
                  <c:v>-88.136419421127727</c:v>
                </c:pt>
                <c:pt idx="45">
                  <c:v>-88.912542109472369</c:v>
                </c:pt>
                <c:pt idx="46" formatCode="0.0">
                  <c:v>-83.748311328811582</c:v>
                </c:pt>
                <c:pt idx="47" formatCode="0.0">
                  <c:v>-85.084964738360227</c:v>
                </c:pt>
              </c:numCache>
            </c:numRef>
          </c:val>
        </c:ser>
        <c:marker val="1"/>
        <c:axId val="134092672"/>
        <c:axId val="134094208"/>
      </c:lineChart>
      <c:catAx>
        <c:axId val="134092672"/>
        <c:scaling>
          <c:orientation val="minMax"/>
        </c:scaling>
        <c:axPos val="b"/>
        <c:majorTickMark val="none"/>
        <c:tickLblPos val="low"/>
        <c:txPr>
          <a:bodyPr/>
          <a:lstStyle/>
          <a:p>
            <a:pPr>
              <a:defRPr sz="700"/>
            </a:pPr>
            <a:endParaRPr lang="fr-FR"/>
          </a:p>
        </c:txPr>
        <c:crossAx val="134094208"/>
        <c:crosses val="autoZero"/>
        <c:auto val="1"/>
        <c:lblAlgn val="ctr"/>
        <c:lblOffset val="100"/>
      </c:catAx>
      <c:valAx>
        <c:axId val="134094208"/>
        <c:scaling>
          <c:orientation val="minMax"/>
        </c:scaling>
        <c:axPos val="l"/>
        <c:majorGridlines/>
        <c:numFmt formatCode="#,##0" sourceLinked="0"/>
        <c:majorTickMark val="none"/>
        <c:tickLblPos val="nextTo"/>
        <c:spPr>
          <a:ln w="9525">
            <a:noFill/>
          </a:ln>
        </c:spPr>
        <c:txPr>
          <a:bodyPr/>
          <a:lstStyle/>
          <a:p>
            <a:pPr>
              <a:defRPr sz="900"/>
            </a:pPr>
            <a:endParaRPr lang="fr-FR"/>
          </a:p>
        </c:txPr>
        <c:crossAx val="134092672"/>
        <c:crosses val="autoZero"/>
        <c:crossBetween val="between"/>
      </c:valAx>
    </c:plotArea>
    <c:legend>
      <c:legendPos val="b"/>
    </c:legend>
    <c:plotVisOnly val="1"/>
  </c:chart>
  <c:spPr>
    <a:ln w="3175">
      <a:solidFill>
        <a:schemeClr val="tx1"/>
      </a:solid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40F23-5CA7-4C4B-9E2F-38065389C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1411</Words>
  <Characters>7761</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 Bakraoui</dc:creator>
  <cp:lastModifiedBy>User</cp:lastModifiedBy>
  <cp:revision>5</cp:revision>
  <cp:lastPrinted>2020-01-14T14:51:00Z</cp:lastPrinted>
  <dcterms:created xsi:type="dcterms:W3CDTF">2020-01-16T13:12:00Z</dcterms:created>
  <dcterms:modified xsi:type="dcterms:W3CDTF">2020-01-17T11:01:00Z</dcterms:modified>
</cp:coreProperties>
</file>