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43686B" w:rsidP="002A7221">
      <w:r>
        <w:rPr>
          <w:rFonts w:eastAsia="Arial Unicode MS"/>
          <w:noProof/>
        </w:rPr>
        <w:pict>
          <v:shape id="_x0000_s1133" type="#_x0000_t75" style="position:absolute;margin-left:438.3pt;margin-top:-38.7pt;width:92.1pt;height:50.05pt;z-index:251657216;mso-position-horizontal-relative:margin;mso-position-vertical-relative:margin" wrapcoords="-106 0 -106 21308 21600 21308 21600 0 -106 0">
            <v:imagedata r:id="rId8" o:title=""/>
            <w10:wrap type="square" anchorx="margin" anchory="margin"/>
          </v:shape>
          <o:OLEObject Type="Embed" ProgID="PBrush" ShapeID="_x0000_s1133" DrawAspect="Content" ObjectID="_1638203608" r:id="rId9"/>
        </w:pict>
      </w:r>
      <w:r w:rsidR="009361E0">
        <w:rPr>
          <w:noProof/>
        </w:rPr>
        <w:pict>
          <v:group id="Group 5" o:spid="_x0000_s1147" style="position:absolute;margin-left:-129.45pt;margin-top:-47.3pt;width:910.15pt;height:205.35pt;z-index:251651072" coordorigin="105626194,104688723" coordsize="8335958,352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">
            <v:shape id="Freeform 6" o:spid="_x0000_s1148" style="position:absolute;left:105682152;top:104688723;width:8280000;height:1871718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7oMIA&#10;AADbAAAADwAAAGRycy9kb3ducmV2LnhtbESPQWvCQBCF70L/wzJCb3U3glKiq4gQrEejeB6y0yQ1&#10;OxuyW0376zuHgrcZ3pv3vllvR9+pOw2xDWwhmxlQxFVwLdcWLufi7R1UTMgOu8Bk4YcibDcvkzXm&#10;Ljz4RPcy1UpCOOZooUmpz7WOVUMe4yz0xKJ9hsFjknWotRvwIeG+03Njltpjy9LQYE/7hqpb+e0t&#10;mOWXOxanYnFdlMcD8s5kv9nN2tfpuFuBSjSmp/n/+sMJvsDKLzK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Pug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149" style="position:absolute;left:107050152;top:104688723;width:6912000;height:1871718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4fsQA&#10;AADbAAAADwAAAGRycy9kb3ducmV2LnhtbESPT2sCMRTE74V+h/AK3jTrSv+wGqUUxeqptcXzY/Pc&#10;LN28bJO4rn56UxB6HGbmN8xs0dtGdORD7VjBeJSBIC6drrlS8P21Gr6ACBFZY+OYFJwpwGJ+fzfD&#10;QrsTf1K3i5VIEA4FKjAxtoWUoTRkMYxcS5y8g/MWY5K+ktrjKcFtI/Mse5IWa04LBlt6M1T+7I5W&#10;wXIz+dCXx+3zuju0v8bi3m8wV2rw0L9OQUTq43/41n7XCvIx/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puH7EAAAA2wAAAA8AAAAAAAAAAAAAAAAAmAIAAGRycy9k&#10;b3ducmV2LnhtbFBLBQYAAAAABAAEAPUAAACJAw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150" style="position:absolute;left:105626194;top:104829689;width:8335958;height:199814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qI8MA&#10;AADbAAAADwAAAGRycy9kb3ducmV2LnhtbESPwWrDMBBE74X+g9hCb40cH9zgRDYhtKTX2k1Cbou1&#10;lk2slbGUxP37qlDocZiZN8ymnO0gbjT53rGC5SIBQdw43bNR8FW/v6xA+ICscXBMCr7JQ1k8Pmww&#10;1+7On3SrghERwj5HBV0IYy6lbzqy6BduJI5e6yaLIcrJSD3hPcLtINMkyaTFnuNChyPtOmou1dUq&#10;kKe2zfZHZyqzejN9/TryoT0r9fw0b9cgAs3hP/zX/tAK0hR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+qI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151" style="position:absolute;left:105708410;top:104861339;width:8197784;height:215213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PuMMA&#10;AADbAAAADwAAAGRycy9kb3ducmV2LnhtbESPzWrDMBCE74G+g9hAb7GcF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MPu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152" style="position:absolute;left:105726458;top:104892989;width:8163694;height:2335922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XzMMA&#10;AADbAAAADwAAAGRycy9kb3ducmV2LnhtbESPzWrDMBCE74G+g9hAb7GcU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qXz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153" style="position:absolute;left:105744506;top:104924639;width:8073646;height:248991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V8MA&#10;AADbAAAADwAAAGRycy9kb3ducmV2LnhtbESPzWrDMBCE74G+g9hAb7GcQF3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YyV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154" style="position:absolute;left:105762554;top:104956289;width:8039556;height:265881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Ju8EA&#10;AADbAAAADwAAAGRycy9kb3ducmV2LnhtbESPQYvCMBSE7wv+h/AEb2uqB5VqFBEXvVrdFW+P5jUt&#10;Ni+lyWr990YQPA4z8w2zWHW2FjdqfeVYwWiYgCDOna7YKDgdf75nIHxA1lg7JgUP8rBa9r4WmGp3&#10;5wPdsmBEhLBPUUEZQpNK6fOSLPqha4ijV7jWYoiyNVK3eI9wW8txkkykxYrjQokNbUrKr9m/VSDP&#10;RTHZ/TmTmdnWVMdpw7/FRalBv1vPQQTqwif8bu+1gvEUXl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Cbv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155" style="position:absolute;left:105684350;top:104973046;width:8125592;height:284259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ycAA&#10;AADbAAAADwAAAGRycy9kb3ducmV2LnhtbERPz2uDMBS+D/o/hDfobY3z0IltlDFatut07djtYZ5R&#10;al7EpNb+98thsOPH93tfLnYQM02+d6zgeZOAIG6c7tko+KqPTxkIH5A1Do5JwZ08lMXqYY+5djf+&#10;pLkKRsQQ9jkq6EIYcyl905FFv3EjceRaN1kMEU5G6glvMdwOMk2SrbTYc2zocKS3jppLdbUK5Hfb&#10;bt/PzlQmO5i+fhn51P4otX5cXncgAi3hX/zn/tAK0jg2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edycAAAADb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156" style="position:absolute;left:105686356;top:105004696;width:8139628;height:301148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4UsIA&#10;AADbAAAADwAAAGRycy9kb3ducmV2LnhtbESPT4vCMBTE74LfITzBm6Z68E81ioiLe926q3h7NK9p&#10;sXkpTVa7334jCB6HmfkNs952thZ3an3lWMFknIAgzp2u2Cj4Pn2MFiB8QNZYOyYFf+Rhu+n31phq&#10;9+AvumfBiAhhn6KCMoQmldLnJVn0Y9cQR69wrcUQZWukbvER4baW0ySZSYsVx4USG9qXlN+yX6tA&#10;Xopidjw7k5nFwVSnecM/xVWp4aDbrUAE6sI7/Gp/agXTJ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zhS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157" style="position:absolute;left:105720446;top:105036346;width:8065622;height:318037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06sQA&#10;AADcAAAADwAAAGRycy9kb3ducmV2LnhtbESPT2vCQBTE74LfYXlCb7rRUpXoJkhpaa+N//D2yL5s&#10;gtm3IbvV9Nt3CwWPw8z8htnmg23FjXrfOFYwnyUgiEunGzYKDvv36RqED8gaW8ek4Ic85Nl4tMVU&#10;uzt/0a0IRkQI+xQV1CF0qZS+rMmin7mOOHqV6y2GKHsjdY/3CLetXCTJUlpsOC7U2NFrTeW1+LYK&#10;5Lmqlh8nZwqzfjPNftXxsboo9TQZdhsQgYbwCP+3P7WC55cF/J2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NOrEAAAA3A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 w:rsidR="009361E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1" o:spid="_x0000_s1146" type="#_x0000_t202" style="position:absolute;margin-left:-197.2pt;margin-top:-63.05pt;width:59.8pt;height:41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" stroked="f">
            <v:textbox>
              <w:txbxContent>
                <w:p w:rsidR="00630C01" w:rsidRDefault="00630C01"/>
              </w:txbxContent>
            </v:textbox>
          </v:shape>
        </w:pict>
      </w:r>
      <w:r w:rsidR="002E5459">
        <w:t xml:space="preserve">             </w:t>
      </w:r>
      <w:r w:rsidR="007D6617">
        <w:t xml:space="preserve">                                                   </w:t>
      </w:r>
    </w:p>
    <w:p w:rsidR="00D85184" w:rsidRDefault="00D85184" w:rsidP="003A2CE4">
      <w:pPr>
        <w:jc w:val="both"/>
      </w:pPr>
    </w:p>
    <w:p w:rsidR="00D85184" w:rsidRDefault="00D85184" w:rsidP="003A2CE4">
      <w:pPr>
        <w:jc w:val="both"/>
      </w:pPr>
    </w:p>
    <w:p w:rsidR="008B7C79" w:rsidRPr="003A2CE4" w:rsidRDefault="009361E0" w:rsidP="003A2CE4">
      <w:pPr>
        <w:jc w:val="both"/>
      </w:pPr>
      <w:r>
        <w:rPr>
          <w:noProof/>
        </w:rPr>
        <w:pict>
          <v:shape id="Text Box 120" o:spid="_x0000_s1145" type="#_x0000_t202" style="position:absolute;left:0;text-align:left;margin-left:-19.15pt;margin-top:8.35pt;width:430.75pt;height:108.65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" filled="f" stroked="f" strokecolor="#e36c0a" strokeweight="1.5pt">
            <v:textbox>
              <w:txbxContent>
                <w:p w:rsidR="00630C01" w:rsidRPr="00A075CB" w:rsidRDefault="00630C01" w:rsidP="00A77B5D">
                  <w:pP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s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 w:rsidR="00FE1581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A075CB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Conjoncture </w:t>
                  </w:r>
                </w:p>
                <w:p w:rsidR="00630C01" w:rsidRPr="00586E7E" w:rsidRDefault="00630C01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630C01" w:rsidRPr="00A77B5D" w:rsidRDefault="00630C01" w:rsidP="00971D5C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6"/>
                      <w:szCs w:val="6"/>
                    </w:rPr>
                  </w:pPr>
                </w:p>
                <w:p w:rsidR="00630C01" w:rsidRPr="006D7F7D" w:rsidRDefault="00630C01" w:rsidP="00FE1581">
                  <w:pPr>
                    <w:pStyle w:val="Paragraphedeliste"/>
                    <w:numPr>
                      <w:ilvl w:val="0"/>
                      <w:numId w:val="27"/>
                    </w:numPr>
                    <w:ind w:left="284"/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Secteur </w:t>
                  </w:r>
                  <w:r w:rsidR="00FE1581"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des industries</w:t>
                  </w:r>
                  <w:r w:rsidR="00FE1581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 manufacturières, extractives, énergétiques et environnementales</w:t>
                  </w:r>
                </w:p>
                <w:p w:rsidR="00630C01" w:rsidRPr="006D7F7D" w:rsidRDefault="00630C01" w:rsidP="006D7F7D">
                  <w:pPr>
                    <w:pStyle w:val="Paragraphedeliste"/>
                    <w:numPr>
                      <w:ilvl w:val="0"/>
                      <w:numId w:val="27"/>
                    </w:numPr>
                    <w:ind w:left="284"/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 la construction</w:t>
                  </w:r>
                </w:p>
                <w:p w:rsidR="00630C01" w:rsidRDefault="008A4C76">
                  <w:r>
                    <w:t xml:space="preserve">   </w:t>
                  </w:r>
                </w:p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9361E0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 id="Text Box 108" o:spid="_x0000_s1144" type="#_x0000_t202" style="position:absolute;left:0;text-align:left;margin-left:350.65pt;margin-top:27.85pt;width:143.1pt;height:22.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" stroked="f">
            <v:textbox>
              <w:txbxContent>
                <w:p w:rsidR="00630C01" w:rsidRPr="00305B12" w:rsidRDefault="0082647E" w:rsidP="0082647E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Décembre </w:t>
                  </w:r>
                  <w:r w:rsidR="00C54B60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2019</w:t>
                  </w:r>
                </w:p>
                <w:p w:rsidR="00630C01" w:rsidRPr="0003724A" w:rsidRDefault="00630C01" w:rsidP="0003724A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02E80" w:rsidRDefault="009361E0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50" o:spid="_x0000_s1143" type="#_x0000_t32" style="position:absolute;left:0;text-align:left;margin-left:-4pt;margin-top:15.35pt;width:497.75pt;height:0;z-index:251655168;visibility:visible;mso-wrap-distance-top:-33e-5mm;mso-wrap-distance-bottom:-3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" strokecolor="#e36c0a"/>
        </w:pict>
      </w:r>
    </w:p>
    <w:p w:rsidR="00506785" w:rsidRPr="00506785" w:rsidRDefault="009361E0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noProof/>
        </w:rPr>
        <w:pict>
          <v:shape id="Text Box 138" o:spid="_x0000_s1142" type="#_x0000_t202" style="position:absolute;left:0;text-align:left;margin-left:2.2pt;margin-top:3.65pt;width:482.2pt;height:91.6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" fillcolor="#fbd4b4">
            <v:textbox>
              <w:txbxContent>
                <w:p w:rsidR="00136EC8" w:rsidRDefault="00630C01" w:rsidP="007F581F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  <w:rtl/>
                    </w:rPr>
                  </w:pPr>
                  <w:r>
                    <w:rPr>
                      <w:rFonts w:eastAsia="Arial Unicode MS"/>
                      <w:sz w:val="20"/>
                      <w:szCs w:val="20"/>
                    </w:rPr>
                    <w:t xml:space="preserve">La présente note </w:t>
                  </w:r>
                  <w:r w:rsidRPr="002A1960">
                    <w:rPr>
                      <w:rFonts w:eastAsia="Arial Unicode MS"/>
                      <w:sz w:val="20"/>
                      <w:szCs w:val="20"/>
                    </w:rPr>
                    <w:t>relate les principales appréciations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des chefs d’entreprises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tel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les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elles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ent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des enquêtes de conjoncture réalisées par le HCP au titre du </w:t>
                  </w:r>
                  <w:r w:rsidR="00F467EF">
                    <w:rPr>
                      <w:rFonts w:eastAsia="Arial Unicode MS"/>
                      <w:sz w:val="20"/>
                      <w:szCs w:val="20"/>
                    </w:rPr>
                    <w:t>4ème</w:t>
                  </w:r>
                  <w:r w:rsidR="00403C92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7F581F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CE05B3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trimestre </w:t>
                  </w:r>
                  <w:r w:rsidR="00C54B60">
                    <w:rPr>
                      <w:rFonts w:eastAsia="Arial Unicode MS"/>
                      <w:sz w:val="20"/>
                      <w:szCs w:val="20"/>
                    </w:rPr>
                    <w:t>2019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auprès des entreprises opérant dans le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s secteurs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de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 industrie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 manufacturière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, de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 xml:space="preserve"> l’extraction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de l’é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nerg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ie, de l’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environnement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ainsi que dans celui de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la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c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onstruction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</w:p>
                <w:p w:rsidR="00630C01" w:rsidRDefault="00630C01" w:rsidP="00403C92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081377">
                    <w:rPr>
                      <w:rFonts w:eastAsia="Arial Unicode MS"/>
                      <w:sz w:val="20"/>
                      <w:szCs w:val="20"/>
                    </w:rPr>
                    <w:t>Ces appréciations portent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sur l’évolution de l’activité au cours du </w:t>
                  </w:r>
                  <w:r w:rsidR="004A29EA">
                    <w:rPr>
                      <w:rFonts w:eastAsia="Arial Unicode MS"/>
                      <w:sz w:val="20"/>
                      <w:szCs w:val="20"/>
                    </w:rPr>
                    <w:t>3ème trimestre</w:t>
                  </w:r>
                  <w:r w:rsidR="00D20556" w:rsidRPr="007F4BA9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7F581F">
                    <w:rPr>
                      <w:rFonts w:eastAsia="Arial Unicode MS"/>
                      <w:sz w:val="20"/>
                      <w:szCs w:val="20"/>
                    </w:rPr>
                    <w:t>2019</w:t>
                  </w:r>
                  <w:r w:rsidR="00CE05B3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et les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anticipations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 pour le </w:t>
                  </w:r>
                  <w:r w:rsidR="00F467EF">
                    <w:rPr>
                      <w:rFonts w:eastAsia="Arial Unicode MS"/>
                      <w:sz w:val="20"/>
                      <w:szCs w:val="20"/>
                    </w:rPr>
                    <w:t>4ème</w:t>
                  </w:r>
                  <w:r w:rsidR="00403C92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C54B60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trimestre </w:t>
                  </w:r>
                  <w:r w:rsidR="00C54B60">
                    <w:rPr>
                      <w:rFonts w:eastAsia="Arial Unicode MS"/>
                      <w:sz w:val="20"/>
                      <w:szCs w:val="20"/>
                    </w:rPr>
                    <w:t>2019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</w:p>
                <w:p w:rsidR="00630C01" w:rsidRDefault="00630C01" w:rsidP="00A77B5D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</w:p>
                <w:p w:rsidR="00630C01" w:rsidRDefault="00630C01" w:rsidP="002A1960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C0687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           </w:t>
      </w:r>
      <w:r w:rsidR="00100DF0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                    </w:t>
      </w:r>
      <w:r w:rsidR="009A61BF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    </w:t>
      </w:r>
    </w:p>
    <w:p w:rsidR="003A2CE4" w:rsidRPr="00F03C7C" w:rsidRDefault="00A46DAE" w:rsidP="00A553B7">
      <w:pPr>
        <w:pStyle w:val="Paragraphedeliste"/>
        <w:numPr>
          <w:ilvl w:val="0"/>
          <w:numId w:val="20"/>
        </w:numPr>
        <w:spacing w:after="240"/>
        <w:ind w:left="426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Estimation de la production par secteur selon les a</w:t>
      </w:r>
      <w:r w:rsidR="0000686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ppréciation</w:t>
      </w:r>
      <w:r w:rsidR="00FC6CB3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</w:t>
      </w:r>
      <w:r w:rsidR="00FE1581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F467EF">
        <w:rPr>
          <w:rFonts w:ascii="Trebuchet MS" w:eastAsia="Arial Unicode MS" w:hAnsi="Trebuchet MS"/>
          <w:b/>
          <w:bCs/>
          <w:color w:val="660033"/>
          <w:sz w:val="26"/>
          <w:szCs w:val="26"/>
        </w:rPr>
        <w:t>3</w:t>
      </w:r>
      <w:r w:rsidR="00F467EF" w:rsidRPr="00A553B7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ème</w:t>
      </w:r>
      <w:r w:rsidR="00A553B7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trimestre </w:t>
      </w:r>
      <w:r w:rsidR="007F581F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2019</w:t>
      </w:r>
    </w:p>
    <w:p w:rsidR="00A96487" w:rsidRPr="00F03C7C" w:rsidRDefault="00A96487" w:rsidP="003A2CE4">
      <w:pPr>
        <w:spacing w:before="120" w:after="120" w:line="276" w:lineRule="auto"/>
        <w:ind w:firstLine="346"/>
        <w:jc w:val="both"/>
        <w:rPr>
          <w:rFonts w:eastAsia="Arial Unicode MS"/>
          <w:sz w:val="26"/>
          <w:szCs w:val="26"/>
        </w:rPr>
        <w:sectPr w:rsidR="00A96487" w:rsidRPr="00F03C7C" w:rsidSect="00C67995">
          <w:footerReference w:type="default" r:id="rId10"/>
          <w:footerReference w:type="first" r:id="rId11"/>
          <w:type w:val="oddPage"/>
          <w:pgSz w:w="11906" w:h="16838"/>
          <w:pgMar w:top="1134" w:right="1134" w:bottom="1134" w:left="1134" w:header="709" w:footer="272" w:gutter="0"/>
          <w:pgNumType w:start="1"/>
          <w:cols w:space="708"/>
          <w:docGrid w:linePitch="360"/>
        </w:sectPr>
      </w:pPr>
    </w:p>
    <w:p w:rsidR="006153E5" w:rsidRPr="00F03C7C" w:rsidRDefault="008A4C76" w:rsidP="004B2E96">
      <w:pPr>
        <w:pStyle w:val="Paragraphedeliste"/>
        <w:numPr>
          <w:ilvl w:val="1"/>
          <w:numId w:val="23"/>
        </w:numPr>
        <w:spacing w:after="120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3423285</wp:posOffset>
            </wp:positionH>
            <wp:positionV relativeFrom="margin">
              <wp:posOffset>5118735</wp:posOffset>
            </wp:positionV>
            <wp:extent cx="3067050" cy="2819400"/>
            <wp:effectExtent l="3810" t="3810" r="0" b="0"/>
            <wp:wrapSquare wrapText="bothSides"/>
            <wp:docPr id="117" name="Graphiqu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5974B8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de l’</w:t>
      </w:r>
      <w:r w:rsidR="00572FD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   </w:t>
      </w:r>
    </w:p>
    <w:p w:rsidR="0038590B" w:rsidRDefault="0038590B" w:rsidP="0038590B">
      <w:pPr>
        <w:pStyle w:val="Paragraphedeliste"/>
        <w:spacing w:after="120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EF3025" w:rsidRPr="00D902A1" w:rsidRDefault="00C54B60" w:rsidP="00F349AD">
      <w:pPr>
        <w:spacing w:after="120" w:line="276" w:lineRule="auto"/>
        <w:jc w:val="both"/>
        <w:rPr>
          <w:rFonts w:eastAsia="Arial Unicode MS"/>
        </w:rPr>
      </w:pPr>
      <w:r w:rsidRPr="00D902A1">
        <w:rPr>
          <w:rFonts w:eastAsia="Arial Unicode MS"/>
        </w:rPr>
        <w:t>A</w:t>
      </w:r>
      <w:r w:rsidR="00A46DAE" w:rsidRPr="00D902A1">
        <w:rPr>
          <w:rFonts w:eastAsia="Arial Unicode MS"/>
        </w:rPr>
        <w:t xml:space="preserve">u </w:t>
      </w:r>
      <w:r w:rsidR="00F467EF">
        <w:rPr>
          <w:rFonts w:eastAsia="Arial Unicode MS"/>
        </w:rPr>
        <w:t>3ème</w:t>
      </w:r>
      <w:r w:rsidR="00D1240F">
        <w:rPr>
          <w:rFonts w:eastAsia="Arial Unicode MS"/>
        </w:rPr>
        <w:t xml:space="preserve"> </w:t>
      </w:r>
      <w:r w:rsidR="00A46DAE" w:rsidRPr="00D902A1">
        <w:rPr>
          <w:rFonts w:eastAsia="Arial Unicode MS"/>
        </w:rPr>
        <w:t xml:space="preserve">trimestre </w:t>
      </w:r>
      <w:r w:rsidR="007F581F">
        <w:rPr>
          <w:rFonts w:eastAsia="Arial Unicode MS"/>
        </w:rPr>
        <w:t>2019</w:t>
      </w:r>
      <w:r w:rsidRPr="00D902A1">
        <w:rPr>
          <w:rFonts w:eastAsia="Arial Unicode MS"/>
        </w:rPr>
        <w:t>,</w:t>
      </w:r>
      <w:r w:rsidR="00A46DAE" w:rsidRPr="00D902A1">
        <w:rPr>
          <w:rFonts w:eastAsia="Arial Unicode MS"/>
        </w:rPr>
        <w:t xml:space="preserve"> </w:t>
      </w:r>
      <w:r w:rsidR="00D153EE" w:rsidRPr="00D902A1">
        <w:rPr>
          <w:rFonts w:eastAsia="Arial Unicode MS"/>
        </w:rPr>
        <w:t>l</w:t>
      </w:r>
      <w:r w:rsidR="002A1960" w:rsidRPr="00D902A1">
        <w:rPr>
          <w:rFonts w:eastAsia="Arial Unicode MS"/>
        </w:rPr>
        <w:t xml:space="preserve">a </w:t>
      </w:r>
      <w:r w:rsidR="00A46DAE" w:rsidRPr="00D902A1">
        <w:rPr>
          <w:rFonts w:eastAsia="Arial Unicode MS"/>
        </w:rPr>
        <w:t>production de</w:t>
      </w:r>
      <w:r w:rsidRPr="00D902A1">
        <w:rPr>
          <w:rFonts w:eastAsia="Arial Unicode MS"/>
        </w:rPr>
        <w:t xml:space="preserve"> </w:t>
      </w:r>
      <w:r w:rsidRPr="00D902A1">
        <w:rPr>
          <w:rFonts w:eastAsia="Arial Unicode MS"/>
          <w:b/>
          <w:bCs/>
          <w:color w:val="660033"/>
        </w:rPr>
        <w:t xml:space="preserve">l’industrie manufacturière </w:t>
      </w:r>
      <w:r w:rsidR="002A1960" w:rsidRPr="00D902A1">
        <w:rPr>
          <w:rFonts w:eastAsia="Arial Unicode MS"/>
        </w:rPr>
        <w:t>aurait</w:t>
      </w:r>
      <w:r w:rsidR="00FE1581" w:rsidRPr="00D902A1">
        <w:rPr>
          <w:rFonts w:eastAsia="Arial Unicode MS"/>
        </w:rPr>
        <w:t xml:space="preserve"> </w:t>
      </w:r>
      <w:r w:rsidR="002A1960" w:rsidRPr="00D902A1">
        <w:rPr>
          <w:rFonts w:eastAsia="Arial Unicode MS"/>
        </w:rPr>
        <w:t>connu</w:t>
      </w:r>
      <w:r w:rsidR="008C2F2B" w:rsidRPr="00D902A1">
        <w:rPr>
          <w:rFonts w:eastAsia="Arial Unicode MS"/>
        </w:rPr>
        <w:t xml:space="preserve"> </w:t>
      </w:r>
      <w:r w:rsidR="00793CC6" w:rsidRPr="00D902A1">
        <w:rPr>
          <w:rFonts w:eastAsia="Arial Unicode MS"/>
        </w:rPr>
        <w:t xml:space="preserve">une </w:t>
      </w:r>
      <w:r w:rsidR="00514549">
        <w:rPr>
          <w:rFonts w:eastAsia="Arial Unicode MS"/>
        </w:rPr>
        <w:t>baisse</w:t>
      </w:r>
      <w:r w:rsidR="00C967BC" w:rsidRPr="00D902A1">
        <w:rPr>
          <w:rFonts w:eastAsia="Arial Unicode MS"/>
        </w:rPr>
        <w:t xml:space="preserve"> résultat d’une </w:t>
      </w:r>
      <w:r w:rsidR="00EC6F1E">
        <w:rPr>
          <w:rFonts w:eastAsia="Arial Unicode MS"/>
        </w:rPr>
        <w:t>diminution</w:t>
      </w:r>
      <w:r w:rsidR="00793CC6" w:rsidRPr="00D902A1">
        <w:rPr>
          <w:rFonts w:eastAsia="Arial Unicode MS"/>
        </w:rPr>
        <w:t xml:space="preserve"> </w:t>
      </w:r>
      <w:r w:rsidR="00C926FE" w:rsidRPr="00D902A1">
        <w:rPr>
          <w:rFonts w:eastAsia="Arial Unicode MS"/>
        </w:rPr>
        <w:t xml:space="preserve">de la </w:t>
      </w:r>
      <w:r w:rsidR="00BD29DA" w:rsidRPr="00D902A1">
        <w:rPr>
          <w:rFonts w:eastAsia="Arial Unicode MS"/>
        </w:rPr>
        <w:t xml:space="preserve">production dans </w:t>
      </w:r>
      <w:r w:rsidR="00DD2F0B" w:rsidRPr="00D902A1">
        <w:rPr>
          <w:rFonts w:eastAsia="Arial Unicode MS"/>
        </w:rPr>
        <w:t xml:space="preserve">les </w:t>
      </w:r>
      <w:r w:rsidR="00A15560" w:rsidRPr="00D902A1">
        <w:rPr>
          <w:rFonts w:eastAsia="Arial Unicode MS"/>
        </w:rPr>
        <w:t xml:space="preserve">branches </w:t>
      </w:r>
      <w:r w:rsidR="00D153EE" w:rsidRPr="00D902A1">
        <w:rPr>
          <w:rFonts w:eastAsia="Arial Unicode MS"/>
        </w:rPr>
        <w:t>de</w:t>
      </w:r>
      <w:r w:rsidR="003F4F1F">
        <w:rPr>
          <w:rFonts w:eastAsia="Arial Unicode MS"/>
        </w:rPr>
        <w:t xml:space="preserve"> l’</w:t>
      </w:r>
      <w:r w:rsidR="00BF0F00" w:rsidRPr="00D902A1">
        <w:rPr>
          <w:rFonts w:eastAsia="Arial Unicode MS"/>
        </w:rPr>
        <w:t>«</w:t>
      </w:r>
      <w:r w:rsidR="003F4F1F" w:rsidRPr="003F4F1F">
        <w:rPr>
          <w:rFonts w:eastAsia="Arial Unicode MS"/>
        </w:rPr>
        <w:t>Industrie chimique</w:t>
      </w:r>
      <w:r w:rsidR="00BF0F00" w:rsidRPr="00D902A1">
        <w:rPr>
          <w:rFonts w:eastAsia="Arial Unicode MS"/>
        </w:rPr>
        <w:t xml:space="preserve">» et </w:t>
      </w:r>
      <w:r w:rsidR="00F349AD">
        <w:rPr>
          <w:rFonts w:eastAsia="Arial Unicode MS"/>
        </w:rPr>
        <w:t>l’</w:t>
      </w:r>
      <w:r w:rsidR="00D153EE" w:rsidRPr="00D902A1">
        <w:rPr>
          <w:rFonts w:eastAsia="Arial Unicode MS"/>
        </w:rPr>
        <w:t xml:space="preserve"> </w:t>
      </w:r>
      <w:r w:rsidR="00BF0F00" w:rsidRPr="00D902A1">
        <w:rPr>
          <w:rFonts w:eastAsia="Arial Unicode MS"/>
        </w:rPr>
        <w:t>«</w:t>
      </w:r>
      <w:r w:rsidR="00A721D7" w:rsidRPr="00A721D7">
        <w:rPr>
          <w:rFonts w:eastAsia="Arial Unicode MS"/>
        </w:rPr>
        <w:t xml:space="preserve">Industrie </w:t>
      </w:r>
      <w:r w:rsidR="00514549">
        <w:rPr>
          <w:rFonts w:eastAsia="Arial Unicode MS"/>
        </w:rPr>
        <w:t>automobile</w:t>
      </w:r>
      <w:r w:rsidR="00BF0F00" w:rsidRPr="00D902A1">
        <w:rPr>
          <w:rFonts w:eastAsia="Arial Unicode MS"/>
        </w:rPr>
        <w:t>» et</w:t>
      </w:r>
      <w:r w:rsidR="00C967BC" w:rsidRPr="00D902A1">
        <w:rPr>
          <w:rFonts w:eastAsia="Arial Unicode MS"/>
        </w:rPr>
        <w:t xml:space="preserve"> d’une </w:t>
      </w:r>
      <w:r w:rsidR="00514549">
        <w:rPr>
          <w:rFonts w:eastAsia="Arial Unicode MS"/>
        </w:rPr>
        <w:t>augmentation</w:t>
      </w:r>
      <w:r w:rsidR="00C967BC" w:rsidRPr="00D902A1">
        <w:rPr>
          <w:rFonts w:eastAsia="Arial Unicode MS"/>
        </w:rPr>
        <w:t xml:space="preserve"> </w:t>
      </w:r>
      <w:r w:rsidR="00BF0F00" w:rsidRPr="00D902A1">
        <w:rPr>
          <w:rFonts w:eastAsia="Arial Unicode MS"/>
        </w:rPr>
        <w:t>de la production dans l</w:t>
      </w:r>
      <w:r w:rsidR="00D04636" w:rsidRPr="00D902A1">
        <w:rPr>
          <w:rFonts w:eastAsia="Arial Unicode MS"/>
        </w:rPr>
        <w:t>a branche</w:t>
      </w:r>
      <w:r w:rsidR="00BF0F00" w:rsidRPr="00D902A1">
        <w:rPr>
          <w:rFonts w:eastAsia="Arial Unicode MS"/>
        </w:rPr>
        <w:t xml:space="preserve"> de l</w:t>
      </w:r>
      <w:r w:rsidR="00BB038E">
        <w:rPr>
          <w:rFonts w:eastAsia="Arial Unicode MS"/>
        </w:rPr>
        <w:t xml:space="preserve">a </w:t>
      </w:r>
      <w:r w:rsidR="00BF0F00" w:rsidRPr="00D902A1">
        <w:rPr>
          <w:rFonts w:eastAsia="Arial Unicode MS"/>
        </w:rPr>
        <w:t>«</w:t>
      </w:r>
      <w:r w:rsidR="00B55D01">
        <w:rPr>
          <w:rFonts w:eastAsia="Arial Unicode MS"/>
        </w:rPr>
        <w:t>Fabrication de boissons</w:t>
      </w:r>
      <w:r w:rsidR="00BF0F00" w:rsidRPr="00D902A1">
        <w:rPr>
          <w:rFonts w:eastAsia="Arial Unicode MS"/>
        </w:rPr>
        <w:t>»</w:t>
      </w:r>
      <w:r w:rsidR="00B55D01">
        <w:rPr>
          <w:rFonts w:eastAsia="Arial Unicode MS"/>
        </w:rPr>
        <w:t xml:space="preserve"> et</w:t>
      </w:r>
      <w:r w:rsidR="00742766">
        <w:rPr>
          <w:rFonts w:eastAsia="Arial Unicode MS"/>
        </w:rPr>
        <w:t xml:space="preserve"> de</w:t>
      </w:r>
      <w:r w:rsidR="00B55D01">
        <w:rPr>
          <w:rFonts w:eastAsia="Arial Unicode MS"/>
        </w:rPr>
        <w:t xml:space="preserve"> la « Fabrication de produits à base de tabac »</w:t>
      </w:r>
      <w:r w:rsidR="00B46D1D" w:rsidRPr="00D902A1">
        <w:rPr>
          <w:rFonts w:eastAsia="Arial Unicode MS"/>
        </w:rPr>
        <w:t>.</w:t>
      </w:r>
    </w:p>
    <w:p w:rsidR="00F05668" w:rsidRPr="00D902A1" w:rsidRDefault="0038590B" w:rsidP="00B55D01">
      <w:pPr>
        <w:spacing w:after="120" w:line="276" w:lineRule="auto"/>
        <w:jc w:val="both"/>
        <w:rPr>
          <w:rFonts w:eastAsia="Arial Unicode MS"/>
        </w:rPr>
      </w:pPr>
      <w:r w:rsidRPr="00D902A1">
        <w:rPr>
          <w:rFonts w:eastAsia="Arial Unicode MS"/>
        </w:rPr>
        <w:t xml:space="preserve">Les carnets de commandes du secteur </w:t>
      </w:r>
      <w:r w:rsidR="00373869" w:rsidRPr="00D902A1">
        <w:rPr>
          <w:rFonts w:eastAsia="Arial Unicode MS"/>
        </w:rPr>
        <w:t>s</w:t>
      </w:r>
      <w:r w:rsidR="00A075CB" w:rsidRPr="00D902A1">
        <w:rPr>
          <w:rFonts w:eastAsia="Arial Unicode MS"/>
        </w:rPr>
        <w:t xml:space="preserve">ont </w:t>
      </w:r>
      <w:r w:rsidRPr="00D902A1">
        <w:rPr>
          <w:rFonts w:eastAsia="Arial Unicode MS"/>
        </w:rPr>
        <w:t xml:space="preserve">jugés d’un </w:t>
      </w:r>
      <w:r w:rsidRPr="006E33DB">
        <w:rPr>
          <w:rFonts w:eastAsia="Arial Unicode MS"/>
        </w:rPr>
        <w:t xml:space="preserve">niveau normal par </w:t>
      </w:r>
      <w:r w:rsidR="00C967BC" w:rsidRPr="006E33DB">
        <w:rPr>
          <w:rFonts w:eastAsia="Arial Unicode MS"/>
        </w:rPr>
        <w:t>l</w:t>
      </w:r>
      <w:r w:rsidRPr="006E33DB">
        <w:rPr>
          <w:rFonts w:eastAsia="Arial Unicode MS"/>
        </w:rPr>
        <w:t xml:space="preserve">es chefs d’entreprises. </w:t>
      </w:r>
      <w:r w:rsidR="00C967BC" w:rsidRPr="006E33DB">
        <w:rPr>
          <w:rFonts w:eastAsia="Arial Unicode MS"/>
        </w:rPr>
        <w:t>S’agissant de l</w:t>
      </w:r>
      <w:r w:rsidR="00A77B5D" w:rsidRPr="006E33DB">
        <w:rPr>
          <w:rFonts w:eastAsia="Arial Unicode MS"/>
        </w:rPr>
        <w:t>’</w:t>
      </w:r>
      <w:r w:rsidRPr="006E33DB">
        <w:rPr>
          <w:rFonts w:eastAsia="Arial Unicode MS"/>
        </w:rPr>
        <w:t>emploi</w:t>
      </w:r>
      <w:r w:rsidR="00C967BC" w:rsidRPr="006E33DB">
        <w:rPr>
          <w:rFonts w:eastAsia="Arial Unicode MS"/>
        </w:rPr>
        <w:t>, il</w:t>
      </w:r>
      <w:r w:rsidR="00CE05B3" w:rsidRPr="006E33DB">
        <w:rPr>
          <w:rFonts w:eastAsia="Arial Unicode MS"/>
        </w:rPr>
        <w:t xml:space="preserve"> </w:t>
      </w:r>
      <w:r w:rsidRPr="006E33DB">
        <w:rPr>
          <w:rFonts w:eastAsia="Arial Unicode MS"/>
        </w:rPr>
        <w:t>aurait</w:t>
      </w:r>
      <w:r w:rsidR="00373869" w:rsidRPr="006E33DB">
        <w:rPr>
          <w:rFonts w:eastAsia="Arial Unicode MS"/>
        </w:rPr>
        <w:t xml:space="preserve"> connu</w:t>
      </w:r>
      <w:r w:rsidR="00572A4D" w:rsidRPr="006E33DB">
        <w:rPr>
          <w:rFonts w:eastAsia="Arial Unicode MS"/>
        </w:rPr>
        <w:t xml:space="preserve"> une </w:t>
      </w:r>
      <w:r w:rsidR="00605EA8" w:rsidRPr="006E33DB">
        <w:rPr>
          <w:rFonts w:eastAsia="Arial Unicode MS"/>
        </w:rPr>
        <w:t>stabilité</w:t>
      </w:r>
      <w:r w:rsidR="00C967BC" w:rsidRPr="006E33DB">
        <w:rPr>
          <w:rFonts w:eastAsia="Arial Unicode MS"/>
        </w:rPr>
        <w:t xml:space="preserve">. </w:t>
      </w:r>
      <w:r w:rsidR="00C54B60" w:rsidRPr="006E33DB">
        <w:rPr>
          <w:rFonts w:eastAsia="Arial Unicode MS"/>
        </w:rPr>
        <w:t>Globalement, le taux d’utilisation des capacités</w:t>
      </w:r>
      <w:r w:rsidR="00C54B60" w:rsidRPr="00D902A1">
        <w:rPr>
          <w:rFonts w:eastAsia="Arial Unicode MS"/>
        </w:rPr>
        <w:t xml:space="preserve"> de production (TUC) dans </w:t>
      </w:r>
      <w:r w:rsidR="00C54B60" w:rsidRPr="00D902A1">
        <w:rPr>
          <w:rFonts w:eastAsia="Arial Unicode MS"/>
          <w:b/>
          <w:bCs/>
          <w:color w:val="660033"/>
        </w:rPr>
        <w:t>l’industrie manufacturière</w:t>
      </w:r>
      <w:r w:rsidR="00C54B60" w:rsidRPr="00D902A1">
        <w:rPr>
          <w:rFonts w:eastAsia="Arial Unicode MS"/>
        </w:rPr>
        <w:t xml:space="preserve"> se serait établi à </w:t>
      </w:r>
      <w:r w:rsidR="005205EA">
        <w:rPr>
          <w:rFonts w:eastAsia="Arial Unicode MS"/>
        </w:rPr>
        <w:t>7</w:t>
      </w:r>
      <w:r w:rsidR="00B55D01">
        <w:rPr>
          <w:rFonts w:eastAsia="Arial Unicode MS"/>
        </w:rPr>
        <w:t>7</w:t>
      </w:r>
      <w:r w:rsidR="00C54B60" w:rsidRPr="00D902A1">
        <w:rPr>
          <w:rFonts w:eastAsia="Arial Unicode MS"/>
        </w:rPr>
        <w:t>%</w:t>
      </w:r>
      <w:r w:rsidR="00CB5866" w:rsidRPr="00D902A1">
        <w:rPr>
          <w:rFonts w:eastAsia="Arial Unicode MS"/>
        </w:rPr>
        <w:t>.</w:t>
      </w:r>
    </w:p>
    <w:p w:rsidR="00333E26" w:rsidRDefault="00F03C7C" w:rsidP="003E1FF7">
      <w:pPr>
        <w:spacing w:after="120" w:line="276" w:lineRule="auto"/>
        <w:jc w:val="both"/>
        <w:rPr>
          <w:rFonts w:eastAsia="Arial Unicode MS"/>
          <w:rtl/>
        </w:rPr>
      </w:pPr>
      <w:r>
        <w:rPr>
          <w:rFonts w:eastAsia="Arial Unicode MS"/>
          <w:sz w:val="22"/>
          <w:szCs w:val="22"/>
        </w:rPr>
        <w:br w:type="page"/>
      </w:r>
    </w:p>
    <w:p w:rsidR="00C54B60" w:rsidRPr="0095472E" w:rsidRDefault="008A4C76" w:rsidP="00BA6FC0">
      <w:pPr>
        <w:spacing w:after="120" w:line="276" w:lineRule="auto"/>
        <w:jc w:val="both"/>
        <w:rPr>
          <w:rFonts w:eastAsia="Arial Unicode MS"/>
        </w:rPr>
        <w:sectPr w:rsidR="00C54B60" w:rsidRPr="0095472E" w:rsidSect="004B2E96">
          <w:type w:val="continuous"/>
          <w:pgSz w:w="11906" w:h="16838"/>
          <w:pgMar w:top="1134" w:right="1134" w:bottom="1134" w:left="1134" w:header="709" w:footer="272" w:gutter="0"/>
          <w:pgNumType w:start="1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3228975</wp:posOffset>
            </wp:positionH>
            <wp:positionV relativeFrom="margin">
              <wp:posOffset>-17780</wp:posOffset>
            </wp:positionV>
            <wp:extent cx="3067050" cy="2819400"/>
            <wp:effectExtent l="0" t="1270" r="0" b="0"/>
            <wp:wrapSquare wrapText="bothSides"/>
            <wp:docPr id="116" name="Graphiqu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C54B60" w:rsidRPr="0095472E">
        <w:rPr>
          <w:rFonts w:eastAsia="Arial Unicode MS"/>
        </w:rPr>
        <w:t xml:space="preserve">Au </w:t>
      </w:r>
      <w:r w:rsidR="00F467EF">
        <w:rPr>
          <w:rFonts w:eastAsia="Arial Unicode MS"/>
        </w:rPr>
        <w:t>3ème</w:t>
      </w:r>
      <w:r w:rsidR="00C54B60" w:rsidRPr="0095472E">
        <w:rPr>
          <w:rFonts w:eastAsia="Arial Unicode MS"/>
          <w:vertAlign w:val="superscript"/>
        </w:rPr>
        <w:t xml:space="preserve"> </w:t>
      </w:r>
      <w:r w:rsidR="00C54B60" w:rsidRPr="0095472E">
        <w:rPr>
          <w:rFonts w:eastAsia="Arial Unicode MS"/>
        </w:rPr>
        <w:t xml:space="preserve">trimestre </w:t>
      </w:r>
      <w:r w:rsidR="007F581F">
        <w:rPr>
          <w:rFonts w:eastAsia="Arial Unicode MS"/>
        </w:rPr>
        <w:t>2019</w:t>
      </w:r>
      <w:r w:rsidR="00C54B60" w:rsidRPr="0095472E">
        <w:rPr>
          <w:rFonts w:eastAsia="Arial Unicode MS"/>
        </w:rPr>
        <w:t xml:space="preserve">, la production de </w:t>
      </w:r>
      <w:r w:rsidR="00C54B60" w:rsidRPr="0095472E">
        <w:rPr>
          <w:rFonts w:eastAsia="Arial Unicode MS"/>
          <w:b/>
          <w:bCs/>
          <w:color w:val="660033"/>
        </w:rPr>
        <w:t xml:space="preserve">l’industrie extractive </w:t>
      </w:r>
      <w:r w:rsidR="00C54B60" w:rsidRPr="0095472E">
        <w:rPr>
          <w:rFonts w:eastAsia="Arial Unicode MS"/>
        </w:rPr>
        <w:t>aurait affiché une</w:t>
      </w:r>
      <w:r w:rsidR="00BA6FC0">
        <w:rPr>
          <w:rFonts w:eastAsia="Arial Unicode MS"/>
        </w:rPr>
        <w:t xml:space="preserve"> hausse</w:t>
      </w:r>
      <w:r w:rsidR="00BD79D6" w:rsidRPr="0095472E">
        <w:rPr>
          <w:rFonts w:eastAsia="Arial Unicode MS"/>
        </w:rPr>
        <w:t xml:space="preserve"> </w:t>
      </w:r>
      <w:r w:rsidR="00C54B60" w:rsidRPr="0095472E">
        <w:rPr>
          <w:rFonts w:eastAsia="Arial Unicode MS"/>
        </w:rPr>
        <w:t xml:space="preserve">imputable à une </w:t>
      </w:r>
      <w:r w:rsidR="00BA6FC0">
        <w:rPr>
          <w:rFonts w:eastAsia="Arial Unicode MS"/>
        </w:rPr>
        <w:t>augmentation</w:t>
      </w:r>
      <w:r w:rsidR="00BA6FC0" w:rsidRPr="0095472E">
        <w:rPr>
          <w:rFonts w:eastAsia="Arial Unicode MS"/>
        </w:rPr>
        <w:t xml:space="preserve"> </w:t>
      </w:r>
      <w:r w:rsidR="00C54B60" w:rsidRPr="0095472E">
        <w:rPr>
          <w:rFonts w:eastAsia="Arial Unicode MS"/>
        </w:rPr>
        <w:t>de la production d’«Autres industries</w:t>
      </w:r>
      <w:r w:rsidR="00BA6FC0">
        <w:rPr>
          <w:rFonts w:eastAsia="Arial Unicode MS"/>
        </w:rPr>
        <w:t xml:space="preserve"> </w:t>
      </w:r>
      <w:r w:rsidR="00C54B60" w:rsidRPr="0095472E">
        <w:rPr>
          <w:rFonts w:eastAsia="Arial Unicode MS"/>
        </w:rPr>
        <w:t>extractives».</w:t>
      </w:r>
      <w:r w:rsidR="00DB5CB8" w:rsidRPr="00DB5CB8">
        <w:rPr>
          <w:noProof/>
        </w:rPr>
        <w:t xml:space="preserve"> </w:t>
      </w:r>
    </w:p>
    <w:p w:rsidR="00C54B60" w:rsidRPr="00820F99" w:rsidRDefault="00C54B60" w:rsidP="006C5D56">
      <w:pPr>
        <w:spacing w:after="120" w:line="276" w:lineRule="auto"/>
        <w:ind w:left="-284"/>
        <w:jc w:val="both"/>
        <w:rPr>
          <w:rFonts w:eastAsia="Arial Unicode MS"/>
        </w:rPr>
      </w:pPr>
      <w:r w:rsidRPr="0095472E">
        <w:rPr>
          <w:rFonts w:eastAsia="Arial Unicode MS"/>
        </w:rPr>
        <w:lastRenderedPageBreak/>
        <w:t xml:space="preserve">Les carnets de commande se seraient situés à un niveau normal et l’emploi aurait connu une </w:t>
      </w:r>
      <w:r w:rsidR="00BA6FC0">
        <w:rPr>
          <w:rFonts w:eastAsia="Arial Unicode MS"/>
        </w:rPr>
        <w:t>diminution</w:t>
      </w:r>
      <w:r w:rsidRPr="0095472E">
        <w:rPr>
          <w:rFonts w:eastAsia="Arial Unicode MS"/>
        </w:rPr>
        <w:t xml:space="preserve">. Dans ces conditions, le TUC dans ce secteur se serait établi à </w:t>
      </w:r>
      <w:r w:rsidR="006C5D56">
        <w:rPr>
          <w:rFonts w:eastAsia="Arial Unicode MS"/>
        </w:rPr>
        <w:t>64</w:t>
      </w:r>
      <w:r w:rsidRPr="0095472E">
        <w:rPr>
          <w:rFonts w:eastAsia="Arial Unicode MS"/>
        </w:rPr>
        <w:t>%.</w:t>
      </w:r>
    </w:p>
    <w:p w:rsidR="0038590B" w:rsidRPr="00302676" w:rsidRDefault="0038590B" w:rsidP="0038590B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</w:p>
    <w:p w:rsidR="000E04FA" w:rsidRDefault="000E04FA" w:rsidP="00A1694E">
      <w:pPr>
        <w:spacing w:after="120" w:line="276" w:lineRule="auto"/>
        <w:ind w:left="-284"/>
        <w:jc w:val="both"/>
        <w:rPr>
          <w:rFonts w:eastAsia="Arial Unicode MS"/>
          <w:b/>
          <w:bCs/>
          <w:color w:val="660033"/>
          <w:sz w:val="22"/>
          <w:szCs w:val="22"/>
        </w:rPr>
      </w:pPr>
    </w:p>
    <w:p w:rsidR="00333E26" w:rsidRDefault="00333E26" w:rsidP="00E46D26">
      <w:pPr>
        <w:spacing w:after="120" w:line="276" w:lineRule="auto"/>
        <w:ind w:left="-284"/>
        <w:jc w:val="both"/>
        <w:rPr>
          <w:rFonts w:eastAsia="Arial Unicode MS"/>
          <w:rtl/>
        </w:rPr>
      </w:pPr>
    </w:p>
    <w:p w:rsidR="00C54B60" w:rsidRPr="00820F99" w:rsidRDefault="00C54B60" w:rsidP="00E46D26">
      <w:pPr>
        <w:spacing w:after="120" w:line="276" w:lineRule="auto"/>
        <w:ind w:left="-284"/>
        <w:jc w:val="both"/>
        <w:rPr>
          <w:rFonts w:eastAsia="Arial Unicode MS"/>
        </w:rPr>
      </w:pPr>
      <w:r w:rsidRPr="0095472E">
        <w:rPr>
          <w:rFonts w:eastAsia="Arial Unicode MS"/>
        </w:rPr>
        <w:t xml:space="preserve">Au titre du </w:t>
      </w:r>
      <w:r w:rsidR="00F467EF">
        <w:rPr>
          <w:rFonts w:eastAsia="Arial Unicode MS"/>
        </w:rPr>
        <w:t>3ème</w:t>
      </w:r>
      <w:r w:rsidRPr="0095472E">
        <w:rPr>
          <w:rFonts w:eastAsia="Arial Unicode MS"/>
        </w:rPr>
        <w:t xml:space="preserve"> trimestre </w:t>
      </w:r>
      <w:r w:rsidR="007F581F">
        <w:rPr>
          <w:rFonts w:eastAsia="Arial Unicode MS"/>
        </w:rPr>
        <w:t>2019</w:t>
      </w:r>
      <w:r w:rsidRPr="0095472E">
        <w:rPr>
          <w:rFonts w:eastAsia="Arial Unicode MS"/>
        </w:rPr>
        <w:t xml:space="preserve">, la production de </w:t>
      </w:r>
      <w:r w:rsidRPr="0095472E">
        <w:rPr>
          <w:rFonts w:eastAsia="Arial Unicode MS"/>
          <w:b/>
          <w:bCs/>
          <w:color w:val="660033"/>
        </w:rPr>
        <w:t xml:space="preserve">l’industrie énergétique </w:t>
      </w:r>
      <w:r w:rsidRPr="0095472E">
        <w:rPr>
          <w:rFonts w:eastAsia="Arial Unicode MS"/>
        </w:rPr>
        <w:t xml:space="preserve">aurait connu une </w:t>
      </w:r>
      <w:r w:rsidR="006C5D56">
        <w:rPr>
          <w:rFonts w:eastAsia="Arial Unicode MS"/>
        </w:rPr>
        <w:t>hausse</w:t>
      </w:r>
      <w:r w:rsidRPr="0095472E">
        <w:rPr>
          <w:rFonts w:eastAsia="Arial Unicode MS"/>
        </w:rPr>
        <w:t xml:space="preserve"> due principalement </w:t>
      </w:r>
      <w:r w:rsidRPr="0095472E">
        <w:rPr>
          <w:rFonts w:eastAsia="Arial Unicode MS" w:hint="cs"/>
        </w:rPr>
        <w:t>à</w:t>
      </w:r>
      <w:r w:rsidRPr="0095472E">
        <w:rPr>
          <w:rFonts w:eastAsia="Arial Unicode MS"/>
        </w:rPr>
        <w:t xml:space="preserve"> </w:t>
      </w:r>
      <w:r w:rsidR="00BD79D6" w:rsidRPr="0095472E">
        <w:rPr>
          <w:rFonts w:eastAsia="Arial Unicode MS"/>
        </w:rPr>
        <w:t xml:space="preserve">la </w:t>
      </w:r>
      <w:r w:rsidR="006C5D56">
        <w:rPr>
          <w:rFonts w:eastAsia="Arial Unicode MS"/>
        </w:rPr>
        <w:t>augmentation</w:t>
      </w:r>
      <w:r w:rsidRPr="0095472E">
        <w:rPr>
          <w:rFonts w:eastAsia="Arial Unicode MS"/>
        </w:rPr>
        <w:t xml:space="preserve"> de la «Production et distribution d’électricité, de gaz, de vapeur et d’air conditionné». S’agissant des carnets de commandes, ils sont jugés d’un niveau normal. L’emploi, quant à lui, aurait connu une </w:t>
      </w:r>
      <w:r w:rsidR="00E46D26">
        <w:rPr>
          <w:rFonts w:eastAsia="Arial Unicode MS"/>
        </w:rPr>
        <w:t>augmentation</w:t>
      </w:r>
      <w:r w:rsidRPr="0095472E">
        <w:rPr>
          <w:rFonts w:eastAsia="Arial Unicode MS"/>
        </w:rPr>
        <w:t xml:space="preserve">. Dans ces conditions, le TUC dans l’industrie énergétique se serait établi à </w:t>
      </w:r>
      <w:r w:rsidR="006C5D56">
        <w:rPr>
          <w:rFonts w:eastAsia="Arial Unicode MS"/>
        </w:rPr>
        <w:t>92</w:t>
      </w:r>
      <w:r w:rsidRPr="0095472E">
        <w:rPr>
          <w:rFonts w:eastAsia="Arial Unicode MS"/>
        </w:rPr>
        <w:t>%.</w:t>
      </w:r>
    </w:p>
    <w:p w:rsidR="00C54B60" w:rsidRDefault="008A4C76" w:rsidP="00DC1CCA">
      <w:pPr>
        <w:spacing w:after="120" w:line="276" w:lineRule="auto"/>
        <w:ind w:left="-284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-139700</wp:posOffset>
            </wp:positionH>
            <wp:positionV relativeFrom="margin">
              <wp:posOffset>5182235</wp:posOffset>
            </wp:positionV>
            <wp:extent cx="3228975" cy="3213100"/>
            <wp:effectExtent l="3175" t="635" r="0" b="0"/>
            <wp:wrapSquare wrapText="bothSides"/>
            <wp:docPr id="115" name="Graphiqu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C54B60" w:rsidRPr="0095472E">
        <w:rPr>
          <w:rFonts w:eastAsia="Arial Unicode MS"/>
        </w:rPr>
        <w:t xml:space="preserve">La production de </w:t>
      </w:r>
      <w:r w:rsidR="00C54B60" w:rsidRPr="0095472E">
        <w:rPr>
          <w:rFonts w:eastAsia="Arial Unicode MS"/>
          <w:b/>
          <w:bCs/>
          <w:color w:val="660033"/>
        </w:rPr>
        <w:t xml:space="preserve">l’industrie environnementale </w:t>
      </w:r>
      <w:r w:rsidR="00C54B60" w:rsidRPr="0095472E">
        <w:rPr>
          <w:rFonts w:eastAsia="Arial Unicode MS"/>
        </w:rPr>
        <w:t>aurait enregistré une augmentation imputable à une hausse de l'activité du «Captage, traitement et distribution d’eau». En ce qui concerne les carnets de commandes de ce secteur, ils se seraient établis à un niveau normal et l’emploi aurait connu une augmentation. Dans ces conditions, le TUC dans l’indus</w:t>
      </w:r>
      <w:r w:rsidR="007F36E2">
        <w:rPr>
          <w:rFonts w:eastAsia="Arial Unicode MS"/>
        </w:rPr>
        <w:t>trie environnementale se serait</w:t>
      </w:r>
      <w:r w:rsidR="00DC1CCA">
        <w:rPr>
          <w:rFonts w:eastAsia="Arial Unicode MS"/>
        </w:rPr>
        <w:t xml:space="preserve"> </w:t>
      </w:r>
      <w:r w:rsidR="00C54B60" w:rsidRPr="0095472E">
        <w:rPr>
          <w:rFonts w:eastAsia="Arial Unicode MS"/>
        </w:rPr>
        <w:t xml:space="preserve">établi à </w:t>
      </w:r>
      <w:r w:rsidR="00794A74" w:rsidRPr="0095472E">
        <w:rPr>
          <w:rFonts w:eastAsia="Arial Unicode MS"/>
        </w:rPr>
        <w:t>87</w:t>
      </w:r>
      <w:r w:rsidR="00C54B60" w:rsidRPr="0095472E">
        <w:rPr>
          <w:rFonts w:eastAsia="Arial Unicode MS"/>
        </w:rPr>
        <w:t>%.</w:t>
      </w:r>
    </w:p>
    <w:p w:rsidR="007F36E2" w:rsidRDefault="008A4C76" w:rsidP="009508E7">
      <w:pPr>
        <w:spacing w:after="120" w:line="276" w:lineRule="auto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3089910</wp:posOffset>
            </wp:positionH>
            <wp:positionV relativeFrom="margin">
              <wp:posOffset>4886960</wp:posOffset>
            </wp:positionV>
            <wp:extent cx="3157855" cy="3450590"/>
            <wp:effectExtent l="3810" t="635" r="635" b="0"/>
            <wp:wrapSquare wrapText="bothSides"/>
            <wp:docPr id="114" name="Graphiqu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B042BB" w:rsidRDefault="00B042BB" w:rsidP="00C54B60">
      <w:pPr>
        <w:spacing w:after="120" w:line="276" w:lineRule="auto"/>
        <w:ind w:left="-284"/>
        <w:jc w:val="both"/>
        <w:rPr>
          <w:rFonts w:eastAsia="Arial Unicode MS"/>
        </w:rPr>
      </w:pPr>
    </w:p>
    <w:p w:rsidR="00696F24" w:rsidRDefault="00696F24">
      <w:pPr>
        <w:rPr>
          <w:rFonts w:eastAsia="Arial Unicode MS"/>
        </w:rPr>
      </w:pPr>
      <w:r>
        <w:rPr>
          <w:rFonts w:eastAsia="Arial Unicode MS"/>
        </w:rPr>
        <w:br w:type="page"/>
      </w:r>
    </w:p>
    <w:p w:rsidR="00616FBB" w:rsidRPr="00820F99" w:rsidRDefault="00616FBB" w:rsidP="00C54B60">
      <w:pPr>
        <w:spacing w:after="120" w:line="276" w:lineRule="auto"/>
        <w:ind w:left="-284"/>
        <w:jc w:val="both"/>
        <w:rPr>
          <w:rFonts w:eastAsia="Arial Unicode MS"/>
        </w:rPr>
      </w:pPr>
    </w:p>
    <w:p w:rsidR="00572FD7" w:rsidRPr="00F03C7C" w:rsidRDefault="008A4C76" w:rsidP="000F71D1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2948305</wp:posOffset>
            </wp:positionH>
            <wp:positionV relativeFrom="margin">
              <wp:posOffset>347345</wp:posOffset>
            </wp:positionV>
            <wp:extent cx="3416300" cy="3175000"/>
            <wp:effectExtent l="5080" t="0" r="0" b="1905"/>
            <wp:wrapSquare wrapText="bothSides"/>
            <wp:docPr id="113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572FD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Construction</w:t>
      </w:r>
    </w:p>
    <w:p w:rsidR="00D83BAA" w:rsidRDefault="004D78CF" w:rsidP="00D35044">
      <w:pPr>
        <w:spacing w:line="276" w:lineRule="auto"/>
        <w:ind w:right="170"/>
        <w:jc w:val="both"/>
        <w:rPr>
          <w:rFonts w:eastAsia="Arial Unicode MS"/>
        </w:rPr>
      </w:pPr>
      <w:r w:rsidRPr="00D902A1">
        <w:rPr>
          <w:rFonts w:eastAsia="Arial Unicode MS"/>
          <w:noProof/>
        </w:rPr>
        <w:t xml:space="preserve"> A</w:t>
      </w:r>
      <w:r w:rsidR="00A158A2" w:rsidRPr="00D902A1">
        <w:rPr>
          <w:rFonts w:eastAsia="Arial Unicode MS"/>
        </w:rPr>
        <w:t xml:space="preserve">u </w:t>
      </w:r>
      <w:r w:rsidR="00F467EF">
        <w:rPr>
          <w:rFonts w:eastAsia="Arial Unicode MS"/>
        </w:rPr>
        <w:t>3ème</w:t>
      </w:r>
      <w:r w:rsidR="001227DD">
        <w:rPr>
          <w:rFonts w:eastAsia="Arial Unicode MS"/>
        </w:rPr>
        <w:t xml:space="preserve"> </w:t>
      </w:r>
      <w:r w:rsidR="00A158A2" w:rsidRPr="00D902A1">
        <w:rPr>
          <w:rFonts w:eastAsia="Arial Unicode MS"/>
        </w:rPr>
        <w:t xml:space="preserve">trimestre </w:t>
      </w:r>
      <w:r w:rsidR="007F581F">
        <w:rPr>
          <w:rFonts w:eastAsia="Arial Unicode MS"/>
        </w:rPr>
        <w:t>2019</w:t>
      </w:r>
      <w:r w:rsidRPr="00D902A1">
        <w:rPr>
          <w:rFonts w:eastAsia="Arial Unicode MS"/>
        </w:rPr>
        <w:t>,</w:t>
      </w:r>
      <w:r w:rsidR="00A158A2" w:rsidRPr="00D902A1">
        <w:rPr>
          <w:rFonts w:eastAsia="Arial Unicode MS"/>
        </w:rPr>
        <w:t xml:space="preserve"> </w:t>
      </w:r>
      <w:r w:rsidR="00805103">
        <w:rPr>
          <w:rFonts w:eastAsia="Arial Unicode MS"/>
        </w:rPr>
        <w:t>l</w:t>
      </w:r>
      <w:r w:rsidR="008A5D7C" w:rsidRPr="00D902A1">
        <w:rPr>
          <w:rFonts w:eastAsia="Arial Unicode MS"/>
        </w:rPr>
        <w:t xml:space="preserve">’activité </w:t>
      </w:r>
      <w:r w:rsidR="00C54B60" w:rsidRPr="00D902A1">
        <w:rPr>
          <w:rFonts w:eastAsia="Arial Unicode MS"/>
        </w:rPr>
        <w:t xml:space="preserve">dans le </w:t>
      </w:r>
      <w:r w:rsidR="00C54B60" w:rsidRPr="00D902A1">
        <w:rPr>
          <w:rFonts w:eastAsia="Arial Unicode MS"/>
          <w:b/>
          <w:bCs/>
          <w:color w:val="660033"/>
        </w:rPr>
        <w:t>secteur de la construction</w:t>
      </w:r>
      <w:r w:rsidR="00C54B60" w:rsidRPr="00D902A1">
        <w:rPr>
          <w:rFonts w:eastAsia="Arial Unicode MS"/>
        </w:rPr>
        <w:t xml:space="preserve"> </w:t>
      </w:r>
      <w:r w:rsidR="008A5D7C" w:rsidRPr="00D902A1">
        <w:rPr>
          <w:rFonts w:eastAsia="Arial Unicode MS"/>
        </w:rPr>
        <w:t xml:space="preserve">aurait </w:t>
      </w:r>
      <w:r w:rsidR="003E73AE" w:rsidRPr="00D902A1">
        <w:rPr>
          <w:rFonts w:eastAsia="Arial Unicode MS"/>
        </w:rPr>
        <w:t>connu</w:t>
      </w:r>
      <w:r w:rsidR="00A158A2" w:rsidRPr="00D902A1">
        <w:rPr>
          <w:rFonts w:eastAsia="Arial Unicode MS"/>
        </w:rPr>
        <w:t xml:space="preserve"> une </w:t>
      </w:r>
      <w:r w:rsidR="008F38FA">
        <w:rPr>
          <w:rFonts w:eastAsia="Arial Unicode MS"/>
        </w:rPr>
        <w:t>stabilité.</w:t>
      </w:r>
      <w:r w:rsidR="00D83BAA" w:rsidRPr="00D902A1">
        <w:rPr>
          <w:rFonts w:eastAsia="Arial Unicode MS"/>
        </w:rPr>
        <w:t xml:space="preserve"> </w:t>
      </w:r>
      <w:r w:rsidR="008F38FA" w:rsidRPr="008F38FA">
        <w:rPr>
          <w:rFonts w:eastAsia="Arial Unicode MS"/>
        </w:rPr>
        <w:t xml:space="preserve">Cette </w:t>
      </w:r>
      <w:r w:rsidR="008B476B">
        <w:rPr>
          <w:rFonts w:eastAsia="Arial Unicode MS"/>
        </w:rPr>
        <w:t>évolution</w:t>
      </w:r>
      <w:r w:rsidR="008F38FA" w:rsidRPr="008F38FA">
        <w:rPr>
          <w:rFonts w:eastAsia="Arial Unicode MS"/>
        </w:rPr>
        <w:t xml:space="preserve"> aurait été </w:t>
      </w:r>
      <w:r w:rsidR="008F38FA" w:rsidRPr="00D902A1">
        <w:rPr>
          <w:rFonts w:eastAsia="Arial Unicode MS"/>
        </w:rPr>
        <w:t>due</w:t>
      </w:r>
      <w:r w:rsidR="00805103">
        <w:rPr>
          <w:rFonts w:eastAsia="Arial Unicode MS"/>
        </w:rPr>
        <w:t>,</w:t>
      </w:r>
      <w:r w:rsidR="008F38FA" w:rsidRPr="008F38FA">
        <w:rPr>
          <w:rFonts w:eastAsia="Arial Unicode MS"/>
        </w:rPr>
        <w:t xml:space="preserve"> d’une part, </w:t>
      </w:r>
      <w:r w:rsidR="008F38FA">
        <w:rPr>
          <w:rFonts w:eastAsia="Arial Unicode MS"/>
        </w:rPr>
        <w:t>à</w:t>
      </w:r>
      <w:r w:rsidR="008F38FA" w:rsidRPr="008F38FA">
        <w:rPr>
          <w:rFonts w:eastAsia="Arial Unicode MS"/>
        </w:rPr>
        <w:t xml:space="preserve"> la hausse d’a</w:t>
      </w:r>
      <w:r w:rsidR="00805103">
        <w:rPr>
          <w:rFonts w:eastAsia="Arial Unicode MS"/>
        </w:rPr>
        <w:t>ctivité dans le « Génie civil »</w:t>
      </w:r>
      <w:r w:rsidR="008F38FA" w:rsidRPr="008F38FA">
        <w:rPr>
          <w:rFonts w:eastAsia="Arial Unicode MS"/>
        </w:rPr>
        <w:t xml:space="preserve"> et</w:t>
      </w:r>
      <w:r w:rsidR="00805103">
        <w:rPr>
          <w:rFonts w:eastAsia="Arial Unicode MS"/>
        </w:rPr>
        <w:t>,</w:t>
      </w:r>
      <w:r w:rsidR="008F38FA" w:rsidRPr="008F38FA">
        <w:rPr>
          <w:rFonts w:eastAsia="Arial Unicode MS"/>
        </w:rPr>
        <w:t xml:space="preserve"> d’autre part</w:t>
      </w:r>
      <w:r w:rsidR="00805103">
        <w:rPr>
          <w:rFonts w:eastAsia="Arial Unicode MS"/>
        </w:rPr>
        <w:t>,</w:t>
      </w:r>
      <w:r w:rsidR="008F38FA" w:rsidRPr="008F38FA">
        <w:rPr>
          <w:rFonts w:eastAsia="Arial Unicode MS"/>
        </w:rPr>
        <w:t xml:space="preserve"> </w:t>
      </w:r>
      <w:r w:rsidR="008F38FA">
        <w:rPr>
          <w:rFonts w:eastAsia="Arial Unicode MS"/>
        </w:rPr>
        <w:t>à</w:t>
      </w:r>
      <w:r w:rsidR="008F38FA" w:rsidRPr="008F38FA">
        <w:rPr>
          <w:rFonts w:eastAsia="Arial Unicode MS"/>
        </w:rPr>
        <w:t xml:space="preserve"> la </w:t>
      </w:r>
      <w:r w:rsidR="00D35044">
        <w:rPr>
          <w:rFonts w:eastAsia="Arial Unicode MS"/>
        </w:rPr>
        <w:t>baisse</w:t>
      </w:r>
      <w:r w:rsidR="008F38FA" w:rsidRPr="008F38FA">
        <w:rPr>
          <w:rFonts w:eastAsia="Arial Unicode MS"/>
        </w:rPr>
        <w:t xml:space="preserve"> d’activité </w:t>
      </w:r>
      <w:r w:rsidR="00805103" w:rsidRPr="008F38FA">
        <w:rPr>
          <w:rFonts w:eastAsia="Arial Unicode MS"/>
        </w:rPr>
        <w:t xml:space="preserve">dans </w:t>
      </w:r>
      <w:r w:rsidR="0068376B">
        <w:rPr>
          <w:rFonts w:eastAsia="Arial Unicode MS"/>
        </w:rPr>
        <w:t>les</w:t>
      </w:r>
      <w:r w:rsidR="00805103">
        <w:rPr>
          <w:rFonts w:eastAsia="Arial Unicode MS"/>
        </w:rPr>
        <w:t xml:space="preserve"> </w:t>
      </w:r>
      <w:r w:rsidR="00D83BAA" w:rsidRPr="00D902A1">
        <w:rPr>
          <w:rFonts w:eastAsia="Arial Unicode MS"/>
        </w:rPr>
        <w:t>branche</w:t>
      </w:r>
      <w:r w:rsidR="0068376B">
        <w:rPr>
          <w:rFonts w:eastAsia="Arial Unicode MS"/>
        </w:rPr>
        <w:t>s</w:t>
      </w:r>
      <w:r w:rsidR="0061101F" w:rsidRPr="00D902A1">
        <w:rPr>
          <w:rFonts w:eastAsia="Arial Unicode MS"/>
        </w:rPr>
        <w:t xml:space="preserve"> de la «construction de bâtiments</w:t>
      </w:r>
      <w:r w:rsidR="00805103">
        <w:rPr>
          <w:rFonts w:eastAsia="Arial Unicode MS"/>
        </w:rPr>
        <w:t>»</w:t>
      </w:r>
      <w:r w:rsidR="0068376B" w:rsidRPr="0068376B">
        <w:rPr>
          <w:rFonts w:eastAsia="Arial Unicode MS"/>
        </w:rPr>
        <w:t xml:space="preserve"> </w:t>
      </w:r>
      <w:r w:rsidR="008B476B" w:rsidRPr="00D902A1">
        <w:rPr>
          <w:rFonts w:eastAsia="Arial Unicode MS"/>
        </w:rPr>
        <w:t>et des</w:t>
      </w:r>
      <w:r w:rsidR="0068376B" w:rsidRPr="00D902A1">
        <w:rPr>
          <w:rFonts w:eastAsia="Arial Unicode MS"/>
        </w:rPr>
        <w:t xml:space="preserve"> «Travaux de construction spécialisés».</w:t>
      </w:r>
    </w:p>
    <w:p w:rsidR="008F38FA" w:rsidRPr="00D902A1" w:rsidRDefault="008F38FA" w:rsidP="008F38FA">
      <w:pPr>
        <w:spacing w:line="276" w:lineRule="auto"/>
        <w:ind w:right="170"/>
        <w:jc w:val="both"/>
        <w:rPr>
          <w:rFonts w:eastAsia="Arial Unicode MS"/>
        </w:rPr>
      </w:pPr>
    </w:p>
    <w:p w:rsidR="00421073" w:rsidRPr="00D902A1" w:rsidRDefault="00D83BAA" w:rsidP="00D35044">
      <w:pPr>
        <w:tabs>
          <w:tab w:val="left" w:pos="5977"/>
        </w:tabs>
        <w:spacing w:after="120" w:line="276" w:lineRule="auto"/>
        <w:ind w:right="170"/>
        <w:jc w:val="both"/>
        <w:rPr>
          <w:rFonts w:eastAsia="Arial Unicode MS"/>
          <w:noProof/>
        </w:rPr>
      </w:pPr>
      <w:r w:rsidRPr="00D902A1">
        <w:rPr>
          <w:rFonts w:eastAsia="Arial Unicode MS"/>
          <w:noProof/>
        </w:rPr>
        <w:t xml:space="preserve">Les carnets de commande </w:t>
      </w:r>
      <w:r w:rsidR="00421073" w:rsidRPr="00D902A1">
        <w:rPr>
          <w:rFonts w:eastAsia="Arial Unicode MS"/>
          <w:noProof/>
        </w:rPr>
        <w:t xml:space="preserve">dans la construction se serait situés à </w:t>
      </w:r>
      <w:r w:rsidRPr="00D902A1">
        <w:rPr>
          <w:rFonts w:eastAsia="Arial Unicode MS"/>
          <w:noProof/>
        </w:rPr>
        <w:t>un niveau normal</w:t>
      </w:r>
      <w:r w:rsidR="00421073" w:rsidRPr="00D902A1">
        <w:rPr>
          <w:rFonts w:eastAsia="Arial Unicode MS"/>
          <w:noProof/>
        </w:rPr>
        <w:t xml:space="preserve"> et l</w:t>
      </w:r>
      <w:r w:rsidRPr="00D902A1">
        <w:rPr>
          <w:rFonts w:eastAsia="Arial Unicode MS"/>
          <w:noProof/>
        </w:rPr>
        <w:t>’emploi aurait connu une stabilité</w:t>
      </w:r>
      <w:r w:rsidR="00421073" w:rsidRPr="00D902A1">
        <w:rPr>
          <w:rFonts w:eastAsia="Arial Unicode MS"/>
          <w:noProof/>
        </w:rPr>
        <w:t>.</w:t>
      </w:r>
      <w:r w:rsidRPr="00D902A1">
        <w:rPr>
          <w:rFonts w:eastAsia="Arial Unicode MS"/>
          <w:noProof/>
        </w:rPr>
        <w:t xml:space="preserve"> </w:t>
      </w:r>
      <w:r w:rsidR="00421073" w:rsidRPr="00D902A1">
        <w:rPr>
          <w:rFonts w:eastAsia="Arial Unicode MS"/>
          <w:noProof/>
        </w:rPr>
        <w:t xml:space="preserve">Dans ces conditions, Le TUC dans le </w:t>
      </w:r>
      <w:r w:rsidR="00421073" w:rsidRPr="00D902A1">
        <w:rPr>
          <w:rFonts w:eastAsia="Arial Unicode MS"/>
          <w:b/>
          <w:bCs/>
          <w:color w:val="660033"/>
        </w:rPr>
        <w:t>secteur de la Construction</w:t>
      </w:r>
      <w:r w:rsidR="00421073" w:rsidRPr="00D902A1">
        <w:rPr>
          <w:rFonts w:eastAsia="Arial Unicode MS"/>
          <w:noProof/>
        </w:rPr>
        <w:t xml:space="preserve"> se serait établi à </w:t>
      </w:r>
      <w:r w:rsidR="00D35044">
        <w:rPr>
          <w:rFonts w:eastAsia="Arial Unicode MS"/>
          <w:noProof/>
        </w:rPr>
        <w:t>67</w:t>
      </w:r>
      <w:r w:rsidR="00421073" w:rsidRPr="00D902A1">
        <w:rPr>
          <w:rFonts w:eastAsia="Arial Unicode MS"/>
          <w:noProof/>
        </w:rPr>
        <w:t>%.</w:t>
      </w:r>
    </w:p>
    <w:p w:rsidR="00D83BAA" w:rsidRPr="003D46A9" w:rsidRDefault="00D83BAA" w:rsidP="00D83BAA">
      <w:pPr>
        <w:spacing w:line="276" w:lineRule="auto"/>
        <w:ind w:right="170"/>
        <w:jc w:val="both"/>
        <w:rPr>
          <w:rFonts w:eastAsia="Arial Unicode MS"/>
          <w:noProof/>
          <w:sz w:val="22"/>
          <w:szCs w:val="22"/>
        </w:rPr>
      </w:pPr>
      <w:r w:rsidRPr="003D46A9">
        <w:rPr>
          <w:rFonts w:eastAsia="Arial Unicode MS"/>
          <w:noProof/>
          <w:sz w:val="22"/>
          <w:szCs w:val="22"/>
        </w:rPr>
        <w:t xml:space="preserve">  </w:t>
      </w:r>
    </w:p>
    <w:p w:rsidR="003F3032" w:rsidRDefault="003F303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3F3032" w:rsidRDefault="003F303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2E1737" w:rsidRDefault="003F3D1F" w:rsidP="00277D23">
      <w:pPr>
        <w:pStyle w:val="Paragraphedeliste"/>
        <w:numPr>
          <w:ilvl w:val="0"/>
          <w:numId w:val="20"/>
        </w:numPr>
        <w:spacing w:after="240" w:line="240" w:lineRule="auto"/>
        <w:ind w:left="284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Prévision de la production par secteur selon les a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nticipations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F467EF">
        <w:rPr>
          <w:rFonts w:ascii="Trebuchet MS" w:eastAsia="Arial Unicode MS" w:hAnsi="Trebuchet MS"/>
          <w:b/>
          <w:bCs/>
          <w:color w:val="660033"/>
          <w:sz w:val="26"/>
          <w:szCs w:val="26"/>
        </w:rPr>
        <w:t>4ème</w:t>
      </w:r>
      <w:r w:rsidR="00277D23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trimestre </w:t>
      </w:r>
      <w:r w:rsidR="00C54B60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2019</w:t>
      </w:r>
    </w:p>
    <w:p w:rsidR="003359E4" w:rsidRPr="003359E4" w:rsidRDefault="003359E4" w:rsidP="00A9042C">
      <w:pPr>
        <w:pStyle w:val="Paragraphedeliste"/>
        <w:spacing w:after="240" w:line="240" w:lineRule="auto"/>
        <w:ind w:left="284" w:right="-168"/>
        <w:jc w:val="both"/>
        <w:rPr>
          <w:rFonts w:ascii="Trebuchet MS" w:eastAsia="Arial Unicode MS" w:hAnsi="Trebuchet MS"/>
          <w:b/>
          <w:bCs/>
          <w:color w:val="660033"/>
          <w:sz w:val="18"/>
          <w:szCs w:val="18"/>
        </w:rPr>
      </w:pPr>
    </w:p>
    <w:p w:rsidR="00F81A11" w:rsidRPr="00F03C7C" w:rsidRDefault="0033375A" w:rsidP="00A9042C">
      <w:pPr>
        <w:pStyle w:val="Paragraphedeliste"/>
        <w:numPr>
          <w:ilvl w:val="1"/>
          <w:numId w:val="24"/>
        </w:numPr>
        <w:spacing w:before="240" w:after="0" w:line="240" w:lineRule="auto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de l’</w:t>
      </w:r>
      <w:r w:rsidR="00F81A1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:rsidR="00BD1543" w:rsidRPr="00433EE5" w:rsidRDefault="008A4C76" w:rsidP="006C5D56">
      <w:pPr>
        <w:spacing w:before="240" w:after="120" w:line="300" w:lineRule="exact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2948305</wp:posOffset>
            </wp:positionH>
            <wp:positionV relativeFrom="margin">
              <wp:posOffset>4531995</wp:posOffset>
            </wp:positionV>
            <wp:extent cx="3364865" cy="3145790"/>
            <wp:effectExtent l="0" t="0" r="1905" b="0"/>
            <wp:wrapSquare wrapText="bothSides"/>
            <wp:docPr id="112" name="Graphiqu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BD1543" w:rsidRPr="00433EE5">
        <w:rPr>
          <w:rFonts w:eastAsia="Arial Unicode MS"/>
        </w:rPr>
        <w:t xml:space="preserve">Au </w:t>
      </w:r>
      <w:r w:rsidR="00F467EF">
        <w:rPr>
          <w:rFonts w:eastAsia="Arial Unicode MS"/>
        </w:rPr>
        <w:t>4ème</w:t>
      </w:r>
      <w:r w:rsidR="007F581F">
        <w:rPr>
          <w:rFonts w:eastAsia="Arial Unicode MS"/>
        </w:rPr>
        <w:t xml:space="preserve"> </w:t>
      </w:r>
      <w:r w:rsidR="00BD1543" w:rsidRPr="00433EE5">
        <w:rPr>
          <w:rFonts w:eastAsia="Arial Unicode MS"/>
        </w:rPr>
        <w:t>trimestre 201</w:t>
      </w:r>
      <w:r w:rsidR="00BD1543">
        <w:rPr>
          <w:rFonts w:eastAsia="Arial Unicode MS"/>
        </w:rPr>
        <w:t>9</w:t>
      </w:r>
      <w:r w:rsidR="00BD1543" w:rsidRPr="00433EE5">
        <w:rPr>
          <w:rFonts w:eastAsia="Arial Unicode MS"/>
        </w:rPr>
        <w:t>, l</w:t>
      </w:r>
      <w:r w:rsidR="00BD1543" w:rsidRPr="00433EE5">
        <w:rPr>
          <w:noProof/>
        </w:rPr>
        <w:t xml:space="preserve">es </w:t>
      </w:r>
      <w:r w:rsidR="00BD1543" w:rsidRPr="00433EE5">
        <w:rPr>
          <w:rFonts w:eastAsia="Arial Unicode MS"/>
        </w:rPr>
        <w:t xml:space="preserve">entreprises de </w:t>
      </w:r>
      <w:r w:rsidR="00BD1543" w:rsidRPr="00E3092D">
        <w:rPr>
          <w:rFonts w:eastAsia="Arial Unicode MS"/>
          <w:b/>
          <w:bCs/>
          <w:color w:val="660033"/>
        </w:rPr>
        <w:t>l’industrie</w:t>
      </w:r>
      <w:r w:rsidR="00BD1543" w:rsidRPr="00433EE5">
        <w:rPr>
          <w:rFonts w:eastAsia="Arial Unicode MS"/>
          <w:b/>
          <w:bCs/>
          <w:color w:val="660033"/>
        </w:rPr>
        <w:t xml:space="preserve"> manufacturière </w:t>
      </w:r>
      <w:r w:rsidR="00BD1543" w:rsidRPr="00433EE5">
        <w:rPr>
          <w:rFonts w:eastAsia="Arial Unicode MS"/>
        </w:rPr>
        <w:t>s’attendent à une</w:t>
      </w:r>
      <w:r w:rsidR="00D04636">
        <w:rPr>
          <w:rFonts w:eastAsia="Arial Unicode MS"/>
        </w:rPr>
        <w:t xml:space="preserve"> </w:t>
      </w:r>
      <w:r w:rsidR="00BD1543" w:rsidRPr="00433EE5">
        <w:rPr>
          <w:rFonts w:eastAsia="Arial Unicode MS"/>
        </w:rPr>
        <w:t>hausse de leur production. Ces anticipations seraient attribuables, d’une part, à une hausse de l’activité de</w:t>
      </w:r>
      <w:r w:rsidR="00A87F64">
        <w:rPr>
          <w:rFonts w:eastAsia="Arial Unicode MS"/>
        </w:rPr>
        <w:t xml:space="preserve"> l’</w:t>
      </w:r>
      <w:r w:rsidR="00BD1543" w:rsidRPr="00433EE5">
        <w:rPr>
          <w:rFonts w:eastAsia="Arial Unicode MS"/>
        </w:rPr>
        <w:t>«</w:t>
      </w:r>
      <w:r w:rsidR="00A87F64" w:rsidRPr="00A87F64">
        <w:rPr>
          <w:rFonts w:eastAsia="Arial Unicode MS"/>
        </w:rPr>
        <w:t>Industrie chimique</w:t>
      </w:r>
      <w:r w:rsidR="00BD1543" w:rsidRPr="00433EE5">
        <w:rPr>
          <w:rFonts w:eastAsia="Arial Unicode MS"/>
        </w:rPr>
        <w:t xml:space="preserve">» et de </w:t>
      </w:r>
      <w:r w:rsidR="00794A74">
        <w:rPr>
          <w:rFonts w:eastAsia="Arial Unicode MS"/>
        </w:rPr>
        <w:t>l</w:t>
      </w:r>
      <w:r w:rsidR="00A87F64">
        <w:rPr>
          <w:rFonts w:eastAsia="Arial Unicode MS"/>
        </w:rPr>
        <w:t xml:space="preserve">a </w:t>
      </w:r>
      <w:r w:rsidR="00BD1543" w:rsidRPr="00433EE5">
        <w:rPr>
          <w:rFonts w:eastAsia="Arial Unicode MS"/>
        </w:rPr>
        <w:t>«</w:t>
      </w:r>
      <w:r w:rsidR="006C5D56">
        <w:rPr>
          <w:rFonts w:eastAsia="Arial Unicode MS"/>
        </w:rPr>
        <w:t>Industrie automobile</w:t>
      </w:r>
      <w:r w:rsidR="00BD1543" w:rsidRPr="00433EE5">
        <w:rPr>
          <w:rFonts w:eastAsia="Arial Unicode MS"/>
        </w:rPr>
        <w:t xml:space="preserve">» et, d’autre part, à une diminution de </w:t>
      </w:r>
      <w:r w:rsidR="001B696C">
        <w:rPr>
          <w:rFonts w:eastAsia="Arial Unicode MS"/>
        </w:rPr>
        <w:t xml:space="preserve">celle </w:t>
      </w:r>
      <w:r w:rsidR="00BD1543" w:rsidRPr="00433EE5">
        <w:rPr>
          <w:rFonts w:eastAsia="Arial Unicode MS"/>
        </w:rPr>
        <w:t xml:space="preserve">de </w:t>
      </w:r>
      <w:r w:rsidR="00421453" w:rsidRPr="00433EE5">
        <w:rPr>
          <w:rFonts w:eastAsia="Arial Unicode MS"/>
        </w:rPr>
        <w:t>«</w:t>
      </w:r>
      <w:r w:rsidR="006C5D56" w:rsidRPr="006C5D56">
        <w:rPr>
          <w:rFonts w:eastAsia="Arial Unicode MS"/>
        </w:rPr>
        <w:t>Fabrication d'équipements électriques</w:t>
      </w:r>
      <w:r w:rsidR="00421453" w:rsidRPr="00433EE5">
        <w:rPr>
          <w:rFonts w:eastAsia="Arial Unicode MS"/>
        </w:rPr>
        <w:t>»</w:t>
      </w:r>
      <w:r w:rsidR="00A87F64">
        <w:rPr>
          <w:rFonts w:eastAsia="Arial Unicode MS"/>
        </w:rPr>
        <w:t xml:space="preserve"> et </w:t>
      </w:r>
      <w:r w:rsidR="00A87F64" w:rsidRPr="00433EE5">
        <w:rPr>
          <w:rFonts w:eastAsia="Arial Unicode MS"/>
        </w:rPr>
        <w:t>de</w:t>
      </w:r>
      <w:r w:rsidR="00A87F64" w:rsidRPr="00421453">
        <w:rPr>
          <w:rFonts w:eastAsia="Arial Unicode MS"/>
        </w:rPr>
        <w:t xml:space="preserve"> </w:t>
      </w:r>
      <w:r w:rsidR="00A87F64" w:rsidRPr="00433EE5">
        <w:rPr>
          <w:rFonts w:eastAsia="Arial Unicode MS"/>
        </w:rPr>
        <w:t>l</w:t>
      </w:r>
      <w:r w:rsidR="00A87F64">
        <w:rPr>
          <w:rFonts w:eastAsia="Arial Unicode MS"/>
        </w:rPr>
        <w:t xml:space="preserve">a </w:t>
      </w:r>
      <w:r w:rsidR="00A87F64" w:rsidRPr="00433EE5">
        <w:rPr>
          <w:rFonts w:eastAsia="Arial Unicode MS"/>
        </w:rPr>
        <w:t>«</w:t>
      </w:r>
      <w:r w:rsidR="006C5D56" w:rsidRPr="006C5D56">
        <w:rPr>
          <w:rFonts w:eastAsia="Arial Unicode MS"/>
        </w:rPr>
        <w:t>Fabrication de produits informatiques, électroniques et optiques</w:t>
      </w:r>
      <w:r w:rsidR="00A87F64" w:rsidRPr="00433EE5">
        <w:rPr>
          <w:rFonts w:eastAsia="Arial Unicode MS"/>
        </w:rPr>
        <w:t>»</w:t>
      </w:r>
      <w:r w:rsidR="00A87F64">
        <w:rPr>
          <w:rFonts w:eastAsia="Arial Unicode MS"/>
        </w:rPr>
        <w:t>.</w:t>
      </w:r>
      <w:r w:rsidR="00A87F64" w:rsidRPr="00433EE5">
        <w:rPr>
          <w:rFonts w:eastAsia="Arial Unicode MS"/>
        </w:rPr>
        <w:t xml:space="preserve"> </w:t>
      </w:r>
      <w:r w:rsidR="00BD1543" w:rsidRPr="00433EE5">
        <w:rPr>
          <w:rFonts w:eastAsia="Arial Unicode MS"/>
        </w:rPr>
        <w:t>Concernant les anticipations de l’emploi, les industriels prévoient globalement une stabilité des effectifs employés.</w:t>
      </w:r>
    </w:p>
    <w:p w:rsidR="00BD1543" w:rsidRPr="00433EE5" w:rsidRDefault="00BD1543" w:rsidP="00E3092D">
      <w:pPr>
        <w:spacing w:after="120" w:line="300" w:lineRule="exact"/>
        <w:jc w:val="both"/>
        <w:rPr>
          <w:rFonts w:eastAsia="Arial Unicode MS"/>
        </w:rPr>
      </w:pPr>
      <w:r w:rsidRPr="00433EE5">
        <w:rPr>
          <w:rFonts w:eastAsia="Arial Unicode MS"/>
        </w:rPr>
        <w:t xml:space="preserve">S’agissant de </w:t>
      </w:r>
      <w:r w:rsidRPr="00433EE5">
        <w:rPr>
          <w:rFonts w:eastAsia="Arial Unicode MS"/>
          <w:b/>
          <w:bCs/>
          <w:color w:val="660033"/>
        </w:rPr>
        <w:t xml:space="preserve">l’industrie extractive, </w:t>
      </w:r>
      <w:r w:rsidRPr="00433EE5">
        <w:rPr>
          <w:rFonts w:eastAsia="Arial Unicode MS"/>
        </w:rPr>
        <w:t xml:space="preserve">les entreprises de ce secteur prévoient une </w:t>
      </w:r>
      <w:r w:rsidR="00140D68">
        <w:rPr>
          <w:rFonts w:eastAsia="Arial Unicode MS"/>
        </w:rPr>
        <w:t>stabilité</w:t>
      </w:r>
      <w:r w:rsidRPr="00433EE5">
        <w:rPr>
          <w:rFonts w:eastAsia="Arial Unicode MS"/>
        </w:rPr>
        <w:t xml:space="preserve"> de leur production. Cette </w:t>
      </w:r>
      <w:r w:rsidR="00E3035C">
        <w:rPr>
          <w:rFonts w:eastAsia="Arial Unicode MS"/>
        </w:rPr>
        <w:t>évolution</w:t>
      </w:r>
      <w:r w:rsidRPr="00433EE5">
        <w:rPr>
          <w:rFonts w:eastAsia="Arial Unicode MS"/>
        </w:rPr>
        <w:t xml:space="preserve"> serait imputable principalement à une</w:t>
      </w:r>
      <w:r w:rsidR="00E3092D">
        <w:rPr>
          <w:rFonts w:eastAsia="Arial Unicode MS"/>
        </w:rPr>
        <w:t xml:space="preserve"> stagnation</w:t>
      </w:r>
      <w:r w:rsidRPr="00433EE5">
        <w:rPr>
          <w:rFonts w:eastAsia="Arial Unicode MS"/>
        </w:rPr>
        <w:t xml:space="preserve"> de la production des phosphates. Au niveau des effectifs employés, les patrons de ce secteur prévoient une </w:t>
      </w:r>
      <w:r w:rsidR="00CC336D">
        <w:rPr>
          <w:rFonts w:eastAsia="Arial Unicode MS"/>
        </w:rPr>
        <w:t>stabilité</w:t>
      </w:r>
      <w:r w:rsidRPr="00433EE5">
        <w:rPr>
          <w:rFonts w:eastAsia="Arial Unicode MS"/>
        </w:rPr>
        <w:t>.</w:t>
      </w:r>
    </w:p>
    <w:p w:rsidR="00D902A1" w:rsidRDefault="00D902A1">
      <w:pPr>
        <w:rPr>
          <w:rFonts w:eastAsia="Arial Unicode MS"/>
          <w:b/>
          <w:bCs/>
          <w:color w:val="660033"/>
        </w:rPr>
      </w:pPr>
      <w:r>
        <w:rPr>
          <w:rFonts w:eastAsia="Arial Unicode MS"/>
          <w:b/>
          <w:bCs/>
          <w:color w:val="660033"/>
        </w:rPr>
        <w:br w:type="page"/>
      </w:r>
    </w:p>
    <w:p w:rsidR="00BD1543" w:rsidRPr="00433EE5" w:rsidRDefault="00BD1543" w:rsidP="00F8129A">
      <w:pPr>
        <w:spacing w:line="276" w:lineRule="auto"/>
        <w:jc w:val="both"/>
        <w:rPr>
          <w:rFonts w:eastAsia="Arial Unicode MS"/>
        </w:rPr>
      </w:pPr>
      <w:r w:rsidRPr="00433EE5">
        <w:rPr>
          <w:rFonts w:eastAsia="Arial Unicode MS"/>
          <w:b/>
          <w:bCs/>
          <w:color w:val="660033"/>
        </w:rPr>
        <w:lastRenderedPageBreak/>
        <w:t xml:space="preserve">La production énergétique </w:t>
      </w:r>
      <w:r w:rsidRPr="00433EE5">
        <w:rPr>
          <w:rFonts w:eastAsia="Arial Unicode MS"/>
        </w:rPr>
        <w:t xml:space="preserve">attendue pour le </w:t>
      </w:r>
      <w:r w:rsidR="00F467EF">
        <w:rPr>
          <w:rFonts w:eastAsia="Arial Unicode MS"/>
        </w:rPr>
        <w:t>4ème</w:t>
      </w:r>
      <w:r w:rsidR="00821207">
        <w:rPr>
          <w:rFonts w:eastAsia="Arial Unicode MS"/>
        </w:rPr>
        <w:t xml:space="preserve"> </w:t>
      </w:r>
      <w:r w:rsidRPr="00433EE5">
        <w:rPr>
          <w:rFonts w:eastAsia="Arial Unicode MS"/>
        </w:rPr>
        <w:t>trimestre 201</w:t>
      </w:r>
      <w:r>
        <w:rPr>
          <w:rFonts w:eastAsia="Arial Unicode MS"/>
        </w:rPr>
        <w:t>9</w:t>
      </w:r>
      <w:r w:rsidRPr="00433EE5">
        <w:rPr>
          <w:rFonts w:eastAsia="Arial Unicode MS"/>
        </w:rPr>
        <w:t xml:space="preserve">, </w:t>
      </w:r>
      <w:r w:rsidRPr="00433EE5">
        <w:rPr>
          <w:rFonts w:eastAsia="Arial Unicode MS" w:hint="cs"/>
        </w:rPr>
        <w:t>connaîtrait</w:t>
      </w:r>
      <w:r w:rsidRPr="00433EE5">
        <w:rPr>
          <w:rFonts w:eastAsia="Arial Unicode MS"/>
        </w:rPr>
        <w:t xml:space="preserve"> une </w:t>
      </w:r>
      <w:r w:rsidR="00140D68">
        <w:rPr>
          <w:rFonts w:eastAsia="Arial Unicode MS"/>
        </w:rPr>
        <w:t>stabilité</w:t>
      </w:r>
      <w:r w:rsidRPr="00433EE5">
        <w:rPr>
          <w:rFonts w:eastAsia="Arial Unicode MS"/>
        </w:rPr>
        <w:t xml:space="preserve"> attribuable à une </w:t>
      </w:r>
      <w:r w:rsidR="00140D68">
        <w:rPr>
          <w:rFonts w:eastAsia="Arial Unicode MS"/>
        </w:rPr>
        <w:t>s</w:t>
      </w:r>
      <w:r w:rsidR="00E3092D">
        <w:rPr>
          <w:rFonts w:eastAsia="Arial Unicode MS"/>
        </w:rPr>
        <w:t>tagnation</w:t>
      </w:r>
      <w:r w:rsidRPr="00433EE5">
        <w:rPr>
          <w:rFonts w:eastAsia="Arial Unicode MS"/>
        </w:rPr>
        <w:t xml:space="preserve"> de la «Production et distribution d’électricité, de gaz, de vapeur et d’air conditionné». Pour ce qui est de l’emploi, il </w:t>
      </w:r>
      <w:r w:rsidRPr="00433EE5">
        <w:rPr>
          <w:rFonts w:eastAsia="Arial Unicode MS" w:hint="cs"/>
        </w:rPr>
        <w:t>connaîtrait</w:t>
      </w:r>
      <w:r w:rsidRPr="00433EE5">
        <w:rPr>
          <w:rFonts w:eastAsia="Arial Unicode MS"/>
        </w:rPr>
        <w:t xml:space="preserve"> une </w:t>
      </w:r>
      <w:r w:rsidR="00F8129A">
        <w:rPr>
          <w:rFonts w:eastAsia="Arial Unicode MS"/>
        </w:rPr>
        <w:t>stabilité</w:t>
      </w:r>
      <w:r w:rsidRPr="00433EE5">
        <w:rPr>
          <w:rFonts w:eastAsia="Arial Unicode MS"/>
        </w:rPr>
        <w:t>.</w:t>
      </w:r>
    </w:p>
    <w:p w:rsidR="00BD1543" w:rsidRPr="00433EE5" w:rsidRDefault="00BD1543" w:rsidP="00966AB2">
      <w:pPr>
        <w:spacing w:before="120" w:line="276" w:lineRule="auto"/>
        <w:jc w:val="both"/>
        <w:rPr>
          <w:rFonts w:eastAsia="Arial Unicode MS"/>
        </w:rPr>
      </w:pPr>
      <w:r w:rsidRPr="00433EE5">
        <w:rPr>
          <w:rFonts w:eastAsia="Arial Unicode MS"/>
        </w:rPr>
        <w:t>Pour le même trimestre, les entreprises de</w:t>
      </w:r>
      <w:r w:rsidRPr="00433EE5">
        <w:rPr>
          <w:rFonts w:eastAsia="Arial Unicode MS"/>
          <w:b/>
          <w:bCs/>
          <w:color w:val="660033"/>
        </w:rPr>
        <w:t xml:space="preserve"> l’industrie environnementale </w:t>
      </w:r>
      <w:r w:rsidRPr="00433EE5">
        <w:rPr>
          <w:rFonts w:eastAsia="Arial Unicode MS"/>
        </w:rPr>
        <w:t>anticipent une augmentation de la production notamment dans les activités du «Captage, traitement et distribution d’eau» et une stabilité des effectifs employés.</w:t>
      </w:r>
      <w:r>
        <w:rPr>
          <w:rFonts w:eastAsia="Arial Unicode MS"/>
        </w:rPr>
        <w:t xml:space="preserve">     </w:t>
      </w:r>
    </w:p>
    <w:p w:rsidR="00F21AA5" w:rsidRDefault="00F21AA5" w:rsidP="00BD1543">
      <w:pPr>
        <w:spacing w:before="240" w:after="120" w:line="300" w:lineRule="exact"/>
        <w:jc w:val="both"/>
        <w:rPr>
          <w:rFonts w:eastAsia="Arial Unicode MS"/>
          <w:sz w:val="22"/>
          <w:szCs w:val="22"/>
        </w:rPr>
      </w:pPr>
    </w:p>
    <w:p w:rsidR="008A5D7C" w:rsidRPr="008A5D7C" w:rsidRDefault="0033375A" w:rsidP="008A5D7C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</w:t>
      </w: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u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ction</w:t>
      </w:r>
    </w:p>
    <w:p w:rsidR="008A5D7C" w:rsidRPr="00D902A1" w:rsidRDefault="008A4C76" w:rsidP="001211F1">
      <w:pPr>
        <w:spacing w:after="120" w:line="276" w:lineRule="auto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3049905</wp:posOffset>
            </wp:positionH>
            <wp:positionV relativeFrom="margin">
              <wp:posOffset>2099945</wp:posOffset>
            </wp:positionV>
            <wp:extent cx="3200400" cy="2797810"/>
            <wp:effectExtent l="1905" t="4445" r="0" b="0"/>
            <wp:wrapSquare wrapText="bothSides"/>
            <wp:docPr id="111" name="Graphiqu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8A5D7C" w:rsidRPr="00D902A1">
        <w:rPr>
          <w:rFonts w:eastAsia="Arial Unicode MS"/>
        </w:rPr>
        <w:t>Les anticipations avancées p</w:t>
      </w:r>
      <w:r w:rsidR="001E01F6" w:rsidRPr="00D902A1">
        <w:rPr>
          <w:rFonts w:eastAsia="Arial Unicode MS"/>
        </w:rPr>
        <w:t xml:space="preserve">ar les chefs d’entreprises du </w:t>
      </w:r>
      <w:r w:rsidR="008A5D7C" w:rsidRPr="00D902A1">
        <w:rPr>
          <w:rFonts w:eastAsia="Arial Unicode MS"/>
        </w:rPr>
        <w:t xml:space="preserve">secteur de </w:t>
      </w:r>
      <w:r w:rsidR="008A5D7C" w:rsidRPr="00D902A1">
        <w:rPr>
          <w:rFonts w:eastAsia="Arial Unicode MS"/>
          <w:b/>
          <w:bCs/>
          <w:color w:val="660033"/>
        </w:rPr>
        <w:t>la Construction</w:t>
      </w:r>
      <w:r w:rsidR="008A5D7C" w:rsidRPr="00D902A1">
        <w:rPr>
          <w:rFonts w:eastAsia="Arial Unicode MS"/>
        </w:rPr>
        <w:t xml:space="preserve">, </w:t>
      </w:r>
      <w:r w:rsidR="001E01F6" w:rsidRPr="00D902A1">
        <w:rPr>
          <w:rFonts w:eastAsia="Arial Unicode MS"/>
        </w:rPr>
        <w:t xml:space="preserve">pour le </w:t>
      </w:r>
      <w:r w:rsidR="00F467EF">
        <w:rPr>
          <w:rFonts w:eastAsia="Arial Unicode MS"/>
        </w:rPr>
        <w:t>4</w:t>
      </w:r>
      <w:r w:rsidR="00F467EF" w:rsidRPr="00746F79">
        <w:rPr>
          <w:rFonts w:eastAsia="Arial Unicode MS"/>
          <w:vertAlign w:val="superscript"/>
        </w:rPr>
        <w:t>ème</w:t>
      </w:r>
      <w:r w:rsidR="00746F79">
        <w:rPr>
          <w:rFonts w:eastAsia="Arial Unicode MS"/>
        </w:rPr>
        <w:t xml:space="preserve"> </w:t>
      </w:r>
      <w:r w:rsidR="00942A7D" w:rsidRPr="00D902A1">
        <w:rPr>
          <w:rFonts w:eastAsia="Arial Unicode MS"/>
        </w:rPr>
        <w:t xml:space="preserve">trimestre </w:t>
      </w:r>
      <w:r w:rsidR="00C54B60" w:rsidRPr="00D902A1">
        <w:rPr>
          <w:rFonts w:eastAsia="Arial Unicode MS"/>
        </w:rPr>
        <w:t>2019</w:t>
      </w:r>
      <w:r w:rsidR="008A5D7C" w:rsidRPr="00D902A1">
        <w:rPr>
          <w:rFonts w:eastAsia="Arial Unicode MS"/>
        </w:rPr>
        <w:t>, font ressortir, globalement</w:t>
      </w:r>
      <w:r w:rsidR="00301A88" w:rsidRPr="00D902A1">
        <w:rPr>
          <w:rFonts w:eastAsia="Arial Unicode MS"/>
        </w:rPr>
        <w:t>, une</w:t>
      </w:r>
      <w:r w:rsidR="00BD0CF1" w:rsidRPr="00D902A1">
        <w:rPr>
          <w:rFonts w:eastAsia="Arial Unicode MS"/>
        </w:rPr>
        <w:t xml:space="preserve"> </w:t>
      </w:r>
      <w:r w:rsidR="00746F79">
        <w:rPr>
          <w:rFonts w:eastAsia="Arial Unicode MS"/>
        </w:rPr>
        <w:t xml:space="preserve">diminution </w:t>
      </w:r>
      <w:r w:rsidR="001E01F6" w:rsidRPr="00D902A1">
        <w:rPr>
          <w:rFonts w:eastAsia="Arial Unicode MS"/>
        </w:rPr>
        <w:t xml:space="preserve">de l’activité. </w:t>
      </w:r>
      <w:r w:rsidR="00755A12" w:rsidRPr="00D902A1">
        <w:rPr>
          <w:rFonts w:eastAsia="Arial Unicode MS"/>
        </w:rPr>
        <w:t>Cette évolution résulterait</w:t>
      </w:r>
      <w:r w:rsidR="001E01F6" w:rsidRPr="00D902A1">
        <w:rPr>
          <w:rFonts w:eastAsia="Arial Unicode MS"/>
        </w:rPr>
        <w:t xml:space="preserve"> </w:t>
      </w:r>
      <w:r w:rsidR="00755A12" w:rsidRPr="00D902A1">
        <w:rPr>
          <w:rFonts w:eastAsia="Arial Unicode MS"/>
        </w:rPr>
        <w:t xml:space="preserve">de la </w:t>
      </w:r>
      <w:r w:rsidR="00BD5EDD">
        <w:rPr>
          <w:rFonts w:eastAsia="Arial Unicode MS"/>
        </w:rPr>
        <w:t xml:space="preserve">baisse </w:t>
      </w:r>
      <w:r w:rsidR="00BD5EDD" w:rsidRPr="00D902A1">
        <w:rPr>
          <w:rFonts w:eastAsia="Arial Unicode MS"/>
        </w:rPr>
        <w:t>d’activité</w:t>
      </w:r>
      <w:r w:rsidR="00755A12" w:rsidRPr="00D902A1">
        <w:rPr>
          <w:rFonts w:eastAsia="Arial Unicode MS"/>
        </w:rPr>
        <w:t xml:space="preserve"> prévue </w:t>
      </w:r>
      <w:r w:rsidR="001E01F6" w:rsidRPr="00D902A1">
        <w:rPr>
          <w:rFonts w:eastAsia="Arial Unicode MS"/>
        </w:rPr>
        <w:t xml:space="preserve">au niveau des branches du </w:t>
      </w:r>
      <w:r w:rsidR="00BC46F9" w:rsidRPr="00D902A1">
        <w:rPr>
          <w:rFonts w:eastAsia="Arial Unicode MS"/>
        </w:rPr>
        <w:t>«Génie civil»</w:t>
      </w:r>
      <w:r w:rsidR="001211F1">
        <w:rPr>
          <w:rFonts w:eastAsia="Arial Unicode MS"/>
        </w:rPr>
        <w:t xml:space="preserve"> et </w:t>
      </w:r>
      <w:r w:rsidR="002E707E">
        <w:rPr>
          <w:rFonts w:eastAsia="Arial Unicode MS"/>
        </w:rPr>
        <w:t xml:space="preserve">des </w:t>
      </w:r>
      <w:r w:rsidR="002E707E" w:rsidRPr="00D902A1">
        <w:rPr>
          <w:rFonts w:eastAsia="Arial Unicode MS"/>
        </w:rPr>
        <w:t>«Trava</w:t>
      </w:r>
      <w:r w:rsidR="002E707E">
        <w:rPr>
          <w:rFonts w:eastAsia="Arial Unicode MS"/>
        </w:rPr>
        <w:t>ux de construction spécialisés»</w:t>
      </w:r>
      <w:r w:rsidR="001211F1">
        <w:rPr>
          <w:rFonts w:eastAsia="Arial Unicode MS"/>
        </w:rPr>
        <w:t>.</w:t>
      </w:r>
      <w:r w:rsidR="00755A12" w:rsidRPr="00D902A1">
        <w:rPr>
          <w:rFonts w:eastAsia="Arial Unicode MS"/>
        </w:rPr>
        <w:t xml:space="preserve"> </w:t>
      </w:r>
      <w:r w:rsidR="001E01F6" w:rsidRPr="00D902A1">
        <w:rPr>
          <w:rFonts w:eastAsia="Arial Unicode MS"/>
        </w:rPr>
        <w:t xml:space="preserve">Cette </w:t>
      </w:r>
      <w:r w:rsidR="002E707E">
        <w:rPr>
          <w:rFonts w:eastAsia="Arial Unicode MS"/>
        </w:rPr>
        <w:t>baisse</w:t>
      </w:r>
      <w:r w:rsidR="001E01F6" w:rsidRPr="00D902A1">
        <w:rPr>
          <w:rFonts w:eastAsia="Arial Unicode MS"/>
        </w:rPr>
        <w:t xml:space="preserve"> dans le secteur de la construction serait accompagnée </w:t>
      </w:r>
      <w:r w:rsidR="00755A12" w:rsidRPr="00D902A1">
        <w:rPr>
          <w:rFonts w:eastAsia="Arial Unicode MS"/>
        </w:rPr>
        <w:t>par une stabilité des effectifs employés.</w:t>
      </w:r>
      <w:r w:rsidR="009437F8" w:rsidRPr="00D902A1">
        <w:rPr>
          <w:noProof/>
        </w:rPr>
        <w:t xml:space="preserve"> </w:t>
      </w:r>
    </w:p>
    <w:p w:rsidR="005330D1" w:rsidRDefault="005330D1" w:rsidP="002D769F">
      <w:pPr>
        <w:spacing w:after="120" w:line="300" w:lineRule="exact"/>
        <w:jc w:val="both"/>
        <w:rPr>
          <w:rFonts w:eastAsia="Arial Unicode MS"/>
          <w:sz w:val="22"/>
          <w:szCs w:val="22"/>
        </w:rPr>
      </w:pPr>
    </w:p>
    <w:p w:rsidR="005B18F9" w:rsidRPr="005330D1" w:rsidRDefault="005330D1" w:rsidP="005330D1">
      <w:pPr>
        <w:tabs>
          <w:tab w:val="left" w:pos="5025"/>
        </w:tabs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ab/>
      </w:r>
    </w:p>
    <w:sectPr w:rsidR="005B18F9" w:rsidRPr="005330D1" w:rsidSect="009A7C3B">
      <w:footerReference w:type="default" r:id="rId19"/>
      <w:footerReference w:type="first" r:id="rId20"/>
      <w:type w:val="continuous"/>
      <w:pgSz w:w="11906" w:h="16838"/>
      <w:pgMar w:top="993" w:right="1133" w:bottom="1258" w:left="1417" w:header="708" w:footer="53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738" w:rsidRDefault="00301738">
      <w:r>
        <w:separator/>
      </w:r>
    </w:p>
  </w:endnote>
  <w:endnote w:type="continuationSeparator" w:id="1">
    <w:p w:rsidR="00301738" w:rsidRDefault="00301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/>
      </w:tblBorders>
      <w:tblLook w:val="04A0"/>
    </w:tblPr>
    <w:tblGrid>
      <w:gridCol w:w="7763"/>
      <w:gridCol w:w="2091"/>
    </w:tblGrid>
    <w:tr w:rsidR="00ED001D" w:rsidRPr="00FE7F7C" w:rsidTr="001A7AEB">
      <w:trPr>
        <w:trHeight w:val="274"/>
      </w:trPr>
      <w:tc>
        <w:tcPr>
          <w:tcW w:w="3939" w:type="pct"/>
          <w:vAlign w:val="center"/>
        </w:tcPr>
        <w:p w:rsidR="00ED001D" w:rsidRPr="00FE7F7C" w:rsidRDefault="00ED001D" w:rsidP="00D902A1">
          <w:pPr>
            <w:pStyle w:val="Pieddepage"/>
            <w:tabs>
              <w:tab w:val="clear" w:pos="4536"/>
              <w:tab w:val="center" w:pos="0"/>
            </w:tabs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 w:rsid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 w:rsid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l’Industrie et la Construction</w:t>
          </w:r>
        </w:p>
      </w:tc>
      <w:tc>
        <w:tcPr>
          <w:tcW w:w="1061" w:type="pct"/>
          <w:shd w:val="clear" w:color="auto" w:fill="auto"/>
          <w:vAlign w:val="center"/>
        </w:tcPr>
        <w:p w:rsidR="00ED001D" w:rsidRPr="009066FA" w:rsidRDefault="007F581F" w:rsidP="0082647E">
          <w:pPr>
            <w:pStyle w:val="Pieddepage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</w:t>
          </w:r>
          <w:r w:rsidR="0082647E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Décembre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="00F85C9A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="00C54B60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2019</w:t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      </w:t>
          </w:r>
          <w:r w:rsidR="008D71C0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begin"/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instrText>PAGE    \* MERGEFORMAT</w:instrText>
          </w:r>
          <w:r w:rsidR="008D71C0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separate"/>
          </w:r>
          <w:r w:rsidR="008A4C76">
            <w:rPr>
              <w:rFonts w:ascii="Arabic Typesetting" w:hAnsi="Arabic Typesetting" w:cs="Arabic Typesetting"/>
              <w:i/>
              <w:iCs/>
              <w:noProof/>
              <w:sz w:val="20"/>
              <w:szCs w:val="20"/>
            </w:rPr>
            <w:t>2</w:t>
          </w:r>
          <w:r w:rsidR="008D71C0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end"/>
          </w:r>
        </w:p>
      </w:tc>
    </w:tr>
  </w:tbl>
  <w:p w:rsidR="00630C01" w:rsidRPr="0013128E" w:rsidRDefault="00630C01">
    <w:pPr>
      <w:pStyle w:val="Pieddepage"/>
      <w:jc w:val="right"/>
      <w:rPr>
        <w:rFonts w:ascii="Cambria" w:hAnsi="Cambria"/>
        <w:color w:val="4F81BD"/>
        <w:sz w:val="40"/>
        <w:szCs w:val="40"/>
      </w:rPr>
    </w:pPr>
  </w:p>
  <w:p w:rsidR="00630C01" w:rsidRDefault="00630C0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01" w:rsidRDefault="008D71C0">
    <w:pPr>
      <w:pStyle w:val="Pieddepage"/>
      <w:jc w:val="center"/>
    </w:pPr>
    <w:r>
      <w:fldChar w:fldCharType="begin"/>
    </w:r>
    <w:r w:rsidR="002C3980">
      <w:instrText xml:space="preserve"> PAGE   \* MERGEFORMAT </w:instrText>
    </w:r>
    <w:r>
      <w:fldChar w:fldCharType="separate"/>
    </w:r>
    <w:r w:rsidR="00630C01">
      <w:rPr>
        <w:noProof/>
      </w:rPr>
      <w:t>1</w:t>
    </w:r>
    <w:r>
      <w:rPr>
        <w:noProof/>
      </w:rPr>
      <w:fldChar w:fldCharType="end"/>
    </w:r>
  </w:p>
  <w:p w:rsidR="00630C01" w:rsidRDefault="00630C0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47" w:type="pct"/>
      <w:tblBorders>
        <w:top w:val="single" w:sz="4" w:space="0" w:color="8064A2"/>
      </w:tblBorders>
      <w:tblLook w:val="04A0"/>
    </w:tblPr>
    <w:tblGrid>
      <w:gridCol w:w="7709"/>
      <w:gridCol w:w="2336"/>
    </w:tblGrid>
    <w:tr w:rsidR="00ED001D" w:rsidTr="00E0748D">
      <w:trPr>
        <w:trHeight w:val="274"/>
      </w:trPr>
      <w:tc>
        <w:tcPr>
          <w:tcW w:w="3837" w:type="pct"/>
          <w:vAlign w:val="center"/>
        </w:tcPr>
        <w:p w:rsidR="00ED001D" w:rsidRPr="00ED001D" w:rsidRDefault="00ED001D" w:rsidP="001E01F6">
          <w:pPr>
            <w:pStyle w:val="Pieddepage"/>
            <w:rPr>
              <w:rFonts w:ascii="Book Antiqua" w:hAnsi="Book Antiqua"/>
              <w:i/>
              <w:iCs/>
              <w:sz w:val="16"/>
              <w:szCs w:val="16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 w:rsidR="00FE7F7C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 w:rsidR="00FE7F7C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l’Industrie et la Construction</w:t>
          </w:r>
          <w:r w:rsidR="001E01F6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</w:t>
          </w:r>
        </w:p>
      </w:tc>
      <w:tc>
        <w:tcPr>
          <w:tcW w:w="1163" w:type="pct"/>
          <w:shd w:val="clear" w:color="auto" w:fill="auto"/>
          <w:vAlign w:val="center"/>
        </w:tcPr>
        <w:p w:rsidR="00ED001D" w:rsidRPr="009066FA" w:rsidRDefault="00FE7F7C" w:rsidP="00F85C9A">
          <w:pPr>
            <w:pStyle w:val="Pieddepage"/>
            <w:jc w:val="center"/>
            <w:rPr>
              <w:rFonts w:ascii="Arabic Typesetting" w:hAnsi="Arabic Typesetting" w:cs="Arabic Typesetting"/>
              <w:i/>
              <w:iCs/>
              <w:color w:val="FFFFFF"/>
              <w:sz w:val="16"/>
              <w:szCs w:val="16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HCP</w:t>
          </w:r>
          <w:r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t xml:space="preserve">, </w:t>
          </w:r>
          <w:r w:rsidR="0082647E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Décembre  </w:t>
          </w:r>
          <w:r w:rsidR="00C54B60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2019</w:t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      </w:t>
          </w:r>
          <w:r w:rsidR="008D71C0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begin"/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instrText>PAGE    \* MERGEFORMAT</w:instrText>
          </w:r>
          <w:r w:rsidR="008D71C0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separate"/>
          </w:r>
          <w:r w:rsidR="008A4C76">
            <w:rPr>
              <w:rFonts w:ascii="Arabic Typesetting" w:hAnsi="Arabic Typesetting" w:cs="Arabic Typesetting"/>
              <w:i/>
              <w:iCs/>
              <w:noProof/>
              <w:sz w:val="20"/>
              <w:szCs w:val="20"/>
            </w:rPr>
            <w:t>3</w:t>
          </w:r>
          <w:r w:rsidR="008D71C0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end"/>
          </w:r>
        </w:p>
      </w:tc>
    </w:tr>
  </w:tbl>
  <w:p w:rsidR="00630C01" w:rsidRPr="007E64AF" w:rsidRDefault="00630C01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01" w:rsidRDefault="008D71C0">
    <w:pPr>
      <w:pStyle w:val="Pieddepage"/>
      <w:jc w:val="center"/>
    </w:pPr>
    <w:r>
      <w:fldChar w:fldCharType="begin"/>
    </w:r>
    <w:r w:rsidR="002C3980">
      <w:instrText xml:space="preserve"> PAGE   \* MERGEFORMAT </w:instrText>
    </w:r>
    <w:r>
      <w:fldChar w:fldCharType="separate"/>
    </w:r>
    <w:r w:rsidR="00C54B60">
      <w:rPr>
        <w:noProof/>
      </w:rPr>
      <w:t>2</w:t>
    </w:r>
    <w:r>
      <w:rPr>
        <w:noProof/>
      </w:rPr>
      <w:fldChar w:fldCharType="end"/>
    </w:r>
  </w:p>
  <w:p w:rsidR="00630C01" w:rsidRDefault="00630C0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738" w:rsidRDefault="00301738">
      <w:r>
        <w:separator/>
      </w:r>
    </w:p>
  </w:footnote>
  <w:footnote w:type="continuationSeparator" w:id="1">
    <w:p w:rsidR="00301738" w:rsidRDefault="003017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64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D816DB"/>
    <w:multiLevelType w:val="hybridMultilevel"/>
    <w:tmpl w:val="178CD26E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F5C0D"/>
    <w:multiLevelType w:val="hybridMultilevel"/>
    <w:tmpl w:val="42682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3"/>
  </w:num>
  <w:num w:numId="4">
    <w:abstractNumId w:val="5"/>
  </w:num>
  <w:num w:numId="5">
    <w:abstractNumId w:val="24"/>
  </w:num>
  <w:num w:numId="6">
    <w:abstractNumId w:val="18"/>
  </w:num>
  <w:num w:numId="7">
    <w:abstractNumId w:val="7"/>
  </w:num>
  <w:num w:numId="8">
    <w:abstractNumId w:val="15"/>
  </w:num>
  <w:num w:numId="9">
    <w:abstractNumId w:val="26"/>
  </w:num>
  <w:num w:numId="10">
    <w:abstractNumId w:val="19"/>
  </w:num>
  <w:num w:numId="11">
    <w:abstractNumId w:val="6"/>
  </w:num>
  <w:num w:numId="12">
    <w:abstractNumId w:val="14"/>
  </w:num>
  <w:num w:numId="13">
    <w:abstractNumId w:val="22"/>
  </w:num>
  <w:num w:numId="14">
    <w:abstractNumId w:val="20"/>
  </w:num>
  <w:num w:numId="15">
    <w:abstractNumId w:val="10"/>
  </w:num>
  <w:num w:numId="16">
    <w:abstractNumId w:val="21"/>
  </w:num>
  <w:num w:numId="17">
    <w:abstractNumId w:val="12"/>
  </w:num>
  <w:num w:numId="18">
    <w:abstractNumId w:val="2"/>
  </w:num>
  <w:num w:numId="19">
    <w:abstractNumId w:val="16"/>
  </w:num>
  <w:num w:numId="20">
    <w:abstractNumId w:val="8"/>
  </w:num>
  <w:num w:numId="21">
    <w:abstractNumId w:val="11"/>
  </w:num>
  <w:num w:numId="22">
    <w:abstractNumId w:val="13"/>
  </w:num>
  <w:num w:numId="23">
    <w:abstractNumId w:val="3"/>
  </w:num>
  <w:num w:numId="24">
    <w:abstractNumId w:val="17"/>
  </w:num>
  <w:num w:numId="25">
    <w:abstractNumId w:val="25"/>
  </w:num>
  <w:num w:numId="26">
    <w:abstractNumId w:val="0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85CD7"/>
    <w:rsid w:val="00006216"/>
    <w:rsid w:val="00006861"/>
    <w:rsid w:val="00006DD3"/>
    <w:rsid w:val="0001021C"/>
    <w:rsid w:val="00011235"/>
    <w:rsid w:val="00011B92"/>
    <w:rsid w:val="00013E44"/>
    <w:rsid w:val="00014315"/>
    <w:rsid w:val="000172A2"/>
    <w:rsid w:val="00021C30"/>
    <w:rsid w:val="00022D8B"/>
    <w:rsid w:val="0002646D"/>
    <w:rsid w:val="000275EF"/>
    <w:rsid w:val="00031605"/>
    <w:rsid w:val="00032185"/>
    <w:rsid w:val="0003329C"/>
    <w:rsid w:val="00037040"/>
    <w:rsid w:val="0003724A"/>
    <w:rsid w:val="00043D21"/>
    <w:rsid w:val="000511BB"/>
    <w:rsid w:val="00052AF7"/>
    <w:rsid w:val="00053F91"/>
    <w:rsid w:val="00054E17"/>
    <w:rsid w:val="000554EE"/>
    <w:rsid w:val="00057C47"/>
    <w:rsid w:val="000625B3"/>
    <w:rsid w:val="00063C63"/>
    <w:rsid w:val="00065415"/>
    <w:rsid w:val="00066703"/>
    <w:rsid w:val="00074098"/>
    <w:rsid w:val="0007522F"/>
    <w:rsid w:val="0007624B"/>
    <w:rsid w:val="00084B71"/>
    <w:rsid w:val="00086874"/>
    <w:rsid w:val="00091CDB"/>
    <w:rsid w:val="0009283F"/>
    <w:rsid w:val="00094E47"/>
    <w:rsid w:val="00095BA9"/>
    <w:rsid w:val="000A2AE4"/>
    <w:rsid w:val="000A3264"/>
    <w:rsid w:val="000A3937"/>
    <w:rsid w:val="000A3E97"/>
    <w:rsid w:val="000A6D2B"/>
    <w:rsid w:val="000B1D9D"/>
    <w:rsid w:val="000B2A3E"/>
    <w:rsid w:val="000B2AA5"/>
    <w:rsid w:val="000B3925"/>
    <w:rsid w:val="000B3C27"/>
    <w:rsid w:val="000B3E29"/>
    <w:rsid w:val="000B4C25"/>
    <w:rsid w:val="000B5B84"/>
    <w:rsid w:val="000B6C46"/>
    <w:rsid w:val="000C3A0E"/>
    <w:rsid w:val="000C70E7"/>
    <w:rsid w:val="000D3D77"/>
    <w:rsid w:val="000D4A9A"/>
    <w:rsid w:val="000D6DC6"/>
    <w:rsid w:val="000D7810"/>
    <w:rsid w:val="000E04FA"/>
    <w:rsid w:val="000E1335"/>
    <w:rsid w:val="000E20A9"/>
    <w:rsid w:val="000E52CC"/>
    <w:rsid w:val="000E5893"/>
    <w:rsid w:val="000E5C72"/>
    <w:rsid w:val="000E6DAE"/>
    <w:rsid w:val="000E76B0"/>
    <w:rsid w:val="000F0BF1"/>
    <w:rsid w:val="000F0E94"/>
    <w:rsid w:val="000F6813"/>
    <w:rsid w:val="000F71D1"/>
    <w:rsid w:val="001006AA"/>
    <w:rsid w:val="00100AF5"/>
    <w:rsid w:val="00100DF0"/>
    <w:rsid w:val="00101576"/>
    <w:rsid w:val="0010285F"/>
    <w:rsid w:val="001062FA"/>
    <w:rsid w:val="00106C12"/>
    <w:rsid w:val="00112318"/>
    <w:rsid w:val="001211F1"/>
    <w:rsid w:val="001227DD"/>
    <w:rsid w:val="00123B0E"/>
    <w:rsid w:val="001245E1"/>
    <w:rsid w:val="00127090"/>
    <w:rsid w:val="00130063"/>
    <w:rsid w:val="001308D6"/>
    <w:rsid w:val="0013128E"/>
    <w:rsid w:val="00131807"/>
    <w:rsid w:val="00131EDC"/>
    <w:rsid w:val="00133AA7"/>
    <w:rsid w:val="00135176"/>
    <w:rsid w:val="00136EC8"/>
    <w:rsid w:val="00137652"/>
    <w:rsid w:val="00140D68"/>
    <w:rsid w:val="0014114C"/>
    <w:rsid w:val="001418AD"/>
    <w:rsid w:val="00144168"/>
    <w:rsid w:val="0014690D"/>
    <w:rsid w:val="00151644"/>
    <w:rsid w:val="0015197C"/>
    <w:rsid w:val="0015631E"/>
    <w:rsid w:val="001575EB"/>
    <w:rsid w:val="00157A43"/>
    <w:rsid w:val="00160B9E"/>
    <w:rsid w:val="001631EF"/>
    <w:rsid w:val="0016330A"/>
    <w:rsid w:val="00164075"/>
    <w:rsid w:val="00167B4D"/>
    <w:rsid w:val="0017017D"/>
    <w:rsid w:val="001702AB"/>
    <w:rsid w:val="001724B1"/>
    <w:rsid w:val="0017323F"/>
    <w:rsid w:val="00175260"/>
    <w:rsid w:val="00176022"/>
    <w:rsid w:val="001814FA"/>
    <w:rsid w:val="00186F4B"/>
    <w:rsid w:val="001873F0"/>
    <w:rsid w:val="00193033"/>
    <w:rsid w:val="00193417"/>
    <w:rsid w:val="00193951"/>
    <w:rsid w:val="00193979"/>
    <w:rsid w:val="00196035"/>
    <w:rsid w:val="001A024E"/>
    <w:rsid w:val="001A0E03"/>
    <w:rsid w:val="001A1553"/>
    <w:rsid w:val="001A2AA6"/>
    <w:rsid w:val="001A4221"/>
    <w:rsid w:val="001A7AEB"/>
    <w:rsid w:val="001B0372"/>
    <w:rsid w:val="001B3EBA"/>
    <w:rsid w:val="001B5764"/>
    <w:rsid w:val="001B65A8"/>
    <w:rsid w:val="001B696C"/>
    <w:rsid w:val="001C3614"/>
    <w:rsid w:val="001C3920"/>
    <w:rsid w:val="001C5DF2"/>
    <w:rsid w:val="001D00D9"/>
    <w:rsid w:val="001D119E"/>
    <w:rsid w:val="001D124F"/>
    <w:rsid w:val="001D4566"/>
    <w:rsid w:val="001D6519"/>
    <w:rsid w:val="001D69A9"/>
    <w:rsid w:val="001D6CCE"/>
    <w:rsid w:val="001D6D12"/>
    <w:rsid w:val="001D6F2D"/>
    <w:rsid w:val="001E01F6"/>
    <w:rsid w:val="001E0DAC"/>
    <w:rsid w:val="001E3163"/>
    <w:rsid w:val="001E5F22"/>
    <w:rsid w:val="001E7208"/>
    <w:rsid w:val="001F0CEF"/>
    <w:rsid w:val="001F1643"/>
    <w:rsid w:val="001F19C6"/>
    <w:rsid w:val="001F2033"/>
    <w:rsid w:val="001F28C7"/>
    <w:rsid w:val="001F3599"/>
    <w:rsid w:val="001F6BEB"/>
    <w:rsid w:val="001F73EE"/>
    <w:rsid w:val="00203FD6"/>
    <w:rsid w:val="00204441"/>
    <w:rsid w:val="002050CB"/>
    <w:rsid w:val="0020594A"/>
    <w:rsid w:val="00206659"/>
    <w:rsid w:val="00207E17"/>
    <w:rsid w:val="00207F60"/>
    <w:rsid w:val="00210EFA"/>
    <w:rsid w:val="00212414"/>
    <w:rsid w:val="00212505"/>
    <w:rsid w:val="00214B7D"/>
    <w:rsid w:val="00215236"/>
    <w:rsid w:val="00215A43"/>
    <w:rsid w:val="002164FB"/>
    <w:rsid w:val="00221125"/>
    <w:rsid w:val="0022299E"/>
    <w:rsid w:val="00227B94"/>
    <w:rsid w:val="00233459"/>
    <w:rsid w:val="00236B5B"/>
    <w:rsid w:val="00245006"/>
    <w:rsid w:val="00245FD1"/>
    <w:rsid w:val="0025451A"/>
    <w:rsid w:val="002559DF"/>
    <w:rsid w:val="00255C34"/>
    <w:rsid w:val="00256291"/>
    <w:rsid w:val="00257C74"/>
    <w:rsid w:val="00260217"/>
    <w:rsid w:val="00265A87"/>
    <w:rsid w:val="002668FE"/>
    <w:rsid w:val="00267FF9"/>
    <w:rsid w:val="0027045B"/>
    <w:rsid w:val="00273257"/>
    <w:rsid w:val="002760BD"/>
    <w:rsid w:val="002770BB"/>
    <w:rsid w:val="00277D23"/>
    <w:rsid w:val="00277F74"/>
    <w:rsid w:val="00281414"/>
    <w:rsid w:val="002824C8"/>
    <w:rsid w:val="002833BE"/>
    <w:rsid w:val="00283E97"/>
    <w:rsid w:val="00284321"/>
    <w:rsid w:val="0028439F"/>
    <w:rsid w:val="00286F23"/>
    <w:rsid w:val="0029006D"/>
    <w:rsid w:val="00290BF8"/>
    <w:rsid w:val="00292557"/>
    <w:rsid w:val="002930D8"/>
    <w:rsid w:val="00295A6C"/>
    <w:rsid w:val="002967A2"/>
    <w:rsid w:val="002A0E1D"/>
    <w:rsid w:val="002A1960"/>
    <w:rsid w:val="002A416A"/>
    <w:rsid w:val="002A4F23"/>
    <w:rsid w:val="002A6C6C"/>
    <w:rsid w:val="002A7221"/>
    <w:rsid w:val="002B0525"/>
    <w:rsid w:val="002B1448"/>
    <w:rsid w:val="002B204B"/>
    <w:rsid w:val="002B2CAA"/>
    <w:rsid w:val="002B5BF0"/>
    <w:rsid w:val="002C3980"/>
    <w:rsid w:val="002C5068"/>
    <w:rsid w:val="002C77E0"/>
    <w:rsid w:val="002D38C3"/>
    <w:rsid w:val="002D3BD2"/>
    <w:rsid w:val="002D498A"/>
    <w:rsid w:val="002D4B98"/>
    <w:rsid w:val="002D537A"/>
    <w:rsid w:val="002D769F"/>
    <w:rsid w:val="002E1737"/>
    <w:rsid w:val="002E3F18"/>
    <w:rsid w:val="002E446D"/>
    <w:rsid w:val="002E4616"/>
    <w:rsid w:val="002E5459"/>
    <w:rsid w:val="002E707E"/>
    <w:rsid w:val="002E750F"/>
    <w:rsid w:val="002F37B3"/>
    <w:rsid w:val="002F3FB3"/>
    <w:rsid w:val="002F47BF"/>
    <w:rsid w:val="002F5C54"/>
    <w:rsid w:val="002F71A5"/>
    <w:rsid w:val="002F7B54"/>
    <w:rsid w:val="00301738"/>
    <w:rsid w:val="00301A88"/>
    <w:rsid w:val="00302676"/>
    <w:rsid w:val="003027A9"/>
    <w:rsid w:val="00302D0B"/>
    <w:rsid w:val="00302E80"/>
    <w:rsid w:val="00303C33"/>
    <w:rsid w:val="003043F9"/>
    <w:rsid w:val="00304B6B"/>
    <w:rsid w:val="00304F3F"/>
    <w:rsid w:val="00305B12"/>
    <w:rsid w:val="0030605C"/>
    <w:rsid w:val="00306CBC"/>
    <w:rsid w:val="00307146"/>
    <w:rsid w:val="00310224"/>
    <w:rsid w:val="003121A0"/>
    <w:rsid w:val="00312B1B"/>
    <w:rsid w:val="00312DB8"/>
    <w:rsid w:val="00313123"/>
    <w:rsid w:val="00314023"/>
    <w:rsid w:val="00314191"/>
    <w:rsid w:val="00316313"/>
    <w:rsid w:val="00316FF5"/>
    <w:rsid w:val="00317A9E"/>
    <w:rsid w:val="00321166"/>
    <w:rsid w:val="00321EFF"/>
    <w:rsid w:val="003227D2"/>
    <w:rsid w:val="00330198"/>
    <w:rsid w:val="003329F7"/>
    <w:rsid w:val="0033375A"/>
    <w:rsid w:val="00333E26"/>
    <w:rsid w:val="00334763"/>
    <w:rsid w:val="0033541E"/>
    <w:rsid w:val="003359E4"/>
    <w:rsid w:val="00336BD4"/>
    <w:rsid w:val="0033721A"/>
    <w:rsid w:val="0034133F"/>
    <w:rsid w:val="00343C82"/>
    <w:rsid w:val="003456C6"/>
    <w:rsid w:val="0034613F"/>
    <w:rsid w:val="00346886"/>
    <w:rsid w:val="00351D4C"/>
    <w:rsid w:val="00355896"/>
    <w:rsid w:val="00356D34"/>
    <w:rsid w:val="00365978"/>
    <w:rsid w:val="0036616B"/>
    <w:rsid w:val="00373869"/>
    <w:rsid w:val="00373B71"/>
    <w:rsid w:val="00373C67"/>
    <w:rsid w:val="00374017"/>
    <w:rsid w:val="00377B93"/>
    <w:rsid w:val="00380087"/>
    <w:rsid w:val="00380E4F"/>
    <w:rsid w:val="0038248D"/>
    <w:rsid w:val="003832DA"/>
    <w:rsid w:val="00383327"/>
    <w:rsid w:val="00383CD5"/>
    <w:rsid w:val="0038590B"/>
    <w:rsid w:val="00391150"/>
    <w:rsid w:val="003930A1"/>
    <w:rsid w:val="0039671A"/>
    <w:rsid w:val="003A0669"/>
    <w:rsid w:val="003A2CE4"/>
    <w:rsid w:val="003A3083"/>
    <w:rsid w:val="003B0615"/>
    <w:rsid w:val="003B5F82"/>
    <w:rsid w:val="003B6532"/>
    <w:rsid w:val="003B7C9A"/>
    <w:rsid w:val="003C1397"/>
    <w:rsid w:val="003C153C"/>
    <w:rsid w:val="003C1B70"/>
    <w:rsid w:val="003C2ECA"/>
    <w:rsid w:val="003C3C15"/>
    <w:rsid w:val="003C6B2E"/>
    <w:rsid w:val="003C709A"/>
    <w:rsid w:val="003C75FD"/>
    <w:rsid w:val="003D0B92"/>
    <w:rsid w:val="003D2655"/>
    <w:rsid w:val="003D45DE"/>
    <w:rsid w:val="003D46A9"/>
    <w:rsid w:val="003D68CD"/>
    <w:rsid w:val="003D76E8"/>
    <w:rsid w:val="003E1FF7"/>
    <w:rsid w:val="003E208A"/>
    <w:rsid w:val="003E37F2"/>
    <w:rsid w:val="003E3C3E"/>
    <w:rsid w:val="003E443B"/>
    <w:rsid w:val="003E4FE1"/>
    <w:rsid w:val="003E7341"/>
    <w:rsid w:val="003E73AE"/>
    <w:rsid w:val="003F0254"/>
    <w:rsid w:val="003F1A8D"/>
    <w:rsid w:val="003F28EA"/>
    <w:rsid w:val="003F3032"/>
    <w:rsid w:val="003F3D1F"/>
    <w:rsid w:val="003F4F1F"/>
    <w:rsid w:val="003F68B1"/>
    <w:rsid w:val="003F7BFE"/>
    <w:rsid w:val="004008D5"/>
    <w:rsid w:val="00403C92"/>
    <w:rsid w:val="00404176"/>
    <w:rsid w:val="00405781"/>
    <w:rsid w:val="00407D80"/>
    <w:rsid w:val="0041444C"/>
    <w:rsid w:val="00416C7F"/>
    <w:rsid w:val="00421073"/>
    <w:rsid w:val="00421453"/>
    <w:rsid w:val="00421870"/>
    <w:rsid w:val="00421C0A"/>
    <w:rsid w:val="004247A5"/>
    <w:rsid w:val="004249F6"/>
    <w:rsid w:val="00431972"/>
    <w:rsid w:val="00431EBD"/>
    <w:rsid w:val="00434088"/>
    <w:rsid w:val="00435B96"/>
    <w:rsid w:val="0043686B"/>
    <w:rsid w:val="00436AE5"/>
    <w:rsid w:val="00441D95"/>
    <w:rsid w:val="0044331A"/>
    <w:rsid w:val="00443657"/>
    <w:rsid w:val="00446B5D"/>
    <w:rsid w:val="00446DB7"/>
    <w:rsid w:val="0044734F"/>
    <w:rsid w:val="00453F1C"/>
    <w:rsid w:val="00454991"/>
    <w:rsid w:val="00456E49"/>
    <w:rsid w:val="00462822"/>
    <w:rsid w:val="00462AEA"/>
    <w:rsid w:val="00463C8B"/>
    <w:rsid w:val="004659F5"/>
    <w:rsid w:val="00466415"/>
    <w:rsid w:val="00470F06"/>
    <w:rsid w:val="0047233F"/>
    <w:rsid w:val="004737B9"/>
    <w:rsid w:val="00474E89"/>
    <w:rsid w:val="00475AB7"/>
    <w:rsid w:val="0047730A"/>
    <w:rsid w:val="00480B1C"/>
    <w:rsid w:val="00483758"/>
    <w:rsid w:val="00483DEB"/>
    <w:rsid w:val="00484898"/>
    <w:rsid w:val="00484BC2"/>
    <w:rsid w:val="00484E17"/>
    <w:rsid w:val="00484E8D"/>
    <w:rsid w:val="00490415"/>
    <w:rsid w:val="00490DF8"/>
    <w:rsid w:val="004910D9"/>
    <w:rsid w:val="004915DF"/>
    <w:rsid w:val="00491F4E"/>
    <w:rsid w:val="00494844"/>
    <w:rsid w:val="0049594F"/>
    <w:rsid w:val="004A03AC"/>
    <w:rsid w:val="004A1B02"/>
    <w:rsid w:val="004A29EA"/>
    <w:rsid w:val="004A2AD5"/>
    <w:rsid w:val="004A5769"/>
    <w:rsid w:val="004A7EF1"/>
    <w:rsid w:val="004B00AE"/>
    <w:rsid w:val="004B19E7"/>
    <w:rsid w:val="004B2E96"/>
    <w:rsid w:val="004B411A"/>
    <w:rsid w:val="004C2905"/>
    <w:rsid w:val="004C2C45"/>
    <w:rsid w:val="004C584F"/>
    <w:rsid w:val="004C612B"/>
    <w:rsid w:val="004C7838"/>
    <w:rsid w:val="004D0686"/>
    <w:rsid w:val="004D4CBB"/>
    <w:rsid w:val="004D78CF"/>
    <w:rsid w:val="004E09E6"/>
    <w:rsid w:val="004E20CC"/>
    <w:rsid w:val="004E24AF"/>
    <w:rsid w:val="004E2B58"/>
    <w:rsid w:val="004E2DD7"/>
    <w:rsid w:val="004E3276"/>
    <w:rsid w:val="004E423B"/>
    <w:rsid w:val="004E59A5"/>
    <w:rsid w:val="004E5E98"/>
    <w:rsid w:val="004E682E"/>
    <w:rsid w:val="004E6C7D"/>
    <w:rsid w:val="004E6E15"/>
    <w:rsid w:val="004E7600"/>
    <w:rsid w:val="004E7ABF"/>
    <w:rsid w:val="004F3556"/>
    <w:rsid w:val="004F3796"/>
    <w:rsid w:val="004F609C"/>
    <w:rsid w:val="004F6C0C"/>
    <w:rsid w:val="00500ACF"/>
    <w:rsid w:val="00502528"/>
    <w:rsid w:val="00504E5F"/>
    <w:rsid w:val="00505AD5"/>
    <w:rsid w:val="00506785"/>
    <w:rsid w:val="005102C2"/>
    <w:rsid w:val="00511FBB"/>
    <w:rsid w:val="00513024"/>
    <w:rsid w:val="005142A8"/>
    <w:rsid w:val="00514549"/>
    <w:rsid w:val="00514D14"/>
    <w:rsid w:val="005205EA"/>
    <w:rsid w:val="00530796"/>
    <w:rsid w:val="00532B0F"/>
    <w:rsid w:val="005330D1"/>
    <w:rsid w:val="005337B6"/>
    <w:rsid w:val="00533D55"/>
    <w:rsid w:val="00535A84"/>
    <w:rsid w:val="00537897"/>
    <w:rsid w:val="00540284"/>
    <w:rsid w:val="00541980"/>
    <w:rsid w:val="00541C46"/>
    <w:rsid w:val="00544B74"/>
    <w:rsid w:val="00544B7F"/>
    <w:rsid w:val="0054513D"/>
    <w:rsid w:val="00545A04"/>
    <w:rsid w:val="005516EE"/>
    <w:rsid w:val="00551FCF"/>
    <w:rsid w:val="0055363B"/>
    <w:rsid w:val="00557213"/>
    <w:rsid w:val="005573F0"/>
    <w:rsid w:val="00563382"/>
    <w:rsid w:val="00566A26"/>
    <w:rsid w:val="00567A04"/>
    <w:rsid w:val="00572A4D"/>
    <w:rsid w:val="00572CBB"/>
    <w:rsid w:val="00572FD7"/>
    <w:rsid w:val="0057507E"/>
    <w:rsid w:val="00577644"/>
    <w:rsid w:val="00580B2B"/>
    <w:rsid w:val="00581492"/>
    <w:rsid w:val="00582E6D"/>
    <w:rsid w:val="00583A84"/>
    <w:rsid w:val="00584197"/>
    <w:rsid w:val="005850FD"/>
    <w:rsid w:val="00585CD7"/>
    <w:rsid w:val="00586E00"/>
    <w:rsid w:val="0059090F"/>
    <w:rsid w:val="00593F89"/>
    <w:rsid w:val="00594250"/>
    <w:rsid w:val="00594D60"/>
    <w:rsid w:val="00596EA4"/>
    <w:rsid w:val="005974B8"/>
    <w:rsid w:val="005A0189"/>
    <w:rsid w:val="005A020B"/>
    <w:rsid w:val="005A3690"/>
    <w:rsid w:val="005A3755"/>
    <w:rsid w:val="005A4826"/>
    <w:rsid w:val="005A553D"/>
    <w:rsid w:val="005A5B70"/>
    <w:rsid w:val="005A7039"/>
    <w:rsid w:val="005B18F9"/>
    <w:rsid w:val="005B1E03"/>
    <w:rsid w:val="005B3B22"/>
    <w:rsid w:val="005B48EA"/>
    <w:rsid w:val="005B5B99"/>
    <w:rsid w:val="005B789E"/>
    <w:rsid w:val="005C0641"/>
    <w:rsid w:val="005C0687"/>
    <w:rsid w:val="005C1D21"/>
    <w:rsid w:val="005C3AA3"/>
    <w:rsid w:val="005C3B99"/>
    <w:rsid w:val="005C490C"/>
    <w:rsid w:val="005D0DC1"/>
    <w:rsid w:val="005D4A17"/>
    <w:rsid w:val="005E2DD1"/>
    <w:rsid w:val="005E5C5A"/>
    <w:rsid w:val="005E5F58"/>
    <w:rsid w:val="005F1196"/>
    <w:rsid w:val="005F3076"/>
    <w:rsid w:val="00600463"/>
    <w:rsid w:val="00600F6D"/>
    <w:rsid w:val="00602C7C"/>
    <w:rsid w:val="00603794"/>
    <w:rsid w:val="00604007"/>
    <w:rsid w:val="006056E5"/>
    <w:rsid w:val="00605EA8"/>
    <w:rsid w:val="0061101F"/>
    <w:rsid w:val="00612B0E"/>
    <w:rsid w:val="00614FEA"/>
    <w:rsid w:val="006153E5"/>
    <w:rsid w:val="00616F7E"/>
    <w:rsid w:val="00616FBB"/>
    <w:rsid w:val="0061783C"/>
    <w:rsid w:val="006202E0"/>
    <w:rsid w:val="00620E68"/>
    <w:rsid w:val="00621BE8"/>
    <w:rsid w:val="00630C01"/>
    <w:rsid w:val="00630E13"/>
    <w:rsid w:val="00631531"/>
    <w:rsid w:val="00631F43"/>
    <w:rsid w:val="006328C2"/>
    <w:rsid w:val="006353E9"/>
    <w:rsid w:val="00636323"/>
    <w:rsid w:val="0063735A"/>
    <w:rsid w:val="006403D8"/>
    <w:rsid w:val="00640AA1"/>
    <w:rsid w:val="006420C4"/>
    <w:rsid w:val="006451A0"/>
    <w:rsid w:val="0064548E"/>
    <w:rsid w:val="00645763"/>
    <w:rsid w:val="00646311"/>
    <w:rsid w:val="00646B0D"/>
    <w:rsid w:val="0064744B"/>
    <w:rsid w:val="00647EFB"/>
    <w:rsid w:val="00652D75"/>
    <w:rsid w:val="00652E68"/>
    <w:rsid w:val="00653F59"/>
    <w:rsid w:val="006603D4"/>
    <w:rsid w:val="00665C54"/>
    <w:rsid w:val="00667ECC"/>
    <w:rsid w:val="006707C0"/>
    <w:rsid w:val="00672F66"/>
    <w:rsid w:val="00673A1A"/>
    <w:rsid w:val="00675DB3"/>
    <w:rsid w:val="00676B69"/>
    <w:rsid w:val="0068376B"/>
    <w:rsid w:val="00683CC4"/>
    <w:rsid w:val="00684DA3"/>
    <w:rsid w:val="006850D8"/>
    <w:rsid w:val="0068688D"/>
    <w:rsid w:val="00690102"/>
    <w:rsid w:val="00695538"/>
    <w:rsid w:val="00695704"/>
    <w:rsid w:val="00696F24"/>
    <w:rsid w:val="006A2D89"/>
    <w:rsid w:val="006B0611"/>
    <w:rsid w:val="006B089B"/>
    <w:rsid w:val="006B21F5"/>
    <w:rsid w:val="006B253F"/>
    <w:rsid w:val="006B3697"/>
    <w:rsid w:val="006B36B6"/>
    <w:rsid w:val="006B3900"/>
    <w:rsid w:val="006B67F3"/>
    <w:rsid w:val="006B771C"/>
    <w:rsid w:val="006B7B34"/>
    <w:rsid w:val="006C20F3"/>
    <w:rsid w:val="006C4536"/>
    <w:rsid w:val="006C4E25"/>
    <w:rsid w:val="006C5D56"/>
    <w:rsid w:val="006D08D3"/>
    <w:rsid w:val="006D09D7"/>
    <w:rsid w:val="006D1BFB"/>
    <w:rsid w:val="006D40B9"/>
    <w:rsid w:val="006D4D06"/>
    <w:rsid w:val="006D50AE"/>
    <w:rsid w:val="006D5263"/>
    <w:rsid w:val="006D74F3"/>
    <w:rsid w:val="006D7F7D"/>
    <w:rsid w:val="006E0499"/>
    <w:rsid w:val="006E1F9E"/>
    <w:rsid w:val="006E2332"/>
    <w:rsid w:val="006E277F"/>
    <w:rsid w:val="006E33DB"/>
    <w:rsid w:val="006E5679"/>
    <w:rsid w:val="006E6C4B"/>
    <w:rsid w:val="006F2399"/>
    <w:rsid w:val="006F499A"/>
    <w:rsid w:val="006F5789"/>
    <w:rsid w:val="00700208"/>
    <w:rsid w:val="00702012"/>
    <w:rsid w:val="00704699"/>
    <w:rsid w:val="00706C10"/>
    <w:rsid w:val="0070760B"/>
    <w:rsid w:val="00711A4F"/>
    <w:rsid w:val="00711D32"/>
    <w:rsid w:val="00720AA5"/>
    <w:rsid w:val="00720E44"/>
    <w:rsid w:val="00722358"/>
    <w:rsid w:val="00722F27"/>
    <w:rsid w:val="00723F62"/>
    <w:rsid w:val="007265A7"/>
    <w:rsid w:val="00726F08"/>
    <w:rsid w:val="007320F2"/>
    <w:rsid w:val="00733C13"/>
    <w:rsid w:val="00736187"/>
    <w:rsid w:val="00737135"/>
    <w:rsid w:val="00741001"/>
    <w:rsid w:val="007422A6"/>
    <w:rsid w:val="00742766"/>
    <w:rsid w:val="00744367"/>
    <w:rsid w:val="00746F79"/>
    <w:rsid w:val="00747BC9"/>
    <w:rsid w:val="007507E3"/>
    <w:rsid w:val="00752DE5"/>
    <w:rsid w:val="00753113"/>
    <w:rsid w:val="007531A1"/>
    <w:rsid w:val="0075402B"/>
    <w:rsid w:val="00755A12"/>
    <w:rsid w:val="007563F9"/>
    <w:rsid w:val="0075705E"/>
    <w:rsid w:val="00757AF5"/>
    <w:rsid w:val="00757E5D"/>
    <w:rsid w:val="00760864"/>
    <w:rsid w:val="00760A52"/>
    <w:rsid w:val="007611CA"/>
    <w:rsid w:val="00762C39"/>
    <w:rsid w:val="0076370A"/>
    <w:rsid w:val="007641C8"/>
    <w:rsid w:val="00765EB8"/>
    <w:rsid w:val="00766520"/>
    <w:rsid w:val="00772EAC"/>
    <w:rsid w:val="00777D93"/>
    <w:rsid w:val="007810B5"/>
    <w:rsid w:val="0078191E"/>
    <w:rsid w:val="007850F2"/>
    <w:rsid w:val="007862ED"/>
    <w:rsid w:val="00787D8A"/>
    <w:rsid w:val="00790B01"/>
    <w:rsid w:val="00791A9E"/>
    <w:rsid w:val="007923E3"/>
    <w:rsid w:val="00792FF0"/>
    <w:rsid w:val="007939F2"/>
    <w:rsid w:val="00793CC6"/>
    <w:rsid w:val="00794A74"/>
    <w:rsid w:val="00796263"/>
    <w:rsid w:val="007A4818"/>
    <w:rsid w:val="007A4D09"/>
    <w:rsid w:val="007B20D3"/>
    <w:rsid w:val="007B3B1A"/>
    <w:rsid w:val="007B3F80"/>
    <w:rsid w:val="007B3FA3"/>
    <w:rsid w:val="007B40DF"/>
    <w:rsid w:val="007C305A"/>
    <w:rsid w:val="007D02BB"/>
    <w:rsid w:val="007D09FF"/>
    <w:rsid w:val="007D1DBC"/>
    <w:rsid w:val="007D2263"/>
    <w:rsid w:val="007D442B"/>
    <w:rsid w:val="007D5DFC"/>
    <w:rsid w:val="007D6617"/>
    <w:rsid w:val="007E1420"/>
    <w:rsid w:val="007E1533"/>
    <w:rsid w:val="007E17F1"/>
    <w:rsid w:val="007E3A86"/>
    <w:rsid w:val="007E3BF2"/>
    <w:rsid w:val="007E4C00"/>
    <w:rsid w:val="007E5662"/>
    <w:rsid w:val="007E5AD3"/>
    <w:rsid w:val="007E64AF"/>
    <w:rsid w:val="007E71EE"/>
    <w:rsid w:val="007F0825"/>
    <w:rsid w:val="007F36E2"/>
    <w:rsid w:val="007F4784"/>
    <w:rsid w:val="007F486C"/>
    <w:rsid w:val="007F4BA9"/>
    <w:rsid w:val="007F581F"/>
    <w:rsid w:val="007F5B2F"/>
    <w:rsid w:val="00801153"/>
    <w:rsid w:val="00801F97"/>
    <w:rsid w:val="00803FCD"/>
    <w:rsid w:val="00804FEE"/>
    <w:rsid w:val="00805103"/>
    <w:rsid w:val="008070DD"/>
    <w:rsid w:val="00810D7F"/>
    <w:rsid w:val="008122D0"/>
    <w:rsid w:val="008150BF"/>
    <w:rsid w:val="00815FC3"/>
    <w:rsid w:val="00821207"/>
    <w:rsid w:val="0082137A"/>
    <w:rsid w:val="00825871"/>
    <w:rsid w:val="0082647E"/>
    <w:rsid w:val="008271D4"/>
    <w:rsid w:val="0083035E"/>
    <w:rsid w:val="00830647"/>
    <w:rsid w:val="008341D3"/>
    <w:rsid w:val="00836F95"/>
    <w:rsid w:val="008429EA"/>
    <w:rsid w:val="008437BA"/>
    <w:rsid w:val="00845DD1"/>
    <w:rsid w:val="008468F4"/>
    <w:rsid w:val="00850ED6"/>
    <w:rsid w:val="008516D2"/>
    <w:rsid w:val="00851A2C"/>
    <w:rsid w:val="00857BEE"/>
    <w:rsid w:val="00860618"/>
    <w:rsid w:val="0086065E"/>
    <w:rsid w:val="008611A0"/>
    <w:rsid w:val="0086177A"/>
    <w:rsid w:val="008637F4"/>
    <w:rsid w:val="00863E4A"/>
    <w:rsid w:val="00866410"/>
    <w:rsid w:val="00871F9A"/>
    <w:rsid w:val="008741C5"/>
    <w:rsid w:val="008758DE"/>
    <w:rsid w:val="00876787"/>
    <w:rsid w:val="00881864"/>
    <w:rsid w:val="00881AFE"/>
    <w:rsid w:val="00882C89"/>
    <w:rsid w:val="0088499C"/>
    <w:rsid w:val="00886BF3"/>
    <w:rsid w:val="00890BE8"/>
    <w:rsid w:val="00893F31"/>
    <w:rsid w:val="00894A15"/>
    <w:rsid w:val="00895AA3"/>
    <w:rsid w:val="008A38D4"/>
    <w:rsid w:val="008A4C76"/>
    <w:rsid w:val="008A5D7C"/>
    <w:rsid w:val="008A691E"/>
    <w:rsid w:val="008A6E37"/>
    <w:rsid w:val="008A7441"/>
    <w:rsid w:val="008A7F8C"/>
    <w:rsid w:val="008B0453"/>
    <w:rsid w:val="008B1E64"/>
    <w:rsid w:val="008B20D3"/>
    <w:rsid w:val="008B2CBB"/>
    <w:rsid w:val="008B34A0"/>
    <w:rsid w:val="008B476B"/>
    <w:rsid w:val="008B4895"/>
    <w:rsid w:val="008B7C79"/>
    <w:rsid w:val="008C0608"/>
    <w:rsid w:val="008C1E77"/>
    <w:rsid w:val="008C2F2B"/>
    <w:rsid w:val="008C3DA1"/>
    <w:rsid w:val="008C45DA"/>
    <w:rsid w:val="008C6873"/>
    <w:rsid w:val="008C703E"/>
    <w:rsid w:val="008D0BB5"/>
    <w:rsid w:val="008D3C98"/>
    <w:rsid w:val="008D4D3E"/>
    <w:rsid w:val="008D575F"/>
    <w:rsid w:val="008D71C0"/>
    <w:rsid w:val="008D767F"/>
    <w:rsid w:val="008E04B8"/>
    <w:rsid w:val="008E0B9D"/>
    <w:rsid w:val="008F0378"/>
    <w:rsid w:val="008F3532"/>
    <w:rsid w:val="008F38FA"/>
    <w:rsid w:val="0090136C"/>
    <w:rsid w:val="00902289"/>
    <w:rsid w:val="00902341"/>
    <w:rsid w:val="009031FE"/>
    <w:rsid w:val="0090381D"/>
    <w:rsid w:val="009049AB"/>
    <w:rsid w:val="00905342"/>
    <w:rsid w:val="009066FA"/>
    <w:rsid w:val="00906EB8"/>
    <w:rsid w:val="00906FB5"/>
    <w:rsid w:val="009101C8"/>
    <w:rsid w:val="009102EE"/>
    <w:rsid w:val="009174FB"/>
    <w:rsid w:val="00917A18"/>
    <w:rsid w:val="00921E8C"/>
    <w:rsid w:val="00923715"/>
    <w:rsid w:val="0092724E"/>
    <w:rsid w:val="00927721"/>
    <w:rsid w:val="00931126"/>
    <w:rsid w:val="009361E0"/>
    <w:rsid w:val="009377FB"/>
    <w:rsid w:val="00940D49"/>
    <w:rsid w:val="009418DE"/>
    <w:rsid w:val="00942405"/>
    <w:rsid w:val="00942A7D"/>
    <w:rsid w:val="009437F8"/>
    <w:rsid w:val="0094389A"/>
    <w:rsid w:val="00946792"/>
    <w:rsid w:val="009475AB"/>
    <w:rsid w:val="00947FC6"/>
    <w:rsid w:val="009508E7"/>
    <w:rsid w:val="00951557"/>
    <w:rsid w:val="00951B1D"/>
    <w:rsid w:val="00952BCB"/>
    <w:rsid w:val="00954425"/>
    <w:rsid w:val="0095472E"/>
    <w:rsid w:val="0095483F"/>
    <w:rsid w:val="00957A56"/>
    <w:rsid w:val="00957B30"/>
    <w:rsid w:val="00957DD8"/>
    <w:rsid w:val="00961F36"/>
    <w:rsid w:val="0096568D"/>
    <w:rsid w:val="00966AB2"/>
    <w:rsid w:val="00971D5C"/>
    <w:rsid w:val="0097465C"/>
    <w:rsid w:val="009801E4"/>
    <w:rsid w:val="00982ADB"/>
    <w:rsid w:val="009831C0"/>
    <w:rsid w:val="00983318"/>
    <w:rsid w:val="00983ECD"/>
    <w:rsid w:val="00984FAB"/>
    <w:rsid w:val="00985659"/>
    <w:rsid w:val="00986F74"/>
    <w:rsid w:val="009913F7"/>
    <w:rsid w:val="00991D68"/>
    <w:rsid w:val="009929AA"/>
    <w:rsid w:val="00993C49"/>
    <w:rsid w:val="009956CF"/>
    <w:rsid w:val="00995B8D"/>
    <w:rsid w:val="009975E3"/>
    <w:rsid w:val="009979AC"/>
    <w:rsid w:val="009A3DCF"/>
    <w:rsid w:val="009A3EBE"/>
    <w:rsid w:val="009A431C"/>
    <w:rsid w:val="009A61BF"/>
    <w:rsid w:val="009A69BF"/>
    <w:rsid w:val="009A7A01"/>
    <w:rsid w:val="009A7C3B"/>
    <w:rsid w:val="009B00B8"/>
    <w:rsid w:val="009B2B2B"/>
    <w:rsid w:val="009B74A7"/>
    <w:rsid w:val="009B799B"/>
    <w:rsid w:val="009C02DC"/>
    <w:rsid w:val="009C2B83"/>
    <w:rsid w:val="009C2D0B"/>
    <w:rsid w:val="009C4073"/>
    <w:rsid w:val="009C52D4"/>
    <w:rsid w:val="009C68C2"/>
    <w:rsid w:val="009C7AAE"/>
    <w:rsid w:val="009D02F2"/>
    <w:rsid w:val="009D5321"/>
    <w:rsid w:val="009D5A39"/>
    <w:rsid w:val="009D5F2E"/>
    <w:rsid w:val="009D7D48"/>
    <w:rsid w:val="009E1CC2"/>
    <w:rsid w:val="009E2807"/>
    <w:rsid w:val="009E4E74"/>
    <w:rsid w:val="009E5E31"/>
    <w:rsid w:val="009E782E"/>
    <w:rsid w:val="009F3B38"/>
    <w:rsid w:val="009F4C75"/>
    <w:rsid w:val="00A016BB"/>
    <w:rsid w:val="00A01ADA"/>
    <w:rsid w:val="00A01DE9"/>
    <w:rsid w:val="00A02ED5"/>
    <w:rsid w:val="00A03537"/>
    <w:rsid w:val="00A03B99"/>
    <w:rsid w:val="00A06792"/>
    <w:rsid w:val="00A075CB"/>
    <w:rsid w:val="00A07BCC"/>
    <w:rsid w:val="00A12866"/>
    <w:rsid w:val="00A1303E"/>
    <w:rsid w:val="00A13AFA"/>
    <w:rsid w:val="00A13CF0"/>
    <w:rsid w:val="00A1430C"/>
    <w:rsid w:val="00A153E5"/>
    <w:rsid w:val="00A15560"/>
    <w:rsid w:val="00A15598"/>
    <w:rsid w:val="00A1572C"/>
    <w:rsid w:val="00A158A2"/>
    <w:rsid w:val="00A15EDE"/>
    <w:rsid w:val="00A16299"/>
    <w:rsid w:val="00A1694E"/>
    <w:rsid w:val="00A16FB1"/>
    <w:rsid w:val="00A211EB"/>
    <w:rsid w:val="00A2168A"/>
    <w:rsid w:val="00A22F7A"/>
    <w:rsid w:val="00A23965"/>
    <w:rsid w:val="00A2404F"/>
    <w:rsid w:val="00A2455C"/>
    <w:rsid w:val="00A24A06"/>
    <w:rsid w:val="00A2564B"/>
    <w:rsid w:val="00A279E4"/>
    <w:rsid w:val="00A354B7"/>
    <w:rsid w:val="00A355B1"/>
    <w:rsid w:val="00A36B5E"/>
    <w:rsid w:val="00A42EA3"/>
    <w:rsid w:val="00A43B9B"/>
    <w:rsid w:val="00A46DAE"/>
    <w:rsid w:val="00A529E0"/>
    <w:rsid w:val="00A5393D"/>
    <w:rsid w:val="00A553B7"/>
    <w:rsid w:val="00A566B0"/>
    <w:rsid w:val="00A611F6"/>
    <w:rsid w:val="00A61367"/>
    <w:rsid w:val="00A614FE"/>
    <w:rsid w:val="00A62E51"/>
    <w:rsid w:val="00A62F75"/>
    <w:rsid w:val="00A633F9"/>
    <w:rsid w:val="00A66323"/>
    <w:rsid w:val="00A666E5"/>
    <w:rsid w:val="00A66AB7"/>
    <w:rsid w:val="00A66E43"/>
    <w:rsid w:val="00A6798E"/>
    <w:rsid w:val="00A7081D"/>
    <w:rsid w:val="00A71DB5"/>
    <w:rsid w:val="00A721D7"/>
    <w:rsid w:val="00A7438D"/>
    <w:rsid w:val="00A7448B"/>
    <w:rsid w:val="00A75427"/>
    <w:rsid w:val="00A75B05"/>
    <w:rsid w:val="00A762CE"/>
    <w:rsid w:val="00A779E2"/>
    <w:rsid w:val="00A77B5D"/>
    <w:rsid w:val="00A80BD9"/>
    <w:rsid w:val="00A814E6"/>
    <w:rsid w:val="00A834E9"/>
    <w:rsid w:val="00A85D85"/>
    <w:rsid w:val="00A87F64"/>
    <w:rsid w:val="00A9042C"/>
    <w:rsid w:val="00A9195F"/>
    <w:rsid w:val="00A92176"/>
    <w:rsid w:val="00A92EB8"/>
    <w:rsid w:val="00A94D3C"/>
    <w:rsid w:val="00A95465"/>
    <w:rsid w:val="00A96487"/>
    <w:rsid w:val="00AA53CC"/>
    <w:rsid w:val="00AA65D3"/>
    <w:rsid w:val="00AB0858"/>
    <w:rsid w:val="00AB24B6"/>
    <w:rsid w:val="00AB5150"/>
    <w:rsid w:val="00AB522F"/>
    <w:rsid w:val="00AB5455"/>
    <w:rsid w:val="00AB635B"/>
    <w:rsid w:val="00AC0699"/>
    <w:rsid w:val="00AC26A5"/>
    <w:rsid w:val="00AC2CD1"/>
    <w:rsid w:val="00AC2CF2"/>
    <w:rsid w:val="00AC3EF4"/>
    <w:rsid w:val="00AC7561"/>
    <w:rsid w:val="00AC7EEE"/>
    <w:rsid w:val="00AD0DEB"/>
    <w:rsid w:val="00AD4CA8"/>
    <w:rsid w:val="00AD53FD"/>
    <w:rsid w:val="00AD5525"/>
    <w:rsid w:val="00AD56E7"/>
    <w:rsid w:val="00AD5AAE"/>
    <w:rsid w:val="00AE4467"/>
    <w:rsid w:val="00AF04E7"/>
    <w:rsid w:val="00AF11D6"/>
    <w:rsid w:val="00AF1249"/>
    <w:rsid w:val="00AF1522"/>
    <w:rsid w:val="00AF3140"/>
    <w:rsid w:val="00AF5CFA"/>
    <w:rsid w:val="00AF6102"/>
    <w:rsid w:val="00B01B89"/>
    <w:rsid w:val="00B0327E"/>
    <w:rsid w:val="00B03354"/>
    <w:rsid w:val="00B0407B"/>
    <w:rsid w:val="00B042BB"/>
    <w:rsid w:val="00B05478"/>
    <w:rsid w:val="00B05F06"/>
    <w:rsid w:val="00B065DA"/>
    <w:rsid w:val="00B10250"/>
    <w:rsid w:val="00B2004F"/>
    <w:rsid w:val="00B2294E"/>
    <w:rsid w:val="00B24F9D"/>
    <w:rsid w:val="00B26FFC"/>
    <w:rsid w:val="00B325B7"/>
    <w:rsid w:val="00B345AB"/>
    <w:rsid w:val="00B35B39"/>
    <w:rsid w:val="00B365B9"/>
    <w:rsid w:val="00B36ADE"/>
    <w:rsid w:val="00B36EC4"/>
    <w:rsid w:val="00B376D9"/>
    <w:rsid w:val="00B42267"/>
    <w:rsid w:val="00B43C5F"/>
    <w:rsid w:val="00B44B88"/>
    <w:rsid w:val="00B4533E"/>
    <w:rsid w:val="00B46D1D"/>
    <w:rsid w:val="00B5029B"/>
    <w:rsid w:val="00B51A49"/>
    <w:rsid w:val="00B55AAA"/>
    <w:rsid w:val="00B55D01"/>
    <w:rsid w:val="00B5687F"/>
    <w:rsid w:val="00B601E4"/>
    <w:rsid w:val="00B607B2"/>
    <w:rsid w:val="00B60ED6"/>
    <w:rsid w:val="00B614B5"/>
    <w:rsid w:val="00B63D70"/>
    <w:rsid w:val="00B6520F"/>
    <w:rsid w:val="00B66FC0"/>
    <w:rsid w:val="00B678C0"/>
    <w:rsid w:val="00B70238"/>
    <w:rsid w:val="00B73C0A"/>
    <w:rsid w:val="00B7412A"/>
    <w:rsid w:val="00B75656"/>
    <w:rsid w:val="00B75A67"/>
    <w:rsid w:val="00B77653"/>
    <w:rsid w:val="00B803F7"/>
    <w:rsid w:val="00B81D2D"/>
    <w:rsid w:val="00B83220"/>
    <w:rsid w:val="00B841D5"/>
    <w:rsid w:val="00B857E2"/>
    <w:rsid w:val="00B86C55"/>
    <w:rsid w:val="00B90228"/>
    <w:rsid w:val="00B9066A"/>
    <w:rsid w:val="00B94223"/>
    <w:rsid w:val="00B96FC9"/>
    <w:rsid w:val="00B974D5"/>
    <w:rsid w:val="00BA23C1"/>
    <w:rsid w:val="00BA6FC0"/>
    <w:rsid w:val="00BA7483"/>
    <w:rsid w:val="00BB038E"/>
    <w:rsid w:val="00BB0A03"/>
    <w:rsid w:val="00BB2266"/>
    <w:rsid w:val="00BB2982"/>
    <w:rsid w:val="00BB322B"/>
    <w:rsid w:val="00BB616E"/>
    <w:rsid w:val="00BB7AA2"/>
    <w:rsid w:val="00BB7F9C"/>
    <w:rsid w:val="00BC2E39"/>
    <w:rsid w:val="00BC44B5"/>
    <w:rsid w:val="00BC46F9"/>
    <w:rsid w:val="00BC7766"/>
    <w:rsid w:val="00BD0CF1"/>
    <w:rsid w:val="00BD1543"/>
    <w:rsid w:val="00BD29DA"/>
    <w:rsid w:val="00BD2B3A"/>
    <w:rsid w:val="00BD308D"/>
    <w:rsid w:val="00BD3A65"/>
    <w:rsid w:val="00BD5EDD"/>
    <w:rsid w:val="00BD79D6"/>
    <w:rsid w:val="00BE05A9"/>
    <w:rsid w:val="00BE0748"/>
    <w:rsid w:val="00BE23F2"/>
    <w:rsid w:val="00BE79F4"/>
    <w:rsid w:val="00BF0F00"/>
    <w:rsid w:val="00BF7E3F"/>
    <w:rsid w:val="00C0766A"/>
    <w:rsid w:val="00C10E72"/>
    <w:rsid w:val="00C14DCE"/>
    <w:rsid w:val="00C17688"/>
    <w:rsid w:val="00C23B5E"/>
    <w:rsid w:val="00C26145"/>
    <w:rsid w:val="00C32730"/>
    <w:rsid w:val="00C33D7F"/>
    <w:rsid w:val="00C36659"/>
    <w:rsid w:val="00C3738C"/>
    <w:rsid w:val="00C417E1"/>
    <w:rsid w:val="00C42400"/>
    <w:rsid w:val="00C42507"/>
    <w:rsid w:val="00C466D1"/>
    <w:rsid w:val="00C5491F"/>
    <w:rsid w:val="00C54B60"/>
    <w:rsid w:val="00C55145"/>
    <w:rsid w:val="00C55FD3"/>
    <w:rsid w:val="00C56B6E"/>
    <w:rsid w:val="00C61F50"/>
    <w:rsid w:val="00C64B98"/>
    <w:rsid w:val="00C67995"/>
    <w:rsid w:val="00C72F19"/>
    <w:rsid w:val="00C73BA9"/>
    <w:rsid w:val="00C76671"/>
    <w:rsid w:val="00C77CE7"/>
    <w:rsid w:val="00C80D79"/>
    <w:rsid w:val="00C8184F"/>
    <w:rsid w:val="00C827BD"/>
    <w:rsid w:val="00C926FE"/>
    <w:rsid w:val="00C92F35"/>
    <w:rsid w:val="00C9525B"/>
    <w:rsid w:val="00C959F1"/>
    <w:rsid w:val="00C967BC"/>
    <w:rsid w:val="00C97020"/>
    <w:rsid w:val="00C97449"/>
    <w:rsid w:val="00CA2006"/>
    <w:rsid w:val="00CA2232"/>
    <w:rsid w:val="00CA33CB"/>
    <w:rsid w:val="00CA6E68"/>
    <w:rsid w:val="00CA7908"/>
    <w:rsid w:val="00CB06D7"/>
    <w:rsid w:val="00CB19A6"/>
    <w:rsid w:val="00CB2E28"/>
    <w:rsid w:val="00CB3A44"/>
    <w:rsid w:val="00CB4538"/>
    <w:rsid w:val="00CB45BE"/>
    <w:rsid w:val="00CB49D0"/>
    <w:rsid w:val="00CB5866"/>
    <w:rsid w:val="00CB6052"/>
    <w:rsid w:val="00CB6AE1"/>
    <w:rsid w:val="00CC2A9C"/>
    <w:rsid w:val="00CC336D"/>
    <w:rsid w:val="00CC383A"/>
    <w:rsid w:val="00CC43FB"/>
    <w:rsid w:val="00CC7443"/>
    <w:rsid w:val="00CD0299"/>
    <w:rsid w:val="00CD0800"/>
    <w:rsid w:val="00CD2F20"/>
    <w:rsid w:val="00CD6E99"/>
    <w:rsid w:val="00CE05B3"/>
    <w:rsid w:val="00CE16A5"/>
    <w:rsid w:val="00CE173B"/>
    <w:rsid w:val="00CE2229"/>
    <w:rsid w:val="00CE234D"/>
    <w:rsid w:val="00CE2C53"/>
    <w:rsid w:val="00CE370B"/>
    <w:rsid w:val="00CE3972"/>
    <w:rsid w:val="00CE3CEA"/>
    <w:rsid w:val="00CE5918"/>
    <w:rsid w:val="00CE6A15"/>
    <w:rsid w:val="00CE7B4D"/>
    <w:rsid w:val="00CF1B79"/>
    <w:rsid w:val="00CF2970"/>
    <w:rsid w:val="00CF3217"/>
    <w:rsid w:val="00CF5B6D"/>
    <w:rsid w:val="00CF5EA6"/>
    <w:rsid w:val="00CF6466"/>
    <w:rsid w:val="00CF6D85"/>
    <w:rsid w:val="00CF6F9D"/>
    <w:rsid w:val="00CF7036"/>
    <w:rsid w:val="00D00354"/>
    <w:rsid w:val="00D04431"/>
    <w:rsid w:val="00D04636"/>
    <w:rsid w:val="00D119CB"/>
    <w:rsid w:val="00D122C4"/>
    <w:rsid w:val="00D1240F"/>
    <w:rsid w:val="00D1256D"/>
    <w:rsid w:val="00D135EC"/>
    <w:rsid w:val="00D153EE"/>
    <w:rsid w:val="00D15412"/>
    <w:rsid w:val="00D16D19"/>
    <w:rsid w:val="00D16DE4"/>
    <w:rsid w:val="00D20384"/>
    <w:rsid w:val="00D20556"/>
    <w:rsid w:val="00D235C1"/>
    <w:rsid w:val="00D23C88"/>
    <w:rsid w:val="00D26980"/>
    <w:rsid w:val="00D30B74"/>
    <w:rsid w:val="00D310C6"/>
    <w:rsid w:val="00D3407E"/>
    <w:rsid w:val="00D34498"/>
    <w:rsid w:val="00D35044"/>
    <w:rsid w:val="00D407AA"/>
    <w:rsid w:val="00D4113B"/>
    <w:rsid w:val="00D4168B"/>
    <w:rsid w:val="00D42230"/>
    <w:rsid w:val="00D4334A"/>
    <w:rsid w:val="00D44F7A"/>
    <w:rsid w:val="00D53B2F"/>
    <w:rsid w:val="00D54458"/>
    <w:rsid w:val="00D6022B"/>
    <w:rsid w:val="00D621DB"/>
    <w:rsid w:val="00D6222E"/>
    <w:rsid w:val="00D626C6"/>
    <w:rsid w:val="00D63CB5"/>
    <w:rsid w:val="00D676A7"/>
    <w:rsid w:val="00D7292B"/>
    <w:rsid w:val="00D72D1C"/>
    <w:rsid w:val="00D74FF0"/>
    <w:rsid w:val="00D75067"/>
    <w:rsid w:val="00D80FF6"/>
    <w:rsid w:val="00D83517"/>
    <w:rsid w:val="00D83B35"/>
    <w:rsid w:val="00D83BA8"/>
    <w:rsid w:val="00D83BAA"/>
    <w:rsid w:val="00D85184"/>
    <w:rsid w:val="00D902A1"/>
    <w:rsid w:val="00D92659"/>
    <w:rsid w:val="00D94221"/>
    <w:rsid w:val="00DA02A1"/>
    <w:rsid w:val="00DA2114"/>
    <w:rsid w:val="00DA3F98"/>
    <w:rsid w:val="00DB0D6F"/>
    <w:rsid w:val="00DB1375"/>
    <w:rsid w:val="00DB210B"/>
    <w:rsid w:val="00DB2CCF"/>
    <w:rsid w:val="00DB4906"/>
    <w:rsid w:val="00DB4CFC"/>
    <w:rsid w:val="00DB5CB8"/>
    <w:rsid w:val="00DB722D"/>
    <w:rsid w:val="00DC0356"/>
    <w:rsid w:val="00DC0988"/>
    <w:rsid w:val="00DC1CCA"/>
    <w:rsid w:val="00DC6E42"/>
    <w:rsid w:val="00DD1D7B"/>
    <w:rsid w:val="00DD280D"/>
    <w:rsid w:val="00DD2F0B"/>
    <w:rsid w:val="00DD391E"/>
    <w:rsid w:val="00DD4670"/>
    <w:rsid w:val="00DE1B47"/>
    <w:rsid w:val="00DE26A0"/>
    <w:rsid w:val="00DE26C3"/>
    <w:rsid w:val="00DF27E6"/>
    <w:rsid w:val="00DF3E8D"/>
    <w:rsid w:val="00DF5477"/>
    <w:rsid w:val="00E017B8"/>
    <w:rsid w:val="00E052C6"/>
    <w:rsid w:val="00E05632"/>
    <w:rsid w:val="00E05B58"/>
    <w:rsid w:val="00E0748D"/>
    <w:rsid w:val="00E11548"/>
    <w:rsid w:val="00E208A0"/>
    <w:rsid w:val="00E238AE"/>
    <w:rsid w:val="00E2722C"/>
    <w:rsid w:val="00E3035C"/>
    <w:rsid w:val="00E3092D"/>
    <w:rsid w:val="00E324DB"/>
    <w:rsid w:val="00E34B72"/>
    <w:rsid w:val="00E3569D"/>
    <w:rsid w:val="00E42022"/>
    <w:rsid w:val="00E459A8"/>
    <w:rsid w:val="00E46D26"/>
    <w:rsid w:val="00E50B24"/>
    <w:rsid w:val="00E512C8"/>
    <w:rsid w:val="00E55F4D"/>
    <w:rsid w:val="00E564E6"/>
    <w:rsid w:val="00E57CE0"/>
    <w:rsid w:val="00E62C54"/>
    <w:rsid w:val="00E62E93"/>
    <w:rsid w:val="00E630BD"/>
    <w:rsid w:val="00E64713"/>
    <w:rsid w:val="00E663F9"/>
    <w:rsid w:val="00E6770C"/>
    <w:rsid w:val="00E7015B"/>
    <w:rsid w:val="00E702AF"/>
    <w:rsid w:val="00E704D3"/>
    <w:rsid w:val="00E72DEE"/>
    <w:rsid w:val="00E734FE"/>
    <w:rsid w:val="00E77A1E"/>
    <w:rsid w:val="00E810C6"/>
    <w:rsid w:val="00E87A03"/>
    <w:rsid w:val="00E92C39"/>
    <w:rsid w:val="00E92E1A"/>
    <w:rsid w:val="00E9575F"/>
    <w:rsid w:val="00E972E6"/>
    <w:rsid w:val="00EA0C8A"/>
    <w:rsid w:val="00EA3448"/>
    <w:rsid w:val="00EA36AD"/>
    <w:rsid w:val="00EA50F6"/>
    <w:rsid w:val="00EA7121"/>
    <w:rsid w:val="00EA7557"/>
    <w:rsid w:val="00EB42FB"/>
    <w:rsid w:val="00EB537F"/>
    <w:rsid w:val="00EB5AC5"/>
    <w:rsid w:val="00EB6D47"/>
    <w:rsid w:val="00EC02ED"/>
    <w:rsid w:val="00EC1447"/>
    <w:rsid w:val="00EC3161"/>
    <w:rsid w:val="00EC6F1E"/>
    <w:rsid w:val="00EC7A91"/>
    <w:rsid w:val="00ED001D"/>
    <w:rsid w:val="00ED07CB"/>
    <w:rsid w:val="00ED1662"/>
    <w:rsid w:val="00ED1E7B"/>
    <w:rsid w:val="00ED302E"/>
    <w:rsid w:val="00EE1DDB"/>
    <w:rsid w:val="00EE2598"/>
    <w:rsid w:val="00EE3F2D"/>
    <w:rsid w:val="00EE64DE"/>
    <w:rsid w:val="00EF0241"/>
    <w:rsid w:val="00EF0B38"/>
    <w:rsid w:val="00EF0EC6"/>
    <w:rsid w:val="00EF16E4"/>
    <w:rsid w:val="00EF2312"/>
    <w:rsid w:val="00EF25E3"/>
    <w:rsid w:val="00EF3025"/>
    <w:rsid w:val="00EF457E"/>
    <w:rsid w:val="00F0227C"/>
    <w:rsid w:val="00F03C7C"/>
    <w:rsid w:val="00F05237"/>
    <w:rsid w:val="00F05668"/>
    <w:rsid w:val="00F05BE7"/>
    <w:rsid w:val="00F06A45"/>
    <w:rsid w:val="00F07CFD"/>
    <w:rsid w:val="00F10EDE"/>
    <w:rsid w:val="00F118F7"/>
    <w:rsid w:val="00F1754C"/>
    <w:rsid w:val="00F17FE2"/>
    <w:rsid w:val="00F20194"/>
    <w:rsid w:val="00F21865"/>
    <w:rsid w:val="00F21AA5"/>
    <w:rsid w:val="00F236C1"/>
    <w:rsid w:val="00F27289"/>
    <w:rsid w:val="00F27616"/>
    <w:rsid w:val="00F27B9D"/>
    <w:rsid w:val="00F31464"/>
    <w:rsid w:val="00F31D0B"/>
    <w:rsid w:val="00F349AD"/>
    <w:rsid w:val="00F34DE5"/>
    <w:rsid w:val="00F3631B"/>
    <w:rsid w:val="00F37DE1"/>
    <w:rsid w:val="00F43864"/>
    <w:rsid w:val="00F461BE"/>
    <w:rsid w:val="00F463ED"/>
    <w:rsid w:val="00F467EF"/>
    <w:rsid w:val="00F46C84"/>
    <w:rsid w:val="00F4704E"/>
    <w:rsid w:val="00F50C76"/>
    <w:rsid w:val="00F511E9"/>
    <w:rsid w:val="00F5202C"/>
    <w:rsid w:val="00F52D52"/>
    <w:rsid w:val="00F5556A"/>
    <w:rsid w:val="00F55E9F"/>
    <w:rsid w:val="00F62091"/>
    <w:rsid w:val="00F63E5F"/>
    <w:rsid w:val="00F64E2D"/>
    <w:rsid w:val="00F70AC7"/>
    <w:rsid w:val="00F75193"/>
    <w:rsid w:val="00F75DAA"/>
    <w:rsid w:val="00F76F1D"/>
    <w:rsid w:val="00F801C7"/>
    <w:rsid w:val="00F8129A"/>
    <w:rsid w:val="00F81A11"/>
    <w:rsid w:val="00F82293"/>
    <w:rsid w:val="00F8251D"/>
    <w:rsid w:val="00F831A2"/>
    <w:rsid w:val="00F85406"/>
    <w:rsid w:val="00F85C9A"/>
    <w:rsid w:val="00F92A9B"/>
    <w:rsid w:val="00F95422"/>
    <w:rsid w:val="00FA2170"/>
    <w:rsid w:val="00FA2ABB"/>
    <w:rsid w:val="00FA41B2"/>
    <w:rsid w:val="00FA6487"/>
    <w:rsid w:val="00FB275D"/>
    <w:rsid w:val="00FB7C7B"/>
    <w:rsid w:val="00FC1BEE"/>
    <w:rsid w:val="00FC20C3"/>
    <w:rsid w:val="00FC2F77"/>
    <w:rsid w:val="00FC38F3"/>
    <w:rsid w:val="00FC409F"/>
    <w:rsid w:val="00FC483F"/>
    <w:rsid w:val="00FC5115"/>
    <w:rsid w:val="00FC6CB3"/>
    <w:rsid w:val="00FD0726"/>
    <w:rsid w:val="00FD079F"/>
    <w:rsid w:val="00FD2048"/>
    <w:rsid w:val="00FD5991"/>
    <w:rsid w:val="00FD74D9"/>
    <w:rsid w:val="00FD771B"/>
    <w:rsid w:val="00FE0566"/>
    <w:rsid w:val="00FE08CF"/>
    <w:rsid w:val="00FE1581"/>
    <w:rsid w:val="00FE18C9"/>
    <w:rsid w:val="00FE2289"/>
    <w:rsid w:val="00FE72AC"/>
    <w:rsid w:val="00FE7F7C"/>
    <w:rsid w:val="00FF24EF"/>
    <w:rsid w:val="00FF3112"/>
    <w:rsid w:val="00FF3DF1"/>
    <w:rsid w:val="00FF7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  <w:style w:type="paragraph" w:styleId="Sansinterligne">
    <w:name w:val="No Spacing"/>
    <w:link w:val="SansinterligneCar"/>
    <w:uiPriority w:val="1"/>
    <w:qFormat/>
    <w:rsid w:val="00582E6D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582E6D"/>
    <w:rPr>
      <w:rFonts w:ascii="Calibri" w:eastAsia="Times New Roman" w:hAnsi="Calibri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3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Opinion des chefs</a:t>
            </a:r>
            <a:r>
              <a:rPr lang="fr-FR" baseline="0"/>
              <a:t> d'</a:t>
            </a:r>
            <a:r>
              <a:rPr lang="fr-FR"/>
              <a:t>entreprises dans l'industrie manufacturière</a:t>
            </a:r>
            <a:r>
              <a:rPr lang="fr-FR" baseline="0"/>
              <a:t> (</a:t>
            </a:r>
            <a:r>
              <a:rPr lang="fr-FR"/>
              <a:t>proportion en %) </a:t>
            </a:r>
          </a:p>
        </c:rich>
      </c:tx>
      <c:layout>
        <c:manualLayout>
          <c:xMode val="edge"/>
          <c:yMode val="edge"/>
          <c:x val="0.12884312537855838"/>
          <c:y val="2.5347723142998733E-2"/>
        </c:manualLayout>
      </c:layout>
    </c:title>
    <c:plotArea>
      <c:layout>
        <c:manualLayout>
          <c:layoutTarget val="inner"/>
          <c:xMode val="edge"/>
          <c:yMode val="edge"/>
          <c:x val="0.12333684404099172"/>
          <c:y val="0.26377789442986332"/>
          <c:w val="0.67871842452816611"/>
          <c:h val="0.55188614756488774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26.21</c:v>
                </c:pt>
                <c:pt idx="1">
                  <c:v>7.87</c:v>
                </c:pt>
                <c:pt idx="2">
                  <c:v>5.76</c:v>
                </c:pt>
                <c:pt idx="3" formatCode="0">
                  <c:v>12.004684856212538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37.340000000000003</c:v>
                </c:pt>
                <c:pt idx="1">
                  <c:v>67.64</c:v>
                </c:pt>
                <c:pt idx="2">
                  <c:v>77.069999999999993</c:v>
                </c:pt>
                <c:pt idx="3" formatCode="0">
                  <c:v>76.423662447486038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36.450000000000003</c:v>
                </c:pt>
                <c:pt idx="1">
                  <c:v>24.49</c:v>
                </c:pt>
                <c:pt idx="2">
                  <c:v>17.170000000000005</c:v>
                </c:pt>
                <c:pt idx="3" formatCode="0">
                  <c:v>11.571652696301413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-10.24</c:v>
                </c:pt>
                <c:pt idx="1">
                  <c:v>-16.62</c:v>
                </c:pt>
                <c:pt idx="2">
                  <c:v>-11.41</c:v>
                </c:pt>
                <c:pt idx="3" formatCode="0">
                  <c:v>0.43303215991112626</c:v>
                </c:pt>
              </c:numCache>
            </c:numRef>
          </c:val>
        </c:ser>
        <c:axId val="166346112"/>
        <c:axId val="166372480"/>
      </c:barChart>
      <c:catAx>
        <c:axId val="166346112"/>
        <c:scaling>
          <c:orientation val="minMax"/>
        </c:scaling>
        <c:axPos val="b"/>
        <c:majorGridlines>
          <c:spPr>
            <a:ln w="9557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66372480"/>
        <c:crosses val="autoZero"/>
        <c:auto val="1"/>
        <c:lblAlgn val="ctr"/>
        <c:lblOffset val="100"/>
      </c:catAx>
      <c:valAx>
        <c:axId val="166372480"/>
        <c:scaling>
          <c:orientation val="minMax"/>
          <c:max val="100"/>
          <c:min val="-20"/>
        </c:scaling>
        <c:axPos val="l"/>
        <c:majorGridlines>
          <c:spPr>
            <a:ln w="9557" cap="flat" cmpd="sng" algn="ctr">
              <a:solidFill>
                <a:schemeClr val="tx1"/>
              </a:solidFill>
              <a:prstDash val="solid"/>
            </a:ln>
            <a:effectLst/>
          </c:spPr>
        </c:majorGridlines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66346112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82913251228211871"/>
          <c:y val="0.41368904061817435"/>
          <c:w val="0.16643818561141402"/>
          <c:h val="0.29893397940642075"/>
        </c:manualLayout>
      </c:layout>
      <c:txPr>
        <a:bodyPr/>
        <a:lstStyle/>
        <a:p>
          <a:pPr>
            <a:defRPr sz="73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Opinion des chefs</a:t>
            </a:r>
            <a:r>
              <a:rPr lang="fr-FR" baseline="0"/>
              <a:t> d'</a:t>
            </a:r>
            <a:r>
              <a:rPr lang="fr-FR"/>
              <a:t>entreprises dans l'industrie extractive</a:t>
            </a:r>
            <a:r>
              <a:rPr lang="fr-FR" baseline="0"/>
              <a:t> (</a:t>
            </a:r>
            <a:r>
              <a:rPr lang="fr-FR"/>
              <a:t>proportion en %) </a:t>
            </a:r>
          </a:p>
        </c:rich>
      </c:tx>
      <c:layout>
        <c:manualLayout>
          <c:xMode val="edge"/>
          <c:yMode val="edge"/>
          <c:x val="0.12884312537855838"/>
          <c:y val="2.5347723142998733E-2"/>
        </c:manualLayout>
      </c:layout>
    </c:title>
    <c:plotArea>
      <c:layout>
        <c:manualLayout>
          <c:layoutTarget val="inner"/>
          <c:xMode val="edge"/>
          <c:yMode val="edge"/>
          <c:x val="0.11091439656999395"/>
          <c:y val="0.20071469106902179"/>
          <c:w val="0.70770381963124174"/>
          <c:h val="0.61850429169326804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86.63</c:v>
                </c:pt>
                <c:pt idx="1">
                  <c:v>0</c:v>
                </c:pt>
                <c:pt idx="2">
                  <c:v>3.16</c:v>
                </c:pt>
                <c:pt idx="3" formatCode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13.370000000000003</c:v>
                </c:pt>
                <c:pt idx="1">
                  <c:v>96.04</c:v>
                </c:pt>
                <c:pt idx="2">
                  <c:v>18.32</c:v>
                </c:pt>
                <c:pt idx="3" formatCode="0">
                  <c:v>21.853628661835256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0</c:v>
                </c:pt>
                <c:pt idx="1">
                  <c:v>3.96</c:v>
                </c:pt>
                <c:pt idx="2">
                  <c:v>78.52</c:v>
                </c:pt>
                <c:pt idx="3" formatCode="0">
                  <c:v>78.146371338164684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86.63</c:v>
                </c:pt>
                <c:pt idx="1">
                  <c:v>-3.96</c:v>
                </c:pt>
                <c:pt idx="2">
                  <c:v>-75.36</c:v>
                </c:pt>
                <c:pt idx="3" formatCode="0">
                  <c:v>-78.146371338164684</c:v>
                </c:pt>
              </c:numCache>
            </c:numRef>
          </c:val>
        </c:ser>
        <c:axId val="166308864"/>
        <c:axId val="166433536"/>
      </c:barChart>
      <c:catAx>
        <c:axId val="166308864"/>
        <c:scaling>
          <c:orientation val="minMax"/>
        </c:scaling>
        <c:axPos val="b"/>
        <c:majorGridlines>
          <c:spPr>
            <a:ln w="9557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66433536"/>
        <c:crosses val="autoZero"/>
        <c:auto val="1"/>
        <c:lblAlgn val="ctr"/>
        <c:lblOffset val="100"/>
      </c:catAx>
      <c:valAx>
        <c:axId val="166433536"/>
        <c:scaling>
          <c:orientation val="minMax"/>
          <c:max val="100"/>
          <c:min val="-80"/>
        </c:scaling>
        <c:axPos val="l"/>
        <c:majorGridlines>
          <c:spPr>
            <a:ln w="9557" cap="flat" cmpd="sng" algn="ctr">
              <a:solidFill>
                <a:schemeClr val="tx1"/>
              </a:solidFill>
              <a:prstDash val="solid"/>
            </a:ln>
            <a:effectLst/>
          </c:spPr>
        </c:majorGridlines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66308864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82913251228211871"/>
          <c:y val="0.41368904061817435"/>
          <c:w val="0.16643818561141402"/>
          <c:h val="0.29893397940642075"/>
        </c:manualLayout>
      </c:layout>
      <c:txPr>
        <a:bodyPr/>
        <a:lstStyle/>
        <a:p>
          <a:pPr>
            <a:defRPr sz="73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Opinion des </a:t>
            </a:r>
            <a:r>
              <a:rPr lang="fr-FR" sz="998" b="1" i="0" u="none" strike="noStrike" baseline="0">
                <a:effectLst/>
              </a:rPr>
              <a:t>chefs d'</a:t>
            </a:r>
            <a:r>
              <a:rPr lang="fr-FR"/>
              <a:t>entreprises dans l'industrie énergétique (proportion en %) </a:t>
            </a:r>
          </a:p>
        </c:rich>
      </c:tx>
      <c:layout>
        <c:manualLayout>
          <c:xMode val="edge"/>
          <c:yMode val="edge"/>
          <c:x val="0.11803684113953844"/>
          <c:y val="3.1245635579956201E-3"/>
        </c:manualLayout>
      </c:layout>
    </c:title>
    <c:plotArea>
      <c:layout>
        <c:manualLayout>
          <c:layoutTarget val="inner"/>
          <c:xMode val="edge"/>
          <c:yMode val="edge"/>
          <c:x val="0.12637886621480587"/>
          <c:y val="0.17032772089259593"/>
          <c:w val="0.69565666633444356"/>
          <c:h val="0.60708070088076937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82.69</c:v>
                </c:pt>
                <c:pt idx="1">
                  <c:v>0</c:v>
                </c:pt>
                <c:pt idx="2">
                  <c:v>77.11</c:v>
                </c:pt>
                <c:pt idx="3" formatCode="0">
                  <c:v>69.790137607347404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17.309999999999999</c:v>
                </c:pt>
                <c:pt idx="1">
                  <c:v>100</c:v>
                </c:pt>
                <c:pt idx="2">
                  <c:v>22.89</c:v>
                </c:pt>
                <c:pt idx="3" formatCode="0">
                  <c:v>18.474710489741856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0">
                  <c:v>11.735151902910758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82.69</c:v>
                </c:pt>
                <c:pt idx="1">
                  <c:v>0</c:v>
                </c:pt>
                <c:pt idx="2">
                  <c:v>77.11</c:v>
                </c:pt>
                <c:pt idx="3" formatCode="0">
                  <c:v>58.054985704436596</c:v>
                </c:pt>
              </c:numCache>
            </c:numRef>
          </c:val>
        </c:ser>
        <c:axId val="166730368"/>
        <c:axId val="166740352"/>
      </c:barChart>
      <c:catAx>
        <c:axId val="166730368"/>
        <c:scaling>
          <c:orientation val="minMax"/>
        </c:scaling>
        <c:axPos val="b"/>
        <c:majorGridlines>
          <c:spPr>
            <a:ln w="9501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66740352"/>
        <c:crossesAt val="0"/>
        <c:auto val="1"/>
        <c:lblAlgn val="ctr"/>
        <c:lblOffset val="100"/>
      </c:catAx>
      <c:valAx>
        <c:axId val="166740352"/>
        <c:scaling>
          <c:orientation val="minMax"/>
          <c:max val="110"/>
          <c:min val="-10"/>
        </c:scaling>
        <c:axPos val="l"/>
        <c:majorGridlines>
          <c:spPr>
            <a:ln w="9501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667303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158868439317445"/>
          <c:y val="0.37531845216595655"/>
          <c:w val="0.17841131560682572"/>
          <c:h val="0.34528546317031483"/>
        </c:manualLayout>
      </c:layout>
      <c:txPr>
        <a:bodyPr/>
        <a:lstStyle/>
        <a:p>
          <a:pPr>
            <a:defRPr sz="73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 sz="997" b="1" i="0" baseline="0"/>
              <a:t>Opinion des chefs d'entreprises dans l'industrie environnementale (proportion en %) </a:t>
            </a:r>
            <a:endParaRPr lang="fr-FR" sz="1000" b="1"/>
          </a:p>
        </c:rich>
      </c:tx>
      <c:layout>
        <c:manualLayout>
          <c:xMode val="edge"/>
          <c:yMode val="edge"/>
          <c:x val="9.5874931521410342E-2"/>
          <c:y val="9.5960987831066574E-2"/>
        </c:manualLayout>
      </c:layout>
    </c:title>
    <c:plotArea>
      <c:layout>
        <c:manualLayout>
          <c:layoutTarget val="inner"/>
          <c:xMode val="edge"/>
          <c:yMode val="edge"/>
          <c:x val="8.9659469985611362E-2"/>
          <c:y val="0.236573389864732"/>
          <c:w val="0.71127152654306902"/>
          <c:h val="0.57659963658391833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87.84</c:v>
                </c:pt>
                <c:pt idx="1">
                  <c:v>1.05</c:v>
                </c:pt>
                <c:pt idx="2">
                  <c:v>0</c:v>
                </c:pt>
                <c:pt idx="3" formatCode="0">
                  <c:v>86.808534926344393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12.14</c:v>
                </c:pt>
                <c:pt idx="1">
                  <c:v>98.95</c:v>
                </c:pt>
                <c:pt idx="2">
                  <c:v>100</c:v>
                </c:pt>
                <c:pt idx="3" formatCode="0">
                  <c:v>5.6815297783739167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2.0000000000000007E-2</c:v>
                </c:pt>
                <c:pt idx="1">
                  <c:v>0</c:v>
                </c:pt>
                <c:pt idx="2">
                  <c:v>0</c:v>
                </c:pt>
                <c:pt idx="3" formatCode="0">
                  <c:v>7.5099352952816645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87.82</c:v>
                </c:pt>
                <c:pt idx="1">
                  <c:v>1.05</c:v>
                </c:pt>
                <c:pt idx="2">
                  <c:v>0</c:v>
                </c:pt>
                <c:pt idx="3" formatCode="0">
                  <c:v>79.2985996310628</c:v>
                </c:pt>
              </c:numCache>
            </c:numRef>
          </c:val>
        </c:ser>
        <c:axId val="166451456"/>
        <c:axId val="166584320"/>
      </c:barChart>
      <c:catAx>
        <c:axId val="166451456"/>
        <c:scaling>
          <c:orientation val="minMax"/>
        </c:scaling>
        <c:axPos val="b"/>
        <c:majorGridlines>
          <c:spPr>
            <a:ln w="9499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/>
          <a:lstStyle/>
          <a:p>
            <a:pPr>
              <a:defRPr sz="798" b="1"/>
            </a:pPr>
            <a:endParaRPr lang="fr-FR"/>
          </a:p>
        </c:txPr>
        <c:crossAx val="166584320"/>
        <c:crosses val="autoZero"/>
        <c:auto val="1"/>
        <c:lblAlgn val="ctr"/>
        <c:lblOffset val="100"/>
      </c:catAx>
      <c:valAx>
        <c:axId val="166584320"/>
        <c:scaling>
          <c:orientation val="minMax"/>
          <c:max val="110"/>
          <c:min val="-10"/>
        </c:scaling>
        <c:axPos val="l"/>
        <c:majorGridlines>
          <c:spPr>
            <a:ln w="9499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1"/>
        <c:majorTickMark val="none"/>
        <c:tickLblPos val="nextTo"/>
        <c:crossAx val="1664514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616757017522346"/>
          <c:y val="0.36408613696015291"/>
          <c:w val="0.17141773166204671"/>
          <c:h val="0.37639226914817486"/>
        </c:manualLayout>
      </c:layout>
      <c:txPr>
        <a:bodyPr/>
        <a:lstStyle/>
        <a:p>
          <a:pPr>
            <a:defRPr sz="798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 sz="900" b="1" i="0" baseline="0"/>
              <a:t>Opinion  des chefs d'entreprises sur l'activité  de la construction (proportion en %)</a:t>
            </a:r>
            <a:endParaRPr lang="fr-FR" sz="900"/>
          </a:p>
        </c:rich>
      </c:tx>
      <c:layout>
        <c:manualLayout>
          <c:xMode val="edge"/>
          <c:yMode val="edge"/>
          <c:x val="9.5932736201671059E-2"/>
          <c:y val="2.8677019087784323E-2"/>
        </c:manualLayout>
      </c:layout>
    </c:title>
    <c:plotArea>
      <c:layout>
        <c:manualLayout>
          <c:layoutTarget val="inner"/>
          <c:xMode val="edge"/>
          <c:yMode val="edge"/>
          <c:x val="0.15467011232195038"/>
          <c:y val="0.18815754512167471"/>
          <c:w val="0.6823019972372395"/>
          <c:h val="0.6256203622695416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27.51058526637884</c:v>
                </c:pt>
                <c:pt idx="1">
                  <c:v>24.156654000000007</c:v>
                </c:pt>
                <c:pt idx="2">
                  <c:v>37.175911000000013</c:v>
                </c:pt>
                <c:pt idx="3">
                  <c:v>20.403636999999989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40.957738049964455</c:v>
                </c:pt>
                <c:pt idx="1">
                  <c:v>19.405131999999984</c:v>
                </c:pt>
                <c:pt idx="2">
                  <c:v>47.315991000000004</c:v>
                </c:pt>
                <c:pt idx="3">
                  <c:v>52.212977000000002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31.531674263130352</c:v>
                </c:pt>
                <c:pt idx="1">
                  <c:v>56.438213000000012</c:v>
                </c:pt>
                <c:pt idx="2">
                  <c:v>15.508095000000001</c:v>
                </c:pt>
                <c:pt idx="3">
                  <c:v>27.383382999999984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-4.0210890041492604</c:v>
                </c:pt>
                <c:pt idx="1">
                  <c:v>-32.281559000000001</c:v>
                </c:pt>
                <c:pt idx="2">
                  <c:v>21.667815000000008</c:v>
                </c:pt>
                <c:pt idx="3">
                  <c:v>-6.9797450000000021</c:v>
                </c:pt>
              </c:numCache>
            </c:numRef>
          </c:val>
        </c:ser>
        <c:axId val="166872960"/>
        <c:axId val="166874496"/>
      </c:barChart>
      <c:catAx>
        <c:axId val="166872960"/>
        <c:scaling>
          <c:orientation val="minMax"/>
        </c:scaling>
        <c:axPos val="b"/>
        <c:majorGridlines>
          <c:spPr>
            <a:ln w="9526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spPr>
          <a:ln w="25403">
            <a:solidFill>
              <a:schemeClr val="bg1">
                <a:lumMod val="65000"/>
              </a:schemeClr>
            </a:solidFill>
          </a:ln>
        </c:spPr>
        <c:txPr>
          <a:bodyPr/>
          <a:lstStyle/>
          <a:p>
            <a:pPr>
              <a:defRPr sz="800" b="1"/>
            </a:pPr>
            <a:endParaRPr lang="fr-FR"/>
          </a:p>
        </c:txPr>
        <c:crossAx val="166874496"/>
        <c:crosses val="autoZero"/>
        <c:auto val="1"/>
        <c:lblAlgn val="ctr"/>
        <c:lblOffset val="100"/>
      </c:catAx>
      <c:valAx>
        <c:axId val="166874496"/>
        <c:scaling>
          <c:orientation val="minMax"/>
        </c:scaling>
        <c:axPos val="l"/>
        <c:majorGridlines>
          <c:spPr>
            <a:ln w="15878" cap="flat" cmpd="sng" algn="ctr">
              <a:solidFill>
                <a:sysClr val="windowText" lastClr="000000">
                  <a:lumMod val="50000"/>
                  <a:lumOff val="50000"/>
                </a:sysClr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spPr>
          <a:ln w="19051"/>
        </c:spPr>
        <c:crossAx val="1668729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wMode val="edge"/>
          <c:hMode val="edge"/>
          <c:x val="0.84490670757845832"/>
          <c:y val="0.45208779243151875"/>
          <c:w val="0.99670930818461445"/>
          <c:h val="0.70739637421483303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 sz="899" b="1" i="0" baseline="0"/>
              <a:t>Anticipations des chefs d'entreprises industrielles sur la production  (proportion en %)  </a:t>
            </a:r>
            <a:endParaRPr lang="fr-FR" sz="900"/>
          </a:p>
        </c:rich>
      </c:tx>
      <c:layout>
        <c:manualLayout>
          <c:xMode val="edge"/>
          <c:yMode val="edge"/>
          <c:x val="0.1055773130399516"/>
          <c:y val="4.9235892388451448E-2"/>
        </c:manualLayout>
      </c:layout>
    </c:title>
    <c:plotArea>
      <c:layout>
        <c:manualLayout>
          <c:layoutTarget val="inner"/>
          <c:xMode val="edge"/>
          <c:yMode val="edge"/>
          <c:x val="8.6857611548556465E-2"/>
          <c:y val="0.19666675444833609"/>
          <c:w val="0.68109180403441372"/>
          <c:h val="0.685115360579927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35.950000000000003</c:v>
                </c:pt>
                <c:pt idx="1">
                  <c:v>8.56</c:v>
                </c:pt>
                <c:pt idx="2">
                  <c:v>7.31</c:v>
                </c:pt>
                <c:pt idx="3">
                  <c:v>86.26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48.38</c:v>
                </c:pt>
                <c:pt idx="1">
                  <c:v>87.26</c:v>
                </c:pt>
                <c:pt idx="2">
                  <c:v>90.42</c:v>
                </c:pt>
                <c:pt idx="3">
                  <c:v>12.14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15.67</c:v>
                </c:pt>
                <c:pt idx="1">
                  <c:v>4.18</c:v>
                </c:pt>
                <c:pt idx="2">
                  <c:v>2.27</c:v>
                </c:pt>
                <c:pt idx="3">
                  <c:v>1.6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20.27</c:v>
                </c:pt>
                <c:pt idx="1">
                  <c:v>4.38</c:v>
                </c:pt>
                <c:pt idx="2">
                  <c:v>5.05</c:v>
                </c:pt>
                <c:pt idx="3">
                  <c:v>84.66</c:v>
                </c:pt>
              </c:numCache>
            </c:numRef>
          </c:val>
        </c:ser>
        <c:axId val="166651392"/>
        <c:axId val="166652928"/>
      </c:barChart>
      <c:catAx>
        <c:axId val="166651392"/>
        <c:scaling>
          <c:orientation val="minMax"/>
        </c:scaling>
        <c:axPos val="b"/>
        <c:majorGridlines>
          <c:spPr>
            <a:ln w="9516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 anchor="b" anchorCtr="1"/>
          <a:lstStyle/>
          <a:p>
            <a:pPr>
              <a:defRPr sz="600" b="1">
                <a:latin typeface="+mn-lt"/>
                <a:cs typeface="Times New Roman" pitchFamily="18" charset="0"/>
              </a:defRPr>
            </a:pPr>
            <a:endParaRPr lang="fr-FR"/>
          </a:p>
        </c:txPr>
        <c:crossAx val="166652928"/>
        <c:crosses val="autoZero"/>
        <c:auto val="1"/>
        <c:lblAlgn val="ctr"/>
        <c:lblOffset val="100"/>
      </c:catAx>
      <c:valAx>
        <c:axId val="166652928"/>
        <c:scaling>
          <c:orientation val="minMax"/>
        </c:scaling>
        <c:axPos val="l"/>
        <c:majorGridlines>
          <c:spPr>
            <a:ln w="9516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1"/>
        <c:majorTickMark val="none"/>
        <c:tickLblPos val="nextTo"/>
        <c:crossAx val="1666513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wMode val="edge"/>
          <c:hMode val="edge"/>
          <c:x val="0.82764582998553782"/>
          <c:y val="0.36003215223097118"/>
          <c:w val="0.98489137837362162"/>
          <c:h val="0.68516469816272951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Anticipations  des chefs d'entreprises sur l'activité  de construction</a:t>
            </a:r>
            <a:r>
              <a:rPr lang="fr-FR" baseline="0"/>
              <a:t> (</a:t>
            </a:r>
            <a:r>
              <a:rPr lang="fr-FR"/>
              <a:t>proportion en %)</a:t>
            </a:r>
          </a:p>
        </c:rich>
      </c:tx>
    </c:title>
    <c:plotArea>
      <c:layout>
        <c:manualLayout>
          <c:layoutTarget val="inner"/>
          <c:xMode val="edge"/>
          <c:yMode val="edge"/>
          <c:x val="0.10731787693205017"/>
          <c:y val="0.19951345634034942"/>
          <c:w val="0.71733566637503665"/>
          <c:h val="0.5807458769146397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14.981221586168342</c:v>
                </c:pt>
                <c:pt idx="1">
                  <c:v>28.154450000000008</c:v>
                </c:pt>
                <c:pt idx="2">
                  <c:v>7.1816440000000004</c:v>
                </c:pt>
                <c:pt idx="3">
                  <c:v>12.097555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51.49140221681121</c:v>
                </c:pt>
                <c:pt idx="1">
                  <c:v>38.205188000000014</c:v>
                </c:pt>
                <c:pt idx="2">
                  <c:v>58.241340000000001</c:v>
                </c:pt>
                <c:pt idx="3">
                  <c:v>55.539833000000002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33.527374128051825</c:v>
                </c:pt>
                <c:pt idx="1">
                  <c:v>33.640361000000006</c:v>
                </c:pt>
                <c:pt idx="2">
                  <c:v>34.577013000000001</c:v>
                </c:pt>
                <c:pt idx="3">
                  <c:v>32.362610000000011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-18.546151831370285</c:v>
                </c:pt>
                <c:pt idx="1">
                  <c:v>-5.485910999999998</c:v>
                </c:pt>
                <c:pt idx="2">
                  <c:v>-27.395368000000001</c:v>
                </c:pt>
                <c:pt idx="3">
                  <c:v>-20.265053999999992</c:v>
                </c:pt>
              </c:numCache>
            </c:numRef>
          </c:val>
        </c:ser>
        <c:axId val="166659200"/>
        <c:axId val="166660736"/>
      </c:barChart>
      <c:catAx>
        <c:axId val="166659200"/>
        <c:scaling>
          <c:orientation val="minMax"/>
        </c:scaling>
        <c:axPos val="b"/>
        <c:majorGridlines>
          <c:spPr>
            <a:ln w="9510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66660736"/>
        <c:crosses val="autoZero"/>
        <c:auto val="1"/>
        <c:lblAlgn val="ctr"/>
        <c:lblOffset val="100"/>
      </c:catAx>
      <c:valAx>
        <c:axId val="166660736"/>
        <c:scaling>
          <c:orientation val="minMax"/>
        </c:scaling>
        <c:axPos val="l"/>
        <c:majorGridlines>
          <c:spPr>
            <a:ln w="9510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666592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wMode val="edge"/>
          <c:hMode val="edge"/>
          <c:x val="0.84336280050883239"/>
          <c:y val="0.36661936692542424"/>
          <c:w val="1"/>
          <c:h val="0.6239488791816219"/>
        </c:manualLayout>
      </c:layout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36D84-4192-4FA5-96E7-FB0D1083F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735</Words>
  <Characters>4044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feddouli mourad</dc:creator>
  <cp:lastModifiedBy>User</cp:lastModifiedBy>
  <cp:revision>2</cp:revision>
  <cp:lastPrinted>2019-06-15T13:29:00Z</cp:lastPrinted>
  <dcterms:created xsi:type="dcterms:W3CDTF">2019-12-18T18:47:00Z</dcterms:created>
  <dcterms:modified xsi:type="dcterms:W3CDTF">2019-12-18T18:47:00Z</dcterms:modified>
</cp:coreProperties>
</file>