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4E75F1"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4387215</wp:posOffset>
            </wp:positionH>
            <wp:positionV relativeFrom="paragraph">
              <wp:posOffset>3810</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Pr>
          <w:b/>
          <w:bCs/>
          <w:noProof/>
        </w:rPr>
        <w:drawing>
          <wp:anchor distT="0" distB="0" distL="114300" distR="114300" simplePos="0" relativeHeight="251659264" behindDoc="0" locked="0" layoutInCell="1" allowOverlap="1">
            <wp:simplePos x="0" y="0"/>
            <wp:positionH relativeFrom="column">
              <wp:posOffset>-273685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30350" cy="3810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4F553E" w:rsidRDefault="004F553E" w:rsidP="008864AD">
      <w:pPr>
        <w:ind w:left="993" w:hanging="993"/>
        <w:jc w:val="center"/>
        <w:rPr>
          <w:rFonts w:ascii="Palatino" w:hAnsi="Palatino" w:cs="Times"/>
          <w:b/>
          <w:bCs/>
          <w:shadow/>
          <w:color w:val="FF9900"/>
          <w:sz w:val="26"/>
          <w:szCs w:val="26"/>
        </w:rPr>
      </w:pPr>
    </w:p>
    <w:p w:rsidR="00AB41A1" w:rsidRPr="00AB41A1" w:rsidRDefault="00AB41A1" w:rsidP="008864AD">
      <w:pPr>
        <w:ind w:left="993" w:hanging="993"/>
        <w:jc w:val="center"/>
        <w:rPr>
          <w:rFonts w:ascii="Palatino" w:hAnsi="Palatino" w:cs="Times"/>
          <w:b/>
          <w:bCs/>
          <w:shadow/>
          <w:color w:val="FF9900"/>
          <w:sz w:val="16"/>
          <w:szCs w:val="16"/>
        </w:rPr>
      </w:pPr>
    </w:p>
    <w:p w:rsidR="006322D2" w:rsidRDefault="006322D2" w:rsidP="006322D2">
      <w:pPr>
        <w:ind w:left="993" w:hanging="993"/>
        <w:jc w:val="center"/>
        <w:rPr>
          <w:rFonts w:ascii="Palatino" w:hAnsi="Palatino" w:cs="Times"/>
          <w:b/>
          <w:bCs/>
          <w:shadow/>
          <w:color w:val="FF9900"/>
          <w:sz w:val="26"/>
          <w:szCs w:val="26"/>
        </w:rPr>
      </w:pPr>
      <w:r w:rsidRPr="006322D2">
        <w:rPr>
          <w:rFonts w:ascii="Palatino" w:hAnsi="Palatino" w:cs="Times"/>
          <w:b/>
          <w:bCs/>
          <w:shadow/>
          <w:color w:val="FF9900"/>
          <w:sz w:val="26"/>
          <w:szCs w:val="26"/>
        </w:rPr>
        <w:t xml:space="preserve">Le Haut-Commissariat au Plan suspend provisoirement </w:t>
      </w:r>
    </w:p>
    <w:p w:rsidR="006322D2" w:rsidRDefault="006322D2" w:rsidP="006322D2">
      <w:pPr>
        <w:ind w:left="993" w:hanging="993"/>
        <w:jc w:val="center"/>
        <w:rPr>
          <w:rFonts w:ascii="Palatino" w:hAnsi="Palatino" w:cs="Times"/>
          <w:b/>
          <w:bCs/>
          <w:shadow/>
          <w:color w:val="FF9900"/>
          <w:sz w:val="26"/>
          <w:szCs w:val="26"/>
        </w:rPr>
      </w:pPr>
      <w:r w:rsidRPr="006322D2">
        <w:rPr>
          <w:rFonts w:ascii="Palatino" w:hAnsi="Palatino" w:cs="Times"/>
          <w:b/>
          <w:bCs/>
          <w:shadow/>
          <w:color w:val="FF9900"/>
          <w:sz w:val="26"/>
          <w:szCs w:val="26"/>
        </w:rPr>
        <w:t xml:space="preserve">la publication des indicateurs trimestriels sur le marché du travail </w:t>
      </w:r>
    </w:p>
    <w:p w:rsidR="006322D2" w:rsidRPr="006322D2" w:rsidRDefault="006322D2" w:rsidP="006322D2">
      <w:pPr>
        <w:ind w:left="993" w:hanging="993"/>
        <w:jc w:val="center"/>
        <w:rPr>
          <w:rFonts w:ascii="Palatino" w:hAnsi="Palatino" w:cs="Times"/>
          <w:b/>
          <w:bCs/>
          <w:shadow/>
          <w:color w:val="FF9900"/>
          <w:sz w:val="26"/>
          <w:szCs w:val="26"/>
        </w:rPr>
      </w:pPr>
      <w:r w:rsidRPr="006322D2">
        <w:rPr>
          <w:rFonts w:ascii="Palatino" w:hAnsi="Palatino" w:cs="Times"/>
          <w:b/>
          <w:bCs/>
          <w:shadow/>
          <w:color w:val="FF9900"/>
          <w:sz w:val="26"/>
          <w:szCs w:val="26"/>
        </w:rPr>
        <w:t xml:space="preserve">au niveau régional </w:t>
      </w:r>
    </w:p>
    <w:p w:rsidR="0088592B" w:rsidRDefault="0088592B" w:rsidP="008864AD">
      <w:pPr>
        <w:ind w:left="993" w:hanging="993"/>
        <w:jc w:val="center"/>
        <w:rPr>
          <w:rFonts w:ascii="Palatino" w:hAnsi="Palatino" w:cs="Times"/>
          <w:b/>
          <w:bCs/>
          <w:shadow/>
          <w:color w:val="FF9900"/>
          <w:sz w:val="26"/>
          <w:szCs w:val="26"/>
        </w:rPr>
      </w:pPr>
    </w:p>
    <w:p w:rsidR="00DF3058" w:rsidRDefault="00DF3058" w:rsidP="008864AD">
      <w:pPr>
        <w:ind w:left="993" w:hanging="993"/>
        <w:jc w:val="center"/>
        <w:rPr>
          <w:rFonts w:ascii="Palatino" w:hAnsi="Palatino" w:cs="Times"/>
          <w:b/>
          <w:bCs/>
          <w:shadow/>
          <w:color w:val="FF9900"/>
          <w:sz w:val="26"/>
          <w:szCs w:val="26"/>
        </w:rPr>
      </w:pPr>
    </w:p>
    <w:p w:rsidR="006322D2" w:rsidRDefault="006322D2" w:rsidP="00AB41A1">
      <w:pPr>
        <w:spacing w:line="288" w:lineRule="auto"/>
        <w:ind w:firstLine="709"/>
        <w:jc w:val="both"/>
        <w:rPr>
          <w:b/>
          <w:bCs/>
          <w:color w:val="808080"/>
          <w:sz w:val="25"/>
          <w:szCs w:val="25"/>
        </w:rPr>
      </w:pPr>
      <w:r w:rsidRPr="006322D2">
        <w:rPr>
          <w:b/>
          <w:bCs/>
          <w:color w:val="808080"/>
          <w:sz w:val="25"/>
          <w:szCs w:val="25"/>
        </w:rPr>
        <w:t xml:space="preserve">Alors qu’il mettait au point le projet du vaste programme de digitalisation statistique qu’il devra engager dès janvier 2020, avec l’appui d’une expertise nationale et internationale de haut niveau, le Haut-Commissariat au Plan avait auparavant annoncé l’amorçage par la Division de l’Emploi relevant de la Direction de la Statistique d’une refonte du mode de collecte des données de l’Enquête Nationale sur l’Emploi avec le concours d’une société privée nationale. </w:t>
      </w:r>
    </w:p>
    <w:p w:rsidR="00AB41A1" w:rsidRPr="006322D2" w:rsidRDefault="00AB41A1" w:rsidP="006322D2">
      <w:pPr>
        <w:ind w:firstLine="708"/>
        <w:jc w:val="both"/>
        <w:rPr>
          <w:b/>
          <w:bCs/>
          <w:color w:val="808080"/>
          <w:sz w:val="25"/>
          <w:szCs w:val="25"/>
        </w:rPr>
      </w:pPr>
    </w:p>
    <w:p w:rsidR="006322D2" w:rsidRDefault="006322D2" w:rsidP="00AB41A1">
      <w:pPr>
        <w:spacing w:line="288" w:lineRule="auto"/>
        <w:ind w:firstLine="709"/>
        <w:jc w:val="both"/>
        <w:rPr>
          <w:b/>
          <w:bCs/>
          <w:color w:val="808080"/>
          <w:sz w:val="25"/>
          <w:szCs w:val="25"/>
        </w:rPr>
      </w:pPr>
      <w:r w:rsidRPr="006322D2">
        <w:rPr>
          <w:b/>
          <w:bCs/>
          <w:color w:val="808080"/>
          <w:sz w:val="25"/>
          <w:szCs w:val="25"/>
        </w:rPr>
        <w:t>La défaillance avérée de cette dernière a amené le Haut-Commissariat au Plan à résilier le marché relatif à cette opération, alors qu’un audit des activités de la dite Division a été diligenté par l’Inspection Générale et les Directions des deux départements de l’emploi et de l’informatique, dans le but de s’assurer de la préservation du niveau de la qualité et de la régularité des indicateurs trimestriels sur les marchés de l’emploi régionaux déjà publiés par le HCP au cours notamment de l’année 2019.</w:t>
      </w:r>
    </w:p>
    <w:p w:rsidR="00AB41A1" w:rsidRPr="006322D2" w:rsidRDefault="00AB41A1" w:rsidP="006322D2">
      <w:pPr>
        <w:ind w:firstLine="708"/>
        <w:jc w:val="both"/>
        <w:rPr>
          <w:b/>
          <w:bCs/>
          <w:color w:val="808080"/>
          <w:sz w:val="25"/>
          <w:szCs w:val="25"/>
        </w:rPr>
      </w:pPr>
    </w:p>
    <w:p w:rsidR="006322D2" w:rsidRDefault="006322D2" w:rsidP="00AB41A1">
      <w:pPr>
        <w:spacing w:line="288" w:lineRule="auto"/>
        <w:ind w:firstLine="709"/>
        <w:jc w:val="both"/>
        <w:rPr>
          <w:b/>
          <w:bCs/>
          <w:color w:val="808080"/>
          <w:sz w:val="25"/>
          <w:szCs w:val="25"/>
        </w:rPr>
      </w:pPr>
      <w:r w:rsidRPr="006322D2">
        <w:rPr>
          <w:b/>
          <w:bCs/>
          <w:color w:val="808080"/>
          <w:sz w:val="25"/>
          <w:szCs w:val="25"/>
        </w:rPr>
        <w:t xml:space="preserve">Au terme de ces audits, il a été décidé de suspendre provisoirement la publication des indicateurs relatifs à l’emploi régional jusqu’à ce qu’une investigation plus circonstanciée confirme leur rigoureuse conformité aux normes statistiques en vigueur et permette de déterminer, le cas échéant, les éventuels redressements nécessaires à la sauvegarde de la robustesse habituelle des indicateurs produits par le HCP. </w:t>
      </w:r>
    </w:p>
    <w:p w:rsidR="00AB41A1" w:rsidRPr="006322D2" w:rsidRDefault="00AB41A1" w:rsidP="006322D2">
      <w:pPr>
        <w:ind w:firstLine="708"/>
        <w:jc w:val="both"/>
        <w:rPr>
          <w:b/>
          <w:bCs/>
          <w:color w:val="808080"/>
          <w:sz w:val="25"/>
          <w:szCs w:val="25"/>
        </w:rPr>
      </w:pPr>
    </w:p>
    <w:p w:rsidR="006322D2" w:rsidRPr="006322D2" w:rsidRDefault="006322D2" w:rsidP="00AB41A1">
      <w:pPr>
        <w:spacing w:line="288" w:lineRule="auto"/>
        <w:ind w:firstLine="709"/>
        <w:jc w:val="both"/>
        <w:rPr>
          <w:b/>
          <w:bCs/>
          <w:color w:val="808080"/>
          <w:sz w:val="25"/>
          <w:szCs w:val="25"/>
        </w:rPr>
      </w:pPr>
      <w:r w:rsidRPr="006322D2">
        <w:rPr>
          <w:b/>
          <w:bCs/>
          <w:color w:val="808080"/>
          <w:sz w:val="25"/>
          <w:szCs w:val="25"/>
        </w:rPr>
        <w:t xml:space="preserve">A cet effet, toutes les dispositions techniques et organisationnelles sont prises pour que, si l’éventualité de tels redressements était avérée, ces derniers ne puissent, en aucun cas, affecter les résultats des deux prochains trimestres de 2019 et, à fortiori, bien entendu, ceux de l’ensemble de  cette  année. </w:t>
      </w:r>
    </w:p>
    <w:p w:rsidR="002F237C" w:rsidRDefault="002F237C" w:rsidP="006322D2">
      <w:pPr>
        <w:ind w:left="993" w:hanging="993"/>
        <w:jc w:val="both"/>
        <w:rPr>
          <w:rFonts w:ascii="Palatino" w:hAnsi="Palatino" w:cs="Times"/>
          <w:b/>
          <w:bCs/>
          <w:shadow/>
          <w:color w:val="FF9900"/>
          <w:sz w:val="26"/>
          <w:szCs w:val="26"/>
        </w:rPr>
      </w:pPr>
    </w:p>
    <w:p w:rsidR="00EF11E3" w:rsidRDefault="00167FBA" w:rsidP="006322D2">
      <w:pPr>
        <w:ind w:left="993" w:hanging="993"/>
        <w:jc w:val="both"/>
        <w:rPr>
          <w:rFonts w:ascii="Palatino" w:hAnsi="Palatino" w:cs="Times"/>
          <w:b/>
          <w:bCs/>
          <w:shadow/>
          <w:color w:val="FF9900"/>
          <w:sz w:val="26"/>
          <w:szCs w:val="26"/>
        </w:rPr>
      </w:pPr>
      <w:r>
        <w:rPr>
          <w:rFonts w:ascii="Palatino" w:hAnsi="Palatino" w:cs="Times"/>
          <w:b/>
          <w:bCs/>
          <w:shadow/>
          <w:color w:val="FF9900"/>
          <w:sz w:val="26"/>
          <w:szCs w:val="26"/>
        </w:rPr>
        <w:t xml:space="preserve">        </w:t>
      </w:r>
    </w:p>
    <w:sectPr w:rsidR="00EF11E3" w:rsidSect="004E75F1">
      <w:footerReference w:type="even" r:id="rId9"/>
      <w:footerReference w:type="default" r:id="rId10"/>
      <w:headerReference w:type="first" r:id="rId11"/>
      <w:footerReference w:type="first" r:id="rId12"/>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4AE" w:rsidRDefault="003744AE">
      <w:r>
        <w:separator/>
      </w:r>
    </w:p>
  </w:endnote>
  <w:endnote w:type="continuationSeparator" w:id="1">
    <w:p w:rsidR="003744AE" w:rsidRDefault="00374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C35C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C35C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322D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322D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C35C1">
    <w:pPr>
      <w:pStyle w:val="Pieddepage"/>
    </w:pPr>
    <w:r>
      <w:rPr>
        <w:noProof/>
      </w:rPr>
      <w:pict>
        <v:shapetype id="_x0000_t202" coordsize="21600,21600" o:spt="202" path="m,l,21600r21600,l21600,xe">
          <v:stroke joinstyle="miter"/>
          <v:path gradientshapeok="t" o:connecttype="rect"/>
        </v:shapetype>
        <v:shape id="_x0000_s2053" type="#_x0000_t202" style="position:absolute;margin-left:271pt;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59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1pt;margin-top:21.4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1" type="#_x0000_t202" style="position:absolute;margin-left:-21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0" type="#_x0000_t202" style="position:absolute;margin-left:243pt;margin-top:-15.2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68.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sidR="00480FBC">
                  <w:rPr>
                    <w:rFonts w:ascii="Arial" w:hAnsi="Arial" w:cs="Arial"/>
                    <w:color w:val="993366"/>
                    <w:sz w:val="20"/>
                    <w:szCs w:val="20"/>
                    <w:lang w:val="en-US"/>
                  </w:rPr>
                  <w:t xml:space="preserve">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4AE" w:rsidRDefault="003744AE">
      <w:r>
        <w:separator/>
      </w:r>
    </w:p>
  </w:footnote>
  <w:footnote w:type="continuationSeparator" w:id="1">
    <w:p w:rsidR="003744AE" w:rsidRDefault="00374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-1734185</wp:posOffset>
          </wp:positionH>
          <wp:positionV relativeFrom="paragraph">
            <wp:posOffset>-221615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1682"/>
    <o:shapelayout v:ext="edit">
      <o:idmap v:ext="edit" data="2"/>
    </o:shapelayout>
  </w:hdrShapeDefaults>
  <w:footnotePr>
    <w:footnote w:id="0"/>
    <w:footnote w:id="1"/>
  </w:footnotePr>
  <w:endnotePr>
    <w:endnote w:id="0"/>
    <w:endnote w:id="1"/>
  </w:endnotePr>
  <w:compat/>
  <w:rsids>
    <w:rsidRoot w:val="00A7067D"/>
    <w:rsid w:val="000025B3"/>
    <w:rsid w:val="000062B5"/>
    <w:rsid w:val="0001390E"/>
    <w:rsid w:val="00013A7F"/>
    <w:rsid w:val="00013C22"/>
    <w:rsid w:val="000152BC"/>
    <w:rsid w:val="000205FA"/>
    <w:rsid w:val="00024095"/>
    <w:rsid w:val="00024D2B"/>
    <w:rsid w:val="00027850"/>
    <w:rsid w:val="0005006E"/>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00AC"/>
    <w:rsid w:val="000D25AF"/>
    <w:rsid w:val="000E21D3"/>
    <w:rsid w:val="000E7503"/>
    <w:rsid w:val="000F408A"/>
    <w:rsid w:val="000F475B"/>
    <w:rsid w:val="000F7E9E"/>
    <w:rsid w:val="00100AF5"/>
    <w:rsid w:val="001063C7"/>
    <w:rsid w:val="00107113"/>
    <w:rsid w:val="00114C7E"/>
    <w:rsid w:val="00116B4A"/>
    <w:rsid w:val="00117290"/>
    <w:rsid w:val="00120AF1"/>
    <w:rsid w:val="001217AF"/>
    <w:rsid w:val="0012265F"/>
    <w:rsid w:val="00123F6D"/>
    <w:rsid w:val="00130CC8"/>
    <w:rsid w:val="00136CA8"/>
    <w:rsid w:val="00137652"/>
    <w:rsid w:val="001379C2"/>
    <w:rsid w:val="001437B0"/>
    <w:rsid w:val="0015016F"/>
    <w:rsid w:val="00153DC3"/>
    <w:rsid w:val="00155095"/>
    <w:rsid w:val="00155EBB"/>
    <w:rsid w:val="001622DE"/>
    <w:rsid w:val="001630F0"/>
    <w:rsid w:val="0016363C"/>
    <w:rsid w:val="001640AC"/>
    <w:rsid w:val="00167FBA"/>
    <w:rsid w:val="00173DF2"/>
    <w:rsid w:val="001744A2"/>
    <w:rsid w:val="00174719"/>
    <w:rsid w:val="00176CC0"/>
    <w:rsid w:val="00177EC0"/>
    <w:rsid w:val="00181EFF"/>
    <w:rsid w:val="00197C99"/>
    <w:rsid w:val="001A1A9C"/>
    <w:rsid w:val="001A282E"/>
    <w:rsid w:val="001A7093"/>
    <w:rsid w:val="001B4AB1"/>
    <w:rsid w:val="001B5C6C"/>
    <w:rsid w:val="001C3920"/>
    <w:rsid w:val="001C47BA"/>
    <w:rsid w:val="001C4BE1"/>
    <w:rsid w:val="001C7937"/>
    <w:rsid w:val="001D07F7"/>
    <w:rsid w:val="001D0B13"/>
    <w:rsid w:val="001D34E6"/>
    <w:rsid w:val="001D57E1"/>
    <w:rsid w:val="001D5940"/>
    <w:rsid w:val="001E05D5"/>
    <w:rsid w:val="001E5689"/>
    <w:rsid w:val="001F1343"/>
    <w:rsid w:val="001F2D63"/>
    <w:rsid w:val="001F3482"/>
    <w:rsid w:val="001F4836"/>
    <w:rsid w:val="001F6AD9"/>
    <w:rsid w:val="002019A3"/>
    <w:rsid w:val="00205A6A"/>
    <w:rsid w:val="00205FDF"/>
    <w:rsid w:val="00206659"/>
    <w:rsid w:val="002139B6"/>
    <w:rsid w:val="00214866"/>
    <w:rsid w:val="00220DF6"/>
    <w:rsid w:val="0022299E"/>
    <w:rsid w:val="0022597E"/>
    <w:rsid w:val="0023043F"/>
    <w:rsid w:val="00230874"/>
    <w:rsid w:val="002316A6"/>
    <w:rsid w:val="00241A0F"/>
    <w:rsid w:val="00242C76"/>
    <w:rsid w:val="00242CBE"/>
    <w:rsid w:val="002443AA"/>
    <w:rsid w:val="0024586A"/>
    <w:rsid w:val="00256291"/>
    <w:rsid w:val="002603C8"/>
    <w:rsid w:val="00262AA7"/>
    <w:rsid w:val="00264343"/>
    <w:rsid w:val="00264D30"/>
    <w:rsid w:val="00264E77"/>
    <w:rsid w:val="00271922"/>
    <w:rsid w:val="00271B7F"/>
    <w:rsid w:val="0028585A"/>
    <w:rsid w:val="00286F23"/>
    <w:rsid w:val="002872EF"/>
    <w:rsid w:val="00290B88"/>
    <w:rsid w:val="002A281B"/>
    <w:rsid w:val="002A5379"/>
    <w:rsid w:val="002A5A7C"/>
    <w:rsid w:val="002A688F"/>
    <w:rsid w:val="002C02CC"/>
    <w:rsid w:val="002C09B2"/>
    <w:rsid w:val="002C3D2E"/>
    <w:rsid w:val="002C6433"/>
    <w:rsid w:val="002D022C"/>
    <w:rsid w:val="002D3BD2"/>
    <w:rsid w:val="002D4302"/>
    <w:rsid w:val="002D49EF"/>
    <w:rsid w:val="002F237C"/>
    <w:rsid w:val="002F3B72"/>
    <w:rsid w:val="0030560D"/>
    <w:rsid w:val="0030605C"/>
    <w:rsid w:val="00311B75"/>
    <w:rsid w:val="003121A0"/>
    <w:rsid w:val="00314191"/>
    <w:rsid w:val="003151E9"/>
    <w:rsid w:val="00316A57"/>
    <w:rsid w:val="0031735D"/>
    <w:rsid w:val="003243B5"/>
    <w:rsid w:val="00326824"/>
    <w:rsid w:val="00327972"/>
    <w:rsid w:val="003347C0"/>
    <w:rsid w:val="0033724B"/>
    <w:rsid w:val="00341857"/>
    <w:rsid w:val="00341BE6"/>
    <w:rsid w:val="00345CB6"/>
    <w:rsid w:val="00346F33"/>
    <w:rsid w:val="003479EC"/>
    <w:rsid w:val="00351D4C"/>
    <w:rsid w:val="003557D2"/>
    <w:rsid w:val="00360101"/>
    <w:rsid w:val="003671BE"/>
    <w:rsid w:val="003744AE"/>
    <w:rsid w:val="003755C7"/>
    <w:rsid w:val="00376048"/>
    <w:rsid w:val="00376C2C"/>
    <w:rsid w:val="00376C4A"/>
    <w:rsid w:val="00385013"/>
    <w:rsid w:val="0039063A"/>
    <w:rsid w:val="00393B90"/>
    <w:rsid w:val="00393EF8"/>
    <w:rsid w:val="003A0BAE"/>
    <w:rsid w:val="003A14B5"/>
    <w:rsid w:val="003A5CB2"/>
    <w:rsid w:val="003B7C9A"/>
    <w:rsid w:val="003C104F"/>
    <w:rsid w:val="003C131B"/>
    <w:rsid w:val="003C1624"/>
    <w:rsid w:val="003C357A"/>
    <w:rsid w:val="003E5DDB"/>
    <w:rsid w:val="003F28EA"/>
    <w:rsid w:val="003F445E"/>
    <w:rsid w:val="00401D3E"/>
    <w:rsid w:val="00403A20"/>
    <w:rsid w:val="0041796D"/>
    <w:rsid w:val="004275D6"/>
    <w:rsid w:val="00432DB8"/>
    <w:rsid w:val="00446DB7"/>
    <w:rsid w:val="00447FBC"/>
    <w:rsid w:val="00455540"/>
    <w:rsid w:val="00457DC1"/>
    <w:rsid w:val="00461967"/>
    <w:rsid w:val="004744FF"/>
    <w:rsid w:val="00480FBC"/>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B71F4"/>
    <w:rsid w:val="004C31CC"/>
    <w:rsid w:val="004C43FD"/>
    <w:rsid w:val="004C61ED"/>
    <w:rsid w:val="004C7286"/>
    <w:rsid w:val="004E36E2"/>
    <w:rsid w:val="004E67F8"/>
    <w:rsid w:val="004E75F1"/>
    <w:rsid w:val="004F553E"/>
    <w:rsid w:val="004F572F"/>
    <w:rsid w:val="004F57F8"/>
    <w:rsid w:val="004F70A7"/>
    <w:rsid w:val="005052E3"/>
    <w:rsid w:val="005126CC"/>
    <w:rsid w:val="005178FE"/>
    <w:rsid w:val="00523962"/>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2DD8"/>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216A"/>
    <w:rsid w:val="00623908"/>
    <w:rsid w:val="00630E13"/>
    <w:rsid w:val="0063123E"/>
    <w:rsid w:val="006322D2"/>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0CE1"/>
    <w:rsid w:val="00682878"/>
    <w:rsid w:val="0068506D"/>
    <w:rsid w:val="00687A8F"/>
    <w:rsid w:val="00690CED"/>
    <w:rsid w:val="00692552"/>
    <w:rsid w:val="00694FF6"/>
    <w:rsid w:val="00695BAE"/>
    <w:rsid w:val="006A3883"/>
    <w:rsid w:val="006B5F68"/>
    <w:rsid w:val="006D22BC"/>
    <w:rsid w:val="006D4F49"/>
    <w:rsid w:val="006D5C8F"/>
    <w:rsid w:val="006D5FDB"/>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5E1"/>
    <w:rsid w:val="007418E0"/>
    <w:rsid w:val="007570CB"/>
    <w:rsid w:val="00760348"/>
    <w:rsid w:val="00762728"/>
    <w:rsid w:val="00763069"/>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44493"/>
    <w:rsid w:val="00852402"/>
    <w:rsid w:val="00852C8C"/>
    <w:rsid w:val="0086177A"/>
    <w:rsid w:val="00866410"/>
    <w:rsid w:val="00867FAB"/>
    <w:rsid w:val="0087042E"/>
    <w:rsid w:val="008712A1"/>
    <w:rsid w:val="0087409F"/>
    <w:rsid w:val="00877C3F"/>
    <w:rsid w:val="00877E3C"/>
    <w:rsid w:val="0088015C"/>
    <w:rsid w:val="00884C20"/>
    <w:rsid w:val="0088592B"/>
    <w:rsid w:val="008864AD"/>
    <w:rsid w:val="008938AA"/>
    <w:rsid w:val="008946E5"/>
    <w:rsid w:val="00894A15"/>
    <w:rsid w:val="00894C3A"/>
    <w:rsid w:val="008951BF"/>
    <w:rsid w:val="008A2CAA"/>
    <w:rsid w:val="008A4CF7"/>
    <w:rsid w:val="008A6A9C"/>
    <w:rsid w:val="008B1707"/>
    <w:rsid w:val="008B1E6D"/>
    <w:rsid w:val="008B32BE"/>
    <w:rsid w:val="008B3E9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10948"/>
    <w:rsid w:val="00930BC1"/>
    <w:rsid w:val="00931126"/>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A7581"/>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2D1B"/>
    <w:rsid w:val="00A44584"/>
    <w:rsid w:val="00A5496C"/>
    <w:rsid w:val="00A610E0"/>
    <w:rsid w:val="00A6210F"/>
    <w:rsid w:val="00A64EE0"/>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1A1"/>
    <w:rsid w:val="00AB4E07"/>
    <w:rsid w:val="00AB5F93"/>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317EB"/>
    <w:rsid w:val="00B31D24"/>
    <w:rsid w:val="00B35A48"/>
    <w:rsid w:val="00B37707"/>
    <w:rsid w:val="00B417BE"/>
    <w:rsid w:val="00B42470"/>
    <w:rsid w:val="00B43C45"/>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A5F9D"/>
    <w:rsid w:val="00BB27CA"/>
    <w:rsid w:val="00BB3BD2"/>
    <w:rsid w:val="00BB55C0"/>
    <w:rsid w:val="00BC035F"/>
    <w:rsid w:val="00BC2E39"/>
    <w:rsid w:val="00BC2EE7"/>
    <w:rsid w:val="00BC35C1"/>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4EA2"/>
    <w:rsid w:val="00C455CF"/>
    <w:rsid w:val="00C45E08"/>
    <w:rsid w:val="00C46223"/>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B7B6F"/>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3B2A"/>
    <w:rsid w:val="00D14BAE"/>
    <w:rsid w:val="00D15EC7"/>
    <w:rsid w:val="00D224CC"/>
    <w:rsid w:val="00D25594"/>
    <w:rsid w:val="00D30672"/>
    <w:rsid w:val="00D30B74"/>
    <w:rsid w:val="00D40AE4"/>
    <w:rsid w:val="00D46A93"/>
    <w:rsid w:val="00D4763E"/>
    <w:rsid w:val="00D60382"/>
    <w:rsid w:val="00D71FF6"/>
    <w:rsid w:val="00D820EB"/>
    <w:rsid w:val="00D82174"/>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2EC1"/>
    <w:rsid w:val="00E4560A"/>
    <w:rsid w:val="00E52A17"/>
    <w:rsid w:val="00E52E24"/>
    <w:rsid w:val="00E54E88"/>
    <w:rsid w:val="00E62E93"/>
    <w:rsid w:val="00E643D8"/>
    <w:rsid w:val="00E6596F"/>
    <w:rsid w:val="00E66C12"/>
    <w:rsid w:val="00E72D4D"/>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D7398"/>
    <w:rsid w:val="00EE0046"/>
    <w:rsid w:val="00EE549F"/>
    <w:rsid w:val="00EE5D39"/>
    <w:rsid w:val="00EF11E3"/>
    <w:rsid w:val="00EF13CA"/>
    <w:rsid w:val="00EF2E82"/>
    <w:rsid w:val="00F1016F"/>
    <w:rsid w:val="00F11331"/>
    <w:rsid w:val="00F13493"/>
    <w:rsid w:val="00F15891"/>
    <w:rsid w:val="00F16832"/>
    <w:rsid w:val="00F172CA"/>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6DBC"/>
    <w:rsid w:val="00FA7AA7"/>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3</cp:revision>
  <cp:lastPrinted>2019-07-05T10:11:00Z</cp:lastPrinted>
  <dcterms:created xsi:type="dcterms:W3CDTF">2019-08-07T15:36:00Z</dcterms:created>
  <dcterms:modified xsi:type="dcterms:W3CDTF">2019-08-07T15:36:00Z</dcterms:modified>
</cp:coreProperties>
</file>