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D475D3" w:rsidRDefault="00D475D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A273B7" w:rsidRPr="00A273B7" w:rsidRDefault="00A273B7" w:rsidP="00A273B7">
      <w:pPr>
        <w:bidi/>
        <w:jc w:val="center"/>
        <w:rPr>
          <w:b/>
          <w:bCs/>
          <w:shadow/>
          <w:color w:val="FF9900"/>
          <w:sz w:val="30"/>
          <w:szCs w:val="30"/>
        </w:rPr>
      </w:pPr>
      <w:proofErr w:type="gramStart"/>
      <w:r w:rsidRPr="00A273B7">
        <w:rPr>
          <w:b/>
          <w:bCs/>
          <w:shadow/>
          <w:color w:val="FF9900"/>
          <w:sz w:val="30"/>
          <w:szCs w:val="30"/>
          <w:rtl/>
        </w:rPr>
        <w:t>المندوبية</w:t>
      </w:r>
      <w:proofErr w:type="gramEnd"/>
      <w:r w:rsidRPr="00A273B7">
        <w:rPr>
          <w:b/>
          <w:bCs/>
          <w:shadow/>
          <w:color w:val="FF9900"/>
          <w:sz w:val="30"/>
          <w:szCs w:val="30"/>
          <w:rtl/>
        </w:rPr>
        <w:t xml:space="preserve"> السامية للتخطيط تعلق مؤقتا نشر </w:t>
      </w:r>
      <w:r w:rsidRPr="00A273B7">
        <w:rPr>
          <w:rFonts w:hint="cs"/>
          <w:b/>
          <w:bCs/>
          <w:shadow/>
          <w:color w:val="FF9900"/>
          <w:sz w:val="30"/>
          <w:szCs w:val="30"/>
          <w:rtl/>
        </w:rPr>
        <w:t>المؤشرات</w:t>
      </w:r>
      <w:r w:rsidRPr="00A273B7">
        <w:rPr>
          <w:b/>
          <w:bCs/>
          <w:shadow/>
          <w:color w:val="FF9900"/>
          <w:sz w:val="30"/>
          <w:szCs w:val="30"/>
          <w:rtl/>
        </w:rPr>
        <w:t xml:space="preserve"> الفصلية</w:t>
      </w:r>
    </w:p>
    <w:p w:rsidR="00A273B7" w:rsidRDefault="00A273B7" w:rsidP="00A273B7">
      <w:pPr>
        <w:bidi/>
        <w:jc w:val="center"/>
        <w:rPr>
          <w:b/>
          <w:bCs/>
          <w:sz w:val="32"/>
          <w:szCs w:val="32"/>
          <w:lang w:bidi="ar-MA"/>
        </w:rPr>
      </w:pPr>
      <w:r w:rsidRPr="00A273B7">
        <w:rPr>
          <w:b/>
          <w:bCs/>
          <w:shadow/>
          <w:color w:val="FF9900"/>
          <w:sz w:val="30"/>
          <w:szCs w:val="30"/>
          <w:rtl/>
        </w:rPr>
        <w:t xml:space="preserve"> حول </w:t>
      </w:r>
      <w:r w:rsidRPr="00A273B7">
        <w:rPr>
          <w:rFonts w:hint="cs"/>
          <w:b/>
          <w:bCs/>
          <w:shadow/>
          <w:color w:val="FF9900"/>
          <w:sz w:val="30"/>
          <w:szCs w:val="30"/>
          <w:rtl/>
        </w:rPr>
        <w:t>سوق الشغل</w:t>
      </w:r>
      <w:r w:rsidRPr="00A273B7">
        <w:rPr>
          <w:b/>
          <w:bCs/>
          <w:shadow/>
          <w:color w:val="FF9900"/>
          <w:sz w:val="30"/>
          <w:szCs w:val="30"/>
          <w:rtl/>
        </w:rPr>
        <w:t xml:space="preserve"> على المستوى </w:t>
      </w:r>
      <w:proofErr w:type="spellStart"/>
      <w:r w:rsidRPr="00A273B7">
        <w:rPr>
          <w:b/>
          <w:bCs/>
          <w:shadow/>
          <w:color w:val="FF9900"/>
          <w:sz w:val="30"/>
          <w:szCs w:val="30"/>
          <w:rtl/>
        </w:rPr>
        <w:t>الجهوي</w:t>
      </w:r>
      <w:proofErr w:type="spellEnd"/>
      <w:r>
        <w:rPr>
          <w:b/>
          <w:bCs/>
          <w:sz w:val="32"/>
          <w:szCs w:val="32"/>
          <w:rtl/>
          <w:lang w:bidi="ar-MA"/>
        </w:rPr>
        <w:t xml:space="preserve"> </w:t>
      </w:r>
    </w:p>
    <w:p w:rsidR="00A273B7" w:rsidRDefault="00A273B7" w:rsidP="00A273B7">
      <w:pPr>
        <w:bidi/>
        <w:jc w:val="center"/>
        <w:rPr>
          <w:b/>
          <w:bCs/>
          <w:sz w:val="32"/>
          <w:szCs w:val="32"/>
          <w:rtl/>
          <w:lang w:bidi="ar-MA"/>
        </w:rPr>
      </w:pP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8E5060" w:rsidRPr="00A273B7" w:rsidRDefault="008E5060" w:rsidP="002A708D">
      <w:pPr>
        <w:bidi/>
        <w:spacing w:line="264" w:lineRule="auto"/>
        <w:ind w:firstLine="709"/>
        <w:jc w:val="both"/>
        <w:rPr>
          <w:b/>
          <w:bCs/>
          <w:color w:val="808080"/>
          <w:sz w:val="32"/>
          <w:szCs w:val="32"/>
        </w:rPr>
      </w:pPr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فيما كانت المندوبية السامية للتخطيط منهمكة في بلورة مشروع برنامج واسع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للرقمنة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الإحصائية ستقوم بإنجازه ابتداء من يناير 2020 بدعم من خبرة وطنية ودولية رفيعة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المستوى،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كان قسم البحوث حول التشغيل التابع لمديرية الإحصاء قد شرع في مراجعة نمط تجميع معطيات البحث الوطني حول التشغيل بمساهمة شركة خاصة وطنية.</w:t>
      </w:r>
    </w:p>
    <w:p w:rsidR="002A708D" w:rsidRPr="00DC5E18" w:rsidRDefault="002A708D" w:rsidP="002A708D">
      <w:pPr>
        <w:bidi/>
        <w:spacing w:line="264" w:lineRule="auto"/>
        <w:ind w:firstLine="709"/>
        <w:jc w:val="both"/>
        <w:rPr>
          <w:sz w:val="30"/>
          <w:szCs w:val="30"/>
          <w:rtl/>
          <w:lang w:bidi="ar-MA"/>
        </w:rPr>
      </w:pPr>
    </w:p>
    <w:p w:rsidR="008E5060" w:rsidRDefault="008E5060" w:rsidP="002A708D">
      <w:pPr>
        <w:bidi/>
        <w:spacing w:line="264" w:lineRule="auto"/>
        <w:ind w:firstLine="709"/>
        <w:jc w:val="both"/>
        <w:rPr>
          <w:sz w:val="30"/>
          <w:szCs w:val="30"/>
          <w:lang w:bidi="ar-MA"/>
        </w:rPr>
      </w:pPr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وبعد أن تأكد عجز هذه الأخيرة على الإيفاء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بالتزاماتها،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اضطرت المندوبية السامية للتخطيط إلى إلغاء الصفقة التي تربطها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بها،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فيما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تم،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موازاة مع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ذلك،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تكليف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المفتشية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العامة والمديريتين المكلفتين بالتشغيل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والمعلوميات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بإجراء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افتحاص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لأنشطة قسم البحوث حول التشغيل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المذكور،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وذلك من أجل التأكد من محافظة المؤشرات الفصلية حول سوق الشغل على الصعيد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الجهوي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التي تنشرها المندوبية السامية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للتخطيط،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على مستوى جودتها وانتظام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دوراتها،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بما فيها تلك التي سبق نشرها خلال سنة 2019.</w:t>
      </w:r>
      <w:r w:rsidRPr="00DC5E18">
        <w:rPr>
          <w:rFonts w:hint="cs"/>
          <w:sz w:val="30"/>
          <w:szCs w:val="30"/>
          <w:rtl/>
          <w:lang w:bidi="ar-MA"/>
        </w:rPr>
        <w:t xml:space="preserve">  </w:t>
      </w:r>
    </w:p>
    <w:p w:rsidR="002A708D" w:rsidRPr="00DC5E18" w:rsidRDefault="002A708D" w:rsidP="002A708D">
      <w:pPr>
        <w:bidi/>
        <w:spacing w:line="264" w:lineRule="auto"/>
        <w:ind w:firstLine="709"/>
        <w:jc w:val="both"/>
        <w:rPr>
          <w:sz w:val="30"/>
          <w:szCs w:val="30"/>
          <w:rtl/>
          <w:lang w:bidi="ar-MA"/>
        </w:rPr>
      </w:pPr>
    </w:p>
    <w:p w:rsidR="008E5060" w:rsidRPr="00A273B7" w:rsidRDefault="008E5060" w:rsidP="00B83FA9">
      <w:pPr>
        <w:bidi/>
        <w:spacing w:line="264" w:lineRule="auto"/>
        <w:ind w:firstLine="709"/>
        <w:jc w:val="both"/>
        <w:rPr>
          <w:b/>
          <w:bCs/>
          <w:color w:val="808080"/>
          <w:sz w:val="32"/>
          <w:szCs w:val="32"/>
        </w:rPr>
      </w:pP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هذا،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وإثر دراسة نتائج هذه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الافتحاصات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استقر الرأي على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التعليق،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بصفة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مؤقتة،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لنشر المؤشرات حول التشغيل على المستوى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الجهوي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إلى أن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يتم،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بعد مراجعتها بكيفية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معمقة،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من أجل تأكيد </w:t>
      </w:r>
      <w:proofErr w:type="gramStart"/>
      <w:r w:rsidRPr="00A273B7">
        <w:rPr>
          <w:rFonts w:hint="cs"/>
          <w:b/>
          <w:bCs/>
          <w:color w:val="808080"/>
          <w:sz w:val="32"/>
          <w:szCs w:val="32"/>
          <w:rtl/>
        </w:rPr>
        <w:t>مطابقتها</w:t>
      </w:r>
      <w:proofErr w:type="gram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للمعايير المنهجية المعتمدة اعتياديا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بشأنها،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أو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تتضح،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عند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الاقتضاء،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نوعية التعديلات اللازم خضوعها لها للحفاظ على المتانة المعهودة للمؤشرات التي تنتجها المندوبية السامية للتخطيط.</w:t>
      </w:r>
    </w:p>
    <w:p w:rsidR="00B83FA9" w:rsidRPr="00B83FA9" w:rsidRDefault="00B83FA9" w:rsidP="00B83FA9">
      <w:pPr>
        <w:bidi/>
        <w:spacing w:line="264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8E5060" w:rsidRPr="00DC5E18" w:rsidRDefault="008E5060" w:rsidP="008E5060">
      <w:pPr>
        <w:bidi/>
        <w:spacing w:line="264" w:lineRule="auto"/>
        <w:ind w:firstLine="709"/>
        <w:jc w:val="both"/>
        <w:rPr>
          <w:sz w:val="30"/>
          <w:szCs w:val="30"/>
          <w:rtl/>
          <w:lang w:bidi="ar-MA"/>
        </w:rPr>
      </w:pPr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ومن أجل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هذا،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فقد تم اتخاذ جميع التدابير التقنية والتنظيمية الضرورية من أجل أن لا يكون لمثل هذه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التعديلات،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في حال القيام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بها،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أي تأثير على نتائج الفصلين المقبلين لسنة </w:t>
      </w:r>
      <w:proofErr w:type="spellStart"/>
      <w:r w:rsidRPr="00A273B7">
        <w:rPr>
          <w:rFonts w:hint="cs"/>
          <w:b/>
          <w:bCs/>
          <w:color w:val="808080"/>
          <w:sz w:val="32"/>
          <w:szCs w:val="32"/>
          <w:rtl/>
        </w:rPr>
        <w:t>2019،</w:t>
      </w:r>
      <w:proofErr w:type="spellEnd"/>
      <w:r w:rsidRPr="00A273B7">
        <w:rPr>
          <w:rFonts w:hint="cs"/>
          <w:b/>
          <w:bCs/>
          <w:color w:val="808080"/>
          <w:sz w:val="32"/>
          <w:szCs w:val="32"/>
          <w:rtl/>
        </w:rPr>
        <w:t xml:space="preserve"> وبالأحرى على نتائج مجموع هذه السنة.</w:t>
      </w:r>
      <w:r w:rsidRPr="00DC5E18">
        <w:rPr>
          <w:rFonts w:hint="cs"/>
          <w:sz w:val="30"/>
          <w:szCs w:val="30"/>
          <w:rtl/>
          <w:lang w:bidi="ar-MA"/>
        </w:rPr>
        <w:t xml:space="preserve"> </w:t>
      </w:r>
    </w:p>
    <w:p w:rsidR="00D21C27" w:rsidRP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93C" w:rsidRDefault="0048093C">
      <w:r>
        <w:separator/>
      </w:r>
    </w:p>
  </w:endnote>
  <w:endnote w:type="continuationSeparator" w:id="0">
    <w:p w:rsidR="0048093C" w:rsidRDefault="00480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546D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6546D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273B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273B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546D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93C" w:rsidRDefault="0048093C">
      <w:r>
        <w:separator/>
      </w:r>
    </w:p>
  </w:footnote>
  <w:footnote w:type="continuationSeparator" w:id="0">
    <w:p w:rsidR="0048093C" w:rsidRDefault="00480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A708D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093C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A530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46D5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96598"/>
    <w:rsid w:val="006A1B1D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060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273B7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FA9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F12C8"/>
    <w:rsid w:val="00CF3217"/>
    <w:rsid w:val="00D01031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6</cp:revision>
  <cp:lastPrinted>2012-11-26T10:50:00Z</cp:lastPrinted>
  <dcterms:created xsi:type="dcterms:W3CDTF">2019-08-07T20:58:00Z</dcterms:created>
  <dcterms:modified xsi:type="dcterms:W3CDTF">2019-08-07T21:05:00Z</dcterms:modified>
</cp:coreProperties>
</file>