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D" w:rsidRPr="009C75E9" w:rsidRDefault="00CC6DCA" w:rsidP="00E13B2D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 w:rsidRPr="00CC6DCA"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.4pt;margin-top:-59.3pt;width:130.5pt;height:59.3pt;z-index:251657216" wrapcoords="-106 0 -106 21308 21600 21308 21600 0 -106 0">
            <v:imagedata r:id="rId7" o:title=""/>
          </v:shape>
          <o:OLEObject Type="Embed" ProgID="PBrush" ShapeID="_x0000_s1026" DrawAspect="Content" ObjectID="_1622368348" r:id="rId8"/>
        </w:pict>
      </w:r>
      <w:r w:rsidRPr="00CC6DCA">
        <w:rPr>
          <w:noProof/>
          <w:rtl/>
          <w:lang w:eastAsia="fr-FR"/>
        </w:rPr>
        <w:pict>
          <v:group id="Group 27" o:spid="_x0000_s1039" style="position:absolute;margin-left:-163.3pt;margin-top:-66.2pt;width:910.15pt;height:181.5pt;z-index:25165312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B7313F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</w:t>
      </w:r>
    </w:p>
    <w:p w:rsidR="00E13B2D" w:rsidRPr="009C75E9" w:rsidRDefault="00E13B2D" w:rsidP="00E13B2D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E13B2D" w:rsidRPr="009C75E9" w:rsidRDefault="00CC6DCA" w:rsidP="00E13B2D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 w:rsidRPr="00CC6DCA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38" type="#_x0000_t202" style="position:absolute;left:0;text-align:left;margin-left:-20.25pt;margin-top:21.55pt;width:453.6pt;height:84.75pt;z-index:25165619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E13B2D" w:rsidRPr="009C75E9" w:rsidRDefault="00E13B2D" w:rsidP="00E13B2D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B7313F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</w:t>
                  </w:r>
                  <w:r w:rsidR="00C23CE5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  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E13B2D" w:rsidRDefault="00E13B2D" w:rsidP="00E13B2D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E13B2D" w:rsidRPr="009C75E9" w:rsidRDefault="00E13B2D" w:rsidP="00E13B2D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E13B2D" w:rsidRPr="009C75E9" w:rsidRDefault="00E13B2D" w:rsidP="00E13B2D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E13B2D" w:rsidRDefault="00E13B2D" w:rsidP="00E13B2D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CC6DCA" w:rsidP="000823A5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CC6DCA">
        <w:rPr>
          <w:rFonts w:ascii="Calibri" w:hAnsi="Calibri" w:cs="Arabic Transparent"/>
          <w:b/>
          <w:bCs/>
          <w:noProof/>
          <w:color w:val="660066"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37" type="#_x0000_t32" style="position:absolute;left:0;text-align:left;margin-left:-57.35pt;margin-top:23.9pt;width:567.7pt;height:0;z-index:25165516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" strokecolor="#e46c0a">
            <v:shadow color="#974706 [1609]" opacity=".5" offset="1pt"/>
          </v:shape>
        </w:pict>
      </w:r>
      <w:r w:rsidR="00345F19">
        <w:rPr>
          <w:rFonts w:ascii="Calibri" w:hAnsi="Calibri" w:cs="Times New Roman" w:hint="cs"/>
          <w:b/>
          <w:bCs/>
          <w:color w:val="660066"/>
          <w:sz w:val="32"/>
          <w:szCs w:val="32"/>
          <w:rtl/>
          <w:lang w:bidi="ar-MA"/>
        </w:rPr>
        <w:t>يونيو</w:t>
      </w:r>
      <w:r w:rsidR="00E13B2D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0823A5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E13B2D" w:rsidP="00E13B2D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CC6DCA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 w:rsidRPr="00CC6DCA">
        <w:rPr>
          <w:noProof/>
          <w:lang w:eastAsia="fr-FR"/>
        </w:rPr>
        <w:pict>
          <v:shape id="Text Box 30" o:spid="_x0000_s1036" type="#_x0000_t202" style="position:absolute;left:0;text-align:left;margin-left:0;margin-top:16.6pt;width:464.85pt;height:87.65pt;z-index:25165414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" fillcolor="#fbd4b4">
            <v:textbox>
              <w:txbxContent>
                <w:p w:rsidR="00E13B2D" w:rsidRPr="00C81B39" w:rsidRDefault="00E13B2D" w:rsidP="000823A5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ارتسامات</w:t>
                  </w:r>
                  <w:r w:rsidR="00B7313F">
                    <w:rPr>
                      <w:sz w:val="24"/>
                      <w:szCs w:val="24"/>
                    </w:rPr>
                    <w:t xml:space="preserve"> </w:t>
                  </w:r>
                  <w:r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B7313F">
                    <w:rPr>
                      <w:rFonts w:cs="Times New Roman"/>
                      <w:sz w:val="26"/>
                      <w:szCs w:val="26"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B7313F">
                    <w:rPr>
                      <w:sz w:val="24"/>
                      <w:szCs w:val="24"/>
                    </w:rPr>
                    <w:t xml:space="preserve"> </w:t>
                  </w:r>
                  <w:r w:rsidR="00345F19">
                    <w:rPr>
                      <w:rFonts w:hint="cs"/>
                      <w:sz w:val="24"/>
                      <w:szCs w:val="24"/>
                      <w:rtl/>
                    </w:rPr>
                    <w:t>الثاني</w:t>
                  </w:r>
                  <w:r w:rsidR="00B7313F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 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 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B7313F">
                    <w:rPr>
                      <w:sz w:val="24"/>
                      <w:szCs w:val="24"/>
                    </w:rPr>
                    <w:t xml:space="preserve"> </w:t>
                  </w:r>
                  <w:r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. وترصد هذه الإرتسامات</w:t>
                  </w:r>
                  <w:r w:rsidR="00B7313F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345F19">
                    <w:rPr>
                      <w:rFonts w:hint="cs"/>
                      <w:sz w:val="24"/>
                      <w:szCs w:val="24"/>
                      <w:rtl/>
                    </w:rPr>
                    <w:t>الأول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345F19">
                    <w:rPr>
                      <w:rFonts w:hint="cs"/>
                      <w:sz w:val="24"/>
                      <w:szCs w:val="24"/>
                      <w:rtl/>
                    </w:rPr>
                    <w:t>2019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B7313F">
                    <w:rPr>
                      <w:sz w:val="24"/>
                      <w:szCs w:val="24"/>
                    </w:rPr>
                    <w:t xml:space="preserve"> </w:t>
                  </w:r>
                  <w:r w:rsidR="00345F19">
                    <w:rPr>
                      <w:rFonts w:hint="cs"/>
                      <w:sz w:val="24"/>
                      <w:szCs w:val="24"/>
                      <w:rtl/>
                    </w:rPr>
                    <w:t>الثاني</w:t>
                  </w:r>
                  <w:r w:rsidR="00B7313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>سنة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 xml:space="preserve"> 2019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E13B2D" w:rsidP="00F752B5">
      <w:pPr>
        <w:pStyle w:val="Paragraphedeliste"/>
        <w:numPr>
          <w:ilvl w:val="0"/>
          <w:numId w:val="1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 w:rsidR="00B7313F">
        <w:rPr>
          <w:rFonts w:ascii="Calibri" w:hAnsi="Calibri" w:cs="Arabic Transparent"/>
          <w:b/>
          <w:bCs/>
          <w:color w:val="660066"/>
          <w:sz w:val="32"/>
          <w:szCs w:val="32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="00B7313F">
        <w:rPr>
          <w:rFonts w:ascii="Calibri" w:hAnsi="Calibri" w:cs="Arabic Transparent"/>
          <w:b/>
          <w:bCs/>
          <w:color w:val="660066"/>
          <w:sz w:val="32"/>
          <w:szCs w:val="32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B7313F">
        <w:rPr>
          <w:rFonts w:ascii="Calibri" w:hAnsi="Calibri" w:cs="Arabic Transparent"/>
          <w:b/>
          <w:bCs/>
          <w:color w:val="660066"/>
          <w:sz w:val="32"/>
          <w:szCs w:val="32"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345F1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الأول</w:t>
      </w:r>
      <w:r w:rsidR="00B7313F">
        <w:rPr>
          <w:rFonts w:ascii="Calibri" w:hAnsi="Calibri" w:cs="Arabic Transparent"/>
          <w:b/>
          <w:bCs/>
          <w:color w:val="660066"/>
          <w:sz w:val="32"/>
          <w:szCs w:val="32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 w:rsidR="00345F1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</w:p>
    <w:p w:rsidR="00E13B2D" w:rsidRPr="009C75E9" w:rsidRDefault="00E13B2D" w:rsidP="006001A2">
      <w:pPr>
        <w:ind w:left="360"/>
        <w:jc w:val="center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E13B2D" w:rsidRPr="009C75E9" w:rsidRDefault="00CA2E8F" w:rsidP="00305098">
      <w:pPr>
        <w:pStyle w:val="Paragraphedeliste"/>
        <w:numPr>
          <w:ilvl w:val="1"/>
          <w:numId w:val="3"/>
        </w:numPr>
        <w:spacing w:before="120" w:after="24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 w:rsidRPr="00CA2E8F">
        <w:rPr>
          <w:rFonts w:hint="cs"/>
          <w:noProof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-461645</wp:posOffset>
            </wp:positionH>
            <wp:positionV relativeFrom="margin">
              <wp:posOffset>4424680</wp:posOffset>
            </wp:positionV>
            <wp:extent cx="3343275" cy="2762250"/>
            <wp:effectExtent l="0" t="0" r="0" b="0"/>
            <wp:wrapSquare wrapText="bothSides"/>
            <wp:docPr id="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E13B2D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</w:t>
      </w:r>
      <w:r w:rsidR="00B7313F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B7313F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B7313F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E13B2D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A0BEC" w:rsidRPr="00487EA4" w:rsidRDefault="004A0BEC" w:rsidP="00B7313F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 w:rsidR="00B7313F">
        <w:rPr>
          <w:rFonts w:cs="Times New Roman"/>
          <w:sz w:val="26"/>
          <w:szCs w:val="26"/>
          <w:lang w:bidi="ar-MA"/>
        </w:rPr>
        <w:t xml:space="preserve"> </w:t>
      </w:r>
      <w:r w:rsidR="00345F19">
        <w:rPr>
          <w:rFonts w:cs="Times New Roman" w:hint="cs"/>
          <w:sz w:val="26"/>
          <w:szCs w:val="26"/>
          <w:rtl/>
          <w:lang w:bidi="ar-MA"/>
        </w:rPr>
        <w:t>الأول</w:t>
      </w:r>
      <w:r w:rsidR="00B7313F">
        <w:rPr>
          <w:rFonts w:cs="Times New Roman"/>
          <w:sz w:val="26"/>
          <w:szCs w:val="26"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>من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سنة </w:t>
      </w:r>
      <w:r w:rsidR="00345F19">
        <w:rPr>
          <w:rFonts w:cs="Times New Roman"/>
          <w:sz w:val="26"/>
          <w:szCs w:val="26"/>
          <w:rtl/>
          <w:lang w:bidi="ar-MA"/>
        </w:rPr>
        <w:t>2019</w:t>
      </w:r>
      <w:r w:rsidR="00B7313F">
        <w:rPr>
          <w:rFonts w:cs="Times New Roman"/>
          <w:sz w:val="26"/>
          <w:szCs w:val="26"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B7313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بلغت ن</w:t>
      </w:r>
      <w:r w:rsidRPr="006519F5">
        <w:rPr>
          <w:rFonts w:cs="Times New Roman" w:hint="cs"/>
          <w:sz w:val="26"/>
          <w:szCs w:val="26"/>
          <w:rtl/>
          <w:lang w:bidi="ar-MA"/>
        </w:rPr>
        <w:t xml:space="preserve">سبة </w:t>
      </w:r>
      <w:r w:rsidRPr="006519F5">
        <w:rPr>
          <w:rFonts w:cs="Times New Roman"/>
          <w:sz w:val="26"/>
          <w:szCs w:val="26"/>
          <w:lang w:bidi="ar-MA"/>
        </w:rPr>
        <w:t>%</w:t>
      </w:r>
      <w:r w:rsidR="00410A34">
        <w:rPr>
          <w:rFonts w:cs="Times New Roman"/>
          <w:sz w:val="26"/>
          <w:szCs w:val="26"/>
          <w:lang w:bidi="ar-MA"/>
        </w:rPr>
        <w:t>82</w:t>
      </w:r>
      <w:r w:rsidRPr="006519F5">
        <w:rPr>
          <w:rFonts w:cs="Times New Roman" w:hint="cs"/>
          <w:sz w:val="26"/>
          <w:szCs w:val="26"/>
          <w:rtl/>
          <w:lang w:bidi="ar-MA"/>
        </w:rPr>
        <w:t>. وقد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/>
          <w:sz w:val="26"/>
          <w:szCs w:val="26"/>
          <w:rtl/>
          <w:lang w:bidi="ar-MA"/>
        </w:rPr>
        <w:t>عرف</w:t>
      </w:r>
      <w:r>
        <w:rPr>
          <w:rFonts w:cs="Times New Roman" w:hint="cs"/>
          <w:sz w:val="26"/>
          <w:szCs w:val="26"/>
          <w:rtl/>
          <w:lang w:bidi="ar-MA"/>
        </w:rPr>
        <w:t xml:space="preserve"> ارتفاعا حسب </w:t>
      </w:r>
      <w:r w:rsidR="00410A34">
        <w:rPr>
          <w:rFonts w:cs="Times New Roman"/>
          <w:sz w:val="26"/>
          <w:szCs w:val="26"/>
          <w:lang w:bidi="ar-MA"/>
        </w:rPr>
        <w:t>54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>وا</w:t>
      </w:r>
      <w:r>
        <w:rPr>
          <w:rFonts w:cs="Times New Roman" w:hint="cs"/>
          <w:sz w:val="26"/>
          <w:szCs w:val="26"/>
          <w:rtl/>
          <w:lang w:bidi="ar-MA"/>
        </w:rPr>
        <w:t xml:space="preserve">نخفاضا حسب </w:t>
      </w:r>
      <w:r w:rsidRPr="00E23A74">
        <w:rPr>
          <w:rFonts w:cs="Times New Roman"/>
          <w:sz w:val="26"/>
          <w:szCs w:val="26"/>
          <w:lang w:bidi="ar-MA"/>
        </w:rPr>
        <w:t>%</w:t>
      </w:r>
      <w:r w:rsidR="00410A34">
        <w:rPr>
          <w:rFonts w:cs="Times New Roman"/>
          <w:sz w:val="26"/>
          <w:szCs w:val="26"/>
          <w:lang w:bidi="ar-MA"/>
        </w:rPr>
        <w:t>21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Pr="00E23A74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Pr="00E23A74">
        <w:rPr>
          <w:rFonts w:cs="Times New Roman" w:hint="cs"/>
          <w:sz w:val="26"/>
          <w:szCs w:val="26"/>
          <w:rtl/>
          <w:lang w:bidi="ar-MA"/>
        </w:rPr>
        <w:t>هذا</w:t>
      </w:r>
      <w:r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Pr="008A5B8D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من جهة، إلى التحسن المسجل في </w:t>
      </w:r>
      <w:r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Pr="00E23A74">
        <w:rPr>
          <w:rFonts w:cs="Times New Roman"/>
          <w:sz w:val="26"/>
          <w:szCs w:val="26"/>
          <w:rtl/>
          <w:lang w:bidi="ar-MA"/>
        </w:rPr>
        <w:t>نشطة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0A34" w:rsidRPr="00E23A74">
        <w:rPr>
          <w:rFonts w:cs="Times New Roman"/>
          <w:sz w:val="26"/>
          <w:szCs w:val="26"/>
          <w:rtl/>
          <w:lang w:bidi="ar-MA"/>
        </w:rPr>
        <w:t>"</w:t>
      </w:r>
      <w:r w:rsidR="00410A34" w:rsidRPr="006519F5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410A34" w:rsidRPr="00E23A74">
        <w:rPr>
          <w:rFonts w:cs="Times New Roman"/>
          <w:sz w:val="26"/>
          <w:szCs w:val="26"/>
          <w:rtl/>
          <w:lang w:bidi="ar-MA"/>
        </w:rPr>
        <w:t>"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87EA4">
        <w:rPr>
          <w:rFonts w:cs="Times New Roman" w:hint="cs"/>
          <w:sz w:val="26"/>
          <w:szCs w:val="26"/>
          <w:rtl/>
          <w:lang w:bidi="ar-MA"/>
        </w:rPr>
        <w:t>و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87EA4" w:rsidRPr="009C75E9">
        <w:rPr>
          <w:rFonts w:cs="Times New Roman"/>
          <w:sz w:val="26"/>
          <w:szCs w:val="26"/>
          <w:rtl/>
          <w:lang w:bidi="ar-MA"/>
        </w:rPr>
        <w:t>"</w:t>
      </w:r>
      <w:r w:rsidR="00487EA4">
        <w:rPr>
          <w:rFonts w:cs="Times New Roman" w:hint="cs"/>
          <w:sz w:val="26"/>
          <w:szCs w:val="26"/>
          <w:rtl/>
          <w:lang w:bidi="ar-MA"/>
        </w:rPr>
        <w:t>ا</w:t>
      </w:r>
      <w:r w:rsidR="00487EA4" w:rsidRPr="0065716B">
        <w:rPr>
          <w:rFonts w:cs="Times New Roman" w:hint="cs"/>
          <w:sz w:val="26"/>
          <w:szCs w:val="26"/>
          <w:rtl/>
          <w:lang w:bidi="ar-MA"/>
        </w:rPr>
        <w:t>لتخزين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والخدمات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الملحقة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بالنقل</w:t>
      </w:r>
      <w:r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305098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487EA4">
        <w:rPr>
          <w:rFonts w:cs="Times New Roman" w:hint="cs"/>
          <w:sz w:val="26"/>
          <w:szCs w:val="26"/>
          <w:rtl/>
          <w:lang w:bidi="ar-MA"/>
        </w:rPr>
        <w:t xml:space="preserve">ومن جهة أخرى، إلى </w:t>
      </w:r>
      <w:r w:rsidRPr="00487EA4">
        <w:rPr>
          <w:rFonts w:cs="Times New Roman"/>
          <w:sz w:val="26"/>
          <w:szCs w:val="26"/>
          <w:rtl/>
          <w:lang w:bidi="ar-MA"/>
        </w:rPr>
        <w:t>ا</w:t>
      </w:r>
      <w:r w:rsidRPr="00487EA4">
        <w:rPr>
          <w:rFonts w:cs="Times New Roman" w:hint="cs"/>
          <w:sz w:val="26"/>
          <w:szCs w:val="26"/>
          <w:rtl/>
          <w:lang w:bidi="ar-MA"/>
        </w:rPr>
        <w:t>لانخفاض المسجل على مستوى</w:t>
      </w:r>
      <w:r w:rsidR="00C66B07">
        <w:rPr>
          <w:rFonts w:cs="Times New Roman" w:hint="cs"/>
          <w:sz w:val="26"/>
          <w:szCs w:val="26"/>
          <w:rtl/>
          <w:lang w:bidi="ar-MA"/>
        </w:rPr>
        <w:t xml:space="preserve"> أنشطة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0A34" w:rsidRPr="009C75E9">
        <w:rPr>
          <w:rFonts w:cs="Times New Roman"/>
          <w:sz w:val="26"/>
          <w:szCs w:val="26"/>
          <w:rtl/>
          <w:lang w:bidi="ar-MA"/>
        </w:rPr>
        <w:t>"</w:t>
      </w:r>
      <w:r w:rsidR="00410A34" w:rsidRPr="0065716B">
        <w:rPr>
          <w:rFonts w:cs="Times New Roman"/>
          <w:sz w:val="26"/>
          <w:szCs w:val="26"/>
          <w:rtl/>
          <w:lang w:bidi="ar-MA"/>
        </w:rPr>
        <w:t>النقل</w:t>
      </w:r>
      <w:r w:rsidR="00B7313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0A34" w:rsidRPr="0065716B">
        <w:rPr>
          <w:rFonts w:cs="Times New Roman"/>
          <w:sz w:val="26"/>
          <w:szCs w:val="26"/>
          <w:rtl/>
          <w:lang w:bidi="ar-MA"/>
        </w:rPr>
        <w:t>الجوي</w:t>
      </w:r>
      <w:r w:rsidR="00410A34" w:rsidRPr="009C75E9">
        <w:rPr>
          <w:rFonts w:cs="Times New Roman"/>
          <w:sz w:val="26"/>
          <w:szCs w:val="26"/>
          <w:rtl/>
          <w:lang w:bidi="ar-MA"/>
        </w:rPr>
        <w:t>"</w:t>
      </w:r>
      <w:r w:rsidRPr="00487EA4">
        <w:rPr>
          <w:rFonts w:cs="Times New Roman" w:hint="cs"/>
          <w:sz w:val="26"/>
          <w:szCs w:val="26"/>
          <w:rtl/>
          <w:lang w:bidi="ar-MA"/>
        </w:rPr>
        <w:t>.</w:t>
      </w:r>
    </w:p>
    <w:p w:rsidR="004A0BEC" w:rsidRPr="009C75E9" w:rsidRDefault="004A0BEC" w:rsidP="00E94C2D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وتجدر الإشارة إلى أن </w:t>
      </w:r>
      <w:r>
        <w:rPr>
          <w:rFonts w:cs="Times New Roman" w:hint="cs"/>
          <w:sz w:val="26"/>
          <w:szCs w:val="26"/>
          <w:rtl/>
          <w:lang w:bidi="ar-MA"/>
        </w:rPr>
        <w:t>تطور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 w:rsidR="00CB477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 قد يكون رافقه</w:t>
      </w:r>
      <w:r w:rsidR="00CB477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0A34">
        <w:rPr>
          <w:rFonts w:cs="Times New Roman" w:hint="cs"/>
          <w:sz w:val="26"/>
          <w:szCs w:val="26"/>
          <w:rtl/>
          <w:lang w:bidi="ar-MA"/>
        </w:rPr>
        <w:t>ارتفاع</w:t>
      </w:r>
      <w:r w:rsidR="00CB477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 الخدمات الموجهة للخارج.</w:t>
      </w:r>
    </w:p>
    <w:p w:rsidR="004A0BEC" w:rsidRPr="00177315" w:rsidRDefault="004A0BEC" w:rsidP="00D166E6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 w:rsidR="00D166E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 w:rsidR="00D166E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 w:rsidR="00D166E6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D166E6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410A34">
        <w:rPr>
          <w:rFonts w:cs="Times New Roman"/>
          <w:sz w:val="26"/>
          <w:szCs w:val="26"/>
          <w:lang w:bidi="ar-MA"/>
        </w:rPr>
        <w:t>77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64E6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364E61">
        <w:rPr>
          <w:rFonts w:cs="Times New Roman" w:hint="cs"/>
          <w:sz w:val="26"/>
          <w:szCs w:val="26"/>
          <w:rtl/>
          <w:lang w:bidi="ar-MA"/>
        </w:rPr>
        <w:t xml:space="preserve">أقل </w:t>
      </w:r>
      <w:r w:rsidR="00364E61"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410A34">
        <w:rPr>
          <w:rFonts w:cs="Times New Roman"/>
          <w:sz w:val="26"/>
          <w:szCs w:val="26"/>
          <w:lang w:bidi="ar-MA"/>
        </w:rPr>
        <w:t>18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بخصوص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A72D55">
        <w:rPr>
          <w:rFonts w:cs="Times New Roman"/>
          <w:sz w:val="26"/>
          <w:szCs w:val="26"/>
          <w:lang w:bidi="ar-MA"/>
        </w:rPr>
        <w:t>6</w:t>
      </w:r>
      <w:r w:rsidR="00410A34">
        <w:rPr>
          <w:rFonts w:cs="Times New Roman"/>
          <w:sz w:val="26"/>
          <w:szCs w:val="26"/>
          <w:lang w:bidi="ar-MA"/>
        </w:rPr>
        <w:t>5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 w:rsidR="00D166E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E13B2D" w:rsidRPr="009C75E9" w:rsidRDefault="004A0BEC" w:rsidP="004A0BEC">
      <w:pPr>
        <w:pStyle w:val="Paragraphedeliste"/>
        <w:numPr>
          <w:ilvl w:val="1"/>
          <w:numId w:val="2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D0508A" w:rsidRDefault="00364E61" w:rsidP="00971CCE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CA2E8F">
        <w:rPr>
          <w:noProof/>
          <w:rtl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-336550</wp:posOffset>
            </wp:positionH>
            <wp:positionV relativeFrom="margin">
              <wp:posOffset>116840</wp:posOffset>
            </wp:positionV>
            <wp:extent cx="3284220" cy="2830830"/>
            <wp:effectExtent l="0" t="0" r="0" b="7620"/>
            <wp:wrapSquare wrapText="bothSides"/>
            <wp:docPr id="3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345F19">
        <w:rPr>
          <w:rFonts w:cs="Times New Roman" w:hint="cs"/>
          <w:sz w:val="24"/>
          <w:szCs w:val="24"/>
          <w:rtl/>
          <w:lang w:bidi="ar-MA"/>
        </w:rPr>
        <w:t>الأول</w:t>
      </w:r>
      <w:r w:rsidR="00971CCE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345F19">
        <w:rPr>
          <w:rFonts w:cs="Times New Roman"/>
          <w:sz w:val="26"/>
          <w:szCs w:val="26"/>
          <w:rtl/>
          <w:lang w:bidi="ar-MA"/>
        </w:rPr>
        <w:t>2019</w:t>
      </w:r>
      <w:r w:rsidR="00D0508A" w:rsidRPr="009C75E9">
        <w:rPr>
          <w:rFonts w:cs="Times New Roman"/>
          <w:sz w:val="26"/>
          <w:szCs w:val="26"/>
          <w:rtl/>
          <w:lang w:bidi="ar-MA"/>
        </w:rPr>
        <w:t>، قد تكون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D0508A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D0508A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971CC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/>
          <w:sz w:val="26"/>
          <w:szCs w:val="26"/>
          <w:rtl/>
          <w:lang w:bidi="ar-MA"/>
        </w:rPr>
        <w:t>عرفت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78F8">
        <w:rPr>
          <w:rFonts w:cs="Times New Roman" w:hint="cs"/>
          <w:sz w:val="26"/>
          <w:szCs w:val="26"/>
          <w:rtl/>
          <w:lang w:bidi="ar-MA"/>
        </w:rPr>
        <w:t xml:space="preserve">انخفاضا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C978F8">
        <w:rPr>
          <w:rFonts w:cs="Times New Roman"/>
          <w:sz w:val="26"/>
          <w:szCs w:val="26"/>
          <w:lang w:bidi="ar-MA"/>
        </w:rPr>
        <w:t>40</w:t>
      </w:r>
      <w:r w:rsidR="00D0508A">
        <w:rPr>
          <w:rFonts w:cs="Times New Roman"/>
          <w:sz w:val="26"/>
          <w:szCs w:val="26"/>
          <w:lang w:bidi="ar-MA"/>
        </w:rPr>
        <w:t>%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78F8">
        <w:rPr>
          <w:rFonts w:cs="Times New Roman" w:hint="cs"/>
          <w:sz w:val="26"/>
          <w:szCs w:val="26"/>
          <w:rtl/>
          <w:lang w:bidi="ar-MA"/>
        </w:rPr>
        <w:t xml:space="preserve">وارتفاعا 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C978F8">
        <w:rPr>
          <w:rFonts w:cs="Times New Roman"/>
          <w:sz w:val="26"/>
          <w:szCs w:val="26"/>
          <w:lang w:bidi="ar-MA"/>
        </w:rPr>
        <w:t>13</w:t>
      </w:r>
      <w:r w:rsidR="00D0508A" w:rsidRPr="009C75E9">
        <w:rPr>
          <w:rFonts w:cs="Times New Roman"/>
          <w:sz w:val="26"/>
          <w:szCs w:val="26"/>
          <w:lang w:bidi="ar-MA"/>
        </w:rPr>
        <w:t>%</w:t>
      </w:r>
      <w:r w:rsidR="00971CC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D0508A" w:rsidRDefault="00D0508A" w:rsidP="00364E6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جهة، 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C978F8" w:rsidRPr="00F833D2">
        <w:rPr>
          <w:rFonts w:cs="Times New Roman" w:hint="cs"/>
          <w:sz w:val="26"/>
          <w:szCs w:val="26"/>
          <w:rtl/>
          <w:lang w:bidi="ar-MA"/>
        </w:rPr>
        <w:t>التراجع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المسجل في مبيعات </w:t>
      </w:r>
      <w:r w:rsidRPr="00F833D2">
        <w:rPr>
          <w:rFonts w:cs="Times New Roman"/>
          <w:sz w:val="26"/>
          <w:szCs w:val="26"/>
          <w:rtl/>
          <w:lang w:bidi="ar-MA"/>
        </w:rPr>
        <w:t>"</w:t>
      </w:r>
      <w:r w:rsidR="00364E61" w:rsidRPr="00AE5374">
        <w:rPr>
          <w:rFonts w:cs="Times New Roman"/>
          <w:sz w:val="26"/>
          <w:szCs w:val="26"/>
          <w:rtl/>
          <w:lang w:bidi="ar-MA"/>
        </w:rPr>
        <w:t>أصناف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64E61" w:rsidRPr="00AE5374">
        <w:rPr>
          <w:rFonts w:cs="Times New Roman"/>
          <w:sz w:val="26"/>
          <w:szCs w:val="26"/>
          <w:rtl/>
          <w:lang w:bidi="ar-MA"/>
        </w:rPr>
        <w:t>أخرى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64E61" w:rsidRPr="00AE5374">
        <w:rPr>
          <w:rFonts w:cs="Times New Roman"/>
          <w:sz w:val="26"/>
          <w:szCs w:val="26"/>
          <w:rtl/>
          <w:lang w:bidi="ar-MA"/>
        </w:rPr>
        <w:t>من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64E61" w:rsidRPr="00AE5374">
        <w:rPr>
          <w:rFonts w:cs="Times New Roman"/>
          <w:sz w:val="26"/>
          <w:szCs w:val="26"/>
          <w:rtl/>
          <w:lang w:bidi="ar-MA"/>
        </w:rPr>
        <w:t>تجارة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64E61" w:rsidRPr="00AE5374">
        <w:rPr>
          <w:rFonts w:cs="Times New Roman"/>
          <w:sz w:val="26"/>
          <w:szCs w:val="26"/>
          <w:rtl/>
          <w:lang w:bidi="ar-MA"/>
        </w:rPr>
        <w:t>الجملة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64E61" w:rsidRPr="00AE5374">
        <w:rPr>
          <w:rFonts w:cs="Times New Roman"/>
          <w:sz w:val="26"/>
          <w:szCs w:val="26"/>
          <w:rtl/>
          <w:lang w:bidi="ar-MA"/>
        </w:rPr>
        <w:t>المتخصصة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</w:t>
      </w:r>
      <w:r w:rsidRPr="00F833D2">
        <w:rPr>
          <w:rFonts w:cs="Times New Roman"/>
          <w:sz w:val="26"/>
          <w:szCs w:val="26"/>
          <w:rtl/>
          <w:lang w:bidi="ar-MA"/>
        </w:rPr>
        <w:t>"</w:t>
      </w:r>
      <w:r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>
        <w:rPr>
          <w:rFonts w:cs="Times New Roman" w:hint="cs"/>
          <w:sz w:val="26"/>
          <w:szCs w:val="26"/>
          <w:rtl/>
          <w:lang w:bidi="ar-MA"/>
        </w:rPr>
        <w:t xml:space="preserve"> تجهيزات صناعية أخرى ب</w:t>
      </w:r>
      <w:r w:rsidRPr="001B39D2">
        <w:rPr>
          <w:rFonts w:cs="Times New Roman" w:hint="cs"/>
          <w:sz w:val="26"/>
          <w:szCs w:val="26"/>
          <w:rtl/>
          <w:lang w:bidi="ar-MA"/>
        </w:rPr>
        <w:t>الجملة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ومن جهة أخرى</w:t>
      </w:r>
      <w:r w:rsidR="00364E61">
        <w:rPr>
          <w:rFonts w:cs="Times New Roman" w:hint="cs"/>
          <w:sz w:val="26"/>
          <w:szCs w:val="26"/>
          <w:rtl/>
          <w:lang w:bidi="ar-MA"/>
        </w:rPr>
        <w:t>،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C978F8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C978F8" w:rsidRPr="00F833D2">
        <w:rPr>
          <w:rFonts w:cs="Times New Roman"/>
          <w:sz w:val="26"/>
          <w:szCs w:val="26"/>
          <w:rtl/>
          <w:lang w:bidi="ar-MA"/>
        </w:rPr>
        <w:t>ت</w:t>
      </w:r>
      <w:r w:rsidR="00C978F8" w:rsidRPr="00F833D2">
        <w:rPr>
          <w:rFonts w:cs="Times New Roman" w:hint="cs"/>
          <w:sz w:val="26"/>
          <w:szCs w:val="26"/>
          <w:rtl/>
          <w:lang w:bidi="ar-MA"/>
        </w:rPr>
        <w:t>حسن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F833D2">
        <w:rPr>
          <w:rFonts w:cs="Times New Roman" w:hint="cs"/>
          <w:sz w:val="26"/>
          <w:szCs w:val="26"/>
          <w:rtl/>
          <w:lang w:bidi="ar-MA"/>
        </w:rPr>
        <w:t>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 </w:t>
      </w:r>
      <w:r w:rsidR="007F527F" w:rsidRPr="009C75E9">
        <w:rPr>
          <w:rFonts w:cs="Times New Roman" w:hint="cs"/>
          <w:sz w:val="26"/>
          <w:szCs w:val="26"/>
          <w:rtl/>
          <w:lang w:bidi="ar-MA"/>
        </w:rPr>
        <w:t>"تجارة تجهيزات الاعلام والتواصل"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ومبيعات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Pr="009D5592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276681">
        <w:rPr>
          <w:rFonts w:cs="Times New Roman" w:hint="cs"/>
          <w:sz w:val="26"/>
          <w:szCs w:val="26"/>
          <w:rtl/>
          <w:lang w:bidi="ar-MA"/>
        </w:rPr>
        <w:t>المنتجات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149B8">
        <w:rPr>
          <w:rFonts w:cs="Times New Roman" w:hint="cs"/>
          <w:sz w:val="26"/>
          <w:szCs w:val="26"/>
          <w:rtl/>
          <w:lang w:bidi="ar-MA"/>
        </w:rPr>
        <w:t>الفلاحية</w:t>
      </w:r>
      <w:r w:rsidR="000365A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76681">
        <w:rPr>
          <w:rFonts w:cs="Times New Roman" w:hint="cs"/>
          <w:sz w:val="26"/>
          <w:szCs w:val="26"/>
          <w:rtl/>
          <w:lang w:bidi="ar-MA"/>
        </w:rPr>
        <w:t>الخام</w:t>
      </w:r>
      <w:r w:rsidRPr="009D5592">
        <w:rPr>
          <w:rFonts w:cs="Times New Roman"/>
          <w:sz w:val="26"/>
          <w:szCs w:val="26"/>
          <w:rtl/>
          <w:lang w:bidi="ar-MA"/>
        </w:rPr>
        <w:t xml:space="preserve"> والحيوانات الحية بالجملة</w:t>
      </w:r>
      <w:r>
        <w:rPr>
          <w:rFonts w:cs="Times New Roman" w:hint="cs"/>
          <w:sz w:val="26"/>
          <w:szCs w:val="26"/>
          <w:rtl/>
          <w:lang w:bidi="ar-MA"/>
        </w:rPr>
        <w:t>".</w:t>
      </w:r>
    </w:p>
    <w:p w:rsidR="00D0508A" w:rsidRDefault="00D0508A" w:rsidP="00367EC9">
      <w:pPr>
        <w:spacing w:before="240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743513">
        <w:rPr>
          <w:rFonts w:cs="Times New Roman"/>
          <w:sz w:val="26"/>
          <w:szCs w:val="26"/>
          <w:rtl/>
          <w:lang w:bidi="ar-MA"/>
        </w:rPr>
        <w:t>عدد المشتغلين</w:t>
      </w:r>
      <w:r>
        <w:rPr>
          <w:rFonts w:cs="Times New Roman" w:hint="cs"/>
          <w:sz w:val="26"/>
          <w:szCs w:val="26"/>
          <w:rtl/>
          <w:lang w:bidi="ar-MA"/>
        </w:rPr>
        <w:t xml:space="preserve"> عرف</w:t>
      </w:r>
      <w:r w:rsidR="006F15EB">
        <w:rPr>
          <w:rFonts w:cs="Times New Roman" w:hint="cs"/>
          <w:sz w:val="26"/>
          <w:szCs w:val="26"/>
          <w:rtl/>
          <w:lang w:bidi="ar-MA"/>
        </w:rPr>
        <w:t xml:space="preserve"> استقرارا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حسب</w:t>
      </w:r>
      <w:r w:rsidR="00367EC9">
        <w:rPr>
          <w:rFonts w:cs="Times New Roman" w:hint="cs"/>
          <w:sz w:val="26"/>
          <w:szCs w:val="26"/>
          <w:rtl/>
          <w:lang w:bidi="ar-MA"/>
        </w:rPr>
        <w:t xml:space="preserve"> 80</w:t>
      </w:r>
      <w:r>
        <w:rPr>
          <w:rFonts w:cs="Times New Roman"/>
          <w:sz w:val="26"/>
          <w:szCs w:val="26"/>
          <w:lang w:bidi="ar-MA"/>
        </w:rPr>
        <w:t>%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>.</w:t>
      </w:r>
    </w:p>
    <w:p w:rsidR="00D0508A" w:rsidRPr="009C75E9" w:rsidRDefault="00D0508A" w:rsidP="00680716">
      <w:pPr>
        <w:pStyle w:val="Retraitcorpsdetexte"/>
        <w:spacing w:before="120" w:after="12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367EC9">
        <w:rPr>
          <w:rFonts w:cs="Times New Roman" w:hint="cs"/>
          <w:sz w:val="26"/>
          <w:szCs w:val="26"/>
          <w:rtl/>
          <w:lang w:bidi="ar-MA"/>
        </w:rPr>
        <w:t>63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</w:t>
      </w:r>
      <w:r w:rsidR="00367EC9">
        <w:rPr>
          <w:rFonts w:cs="Times New Roman" w:hint="cs"/>
          <w:sz w:val="26"/>
          <w:szCs w:val="26"/>
          <w:rtl/>
          <w:lang w:bidi="ar-MA"/>
        </w:rPr>
        <w:t>قل</w:t>
      </w:r>
      <w:r>
        <w:rPr>
          <w:rFonts w:cs="Times New Roman" w:hint="cs"/>
          <w:sz w:val="26"/>
          <w:szCs w:val="26"/>
          <w:rtl/>
          <w:lang w:bidi="ar-MA"/>
        </w:rPr>
        <w:t xml:space="preserve">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367EC9">
        <w:rPr>
          <w:rFonts w:cs="Times New Roman" w:hint="cs"/>
          <w:sz w:val="26"/>
          <w:szCs w:val="26"/>
          <w:rtl/>
          <w:lang w:bidi="ar-MA"/>
        </w:rPr>
        <w:t>22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D0508A" w:rsidRPr="009C75E9" w:rsidRDefault="00D0508A" w:rsidP="00680716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ا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67EC9">
        <w:rPr>
          <w:rFonts w:cs="Times New Roman" w:hint="cs"/>
          <w:sz w:val="26"/>
          <w:szCs w:val="26"/>
          <w:rtl/>
          <w:lang w:bidi="ar-MA"/>
        </w:rPr>
        <w:t>انخفاضا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3</w:t>
      </w:r>
      <w:r w:rsidR="00367EC9">
        <w:rPr>
          <w:rFonts w:cs="Times New Roman" w:hint="cs"/>
          <w:sz w:val="26"/>
          <w:szCs w:val="26"/>
          <w:rtl/>
          <w:lang w:bidi="ar-MA"/>
        </w:rPr>
        <w:t>4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>،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وارتفاعا حسب </w:t>
      </w:r>
      <w:r w:rsidR="00367EC9">
        <w:rPr>
          <w:rFonts w:cs="Times New Roman" w:hint="cs"/>
          <w:sz w:val="26"/>
          <w:szCs w:val="26"/>
          <w:rtl/>
          <w:lang w:bidi="ar-MA"/>
        </w:rPr>
        <w:t>8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80716"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 w:rsidR="00680716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E13B2D" w:rsidRPr="009C75E9" w:rsidRDefault="00E13B2D" w:rsidP="006450EB">
      <w:pPr>
        <w:pStyle w:val="Paragraphedeliste"/>
        <w:numPr>
          <w:ilvl w:val="0"/>
          <w:numId w:val="1"/>
        </w:numPr>
        <w:spacing w:before="360"/>
        <w:ind w:left="425" w:right="284" w:hanging="425"/>
        <w:contextualSpacing w:val="0"/>
        <w:rPr>
          <w:rFonts w:ascii="Calibri" w:hAnsi="Calibri"/>
          <w:b/>
          <w:bCs/>
          <w:color w:val="660066"/>
          <w:sz w:val="32"/>
          <w:szCs w:val="32"/>
        </w:rPr>
      </w:pP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أرباب المقاولات </w:t>
      </w: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345F1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الثاني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من سنة</w:t>
      </w:r>
      <w:r w:rsidR="00A2456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20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1</w:t>
      </w:r>
      <w:r w:rsidR="00B17986">
        <w:rPr>
          <w:rFonts w:ascii="Calibri" w:hAnsi="Calibri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E13B2D" w:rsidP="00E13B2D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E13B2D" w:rsidRPr="009C75E9" w:rsidRDefault="00E13B2D" w:rsidP="00E13B2D">
      <w:pPr>
        <w:pStyle w:val="Paragraphedeliste"/>
        <w:numPr>
          <w:ilvl w:val="1"/>
          <w:numId w:val="3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</w:t>
      </w:r>
      <w:r w:rsidR="00A24563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A24563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A24563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E13B2D" w:rsidRPr="009C75E9" w:rsidRDefault="00E13B2D" w:rsidP="00E13B2D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B934CA" w:rsidRPr="0076125C" w:rsidRDefault="00364E61" w:rsidP="0051565B">
      <w:pPr>
        <w:pStyle w:val="Retraitcorpsdetexte"/>
        <w:spacing w:before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-175895</wp:posOffset>
            </wp:positionH>
            <wp:positionV relativeFrom="margin">
              <wp:posOffset>5239385</wp:posOffset>
            </wp:positionV>
            <wp:extent cx="3095625" cy="3076575"/>
            <wp:effectExtent l="0" t="0" r="0" b="0"/>
            <wp:wrapSquare wrapText="bothSides"/>
            <wp:docPr id="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345F19">
        <w:rPr>
          <w:rFonts w:cs="Times New Roman" w:hint="cs"/>
          <w:sz w:val="26"/>
          <w:szCs w:val="26"/>
          <w:rtl/>
          <w:lang w:bidi="ar-MA"/>
        </w:rPr>
        <w:t>الثاني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2665A">
        <w:rPr>
          <w:rFonts w:cs="Times New Roman"/>
          <w:sz w:val="26"/>
          <w:szCs w:val="26"/>
          <w:lang w:bidi="ar-MA"/>
        </w:rPr>
        <w:t xml:space="preserve"> 2019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، يتوقع </w:t>
      </w:r>
      <w:r w:rsidR="00591B8F">
        <w:rPr>
          <w:rFonts w:cs="Times New Roman"/>
          <w:sz w:val="26"/>
          <w:szCs w:val="26"/>
          <w:lang w:bidi="ar-MA"/>
        </w:rPr>
        <w:t>29</w:t>
      </w:r>
      <w:r w:rsidR="00B934CA" w:rsidRPr="0076125C">
        <w:rPr>
          <w:rFonts w:cs="Times New Roman"/>
          <w:sz w:val="26"/>
          <w:szCs w:val="26"/>
          <w:rtl/>
          <w:lang w:bidi="ar-MA"/>
        </w:rPr>
        <w:t>%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B934CA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51565B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34CA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51565B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591B8F">
        <w:rPr>
          <w:rFonts w:cs="Times New Roman" w:hint="cs"/>
          <w:sz w:val="26"/>
          <w:szCs w:val="26"/>
          <w:rtl/>
          <w:lang w:bidi="ar-MA"/>
        </w:rPr>
        <w:t>ارتفاع</w:t>
      </w:r>
      <w:r w:rsidR="00591B8F" w:rsidRPr="0076125C">
        <w:rPr>
          <w:rFonts w:cs="Times New Roman" w:hint="cs"/>
          <w:sz w:val="26"/>
          <w:szCs w:val="26"/>
          <w:rtl/>
          <w:lang w:bidi="ar-MA"/>
        </w:rPr>
        <w:t xml:space="preserve">ا 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ل</w:t>
      </w:r>
      <w:r w:rsidR="00B934CA"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الإجمالي، في حين </w:t>
      </w:r>
      <w:r w:rsidR="00B934CA">
        <w:rPr>
          <w:rFonts w:cs="Times New Roman" w:hint="cs"/>
          <w:sz w:val="26"/>
          <w:szCs w:val="26"/>
          <w:rtl/>
          <w:lang w:bidi="ar-MA"/>
        </w:rPr>
        <w:t>يتوق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ع </w:t>
      </w:r>
      <w:r w:rsidR="00591B8F">
        <w:rPr>
          <w:rFonts w:cs="Times New Roman"/>
          <w:sz w:val="26"/>
          <w:szCs w:val="26"/>
          <w:lang w:bidi="ar-MA"/>
        </w:rPr>
        <w:t>9</w:t>
      </w:r>
      <w:r w:rsidR="00B934CA" w:rsidRPr="0076125C">
        <w:rPr>
          <w:rFonts w:cs="Times New Roman"/>
          <w:sz w:val="26"/>
          <w:szCs w:val="26"/>
          <w:rtl/>
          <w:lang w:bidi="ar-MA"/>
        </w:rPr>
        <w:t>%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91B8F">
        <w:rPr>
          <w:rFonts w:cs="Times New Roman" w:hint="cs"/>
          <w:sz w:val="26"/>
          <w:szCs w:val="26"/>
          <w:rtl/>
          <w:lang w:bidi="ar-MA"/>
        </w:rPr>
        <w:t>انخفاضا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>. وتعزى هاته التوقعات</w:t>
      </w:r>
      <w:r w:rsidR="00FC745C">
        <w:rPr>
          <w:rFonts w:cs="Times New Roman" w:hint="cs"/>
          <w:sz w:val="26"/>
          <w:szCs w:val="26"/>
          <w:rtl/>
          <w:lang w:bidi="ar-MA"/>
        </w:rPr>
        <w:t>،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B934CA"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المتوقع </w:t>
      </w:r>
      <w:r w:rsidR="00B934CA" w:rsidRPr="0076125C">
        <w:rPr>
          <w:rFonts w:cs="Times New Roman"/>
          <w:sz w:val="26"/>
          <w:szCs w:val="26"/>
          <w:rtl/>
          <w:lang w:bidi="ar-MA"/>
        </w:rPr>
        <w:t>في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>
        <w:rPr>
          <w:rFonts w:cs="Times New Roman" w:hint="cs"/>
          <w:sz w:val="26"/>
          <w:szCs w:val="26"/>
          <w:rtl/>
          <w:lang w:bidi="ar-MA"/>
        </w:rPr>
        <w:t>"</w:t>
      </w:r>
      <w:r w:rsidR="00047EAB" w:rsidRPr="00AE5374">
        <w:rPr>
          <w:rFonts w:cs="Times New Roman"/>
          <w:sz w:val="26"/>
          <w:szCs w:val="26"/>
          <w:rtl/>
          <w:lang w:bidi="ar-MA"/>
        </w:rPr>
        <w:t>أنشطة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 w:rsidRPr="00AE5374">
        <w:rPr>
          <w:rFonts w:cs="Times New Roman" w:hint="cs"/>
          <w:sz w:val="26"/>
          <w:szCs w:val="26"/>
          <w:rtl/>
          <w:lang w:bidi="ar-MA"/>
        </w:rPr>
        <w:t>التأجير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 w:rsidRPr="00AE5374">
        <w:rPr>
          <w:rFonts w:cs="Times New Roman"/>
          <w:sz w:val="26"/>
          <w:szCs w:val="26"/>
          <w:rtl/>
          <w:lang w:bidi="ar-MA"/>
        </w:rPr>
        <w:t>والاستئجار</w:t>
      </w:r>
      <w:r w:rsidR="00047EAB">
        <w:rPr>
          <w:rFonts w:cs="Times New Roman" w:hint="cs"/>
          <w:sz w:val="26"/>
          <w:szCs w:val="26"/>
          <w:rtl/>
          <w:lang w:bidi="ar-MA"/>
        </w:rPr>
        <w:t>"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>
        <w:rPr>
          <w:rFonts w:cs="Times New Roman" w:hint="cs"/>
          <w:sz w:val="26"/>
          <w:szCs w:val="26"/>
          <w:rtl/>
          <w:lang w:bidi="ar-MA"/>
        </w:rPr>
        <w:t>و</w:t>
      </w:r>
      <w:r w:rsidR="00B934CA" w:rsidRPr="0076125C">
        <w:rPr>
          <w:rFonts w:cs="Times New Roman"/>
          <w:sz w:val="26"/>
          <w:szCs w:val="26"/>
          <w:rtl/>
          <w:lang w:bidi="ar-MA"/>
        </w:rPr>
        <w:t>أنشطة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"اﻟﺘﺨﺰﯾﻦ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واﻟﺨﺪﻣﺎت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اﻟﻤﻠﺤﻘﺔ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ﺑﺎﻟﻨﻘﻞ</w:t>
      </w:r>
      <w:r w:rsidR="009E64B0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B934CA">
        <w:rPr>
          <w:rFonts w:cs="Times New Roman" w:hint="cs"/>
          <w:sz w:val="26"/>
          <w:szCs w:val="26"/>
          <w:rtl/>
          <w:lang w:bidi="ar-MA"/>
        </w:rPr>
        <w:t>،</w:t>
      </w:r>
      <w:r w:rsidR="00B934CA" w:rsidRPr="0076125C">
        <w:rPr>
          <w:rFonts w:cs="Times New Roman" w:hint="cs"/>
          <w:sz w:val="26"/>
          <w:szCs w:val="26"/>
          <w:rtl/>
          <w:lang w:bidi="ar-MA"/>
        </w:rPr>
        <w:t xml:space="preserve"> ومن جهة أخرى، إلى الانخفاض المنتظر </w:t>
      </w:r>
      <w:r w:rsidR="00B934CA">
        <w:rPr>
          <w:rFonts w:cs="Times New Roman" w:hint="cs"/>
          <w:sz w:val="26"/>
          <w:szCs w:val="26"/>
          <w:rtl/>
          <w:lang w:bidi="ar-MA"/>
        </w:rPr>
        <w:t>على مستوى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>
        <w:rPr>
          <w:rFonts w:cs="Times New Roman" w:hint="cs"/>
          <w:sz w:val="26"/>
          <w:szCs w:val="26"/>
          <w:rtl/>
          <w:lang w:bidi="ar-MA"/>
        </w:rPr>
        <w:t>"</w:t>
      </w:r>
      <w:r w:rsidR="00047EAB" w:rsidRPr="00047EAB">
        <w:rPr>
          <w:rFonts w:cs="Times New Roman"/>
          <w:sz w:val="26"/>
          <w:szCs w:val="26"/>
          <w:rtl/>
          <w:lang w:bidi="ar-MA"/>
        </w:rPr>
        <w:t>أنشطة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 w:rsidRPr="00047EAB">
        <w:rPr>
          <w:rFonts w:cs="Times New Roman"/>
          <w:sz w:val="26"/>
          <w:szCs w:val="26"/>
          <w:rtl/>
          <w:lang w:bidi="ar-MA"/>
        </w:rPr>
        <w:t>خدمات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7EAB" w:rsidRPr="00047EAB">
        <w:rPr>
          <w:rFonts w:cs="Times New Roman"/>
          <w:sz w:val="26"/>
          <w:szCs w:val="26"/>
          <w:rtl/>
          <w:lang w:bidi="ar-MA"/>
        </w:rPr>
        <w:t>البرید</w:t>
      </w:r>
      <w:r w:rsidR="00047EAB" w:rsidRPr="00047EAB">
        <w:rPr>
          <w:rFonts w:cs="Times New Roman" w:hint="cs"/>
          <w:sz w:val="26"/>
          <w:szCs w:val="26"/>
          <w:rtl/>
          <w:lang w:bidi="ar-MA"/>
        </w:rPr>
        <w:t>" و</w:t>
      </w:r>
      <w:r w:rsidR="00B008BC">
        <w:rPr>
          <w:rFonts w:cs="Times New Roman" w:hint="cs"/>
          <w:sz w:val="26"/>
          <w:szCs w:val="26"/>
          <w:rtl/>
          <w:lang w:bidi="ar-MA"/>
        </w:rPr>
        <w:t>"</w:t>
      </w:r>
      <w:r w:rsidR="00B008BC" w:rsidRPr="00AE5374">
        <w:rPr>
          <w:rFonts w:cs="Times New Roman"/>
          <w:sz w:val="26"/>
          <w:szCs w:val="26"/>
          <w:rtl/>
          <w:lang w:bidi="ar-MA"/>
        </w:rPr>
        <w:t>النقل</w:t>
      </w:r>
      <w:r w:rsidR="005156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008BC" w:rsidRPr="00AE5374">
        <w:rPr>
          <w:rFonts w:cs="Times New Roman"/>
          <w:sz w:val="26"/>
          <w:szCs w:val="26"/>
          <w:rtl/>
          <w:lang w:bidi="ar-MA"/>
        </w:rPr>
        <w:t>الجوي</w:t>
      </w:r>
      <w:r w:rsidR="00B008BC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047EAB">
        <w:rPr>
          <w:rFonts w:cs="Times New Roman" w:hint="cs"/>
          <w:sz w:val="26"/>
          <w:szCs w:val="26"/>
          <w:rtl/>
          <w:lang w:bidi="ar-MA"/>
        </w:rPr>
        <w:t>.</w:t>
      </w:r>
    </w:p>
    <w:p w:rsidR="00B934CA" w:rsidRPr="009C75E9" w:rsidRDefault="00B934CA" w:rsidP="00246312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="000622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345F19">
        <w:rPr>
          <w:rFonts w:cs="Times New Roman" w:hint="cs"/>
          <w:sz w:val="26"/>
          <w:szCs w:val="26"/>
          <w:rtl/>
          <w:lang w:bidi="ar-MA"/>
        </w:rPr>
        <w:t>الثاني</w:t>
      </w:r>
      <w:r w:rsidR="000622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43577">
        <w:rPr>
          <w:rFonts w:cs="Times New Roman"/>
          <w:sz w:val="26"/>
          <w:szCs w:val="26"/>
          <w:lang w:bidi="ar-MA"/>
        </w:rPr>
        <w:t>2019</w:t>
      </w:r>
      <w:r w:rsidR="0044357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743513">
        <w:rPr>
          <w:rFonts w:cs="Times New Roman" w:hint="cs"/>
          <w:sz w:val="26"/>
          <w:szCs w:val="26"/>
          <w:rtl/>
          <w:lang w:bidi="ar-MA"/>
        </w:rPr>
        <w:t>فإن</w:t>
      </w:r>
      <w:r w:rsidR="000622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6312">
        <w:rPr>
          <w:rFonts w:cs="Times New Roman"/>
          <w:sz w:val="26"/>
          <w:szCs w:val="26"/>
          <w:lang w:bidi="ar-MA"/>
        </w:rPr>
        <w:t>%79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06229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06229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Pr="009C75E9">
        <w:rPr>
          <w:rFonts w:cs="Times New Roman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>ستقراره.</w:t>
      </w:r>
    </w:p>
    <w:p w:rsidR="00B934CA" w:rsidRDefault="00B934CA" w:rsidP="00246312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كما يتوقع</w:t>
      </w:r>
      <w:r w:rsidR="000622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6312">
        <w:rPr>
          <w:rFonts w:cs="Times New Roman"/>
          <w:sz w:val="26"/>
          <w:szCs w:val="26"/>
          <w:lang w:bidi="ar-MA"/>
        </w:rPr>
        <w:t>77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 في</w:t>
      </w:r>
      <w:r w:rsidR="000622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364E61" w:rsidRDefault="00364E61">
      <w:pPr>
        <w:bidi w:val="0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</w:p>
    <w:p w:rsidR="00E13B2D" w:rsidRPr="009C75E9" w:rsidRDefault="00E13B2D" w:rsidP="006450EB">
      <w:pPr>
        <w:pStyle w:val="Paragraphedeliste"/>
        <w:numPr>
          <w:ilvl w:val="1"/>
          <w:numId w:val="2"/>
        </w:numPr>
        <w:ind w:left="1134" w:hanging="567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6450EB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6530E8" w:rsidRPr="009C75E9" w:rsidRDefault="00995BF3" w:rsidP="00886CBA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-71120</wp:posOffset>
            </wp:positionH>
            <wp:positionV relativeFrom="margin">
              <wp:posOffset>375920</wp:posOffset>
            </wp:positionV>
            <wp:extent cx="2838450" cy="2676525"/>
            <wp:effectExtent l="0" t="0" r="0" b="0"/>
            <wp:wrapSquare wrapText="bothSides"/>
            <wp:docPr id="3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6530E8">
        <w:rPr>
          <w:rFonts w:cs="Times New Roman" w:hint="cs"/>
          <w:sz w:val="26"/>
          <w:szCs w:val="26"/>
          <w:rtl/>
          <w:lang w:bidi="ar-MA"/>
        </w:rPr>
        <w:t>خلال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45F19">
        <w:rPr>
          <w:rFonts w:cs="Times New Roman" w:hint="cs"/>
          <w:sz w:val="26"/>
          <w:szCs w:val="26"/>
          <w:rtl/>
          <w:lang w:bidi="ar-MA"/>
        </w:rPr>
        <w:t>الثاني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/>
          <w:sz w:val="26"/>
          <w:szCs w:val="26"/>
          <w:rtl/>
          <w:lang w:bidi="ar-MA"/>
        </w:rPr>
        <w:t>من سنة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2019،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367EC9">
        <w:rPr>
          <w:rFonts w:cs="Times New Roman" w:hint="cs"/>
          <w:sz w:val="26"/>
          <w:szCs w:val="26"/>
          <w:rtl/>
          <w:lang w:bidi="ar-MA"/>
        </w:rPr>
        <w:t>16</w:t>
      </w:r>
      <w:r w:rsidR="006530E8" w:rsidRPr="009C75E9">
        <w:rPr>
          <w:rFonts w:cs="Times New Roman"/>
          <w:sz w:val="26"/>
          <w:szCs w:val="26"/>
          <w:lang w:bidi="ar-MA"/>
        </w:rPr>
        <w:t>%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="006530E8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886CB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530E8" w:rsidRPr="00654DFE">
        <w:rPr>
          <w:rFonts w:cs="Times New Roman" w:hint="cs"/>
          <w:sz w:val="26"/>
          <w:szCs w:val="26"/>
          <w:rtl/>
          <w:lang w:bidi="ar-MA"/>
        </w:rPr>
        <w:t>ا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نخفاضا </w:t>
      </w:r>
      <w:r w:rsidR="006530E8"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إج</w:t>
      </w:r>
      <w:bookmarkStart w:id="0" w:name="_GoBack"/>
      <w:bookmarkEnd w:id="0"/>
      <w:r w:rsidR="006530E8">
        <w:rPr>
          <w:rFonts w:cs="Times New Roman" w:hint="cs"/>
          <w:sz w:val="26"/>
          <w:szCs w:val="26"/>
          <w:rtl/>
          <w:lang w:bidi="ar-MA"/>
        </w:rPr>
        <w:t xml:space="preserve">مالي </w:t>
      </w:r>
      <w:r w:rsidR="006530E8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وارتفاعا حسب </w:t>
      </w:r>
      <w:r w:rsidR="00367EC9">
        <w:rPr>
          <w:rFonts w:cs="Times New Roman" w:hint="cs"/>
          <w:sz w:val="26"/>
          <w:szCs w:val="26"/>
          <w:rtl/>
          <w:lang w:bidi="ar-MA"/>
        </w:rPr>
        <w:t>15</w:t>
      </w:r>
      <w:r w:rsidR="006530E8" w:rsidRPr="009C75E9">
        <w:rPr>
          <w:rFonts w:cs="Times New Roman"/>
          <w:sz w:val="26"/>
          <w:szCs w:val="26"/>
          <w:lang w:bidi="ar-MA"/>
        </w:rPr>
        <w:t>%</w:t>
      </w:r>
      <w:r w:rsidR="00AE53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6530E8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Default="006530E8" w:rsidP="00886CBA">
      <w:pPr>
        <w:pStyle w:val="Retraitcorpsdetexte"/>
        <w:spacing w:before="240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 xml:space="preserve">وقد يعزى </w:t>
      </w:r>
      <w:r w:rsidRPr="009401C9">
        <w:rPr>
          <w:rFonts w:cs="Times New Roman" w:hint="cs"/>
          <w:sz w:val="26"/>
          <w:szCs w:val="26"/>
          <w:rtl/>
          <w:lang w:bidi="ar-MA"/>
        </w:rPr>
        <w:t xml:space="preserve">هذا </w:t>
      </w:r>
      <w:r>
        <w:rPr>
          <w:rFonts w:cs="Times New Roman" w:hint="cs"/>
          <w:sz w:val="26"/>
          <w:szCs w:val="26"/>
          <w:rtl/>
          <w:lang w:bidi="ar-MA"/>
        </w:rPr>
        <w:t xml:space="preserve">التطور من جهة </w:t>
      </w:r>
      <w:r w:rsidRPr="009401C9">
        <w:rPr>
          <w:rFonts w:cs="Times New Roman"/>
          <w:sz w:val="26"/>
          <w:szCs w:val="26"/>
          <w:rtl/>
          <w:lang w:bidi="ar-MA"/>
        </w:rPr>
        <w:t xml:space="preserve">إلى </w:t>
      </w:r>
      <w:r>
        <w:rPr>
          <w:rFonts w:cs="Times New Roman" w:hint="cs"/>
          <w:sz w:val="26"/>
          <w:szCs w:val="26"/>
          <w:rtl/>
          <w:lang w:bidi="ar-MA"/>
        </w:rPr>
        <w:t xml:space="preserve">الانخفاض المرتقب في حجم </w:t>
      </w:r>
      <w:r w:rsidRPr="009401C9">
        <w:rPr>
          <w:rFonts w:cs="Times New Roman"/>
          <w:sz w:val="26"/>
          <w:szCs w:val="26"/>
          <w:rtl/>
          <w:lang w:bidi="ar-MA"/>
        </w:rPr>
        <w:t>مبيعات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E4D9F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Pr="00AE5374">
        <w:rPr>
          <w:rFonts w:cs="Times New Roman"/>
          <w:sz w:val="26"/>
          <w:szCs w:val="26"/>
          <w:rtl/>
          <w:lang w:bidi="ar-MA"/>
        </w:rPr>
        <w:t>أصناف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أخرى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من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تجارة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الجملة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المتخصصة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lang w:bidi="ar-MA"/>
        </w:rPr>
        <w:t> </w:t>
      </w:r>
      <w:r w:rsidR="00292128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292128" w:rsidRPr="00F833D2">
        <w:rPr>
          <w:rFonts w:cs="Times New Roman"/>
          <w:sz w:val="26"/>
          <w:szCs w:val="26"/>
          <w:rtl/>
          <w:lang w:bidi="ar-MA"/>
        </w:rPr>
        <w:t>"</w:t>
      </w:r>
      <w:r w:rsidR="00292128"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 w:rsidR="00292128">
        <w:rPr>
          <w:rFonts w:cs="Times New Roman" w:hint="cs"/>
          <w:sz w:val="26"/>
          <w:szCs w:val="26"/>
          <w:rtl/>
          <w:lang w:bidi="ar-MA"/>
        </w:rPr>
        <w:t xml:space="preserve"> تجهيزات صناعية أخرى ب</w:t>
      </w:r>
      <w:r w:rsidR="00292128" w:rsidRPr="001B39D2">
        <w:rPr>
          <w:rFonts w:cs="Times New Roman" w:hint="cs"/>
          <w:sz w:val="26"/>
          <w:szCs w:val="26"/>
          <w:rtl/>
          <w:lang w:bidi="ar-MA"/>
        </w:rPr>
        <w:t>الجملة</w:t>
      </w:r>
      <w:r w:rsidR="00292128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 w:rsidR="001E4D9F">
        <w:rPr>
          <w:rFonts w:cs="Times New Roman" w:hint="cs"/>
          <w:sz w:val="26"/>
          <w:szCs w:val="26"/>
          <w:rtl/>
          <w:lang w:bidi="ar-MA"/>
        </w:rPr>
        <w:t xml:space="preserve"> وم</w:t>
      </w:r>
      <w:r w:rsidR="001E4D9F">
        <w:rPr>
          <w:rFonts w:cs="Times New Roman" w:hint="eastAsia"/>
          <w:sz w:val="26"/>
          <w:szCs w:val="26"/>
          <w:rtl/>
          <w:lang w:bidi="ar-MA"/>
        </w:rPr>
        <w:t>ن</w:t>
      </w:r>
      <w:r>
        <w:rPr>
          <w:rFonts w:cs="Times New Roman" w:hint="cs"/>
          <w:sz w:val="26"/>
          <w:szCs w:val="26"/>
          <w:rtl/>
          <w:lang w:bidi="ar-MA"/>
        </w:rPr>
        <w:t xml:space="preserve"> جهة أخرى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إلى الارتفاع المرتقب في حجم مبيعات </w:t>
      </w:r>
      <w:r w:rsidR="00292128">
        <w:rPr>
          <w:rFonts w:cs="Times New Roman" w:hint="cs"/>
          <w:sz w:val="26"/>
          <w:szCs w:val="26"/>
          <w:rtl/>
          <w:lang w:bidi="ar-MA"/>
        </w:rPr>
        <w:t>"</w:t>
      </w:r>
      <w:r w:rsidR="00292128" w:rsidRPr="009D5592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292128">
        <w:rPr>
          <w:rFonts w:cs="Times New Roman" w:hint="cs"/>
          <w:sz w:val="26"/>
          <w:szCs w:val="26"/>
          <w:rtl/>
          <w:lang w:bidi="ar-MA"/>
        </w:rPr>
        <w:t>المنتجات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149B8">
        <w:rPr>
          <w:rFonts w:cs="Times New Roman" w:hint="cs"/>
          <w:sz w:val="26"/>
          <w:szCs w:val="26"/>
          <w:rtl/>
          <w:lang w:bidi="ar-MA"/>
        </w:rPr>
        <w:t>الفلاحية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2128">
        <w:rPr>
          <w:rFonts w:cs="Times New Roman" w:hint="cs"/>
          <w:sz w:val="26"/>
          <w:szCs w:val="26"/>
          <w:rtl/>
          <w:lang w:bidi="ar-MA"/>
        </w:rPr>
        <w:t xml:space="preserve">الخام    </w:t>
      </w:r>
      <w:r w:rsidR="00292128" w:rsidRPr="009D5592">
        <w:rPr>
          <w:rFonts w:cs="Times New Roman"/>
          <w:sz w:val="26"/>
          <w:szCs w:val="26"/>
          <w:rtl/>
          <w:lang w:bidi="ar-MA"/>
        </w:rPr>
        <w:t xml:space="preserve"> والحيوانات الحية بالجملة</w:t>
      </w:r>
      <w:r w:rsidR="00292128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>"تجارة تجهيزات الاعلام والتواصل"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2128">
        <w:rPr>
          <w:rFonts w:cs="Times New Roman" w:hint="cs"/>
          <w:sz w:val="26"/>
          <w:szCs w:val="26"/>
          <w:rtl/>
          <w:lang w:bidi="ar-MA"/>
        </w:rPr>
        <w:t>و"</w:t>
      </w:r>
      <w:r w:rsidR="00292128" w:rsidRPr="00A72B23">
        <w:rPr>
          <w:rFonts w:cs="Times New Roman"/>
          <w:sz w:val="26"/>
          <w:szCs w:val="26"/>
          <w:rtl/>
          <w:lang w:bidi="ar-MA"/>
        </w:rPr>
        <w:t>تجارة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2128" w:rsidRPr="00A72B23">
        <w:rPr>
          <w:rFonts w:cs="Times New Roman"/>
          <w:sz w:val="26"/>
          <w:szCs w:val="26"/>
          <w:rtl/>
          <w:lang w:bidi="ar-MA"/>
        </w:rPr>
        <w:t>المواد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2128" w:rsidRPr="00A72B23">
        <w:rPr>
          <w:rFonts w:cs="Times New Roman" w:hint="cs"/>
          <w:sz w:val="26"/>
          <w:szCs w:val="26"/>
          <w:rtl/>
          <w:lang w:bidi="ar-MA"/>
        </w:rPr>
        <w:t>الغذائية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2128" w:rsidRPr="00A72B23">
        <w:rPr>
          <w:rFonts w:cs="Times New Roman"/>
          <w:sz w:val="26"/>
          <w:szCs w:val="26"/>
          <w:rtl/>
          <w:lang w:bidi="ar-MA"/>
        </w:rPr>
        <w:t>والمشروبات</w:t>
      </w:r>
      <w:r w:rsidR="00886C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2128" w:rsidRPr="00A72B23">
        <w:rPr>
          <w:rFonts w:cs="Times New Roman"/>
          <w:sz w:val="26"/>
          <w:szCs w:val="26"/>
          <w:rtl/>
          <w:lang w:bidi="ar-MA"/>
        </w:rPr>
        <w:t>بالجملة</w:t>
      </w:r>
      <w:r w:rsidR="00292128">
        <w:rPr>
          <w:rFonts w:cs="Times New Roman" w:hint="cs"/>
          <w:sz w:val="26"/>
          <w:szCs w:val="26"/>
          <w:rtl/>
          <w:lang w:bidi="ar-MA"/>
        </w:rPr>
        <w:t>"</w:t>
      </w:r>
      <w:r w:rsidR="001E4D9F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Pr="009C75E9" w:rsidRDefault="006001A2" w:rsidP="009B4907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6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6530E8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9B4907">
        <w:rPr>
          <w:rFonts w:cs="Times New Roman" w:hint="cs"/>
          <w:sz w:val="26"/>
          <w:szCs w:val="26"/>
          <w:rtl/>
          <w:lang w:bidi="ar-MA"/>
        </w:rPr>
        <w:t>80</w:t>
      </w:r>
      <w:r w:rsidR="006530E8" w:rsidRPr="009C75E9">
        <w:rPr>
          <w:rFonts w:cs="Times New Roman"/>
          <w:sz w:val="26"/>
          <w:szCs w:val="26"/>
          <w:lang w:bidi="ar-MA"/>
        </w:rPr>
        <w:t>%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/>
          <w:sz w:val="26"/>
          <w:szCs w:val="26"/>
          <w:rtl/>
          <w:lang w:bidi="ar-MA"/>
        </w:rPr>
        <w:t>من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B4907">
        <w:rPr>
          <w:rFonts w:cs="Times New Roman" w:hint="cs"/>
          <w:sz w:val="26"/>
          <w:szCs w:val="26"/>
          <w:rtl/>
          <w:lang w:bidi="ar-MA"/>
        </w:rPr>
        <w:t>وارتفاعا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9B4907">
        <w:rPr>
          <w:rFonts w:cs="Times New Roman" w:hint="cs"/>
          <w:sz w:val="26"/>
          <w:szCs w:val="26"/>
          <w:rtl/>
          <w:lang w:bidi="ar-MA"/>
        </w:rPr>
        <w:t>16</w:t>
      </w:r>
      <w:r w:rsidR="006530E8" w:rsidRPr="009C75E9">
        <w:rPr>
          <w:rFonts w:cs="Times New Roman"/>
          <w:sz w:val="26"/>
          <w:szCs w:val="26"/>
          <w:lang w:bidi="ar-MA"/>
        </w:rPr>
        <w:t>%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6530E8" w:rsidRPr="00743513" w:rsidRDefault="006530E8" w:rsidP="009149B8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 w:rsidR="009B4907">
        <w:rPr>
          <w:rFonts w:cs="Times New Roman" w:hint="cs"/>
          <w:sz w:val="26"/>
          <w:szCs w:val="26"/>
          <w:rtl/>
          <w:lang w:bidi="ar-MA"/>
        </w:rPr>
        <w:t>أقل من ال</w:t>
      </w:r>
      <w:r w:rsidR="009B4907" w:rsidRPr="00743513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9B4907">
        <w:rPr>
          <w:rFonts w:cs="Times New Roman" w:hint="cs"/>
          <w:sz w:val="26"/>
          <w:szCs w:val="26"/>
          <w:rtl/>
          <w:lang w:bidi="ar-MA"/>
        </w:rPr>
        <w:t>32</w:t>
      </w:r>
      <w:r>
        <w:rPr>
          <w:rFonts w:cs="Times New Roman" w:hint="cs"/>
          <w:sz w:val="26"/>
          <w:szCs w:val="26"/>
          <w:rtl/>
          <w:lang w:bidi="ar-MA"/>
        </w:rPr>
        <w:t xml:space="preserve">%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 w:rsidR="0030479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ا</w:t>
      </w:r>
      <w:r w:rsidR="009149B8" w:rsidRPr="009C75E9">
        <w:rPr>
          <w:rFonts w:cs="Times New Roman"/>
          <w:sz w:val="26"/>
          <w:szCs w:val="26"/>
          <w:rtl/>
          <w:lang w:bidi="ar-MA"/>
        </w:rPr>
        <w:t>ك</w:t>
      </w:r>
      <w:r w:rsidR="009149B8">
        <w:rPr>
          <w:rFonts w:cs="Times New Roman" w:hint="cs"/>
          <w:sz w:val="26"/>
          <w:szCs w:val="26"/>
          <w:rtl/>
          <w:lang w:bidi="ar-MA"/>
        </w:rPr>
        <w:t>بر</w:t>
      </w:r>
      <w:r>
        <w:rPr>
          <w:rFonts w:cs="Times New Roman" w:hint="cs"/>
          <w:sz w:val="26"/>
          <w:szCs w:val="26"/>
          <w:rtl/>
          <w:lang w:bidi="ar-MA"/>
        </w:rPr>
        <w:t xml:space="preserve"> من ال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9149B8">
        <w:rPr>
          <w:rFonts w:cs="Times New Roman" w:hint="cs"/>
          <w:sz w:val="26"/>
          <w:szCs w:val="26"/>
          <w:rtl/>
          <w:lang w:bidi="ar-MA"/>
        </w:rPr>
        <w:t>19</w:t>
      </w:r>
      <w:r w:rsidRPr="00743513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منهم خلال نفس الفصل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743513" w:rsidRDefault="00E13B2D" w:rsidP="006530E8">
      <w:pPr>
        <w:pStyle w:val="Retraitcorpsdetexte"/>
        <w:spacing w:before="240" w:after="240"/>
        <w:ind w:firstLine="0"/>
        <w:jc w:val="both"/>
        <w:rPr>
          <w:rFonts w:ascii="Calibri" w:hAnsi="Calibri"/>
          <w:sz w:val="28"/>
          <w:rtl/>
          <w:lang w:bidi="ar-MA"/>
        </w:rPr>
      </w:pPr>
    </w:p>
    <w:sectPr w:rsidR="00E13B2D" w:rsidRPr="00743513" w:rsidSect="003D2F76">
      <w:footerReference w:type="default" r:id="rId14"/>
      <w:pgSz w:w="11906" w:h="16838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F5" w:rsidRDefault="00435AF5" w:rsidP="003D2F76">
      <w:r>
        <w:separator/>
      </w:r>
    </w:p>
  </w:endnote>
  <w:endnote w:type="continuationSeparator" w:id="1">
    <w:p w:rsidR="00435AF5" w:rsidRDefault="00435AF5" w:rsidP="003D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76" w:rsidRDefault="003D2F76" w:rsidP="003D2F76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2"/>
    </w:tblGrid>
    <w:tr w:rsidR="003D2F76" w:rsidTr="009B5BBB">
      <w:trPr>
        <w:trHeight w:val="360"/>
      </w:trPr>
      <w:tc>
        <w:tcPr>
          <w:tcW w:w="1500" w:type="pct"/>
          <w:shd w:val="clear" w:color="auto" w:fill="auto"/>
        </w:tcPr>
        <w:p w:rsidR="003D2F76" w:rsidRPr="00EB0E01" w:rsidRDefault="00CA2E8F" w:rsidP="001637C5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يونيو</w:t>
          </w:r>
          <w:r w:rsidR="001637C5">
            <w:rPr>
              <w:rFonts w:hint="cs"/>
              <w:rtl/>
            </w:rPr>
            <w:t xml:space="preserve"> -</w:t>
          </w:r>
          <w:r w:rsidR="001637C5">
            <w:t>2019</w:t>
          </w:r>
          <w:r w:rsidR="003D2F76">
            <w:rPr>
              <w:rFonts w:hint="cs"/>
              <w:rtl/>
            </w:rPr>
            <w:t>-</w:t>
          </w:r>
          <w:r w:rsidR="00CC6DCA" w:rsidRPr="00325724">
            <w:fldChar w:fldCharType="begin"/>
          </w:r>
          <w:r w:rsidR="003D2F76" w:rsidRPr="00325724">
            <w:instrText>PAGE   \* MERGEFORMAT</w:instrText>
          </w:r>
          <w:r w:rsidR="00CC6DCA" w:rsidRPr="00325724">
            <w:fldChar w:fldCharType="separate"/>
          </w:r>
          <w:r w:rsidR="00C23CE5">
            <w:rPr>
              <w:noProof/>
              <w:rtl/>
            </w:rPr>
            <w:t>2</w:t>
          </w:r>
          <w:r w:rsidR="00CC6DCA" w:rsidRPr="00325724">
            <w:fldChar w:fldCharType="end"/>
          </w:r>
        </w:p>
      </w:tc>
      <w:tc>
        <w:tcPr>
          <w:tcW w:w="3500" w:type="pct"/>
        </w:tcPr>
        <w:p w:rsidR="003D2F76" w:rsidRDefault="003D2F76" w:rsidP="009B5BBB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 w:rsidR="00B64323">
            <w:rPr>
              <w:rFonts w:hint="cs"/>
              <w:rtl/>
              <w:lang w:bidi="ar-MA"/>
            </w:rPr>
            <w:t xml:space="preserve">، </w:t>
          </w:r>
          <w:r w:rsidR="00B64323"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3D2F76" w:rsidRPr="003D2F76" w:rsidRDefault="003D2F76" w:rsidP="003D2F76">
    <w:pPr>
      <w:pStyle w:val="Pieddepage"/>
    </w:pPr>
  </w:p>
  <w:p w:rsidR="003D2F76" w:rsidRDefault="003D2F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F5" w:rsidRDefault="00435AF5" w:rsidP="003D2F76">
      <w:r>
        <w:separator/>
      </w:r>
    </w:p>
  </w:footnote>
  <w:footnote w:type="continuationSeparator" w:id="1">
    <w:p w:rsidR="00435AF5" w:rsidRDefault="00435AF5" w:rsidP="003D2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B2D"/>
    <w:rsid w:val="000073EF"/>
    <w:rsid w:val="00015992"/>
    <w:rsid w:val="00026FF0"/>
    <w:rsid w:val="00027331"/>
    <w:rsid w:val="000365A8"/>
    <w:rsid w:val="000419F4"/>
    <w:rsid w:val="00046FDF"/>
    <w:rsid w:val="00047EAB"/>
    <w:rsid w:val="00054C75"/>
    <w:rsid w:val="00056FB3"/>
    <w:rsid w:val="0006229F"/>
    <w:rsid w:val="0006290B"/>
    <w:rsid w:val="00063B41"/>
    <w:rsid w:val="00066E8E"/>
    <w:rsid w:val="00081D59"/>
    <w:rsid w:val="000823A5"/>
    <w:rsid w:val="000A4973"/>
    <w:rsid w:val="000C5F3E"/>
    <w:rsid w:val="000E316B"/>
    <w:rsid w:val="000E4AA0"/>
    <w:rsid w:val="000F3D39"/>
    <w:rsid w:val="000F4D75"/>
    <w:rsid w:val="00140BEB"/>
    <w:rsid w:val="001637C5"/>
    <w:rsid w:val="001672C2"/>
    <w:rsid w:val="00172A2F"/>
    <w:rsid w:val="0019775F"/>
    <w:rsid w:val="001C407A"/>
    <w:rsid w:val="001C5303"/>
    <w:rsid w:val="001C7EF6"/>
    <w:rsid w:val="001D22FD"/>
    <w:rsid w:val="001E21C9"/>
    <w:rsid w:val="001E4D9F"/>
    <w:rsid w:val="002241D4"/>
    <w:rsid w:val="00245514"/>
    <w:rsid w:val="00246312"/>
    <w:rsid w:val="00250386"/>
    <w:rsid w:val="00276681"/>
    <w:rsid w:val="00285453"/>
    <w:rsid w:val="00292128"/>
    <w:rsid w:val="002A5E4E"/>
    <w:rsid w:val="002A7660"/>
    <w:rsid w:val="002B082D"/>
    <w:rsid w:val="002B3FC0"/>
    <w:rsid w:val="002C0C11"/>
    <w:rsid w:val="002C1F0A"/>
    <w:rsid w:val="002D1CBF"/>
    <w:rsid w:val="00300028"/>
    <w:rsid w:val="00302ABF"/>
    <w:rsid w:val="00304798"/>
    <w:rsid w:val="00305098"/>
    <w:rsid w:val="0030570D"/>
    <w:rsid w:val="00306C46"/>
    <w:rsid w:val="0030799F"/>
    <w:rsid w:val="00325342"/>
    <w:rsid w:val="00345F19"/>
    <w:rsid w:val="003471D9"/>
    <w:rsid w:val="003525D2"/>
    <w:rsid w:val="00356B0D"/>
    <w:rsid w:val="00364348"/>
    <w:rsid w:val="00364E61"/>
    <w:rsid w:val="00367EC9"/>
    <w:rsid w:val="003704A1"/>
    <w:rsid w:val="0038148A"/>
    <w:rsid w:val="003A5F2C"/>
    <w:rsid w:val="003A645C"/>
    <w:rsid w:val="003B2D71"/>
    <w:rsid w:val="003B3D2E"/>
    <w:rsid w:val="003C1146"/>
    <w:rsid w:val="003C1337"/>
    <w:rsid w:val="003D2F76"/>
    <w:rsid w:val="003D68EE"/>
    <w:rsid w:val="003F47B0"/>
    <w:rsid w:val="004062B3"/>
    <w:rsid w:val="00410A34"/>
    <w:rsid w:val="0042665A"/>
    <w:rsid w:val="00435AF5"/>
    <w:rsid w:val="00443577"/>
    <w:rsid w:val="00450270"/>
    <w:rsid w:val="00454253"/>
    <w:rsid w:val="00475C6F"/>
    <w:rsid w:val="00487EA4"/>
    <w:rsid w:val="004A0BEC"/>
    <w:rsid w:val="004B1938"/>
    <w:rsid w:val="004C7EEA"/>
    <w:rsid w:val="004D0B9E"/>
    <w:rsid w:val="004D33CA"/>
    <w:rsid w:val="004E34A5"/>
    <w:rsid w:val="00513CE6"/>
    <w:rsid w:val="0051565B"/>
    <w:rsid w:val="005541A4"/>
    <w:rsid w:val="0056552E"/>
    <w:rsid w:val="00581F5B"/>
    <w:rsid w:val="00590787"/>
    <w:rsid w:val="00591B8F"/>
    <w:rsid w:val="005A285A"/>
    <w:rsid w:val="005A2CC9"/>
    <w:rsid w:val="005A6139"/>
    <w:rsid w:val="005C1BF6"/>
    <w:rsid w:val="005C6095"/>
    <w:rsid w:val="006001A2"/>
    <w:rsid w:val="0062149D"/>
    <w:rsid w:val="00633150"/>
    <w:rsid w:val="006427AE"/>
    <w:rsid w:val="006450EB"/>
    <w:rsid w:val="006519F5"/>
    <w:rsid w:val="006530E8"/>
    <w:rsid w:val="00654DFE"/>
    <w:rsid w:val="00672F13"/>
    <w:rsid w:val="00680716"/>
    <w:rsid w:val="0068526F"/>
    <w:rsid w:val="00687D3A"/>
    <w:rsid w:val="00690169"/>
    <w:rsid w:val="0069258E"/>
    <w:rsid w:val="006A7942"/>
    <w:rsid w:val="006D0D4E"/>
    <w:rsid w:val="006D2B2C"/>
    <w:rsid w:val="006F15EB"/>
    <w:rsid w:val="0071019E"/>
    <w:rsid w:val="0072141D"/>
    <w:rsid w:val="007307EB"/>
    <w:rsid w:val="00731184"/>
    <w:rsid w:val="007559E8"/>
    <w:rsid w:val="00755ED9"/>
    <w:rsid w:val="00770337"/>
    <w:rsid w:val="00775F32"/>
    <w:rsid w:val="00790A11"/>
    <w:rsid w:val="007B5462"/>
    <w:rsid w:val="007D31D2"/>
    <w:rsid w:val="007D41E2"/>
    <w:rsid w:val="007F527F"/>
    <w:rsid w:val="00806ADF"/>
    <w:rsid w:val="00815693"/>
    <w:rsid w:val="00831300"/>
    <w:rsid w:val="008465B4"/>
    <w:rsid w:val="008550FD"/>
    <w:rsid w:val="008778E0"/>
    <w:rsid w:val="008852BC"/>
    <w:rsid w:val="00886CBA"/>
    <w:rsid w:val="008B698D"/>
    <w:rsid w:val="008B7E2C"/>
    <w:rsid w:val="008C6756"/>
    <w:rsid w:val="008E16F9"/>
    <w:rsid w:val="008E2275"/>
    <w:rsid w:val="008E3922"/>
    <w:rsid w:val="008E68BC"/>
    <w:rsid w:val="00910982"/>
    <w:rsid w:val="009149B8"/>
    <w:rsid w:val="009206C9"/>
    <w:rsid w:val="00971CCE"/>
    <w:rsid w:val="00995BF3"/>
    <w:rsid w:val="009B4907"/>
    <w:rsid w:val="009B5BBB"/>
    <w:rsid w:val="009C2F70"/>
    <w:rsid w:val="009D5592"/>
    <w:rsid w:val="009E2980"/>
    <w:rsid w:val="009E4F8A"/>
    <w:rsid w:val="009E64B0"/>
    <w:rsid w:val="00A00409"/>
    <w:rsid w:val="00A02653"/>
    <w:rsid w:val="00A03508"/>
    <w:rsid w:val="00A23B46"/>
    <w:rsid w:val="00A24563"/>
    <w:rsid w:val="00A36051"/>
    <w:rsid w:val="00A56FEC"/>
    <w:rsid w:val="00A66A8A"/>
    <w:rsid w:val="00A67A06"/>
    <w:rsid w:val="00A72D55"/>
    <w:rsid w:val="00A9507A"/>
    <w:rsid w:val="00A96C67"/>
    <w:rsid w:val="00AB2CFB"/>
    <w:rsid w:val="00AD5A4B"/>
    <w:rsid w:val="00AE0F37"/>
    <w:rsid w:val="00AE5374"/>
    <w:rsid w:val="00B008BC"/>
    <w:rsid w:val="00B156A0"/>
    <w:rsid w:val="00B17986"/>
    <w:rsid w:val="00B64323"/>
    <w:rsid w:val="00B67D79"/>
    <w:rsid w:val="00B7313F"/>
    <w:rsid w:val="00B934CA"/>
    <w:rsid w:val="00BB7BF8"/>
    <w:rsid w:val="00BC2900"/>
    <w:rsid w:val="00BC430B"/>
    <w:rsid w:val="00BE597F"/>
    <w:rsid w:val="00BE62E2"/>
    <w:rsid w:val="00C1519A"/>
    <w:rsid w:val="00C20F5F"/>
    <w:rsid w:val="00C23CE5"/>
    <w:rsid w:val="00C24137"/>
    <w:rsid w:val="00C4401F"/>
    <w:rsid w:val="00C55813"/>
    <w:rsid w:val="00C6584B"/>
    <w:rsid w:val="00C66B07"/>
    <w:rsid w:val="00C66F3A"/>
    <w:rsid w:val="00C978F8"/>
    <w:rsid w:val="00CA2E8F"/>
    <w:rsid w:val="00CB477E"/>
    <w:rsid w:val="00CC1731"/>
    <w:rsid w:val="00CC6DCA"/>
    <w:rsid w:val="00CD142D"/>
    <w:rsid w:val="00D0508A"/>
    <w:rsid w:val="00D166E6"/>
    <w:rsid w:val="00D23E5E"/>
    <w:rsid w:val="00D40BE1"/>
    <w:rsid w:val="00D6300F"/>
    <w:rsid w:val="00D94229"/>
    <w:rsid w:val="00DD0A13"/>
    <w:rsid w:val="00DF56E4"/>
    <w:rsid w:val="00E03B3A"/>
    <w:rsid w:val="00E13B2D"/>
    <w:rsid w:val="00E57D41"/>
    <w:rsid w:val="00E71CC1"/>
    <w:rsid w:val="00E84FF0"/>
    <w:rsid w:val="00E94C2D"/>
    <w:rsid w:val="00EF22D6"/>
    <w:rsid w:val="00EF7289"/>
    <w:rsid w:val="00F20F5D"/>
    <w:rsid w:val="00F32777"/>
    <w:rsid w:val="00F445C7"/>
    <w:rsid w:val="00F47CFC"/>
    <w:rsid w:val="00F54444"/>
    <w:rsid w:val="00F71F42"/>
    <w:rsid w:val="00F752B5"/>
    <w:rsid w:val="00F8113A"/>
    <w:rsid w:val="00F9640D"/>
    <w:rsid w:val="00FC396D"/>
    <w:rsid w:val="00FC745C"/>
    <w:rsid w:val="00FD5024"/>
    <w:rsid w:val="00FE2D55"/>
    <w:rsid w:val="00FE5672"/>
    <w:rsid w:val="00FF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D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B2D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3B2D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E13B2D"/>
    <w:rPr>
      <w:rFonts w:ascii="Times New Roman" w:eastAsia="Times New Roman" w:hAnsi="Times New Roman" w:cs="Arabic Transparent"/>
      <w:sz w:val="20"/>
      <w:szCs w:val="28"/>
      <w:lang w:eastAsia="zh-CN"/>
    </w:rPr>
  </w:style>
  <w:style w:type="table" w:styleId="Grilledutableau">
    <w:name w:val="Table Grid"/>
    <w:basedOn w:val="TableauNormal"/>
    <w:rsid w:val="00E13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2F7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D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B2D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3B2D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E13B2D"/>
    <w:rPr>
      <w:rFonts w:ascii="Times New Roman" w:eastAsia="Times New Roman" w:hAnsi="Times New Roman" w:cs="Arabic Transparent"/>
      <w:sz w:val="20"/>
      <w:szCs w:val="28"/>
      <w:lang w:eastAsia="zh-CN"/>
    </w:rPr>
  </w:style>
  <w:style w:type="table" w:styleId="Grilledutableau">
    <w:name w:val="Table Grid"/>
    <w:basedOn w:val="TableauNormal"/>
    <w:rsid w:val="00E1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2F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8807121251"/>
          <c:y val="5.833333333333425E-2"/>
        </c:manualLayout>
      </c:layout>
    </c:title>
    <c:plotArea>
      <c:layout>
        <c:manualLayout>
          <c:layoutTarget val="inner"/>
          <c:xMode val="edge"/>
          <c:yMode val="edge"/>
          <c:x val="0.14616330058441043"/>
          <c:y val="0.19741521205232607"/>
          <c:w val="0.66222898874800773"/>
          <c:h val="0.6858238570558660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54.04</c:v>
                </c:pt>
                <c:pt idx="1">
                  <c:v>5.88</c:v>
                </c:pt>
                <c:pt idx="2">
                  <c:v>5.21</c:v>
                </c:pt>
                <c:pt idx="3">
                  <c:v>21.650000000000031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24.919999999999987</c:v>
                </c:pt>
                <c:pt idx="1">
                  <c:v>76.540000000000006</c:v>
                </c:pt>
                <c:pt idx="2">
                  <c:v>81.149999999999991</c:v>
                </c:pt>
                <c:pt idx="3">
                  <c:v>65.149999999999991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21.03</c:v>
                </c:pt>
                <c:pt idx="1">
                  <c:v>17.579999999999988</c:v>
                </c:pt>
                <c:pt idx="2">
                  <c:v>13.639999999999999</c:v>
                </c:pt>
                <c:pt idx="3">
                  <c:v>13.2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33.01</c:v>
                </c:pt>
                <c:pt idx="1">
                  <c:v>-11.69</c:v>
                </c:pt>
                <c:pt idx="2">
                  <c:v>-8.42</c:v>
                </c:pt>
                <c:pt idx="3">
                  <c:v>8.44</c:v>
                </c:pt>
              </c:numCache>
            </c:numRef>
          </c:val>
        </c:ser>
        <c:axId val="40734720"/>
        <c:axId val="40736256"/>
      </c:barChart>
      <c:dateAx>
        <c:axId val="407347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40736256"/>
        <c:crosses val="autoZero"/>
        <c:lblOffset val="100"/>
        <c:baseTimeUnit val="days"/>
      </c:dateAx>
      <c:valAx>
        <c:axId val="4073625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0734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7216231398"/>
          <c:y val="0.48555230596175941"/>
          <c:w val="0.18541698416730767"/>
          <c:h val="0.2891316085489281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/>
              <a:t> </a:t>
            </a:r>
            <a:r>
              <a:rPr lang="ar-MA" sz="840"/>
              <a:t>أ</a:t>
            </a:r>
            <a:r>
              <a:rPr lang="ar-SA" sz="840"/>
              <a:t>راء </a:t>
            </a:r>
            <a:r>
              <a:rPr lang="ar-MA" sz="840"/>
              <a:t>أرباب</a:t>
            </a:r>
            <a:r>
              <a:rPr lang="ar-SA" sz="840"/>
              <a:t> </a:t>
            </a:r>
            <a:r>
              <a:rPr lang="ar-MA" sz="840"/>
              <a:t>مقاولات </a:t>
            </a:r>
            <a:r>
              <a:rPr lang="ar-SA" sz="840"/>
              <a:t>قطاع تجارة </a:t>
            </a:r>
            <a:r>
              <a:rPr lang="ar-MA" sz="840"/>
              <a:t>ا</a:t>
            </a:r>
            <a:r>
              <a:rPr lang="ar-SA" sz="840"/>
              <a:t>لجم</a:t>
            </a:r>
            <a:r>
              <a:rPr lang="ar-MA" sz="840"/>
              <a:t>ل</a:t>
            </a:r>
            <a:r>
              <a:rPr lang="ar-SA" sz="840"/>
              <a:t>ة</a:t>
            </a:r>
            <a:r>
              <a:rPr lang="ar-SA" sz="84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40" b="1" i="0" baseline="0"/>
              <a:t>)</a:t>
            </a:r>
            <a:r>
              <a:rPr lang="ar-MA" sz="840" b="1" i="0" baseline="0"/>
              <a:t>النسبة ب %</a:t>
            </a:r>
            <a:r>
              <a:rPr lang="fr-FR" sz="84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28448400471680341"/>
          <c:y val="2.5078141828016324E-2"/>
        </c:manualLayout>
      </c:layout>
    </c:title>
    <c:plotArea>
      <c:layout>
        <c:manualLayout>
          <c:layoutTarget val="inner"/>
          <c:xMode val="edge"/>
          <c:yMode val="edge"/>
          <c:x val="0.14211419680324391"/>
          <c:y val="0.18320497521498189"/>
          <c:w val="0.72779574708850736"/>
          <c:h val="0.6566596856464208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12.94</c:v>
                </c:pt>
                <c:pt idx="1">
                  <c:v>15.89</c:v>
                </c:pt>
                <c:pt idx="2">
                  <c:v>13.59</c:v>
                </c:pt>
                <c:pt idx="3">
                  <c:v>7.63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46.849999999999994</c:v>
                </c:pt>
                <c:pt idx="1">
                  <c:v>62.53</c:v>
                </c:pt>
                <c:pt idx="2">
                  <c:v>79.66</c:v>
                </c:pt>
                <c:pt idx="3">
                  <c:v>58.64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40.21</c:v>
                </c:pt>
                <c:pt idx="1">
                  <c:v>21.58</c:v>
                </c:pt>
                <c:pt idx="2">
                  <c:v>6.75</c:v>
                </c:pt>
                <c:pt idx="3">
                  <c:v>33.730000000000011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-27.27</c:v>
                </c:pt>
                <c:pt idx="1">
                  <c:v>-5.6899999999999995</c:v>
                </c:pt>
                <c:pt idx="2">
                  <c:v>6.84</c:v>
                </c:pt>
                <c:pt idx="3">
                  <c:v>-26.1</c:v>
                </c:pt>
              </c:numCache>
            </c:numRef>
          </c:val>
        </c:ser>
        <c:axId val="52455680"/>
        <c:axId val="52479104"/>
      </c:barChart>
      <c:dateAx>
        <c:axId val="5245568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52479104"/>
        <c:crosses val="autoZero"/>
        <c:lblOffset val="100"/>
        <c:baseTimeUnit val="days"/>
      </c:dateAx>
      <c:valAx>
        <c:axId val="524791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2455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521959755030665"/>
          <c:y val="0.40653468225175482"/>
          <c:w val="0.12009981361025521"/>
          <c:h val="0.28221940342563562"/>
        </c:manualLayout>
      </c:layout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697329500544E-2"/>
          <c:y val="4.8134800457635102E-2"/>
        </c:manualLayout>
      </c:layout>
    </c:title>
    <c:plotArea>
      <c:layout>
        <c:manualLayout>
          <c:layoutTarget val="inner"/>
          <c:xMode val="edge"/>
          <c:yMode val="edge"/>
          <c:x val="0.16223429817751694"/>
          <c:y val="0.21410955399528128"/>
          <c:w val="0.63761883931176588"/>
          <c:h val="0.550029853138614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29.1</c:v>
                </c:pt>
                <c:pt idx="1">
                  <c:v>11.4</c:v>
                </c:pt>
                <c:pt idx="2">
                  <c:v>8.2200000000000006</c:v>
                </c:pt>
                <c:pt idx="3">
                  <c:v>9.94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62.28</c:v>
                </c:pt>
                <c:pt idx="1">
                  <c:v>79.36999999999999</c:v>
                </c:pt>
                <c:pt idx="2">
                  <c:v>75.209999999999994</c:v>
                </c:pt>
                <c:pt idx="3">
                  <c:v>77.45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8.620000000000001</c:v>
                </c:pt>
                <c:pt idx="1">
                  <c:v>9.2299999999999986</c:v>
                </c:pt>
                <c:pt idx="2">
                  <c:v>16.57</c:v>
                </c:pt>
                <c:pt idx="3">
                  <c:v>12.61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20.479999999999986</c:v>
                </c:pt>
                <c:pt idx="1">
                  <c:v>2.16</c:v>
                </c:pt>
                <c:pt idx="2">
                  <c:v>-8.3500000000000068</c:v>
                </c:pt>
                <c:pt idx="3">
                  <c:v>-2.68</c:v>
                </c:pt>
              </c:numCache>
            </c:numRef>
          </c:val>
        </c:ser>
        <c:axId val="53305344"/>
        <c:axId val="53307264"/>
      </c:barChart>
      <c:catAx>
        <c:axId val="5330534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53307264"/>
        <c:crosses val="autoZero"/>
        <c:auto val="1"/>
        <c:lblAlgn val="ctr"/>
        <c:lblOffset val="100"/>
      </c:catAx>
      <c:valAx>
        <c:axId val="5330726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3305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30400366621"/>
          <c:y val="0.42824483478026781"/>
          <c:w val="0.20052993375827971"/>
          <c:h val="0.25987482333939588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897"/>
              <a:t>توقعات</a:t>
            </a:r>
            <a:r>
              <a:rPr lang="ar-SA" sz="897" baseline="0"/>
              <a:t> </a:t>
            </a:r>
            <a:r>
              <a:rPr lang="ar-MA" sz="897" baseline="0"/>
              <a:t>أرباب</a:t>
            </a:r>
            <a:r>
              <a:rPr lang="ar-SA" sz="897" baseline="0"/>
              <a:t> </a:t>
            </a:r>
            <a:r>
              <a:rPr lang="ar-MA" sz="897" baseline="0"/>
              <a:t>مقاولات </a:t>
            </a:r>
            <a:r>
              <a:rPr lang="ar-SA" sz="897" baseline="0"/>
              <a:t>قطاع تجارة الجملة </a:t>
            </a:r>
            <a:r>
              <a:rPr lang="ar-MA" sz="897" baseline="0"/>
              <a:t>(النسبة </a:t>
            </a:r>
            <a:r>
              <a:rPr lang="ar-SA" sz="897" baseline="0"/>
              <a:t>ب</a:t>
            </a:r>
            <a:r>
              <a:rPr lang="ar-MA" sz="897" baseline="0"/>
              <a:t> </a:t>
            </a:r>
            <a:r>
              <a:rPr lang="fr-FR" sz="897" baseline="0"/>
              <a:t>%</a:t>
            </a:r>
            <a:r>
              <a:rPr lang="ar-MA" sz="897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598134877749E-2"/>
          <c:y val="2.5852488022692629E-2"/>
        </c:manualLayout>
      </c:layout>
    </c:title>
    <c:plotArea>
      <c:layout>
        <c:manualLayout>
          <c:layoutTarget val="inner"/>
          <c:xMode val="edge"/>
          <c:yMode val="edge"/>
          <c:x val="0.13900934100409418"/>
          <c:y val="0.14738261883931175"/>
          <c:w val="0.68656114955327552"/>
          <c:h val="0.7355037911927599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15.38</c:v>
                </c:pt>
                <c:pt idx="1">
                  <c:v>18.95</c:v>
                </c:pt>
                <c:pt idx="2">
                  <c:v>16.22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68.260000000000005</c:v>
                </c:pt>
                <c:pt idx="1">
                  <c:v>49.11</c:v>
                </c:pt>
                <c:pt idx="2">
                  <c:v>79.52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16.36</c:v>
                </c:pt>
                <c:pt idx="1">
                  <c:v>31.939999999999991</c:v>
                </c:pt>
                <c:pt idx="2">
                  <c:v>4.26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-0.98</c:v>
                </c:pt>
                <c:pt idx="1">
                  <c:v>-12.99</c:v>
                </c:pt>
                <c:pt idx="2">
                  <c:v>11.96</c:v>
                </c:pt>
              </c:numCache>
            </c:numRef>
          </c:val>
        </c:ser>
        <c:axId val="60884864"/>
        <c:axId val="66623360"/>
      </c:barChart>
      <c:catAx>
        <c:axId val="6088486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97" b="1"/>
            </a:pPr>
            <a:endParaRPr lang="fr-FR"/>
          </a:p>
        </c:txPr>
        <c:crossAx val="66623360"/>
        <c:crosses val="autoZero"/>
        <c:auto val="1"/>
        <c:lblAlgn val="ctr"/>
        <c:lblOffset val="100"/>
      </c:catAx>
      <c:valAx>
        <c:axId val="666233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0884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178845768752"/>
          <c:y val="0.41298876989330446"/>
          <c:w val="0.16199452913452106"/>
          <c:h val="0.24868769304047741"/>
        </c:manualLayout>
      </c:layout>
      <c:txPr>
        <a:bodyPr/>
        <a:lstStyle/>
        <a:p>
          <a:pPr>
            <a:defRPr sz="79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584"/>
          <c:y val="0.1402035319997533"/>
          <c:w val="0.67895592992736353"/>
          <c:h val="0.649195808748483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77886592"/>
        <c:axId val="77888896"/>
      </c:barChart>
      <c:catAx>
        <c:axId val="77886592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77888896"/>
        <c:crosses val="autoZero"/>
        <c:auto val="1"/>
        <c:lblAlgn val="ctr"/>
        <c:lblOffset val="900"/>
      </c:catAx>
      <c:valAx>
        <c:axId val="7788889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7886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5556593759"/>
          <c:y val="0.31610269528491852"/>
          <c:w val="0.15358215816243312"/>
          <c:h val="0.24868779727407214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Feddouli</dc:creator>
  <cp:lastModifiedBy>User</cp:lastModifiedBy>
  <cp:revision>12</cp:revision>
  <cp:lastPrinted>2019-06-17T15:11:00Z</cp:lastPrinted>
  <dcterms:created xsi:type="dcterms:W3CDTF">2019-06-18T10:49:00Z</dcterms:created>
  <dcterms:modified xsi:type="dcterms:W3CDTF">2019-06-18T11:06:00Z</dcterms:modified>
</cp:coreProperties>
</file>