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0E023F" w:rsidP="000E023F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B754E9" w:rsidRDefault="00D10697" w:rsidP="00B754E9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   </w:t>
      </w:r>
    </w:p>
    <w:p w:rsidR="00B754E9" w:rsidRDefault="00B754E9" w:rsidP="00B754E9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9F61AD" w:rsidRPr="004671FE" w:rsidRDefault="009F61AD" w:rsidP="00B754E9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F61AD" w:rsidRPr="004671FE" w:rsidRDefault="009F61AD" w:rsidP="009F61AD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9F61AD" w:rsidRDefault="009F61AD" w:rsidP="009F61AD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F61AD" w:rsidRDefault="009F61AD" w:rsidP="009F61AD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DE JANVIER 2019</w:t>
      </w:r>
    </w:p>
    <w:p w:rsidR="009F61AD" w:rsidRPr="00A31B97" w:rsidRDefault="009F61AD" w:rsidP="009F61AD">
      <w:pPr>
        <w:rPr>
          <w:lang w:bidi="ar-MA"/>
        </w:rPr>
      </w:pPr>
    </w:p>
    <w:p w:rsidR="009F61AD" w:rsidRPr="00A31B97" w:rsidRDefault="009F61AD" w:rsidP="009F61AD">
      <w:pPr>
        <w:bidi w:val="0"/>
        <w:rPr>
          <w:lang w:bidi="ar-MA"/>
        </w:rPr>
      </w:pPr>
    </w:p>
    <w:p w:rsidR="009F61AD" w:rsidRPr="004671FE" w:rsidRDefault="009F61AD" w:rsidP="009F61AD">
      <w:pPr>
        <w:jc w:val="right"/>
        <w:rPr>
          <w:rFonts w:ascii="Arial" w:hAnsi="Arial" w:cs="Arial"/>
          <w:lang w:bidi="ar-MA"/>
        </w:rPr>
      </w:pPr>
    </w:p>
    <w:p w:rsidR="009F61AD" w:rsidRDefault="009F61AD" w:rsidP="00B754E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Baisse de 0,3%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la baisse de 0,5% de l’indice des produits alimentaires et de 0,2% de l’indice des produits</w:t>
      </w:r>
      <w:r w:rsidRPr="00FF6FD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non alimentaires.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53762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sse de 0,1% sur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un mois et </w:t>
      </w:r>
      <w:r w:rsidR="0053762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53762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9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9F61AD" w:rsidRDefault="009F61AD" w:rsidP="00B754E9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9F61AD" w:rsidRPr="00C954F8" w:rsidRDefault="009F61AD" w:rsidP="00B754E9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L’indice d</w:t>
      </w:r>
      <w:r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connu</w:t>
      </w:r>
      <w:r w:rsidRPr="004671FE">
        <w:rPr>
          <w:rFonts w:ascii="Arial" w:hAnsi="Arial" w:cs="Arial"/>
          <w:sz w:val="24"/>
          <w:szCs w:val="24"/>
        </w:rPr>
        <w:t xml:space="preserve">, au cours du mois </w:t>
      </w:r>
      <w:r>
        <w:rPr>
          <w:rFonts w:ascii="Arial" w:hAnsi="Arial" w:cs="Arial"/>
          <w:sz w:val="24"/>
          <w:szCs w:val="24"/>
        </w:rPr>
        <w:t>de janvier 2019</w:t>
      </w:r>
      <w:r w:rsidRPr="004671FE">
        <w:rPr>
          <w:rFonts w:ascii="Arial" w:hAnsi="Arial" w:cs="Arial"/>
          <w:sz w:val="24"/>
          <w:szCs w:val="24"/>
        </w:rPr>
        <w:t xml:space="preserve">, une </w:t>
      </w:r>
      <w:r>
        <w:rPr>
          <w:rFonts w:ascii="Arial" w:hAnsi="Arial" w:cs="Arial"/>
          <w:sz w:val="24"/>
          <w:szCs w:val="24"/>
        </w:rPr>
        <w:t xml:space="preserve">baisse </w:t>
      </w:r>
      <w:r w:rsidRPr="004671F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0,3</w:t>
      </w:r>
      <w:r w:rsidRPr="004671FE">
        <w:rPr>
          <w:rFonts w:ascii="Arial" w:hAnsi="Arial" w:cs="Arial"/>
          <w:sz w:val="24"/>
          <w:szCs w:val="24"/>
        </w:rPr>
        <w:t>% par rapport au mois précédent. Cette variation est le résultat d</w:t>
      </w:r>
      <w:r>
        <w:rPr>
          <w:rFonts w:ascii="Arial" w:hAnsi="Arial" w:cs="Arial"/>
          <w:sz w:val="24"/>
          <w:szCs w:val="24"/>
        </w:rPr>
        <w:t xml:space="preserve">e la baisse </w:t>
      </w:r>
      <w:r w:rsidRPr="005662A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0,5</w:t>
      </w:r>
      <w:r w:rsidRPr="005662A0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>
        <w:rPr>
          <w:rFonts w:ascii="Arial" w:hAnsi="Arial" w:cs="Arial"/>
          <w:sz w:val="24"/>
          <w:szCs w:val="24"/>
        </w:rPr>
        <w:t>de 0,2% de l’indice des produits</w:t>
      </w:r>
      <w:r w:rsidRPr="00C954F8">
        <w:rPr>
          <w:rFonts w:ascii="Arial" w:hAnsi="Arial" w:cs="Arial"/>
          <w:sz w:val="24"/>
          <w:szCs w:val="24"/>
        </w:rPr>
        <w:t xml:space="preserve"> </w:t>
      </w:r>
      <w:r w:rsidR="008579C1">
        <w:rPr>
          <w:rFonts w:ascii="Arial" w:hAnsi="Arial" w:cs="Arial"/>
          <w:sz w:val="24"/>
          <w:szCs w:val="24"/>
        </w:rPr>
        <w:t>non</w:t>
      </w:r>
      <w:r w:rsidR="008579C1" w:rsidRPr="00C954F8">
        <w:rPr>
          <w:rFonts w:ascii="Arial" w:hAnsi="Arial" w:cs="Arial"/>
          <w:sz w:val="24"/>
          <w:szCs w:val="24"/>
        </w:rPr>
        <w:t xml:space="preserve"> </w:t>
      </w:r>
      <w:r w:rsidRPr="00C954F8">
        <w:rPr>
          <w:rFonts w:ascii="Arial" w:hAnsi="Arial" w:cs="Arial"/>
          <w:sz w:val="24"/>
          <w:szCs w:val="24"/>
        </w:rPr>
        <w:t>alimentaires</w:t>
      </w:r>
      <w:r>
        <w:rPr>
          <w:rFonts w:ascii="Arial" w:hAnsi="Arial" w:cs="Arial"/>
          <w:sz w:val="24"/>
          <w:szCs w:val="24"/>
        </w:rPr>
        <w:t>.</w:t>
      </w:r>
    </w:p>
    <w:p w:rsidR="009F61AD" w:rsidRPr="004671FE" w:rsidRDefault="009F61AD" w:rsidP="00B754E9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9F61AD" w:rsidRDefault="009F61AD" w:rsidP="00B754E9">
      <w:pPr>
        <w:bidi w:val="0"/>
        <w:spacing w:line="276" w:lineRule="auto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L</w:t>
      </w:r>
      <w:r w:rsidRPr="004671FE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baisses</w:t>
      </w:r>
      <w:r w:rsidRPr="004671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4671FE">
        <w:rPr>
          <w:rFonts w:ascii="Arial" w:hAnsi="Arial" w:cs="Arial"/>
          <w:sz w:val="24"/>
          <w:szCs w:val="24"/>
        </w:rPr>
        <w:t xml:space="preserve">es produits alimentaires observées entre </w:t>
      </w:r>
      <w:r>
        <w:rPr>
          <w:rFonts w:ascii="Arial" w:hAnsi="Arial" w:cs="Arial"/>
          <w:sz w:val="24"/>
          <w:szCs w:val="24"/>
        </w:rPr>
        <w:t>décembre 2018 et janvier</w:t>
      </w:r>
      <w:r w:rsidRPr="004671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2019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les « fruits » et les</w:t>
      </w:r>
      <w:r w:rsidRPr="000E3762">
        <w:rPr>
          <w:rFonts w:ascii="Arial" w:hAnsi="Arial" w:cs="Arial"/>
          <w:sz w:val="24"/>
          <w:szCs w:val="24"/>
        </w:rPr>
        <w:t xml:space="preserve"> «</w:t>
      </w:r>
      <w:r w:rsidRPr="00091374">
        <w:rPr>
          <w:rFonts w:ascii="Arial" w:hAnsi="Arial" w:cs="Arial"/>
          <w:sz w:val="24"/>
          <w:szCs w:val="24"/>
        </w:rPr>
        <w:t>huiles et graisses</w:t>
      </w:r>
      <w:r w:rsidRPr="000E3762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avec 3,0%, les « légumes » avec 2,</w:t>
      </w:r>
      <w:r w:rsidR="002C5EF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%, les « viandes » avec 1,0% et le « lait, fromage et œufs » avec 0,</w:t>
      </w:r>
      <w:r w:rsidR="002C5EF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%. En revanche, les prix ont augmenté de  0,</w:t>
      </w:r>
      <w:r w:rsidR="00290A0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% pour l</w:t>
      </w:r>
      <w:r w:rsidR="00B9704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«poissons et fruits de mer »</w:t>
      </w:r>
      <w:r w:rsidR="00290A01">
        <w:rPr>
          <w:rFonts w:ascii="Arial" w:hAnsi="Arial" w:cs="Arial"/>
          <w:sz w:val="24"/>
          <w:szCs w:val="24"/>
        </w:rPr>
        <w:t>.</w:t>
      </w:r>
      <w:r w:rsidR="00B9540A" w:rsidRPr="00B9540A">
        <w:rPr>
          <w:rFonts w:ascii="Arial" w:hAnsi="Arial" w:cs="Arial"/>
          <w:sz w:val="24"/>
          <w:szCs w:val="24"/>
          <w:lang w:bidi="ar-MA"/>
        </w:rPr>
        <w:t xml:space="preserve"> </w:t>
      </w:r>
      <w:r w:rsidR="00B9540A">
        <w:rPr>
          <w:rFonts w:ascii="Arial" w:hAnsi="Arial" w:cs="Arial"/>
          <w:sz w:val="24"/>
          <w:szCs w:val="24"/>
          <w:lang w:bidi="ar-MA"/>
        </w:rPr>
        <w:t>Pour les produits non alimentaires,</w:t>
      </w:r>
      <w:r>
        <w:rPr>
          <w:rFonts w:ascii="Arial" w:hAnsi="Arial" w:cs="Arial"/>
          <w:sz w:val="24"/>
          <w:szCs w:val="24"/>
        </w:rPr>
        <w:t xml:space="preserve"> la hausse a concerné principalement les prix des « Tabacs » avec 15,</w:t>
      </w:r>
      <w:r w:rsidR="002C5EF3">
        <w:rPr>
          <w:rFonts w:ascii="Arial" w:hAnsi="Arial" w:cs="Arial"/>
          <w:sz w:val="24"/>
          <w:szCs w:val="24"/>
        </w:rPr>
        <w:t>2</w:t>
      </w:r>
      <w:r w:rsidR="00290A01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F61AD" w:rsidRPr="004671FE" w:rsidRDefault="009F61AD" w:rsidP="00B754E9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9F61AD" w:rsidRDefault="009F61AD" w:rsidP="00B754E9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Pr="000B6C75">
        <w:rPr>
          <w:rFonts w:ascii="Arial" w:hAnsi="Arial" w:cs="Arial"/>
          <w:sz w:val="24"/>
          <w:szCs w:val="24"/>
        </w:rPr>
        <w:t xml:space="preserve">Les </w:t>
      </w:r>
      <w:r>
        <w:rPr>
          <w:rFonts w:ascii="Arial" w:hAnsi="Arial" w:cs="Arial"/>
          <w:sz w:val="24"/>
          <w:szCs w:val="24"/>
        </w:rPr>
        <w:t>baisses</w:t>
      </w:r>
      <w:r w:rsidRPr="000B6C75">
        <w:rPr>
          <w:rFonts w:ascii="Arial" w:hAnsi="Arial" w:cs="Arial"/>
          <w:sz w:val="24"/>
          <w:szCs w:val="24"/>
        </w:rPr>
        <w:t xml:space="preserve"> les plus importantes de l’IPC ont été enregistrées à </w:t>
      </w:r>
      <w:r w:rsidRPr="00091374">
        <w:rPr>
          <w:rFonts w:ascii="Arial" w:hAnsi="Arial" w:cs="Arial"/>
          <w:sz w:val="24"/>
          <w:szCs w:val="24"/>
        </w:rPr>
        <w:t>Marrakech</w:t>
      </w:r>
      <w:r>
        <w:rPr>
          <w:rFonts w:ascii="Arial" w:hAnsi="Arial" w:cs="Arial"/>
          <w:sz w:val="24"/>
          <w:szCs w:val="24"/>
        </w:rPr>
        <w:t>,</w:t>
      </w:r>
      <w:r w:rsidRPr="00091374">
        <w:rPr>
          <w:rFonts w:cs="Times New Roman"/>
          <w:sz w:val="24"/>
          <w:szCs w:val="24"/>
          <w:lang w:bidi="ar-MA"/>
        </w:rPr>
        <w:t xml:space="preserve"> </w:t>
      </w:r>
      <w:r w:rsidRPr="00CE2FFC">
        <w:rPr>
          <w:rFonts w:ascii="Arial" w:hAnsi="Arial" w:cs="Arial"/>
          <w:sz w:val="24"/>
          <w:szCs w:val="24"/>
        </w:rPr>
        <w:t>Meknès et Laâyoune</w:t>
      </w:r>
      <w:r w:rsidRPr="000913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avec 0,6%, à </w:t>
      </w:r>
      <w:r w:rsidRPr="00091374">
        <w:rPr>
          <w:rFonts w:ascii="Arial" w:hAnsi="Arial" w:cs="Arial"/>
          <w:sz w:val="24"/>
          <w:szCs w:val="24"/>
        </w:rPr>
        <w:t>Agadir</w:t>
      </w:r>
      <w:r>
        <w:rPr>
          <w:rFonts w:ascii="Arial" w:hAnsi="Arial" w:cs="Arial"/>
          <w:sz w:val="24"/>
          <w:szCs w:val="24"/>
        </w:rPr>
        <w:t xml:space="preserve"> et </w:t>
      </w:r>
      <w:r w:rsidRPr="00091374">
        <w:rPr>
          <w:rFonts w:ascii="Arial" w:hAnsi="Arial" w:cs="Arial"/>
          <w:sz w:val="24"/>
          <w:szCs w:val="24"/>
        </w:rPr>
        <w:t xml:space="preserve">Tanger </w:t>
      </w:r>
      <w:r>
        <w:rPr>
          <w:rFonts w:ascii="Arial" w:hAnsi="Arial" w:cs="Arial"/>
          <w:sz w:val="24"/>
          <w:szCs w:val="24"/>
        </w:rPr>
        <w:t xml:space="preserve">avec 0,5%, à </w:t>
      </w:r>
      <w:r w:rsidRPr="00091374">
        <w:rPr>
          <w:rFonts w:ascii="Arial" w:hAnsi="Arial" w:cs="Arial"/>
          <w:sz w:val="24"/>
          <w:szCs w:val="24"/>
        </w:rPr>
        <w:t>Casablanca</w:t>
      </w:r>
      <w:r w:rsidR="009370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091374">
        <w:rPr>
          <w:rFonts w:ascii="Arial" w:hAnsi="Arial" w:cs="Arial"/>
          <w:sz w:val="24"/>
          <w:szCs w:val="24"/>
        </w:rPr>
        <w:t>Kénitra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CE2FFC">
        <w:rPr>
          <w:rFonts w:ascii="Arial" w:hAnsi="Arial" w:cs="Arial"/>
          <w:sz w:val="24"/>
          <w:szCs w:val="24"/>
        </w:rPr>
        <w:t xml:space="preserve"> </w:t>
      </w:r>
      <w:r w:rsidRPr="00091374">
        <w:rPr>
          <w:rFonts w:ascii="Arial" w:hAnsi="Arial" w:cs="Arial"/>
          <w:sz w:val="24"/>
          <w:szCs w:val="24"/>
        </w:rPr>
        <w:t>Rabat</w:t>
      </w:r>
      <w:r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091374">
        <w:rPr>
          <w:rFonts w:ascii="Arial" w:hAnsi="Arial" w:cs="Arial"/>
          <w:sz w:val="24"/>
          <w:szCs w:val="24"/>
        </w:rPr>
        <w:t>Al-hoceima</w:t>
      </w:r>
      <w:proofErr w:type="spellEnd"/>
      <w:r>
        <w:rPr>
          <w:rFonts w:ascii="Arial" w:hAnsi="Arial" w:cs="Arial"/>
          <w:sz w:val="24"/>
          <w:szCs w:val="24"/>
        </w:rPr>
        <w:t xml:space="preserve"> avec 0,3%; En revanche, des hausses ont été enregistrées à </w:t>
      </w:r>
      <w:r w:rsidRPr="00091374">
        <w:rPr>
          <w:rFonts w:ascii="Arial" w:hAnsi="Arial" w:cs="Arial"/>
          <w:sz w:val="24"/>
          <w:szCs w:val="24"/>
        </w:rPr>
        <w:t>Settat</w:t>
      </w:r>
      <w:r>
        <w:rPr>
          <w:rFonts w:ascii="Arial" w:hAnsi="Arial" w:cs="Arial"/>
          <w:sz w:val="24"/>
          <w:szCs w:val="24"/>
        </w:rPr>
        <w:t xml:space="preserve"> avec 0,3%, à</w:t>
      </w:r>
      <w:r w:rsidRPr="00CE2FFC">
        <w:rPr>
          <w:rFonts w:ascii="Arial" w:hAnsi="Arial" w:cs="Arial"/>
          <w:sz w:val="24"/>
          <w:szCs w:val="24"/>
        </w:rPr>
        <w:t xml:space="preserve"> </w:t>
      </w:r>
      <w:r w:rsidRPr="00091374">
        <w:rPr>
          <w:rFonts w:ascii="Arial" w:hAnsi="Arial" w:cs="Arial"/>
          <w:sz w:val="24"/>
          <w:szCs w:val="24"/>
        </w:rPr>
        <w:t>Dakhla</w:t>
      </w:r>
      <w:r>
        <w:rPr>
          <w:rFonts w:ascii="Arial" w:hAnsi="Arial" w:cs="Arial"/>
          <w:sz w:val="24"/>
          <w:szCs w:val="24"/>
        </w:rPr>
        <w:t xml:space="preserve"> et Guelmim avec 0,2% et à </w:t>
      </w:r>
      <w:r w:rsidRPr="00091374">
        <w:rPr>
          <w:rFonts w:ascii="Arial" w:hAnsi="Arial" w:cs="Arial"/>
          <w:sz w:val="24"/>
          <w:szCs w:val="24"/>
        </w:rPr>
        <w:t xml:space="preserve">Fès </w:t>
      </w:r>
      <w:r>
        <w:rPr>
          <w:rFonts w:ascii="Arial" w:hAnsi="Arial" w:cs="Arial"/>
          <w:sz w:val="24"/>
          <w:szCs w:val="24"/>
        </w:rPr>
        <w:t>avec 0,1%.</w:t>
      </w:r>
    </w:p>
    <w:p w:rsidR="009F61AD" w:rsidRPr="00C954F8" w:rsidRDefault="009F61AD" w:rsidP="00B754E9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9F61AD" w:rsidRPr="00FD1966" w:rsidRDefault="009F61AD" w:rsidP="00B754E9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FD1966">
        <w:rPr>
          <w:rFonts w:ascii="Arial" w:hAnsi="Arial" w:cs="Arial"/>
          <w:sz w:val="24"/>
          <w:szCs w:val="24"/>
        </w:rPr>
        <w:tab/>
        <w:t xml:space="preserve">Comparé au </w:t>
      </w:r>
      <w:r w:rsidRPr="004671FE">
        <w:rPr>
          <w:rFonts w:ascii="Arial" w:hAnsi="Arial" w:cs="Arial"/>
          <w:sz w:val="24"/>
          <w:szCs w:val="24"/>
        </w:rPr>
        <w:t>même mois de l’année précédente, l’indice d</w:t>
      </w:r>
      <w:r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a enregistré</w:t>
      </w:r>
      <w:r>
        <w:rPr>
          <w:rFonts w:ascii="Arial" w:hAnsi="Arial" w:cs="Arial"/>
          <w:sz w:val="24"/>
          <w:szCs w:val="24"/>
        </w:rPr>
        <w:t xml:space="preserve"> une baisse de 0,5%</w:t>
      </w:r>
      <w:r w:rsidRPr="00684F8E">
        <w:rPr>
          <w:rFonts w:ascii="Arial" w:hAnsi="Arial" w:cs="Arial"/>
          <w:sz w:val="24"/>
          <w:szCs w:val="24"/>
        </w:rPr>
        <w:t xml:space="preserve"> au cours du mois </w:t>
      </w:r>
      <w:r>
        <w:rPr>
          <w:rFonts w:ascii="Arial" w:hAnsi="Arial" w:cs="Arial"/>
          <w:sz w:val="24"/>
          <w:szCs w:val="24"/>
        </w:rPr>
        <w:t>de janvier</w:t>
      </w:r>
      <w:r w:rsidRPr="00166D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2019.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Pr="008D538D">
        <w:rPr>
          <w:rFonts w:ascii="Arial" w:hAnsi="Arial" w:cs="Arial"/>
          <w:sz w:val="24"/>
          <w:szCs w:val="24"/>
        </w:rPr>
        <w:t xml:space="preserve">Cette variation résulte de la </w:t>
      </w:r>
      <w:r>
        <w:rPr>
          <w:rFonts w:ascii="Arial" w:hAnsi="Arial" w:cs="Arial"/>
          <w:sz w:val="24"/>
          <w:szCs w:val="24"/>
        </w:rPr>
        <w:t>baisse</w:t>
      </w:r>
      <w:r w:rsidRPr="008D538D">
        <w:rPr>
          <w:rFonts w:ascii="Arial" w:hAnsi="Arial" w:cs="Arial"/>
          <w:sz w:val="24"/>
          <w:szCs w:val="24"/>
        </w:rPr>
        <w:t xml:space="preserve"> de l’indice des produits alimentaires de </w:t>
      </w:r>
      <w:r>
        <w:rPr>
          <w:rFonts w:ascii="Arial" w:hAnsi="Arial" w:cs="Arial"/>
          <w:sz w:val="24"/>
          <w:szCs w:val="24"/>
        </w:rPr>
        <w:t>2,3</w:t>
      </w:r>
      <w:r w:rsidRPr="008D538D">
        <w:rPr>
          <w:rFonts w:ascii="Arial" w:hAnsi="Arial" w:cs="Arial"/>
          <w:sz w:val="24"/>
          <w:szCs w:val="24"/>
        </w:rPr>
        <w:t>% et</w:t>
      </w:r>
      <w:r>
        <w:rPr>
          <w:rFonts w:ascii="Arial" w:hAnsi="Arial" w:cs="Arial"/>
          <w:sz w:val="24"/>
          <w:szCs w:val="24"/>
        </w:rPr>
        <w:t xml:space="preserve"> de la hausse de celui</w:t>
      </w:r>
      <w:r w:rsidRPr="008D538D">
        <w:rPr>
          <w:rFonts w:ascii="Arial" w:hAnsi="Arial" w:cs="Arial"/>
          <w:sz w:val="24"/>
          <w:szCs w:val="24"/>
        </w:rPr>
        <w:t xml:space="preserve"> des produits</w:t>
      </w:r>
      <w:r w:rsidRPr="00AE0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non </w:t>
      </w:r>
      <w:r w:rsidRPr="008D538D">
        <w:rPr>
          <w:rFonts w:ascii="Arial" w:hAnsi="Arial" w:cs="Arial"/>
          <w:sz w:val="24"/>
          <w:szCs w:val="24"/>
        </w:rPr>
        <w:t xml:space="preserve">alimentaires de </w:t>
      </w:r>
      <w:r>
        <w:rPr>
          <w:rFonts w:ascii="Arial" w:hAnsi="Arial" w:cs="Arial"/>
          <w:sz w:val="24"/>
          <w:szCs w:val="24"/>
        </w:rPr>
        <w:t>0,6</w:t>
      </w:r>
      <w:r w:rsidRPr="008D538D">
        <w:rPr>
          <w:rFonts w:ascii="Arial" w:hAnsi="Arial" w:cs="Arial"/>
          <w:sz w:val="24"/>
          <w:szCs w:val="24"/>
        </w:rPr>
        <w:t>%.</w:t>
      </w:r>
      <w:r w:rsidRPr="00FD1966">
        <w:rPr>
          <w:rFonts w:ascii="Arial" w:hAnsi="Arial" w:cs="Arial"/>
          <w:sz w:val="24"/>
          <w:szCs w:val="24"/>
        </w:rPr>
        <w:t xml:space="preserve"> Les variations enregistrées pour les produits non alimentaires vont d’une </w:t>
      </w:r>
      <w:r>
        <w:rPr>
          <w:rFonts w:ascii="Arial" w:hAnsi="Arial" w:cs="Arial"/>
          <w:sz w:val="24"/>
          <w:szCs w:val="24"/>
        </w:rPr>
        <w:t>baisse</w:t>
      </w:r>
      <w:r w:rsidR="00B9540A">
        <w:rPr>
          <w:rFonts w:ascii="Arial" w:hAnsi="Arial" w:cs="Arial"/>
          <w:sz w:val="24"/>
          <w:szCs w:val="24"/>
        </w:rPr>
        <w:t xml:space="preserve"> </w:t>
      </w:r>
      <w:r w:rsidR="003B6015">
        <w:rPr>
          <w:rFonts w:ascii="Arial" w:hAnsi="Arial" w:cs="Arial"/>
          <w:sz w:val="24"/>
          <w:szCs w:val="24"/>
        </w:rPr>
        <w:t xml:space="preserve">de </w:t>
      </w:r>
      <w:r w:rsidR="00B9540A">
        <w:rPr>
          <w:rFonts w:ascii="Arial" w:hAnsi="Arial" w:cs="Arial"/>
          <w:sz w:val="24"/>
          <w:szCs w:val="24"/>
        </w:rPr>
        <w:t>2,3</w:t>
      </w:r>
      <w:r w:rsidR="00B9540A" w:rsidRPr="008D538D">
        <w:rPr>
          <w:rFonts w:ascii="Arial" w:hAnsi="Arial" w:cs="Arial"/>
          <w:sz w:val="24"/>
          <w:szCs w:val="24"/>
        </w:rPr>
        <w:t xml:space="preserve">% </w:t>
      </w:r>
      <w:r w:rsidRPr="00FD1966">
        <w:rPr>
          <w:rFonts w:ascii="Arial" w:hAnsi="Arial" w:cs="Arial"/>
          <w:sz w:val="24"/>
          <w:szCs w:val="24"/>
        </w:rPr>
        <w:t xml:space="preserve"> pour l</w:t>
      </w:r>
      <w:r>
        <w:rPr>
          <w:rFonts w:ascii="Arial" w:hAnsi="Arial" w:cs="Arial"/>
          <w:sz w:val="24"/>
          <w:szCs w:val="24"/>
        </w:rPr>
        <w:t>e</w:t>
      </w:r>
      <w:r w:rsidRPr="00FD1966">
        <w:rPr>
          <w:rFonts w:ascii="Arial" w:hAnsi="Arial" w:cs="Arial"/>
          <w:sz w:val="24"/>
          <w:szCs w:val="24"/>
        </w:rPr>
        <w:t xml:space="preserve"> «</w:t>
      </w:r>
      <w:r w:rsidRPr="007D2A7D">
        <w:rPr>
          <w:rFonts w:ascii="Arial" w:hAnsi="Arial" w:cs="Arial"/>
          <w:sz w:val="24"/>
          <w:szCs w:val="24"/>
        </w:rPr>
        <w:t>Transport</w:t>
      </w:r>
      <w:r w:rsidRPr="00FD1966">
        <w:rPr>
          <w:rFonts w:ascii="Arial" w:hAnsi="Arial" w:cs="Arial"/>
          <w:sz w:val="24"/>
          <w:szCs w:val="24"/>
        </w:rPr>
        <w:t xml:space="preserve">» à une hausse de </w:t>
      </w:r>
      <w:r>
        <w:rPr>
          <w:rFonts w:ascii="Arial" w:hAnsi="Arial" w:cs="Arial"/>
          <w:sz w:val="24"/>
          <w:szCs w:val="24"/>
        </w:rPr>
        <w:t>3</w:t>
      </w:r>
      <w:r w:rsidRPr="00FD19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4% pour l’</w:t>
      </w:r>
      <w:r w:rsidRPr="00FD1966">
        <w:rPr>
          <w:rFonts w:ascii="Arial" w:hAnsi="Arial" w:cs="Arial"/>
          <w:sz w:val="24"/>
          <w:szCs w:val="24"/>
        </w:rPr>
        <w:t xml:space="preserve"> «</w:t>
      </w:r>
      <w:r w:rsidRPr="007D2A7D">
        <w:rPr>
          <w:rFonts w:ascii="Arial" w:hAnsi="Arial" w:cs="Arial"/>
          <w:sz w:val="24"/>
          <w:szCs w:val="24"/>
        </w:rPr>
        <w:t>Enseignement</w:t>
      </w:r>
      <w:r w:rsidRPr="00FD1966">
        <w:rPr>
          <w:rFonts w:ascii="Arial" w:hAnsi="Arial" w:cs="Arial"/>
          <w:sz w:val="24"/>
          <w:szCs w:val="24"/>
        </w:rPr>
        <w:t>».</w:t>
      </w:r>
    </w:p>
    <w:p w:rsidR="009F61AD" w:rsidRPr="004671FE" w:rsidRDefault="009F61AD" w:rsidP="00B754E9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9F61AD" w:rsidRPr="00194996" w:rsidRDefault="009F61AD" w:rsidP="00B754E9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Pr="00194996">
        <w:rPr>
          <w:rFonts w:ascii="Arial" w:hAnsi="Arial" w:cs="Arial"/>
          <w:sz w:val="24"/>
          <w:szCs w:val="24"/>
        </w:rPr>
        <w:t>Dans ces conditions, l’indicateur d’inflation sous-jacente, qui exclut les produits à prix volatiles et les produits à tarifs publics, aurait connu au cours du mois de janvier 201</w:t>
      </w:r>
      <w:r>
        <w:rPr>
          <w:rFonts w:ascii="Arial" w:hAnsi="Arial" w:cs="Arial"/>
          <w:sz w:val="24"/>
          <w:szCs w:val="24"/>
        </w:rPr>
        <w:t xml:space="preserve">9 </w:t>
      </w:r>
      <w:r w:rsidRPr="00194996">
        <w:rPr>
          <w:rFonts w:ascii="Arial" w:hAnsi="Arial" w:cs="Arial"/>
          <w:sz w:val="24"/>
          <w:szCs w:val="24"/>
        </w:rPr>
        <w:t xml:space="preserve">une </w:t>
      </w:r>
      <w:r>
        <w:rPr>
          <w:rFonts w:ascii="Arial" w:hAnsi="Arial" w:cs="Arial"/>
          <w:sz w:val="24"/>
          <w:szCs w:val="24"/>
        </w:rPr>
        <w:t>baisse de 0</w:t>
      </w:r>
      <w:r w:rsidR="002C5E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1%</w:t>
      </w:r>
      <w:r w:rsidRPr="00194996">
        <w:rPr>
          <w:rFonts w:ascii="Arial" w:hAnsi="Arial" w:cs="Arial"/>
          <w:sz w:val="24"/>
          <w:szCs w:val="24"/>
        </w:rPr>
        <w:t xml:space="preserve"> par rapport au mois d</w:t>
      </w:r>
      <w:r>
        <w:rPr>
          <w:rFonts w:ascii="Arial" w:hAnsi="Arial" w:cs="Arial"/>
          <w:sz w:val="24"/>
          <w:szCs w:val="24"/>
        </w:rPr>
        <w:t xml:space="preserve">e </w:t>
      </w:r>
      <w:r w:rsidRPr="00194996">
        <w:rPr>
          <w:rFonts w:ascii="Arial" w:hAnsi="Arial" w:cs="Arial"/>
          <w:sz w:val="24"/>
          <w:szCs w:val="24"/>
        </w:rPr>
        <w:t>décembre 201</w:t>
      </w:r>
      <w:r>
        <w:rPr>
          <w:rFonts w:ascii="Arial" w:hAnsi="Arial" w:cs="Arial"/>
          <w:sz w:val="24"/>
          <w:szCs w:val="24"/>
        </w:rPr>
        <w:t>8</w:t>
      </w:r>
      <w:r w:rsidRPr="00194996">
        <w:rPr>
          <w:rFonts w:ascii="Arial" w:hAnsi="Arial" w:cs="Arial"/>
          <w:sz w:val="24"/>
          <w:szCs w:val="24"/>
        </w:rPr>
        <w:t xml:space="preserve"> et </w:t>
      </w:r>
      <w:r>
        <w:rPr>
          <w:rFonts w:ascii="Arial" w:hAnsi="Arial" w:cs="Arial"/>
          <w:sz w:val="24"/>
          <w:szCs w:val="24"/>
        </w:rPr>
        <w:t xml:space="preserve">une hausse </w:t>
      </w:r>
      <w:r w:rsidRPr="00194996">
        <w:rPr>
          <w:rFonts w:ascii="Arial" w:hAnsi="Arial" w:cs="Arial"/>
          <w:sz w:val="24"/>
          <w:szCs w:val="24"/>
        </w:rPr>
        <w:t xml:space="preserve">de </w:t>
      </w:r>
      <w:r w:rsidR="0053762D">
        <w:rPr>
          <w:rFonts w:ascii="Arial" w:hAnsi="Arial" w:cs="Arial"/>
          <w:sz w:val="24"/>
          <w:szCs w:val="24"/>
        </w:rPr>
        <w:t>0</w:t>
      </w:r>
      <w:r w:rsidRPr="00194996">
        <w:rPr>
          <w:rFonts w:ascii="Arial" w:hAnsi="Arial" w:cs="Arial"/>
          <w:sz w:val="24"/>
          <w:szCs w:val="24"/>
        </w:rPr>
        <w:t>,</w:t>
      </w:r>
      <w:r w:rsidR="0053762D">
        <w:rPr>
          <w:rFonts w:ascii="Arial" w:hAnsi="Arial" w:cs="Arial"/>
          <w:sz w:val="24"/>
          <w:szCs w:val="24"/>
        </w:rPr>
        <w:t>9</w:t>
      </w:r>
      <w:r w:rsidRPr="00194996">
        <w:rPr>
          <w:rFonts w:ascii="Arial" w:hAnsi="Arial" w:cs="Arial"/>
          <w:sz w:val="24"/>
          <w:szCs w:val="24"/>
        </w:rPr>
        <w:t>% par rapport au mois de janvier 201</w:t>
      </w:r>
      <w:r>
        <w:rPr>
          <w:rFonts w:ascii="Arial" w:hAnsi="Arial" w:cs="Arial"/>
          <w:sz w:val="24"/>
          <w:szCs w:val="24"/>
        </w:rPr>
        <w:t>8</w:t>
      </w:r>
      <w:r w:rsidRPr="00194996">
        <w:rPr>
          <w:rFonts w:ascii="Arial" w:hAnsi="Arial" w:cs="Arial"/>
          <w:sz w:val="24"/>
          <w:szCs w:val="24"/>
        </w:rPr>
        <w:t>.</w:t>
      </w: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F61AD" w:rsidRDefault="009F61AD" w:rsidP="009F61A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9F61AD" w:rsidRDefault="009F61AD" w:rsidP="009F61A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9F61AD" w:rsidRDefault="009F61AD" w:rsidP="009F61A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9F61AD" w:rsidRPr="00402008" w:rsidRDefault="009F61AD" w:rsidP="009F61AD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9F61AD" w:rsidRPr="00402008" w:rsidRDefault="009F61AD" w:rsidP="009F61AD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F61AD" w:rsidRPr="00402008" w:rsidRDefault="009F61AD" w:rsidP="009F61AD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F61AD" w:rsidRPr="00402008" w:rsidRDefault="009F61AD" w:rsidP="009F61AD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F61AD" w:rsidRPr="00402008" w:rsidRDefault="009F61AD" w:rsidP="009F61AD">
      <w:pPr>
        <w:jc w:val="right"/>
        <w:rPr>
          <w:rFonts w:cs="Times New Roman"/>
          <w:b/>
          <w:i/>
          <w:spacing w:val="-2"/>
        </w:rPr>
      </w:pPr>
    </w:p>
    <w:p w:rsidR="009F61AD" w:rsidRPr="00402008" w:rsidRDefault="009F61AD" w:rsidP="009F61AD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250" w:type="dxa"/>
        <w:tblInd w:w="-6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43"/>
        <w:gridCol w:w="901"/>
        <w:gridCol w:w="901"/>
        <w:gridCol w:w="938"/>
        <w:gridCol w:w="864"/>
        <w:gridCol w:w="901"/>
        <w:gridCol w:w="902"/>
      </w:tblGrid>
      <w:tr w:rsidR="009F61AD" w:rsidRPr="00402008" w:rsidTr="0018283A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402008" w:rsidRDefault="009F61AD" w:rsidP="0018283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74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18283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6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18283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A3658">
              <w:rPr>
                <w:rFonts w:cs="Times New Roman"/>
                <w:b/>
                <w:bCs/>
              </w:rPr>
              <w:t xml:space="preserve">Indices du mois de </w:t>
            </w:r>
            <w:r>
              <w:rPr>
                <w:rFonts w:cs="Times New Roman"/>
                <w:b/>
                <w:bCs/>
              </w:rPr>
              <w:t>j</w:t>
            </w:r>
            <w:r w:rsidRPr="007A3658">
              <w:rPr>
                <w:rFonts w:cs="Times New Roman"/>
                <w:b/>
                <w:bCs/>
              </w:rPr>
              <w:t>anvier</w:t>
            </w:r>
          </w:p>
        </w:tc>
      </w:tr>
      <w:tr w:rsidR="009F61AD" w:rsidRPr="00402008" w:rsidTr="0018283A">
        <w:trPr>
          <w:trHeight w:val="285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F61AD" w:rsidRPr="00402008" w:rsidRDefault="009F61AD" w:rsidP="0018283A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324B4E" w:rsidRDefault="009F61AD" w:rsidP="0018283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</w:t>
            </w:r>
            <w:r w:rsidRPr="007A3658">
              <w:rPr>
                <w:rFonts w:cs="Times New Roman"/>
                <w:b/>
                <w:bCs/>
              </w:rPr>
              <w:t>éc.</w:t>
            </w:r>
            <w:r>
              <w:rPr>
                <w:rFonts w:cs="Times New Roman"/>
                <w:b/>
                <w:bCs/>
              </w:rPr>
              <w:t>2018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324B4E" w:rsidRDefault="009F61AD" w:rsidP="0018283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</w:t>
            </w:r>
            <w:r w:rsidRPr="007A3658">
              <w:rPr>
                <w:rFonts w:cs="Times New Roman"/>
                <w:b/>
                <w:bCs/>
              </w:rPr>
              <w:t>an.201</w:t>
            </w:r>
            <w:r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18283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Pr="00793709">
              <w:rPr>
                <w:rFonts w:cs="Times New Roman"/>
                <w:b/>
                <w:bCs/>
              </w:rPr>
              <w:t>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18283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2018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18283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2019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18283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Pr="00793709">
              <w:rPr>
                <w:rFonts w:cs="Times New Roman"/>
                <w:b/>
                <w:bCs/>
              </w:rPr>
              <w:t>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9F61AD" w:rsidRPr="00402008" w:rsidTr="0018283A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-2,3</w:t>
            </w:r>
          </w:p>
        </w:tc>
      </w:tr>
      <w:tr w:rsidR="009F61AD" w:rsidRPr="00402008" w:rsidTr="0018283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-3,1</w:t>
            </w:r>
          </w:p>
        </w:tc>
      </w:tr>
      <w:tr w:rsidR="009F61AD" w:rsidRPr="00402008" w:rsidTr="0018283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9F61AD" w:rsidRPr="00402008" w:rsidTr="0018283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9F61AD" w:rsidRPr="00402008" w:rsidTr="0018283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F61AD" w:rsidRPr="00402008" w:rsidTr="0018283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F61AD" w:rsidRPr="00402008" w:rsidTr="0018283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5C64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5C645E">
              <w:rPr>
                <w:rFonts w:ascii="Arial" w:hAnsi="Arial" w:cs="Arial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5C645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5C645E">
              <w:rPr>
                <w:rFonts w:ascii="Arial" w:hAnsi="Arial" w:cs="Arial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9F61AD" w:rsidRPr="00402008" w:rsidTr="0018283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F61AD" w:rsidRPr="00402008" w:rsidTr="0018283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</w:tr>
      <w:tr w:rsidR="009F61AD" w:rsidRPr="00402008" w:rsidTr="0018283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F61AD" w:rsidRPr="00402008" w:rsidTr="0018283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F61AD" w:rsidRPr="00402008" w:rsidTr="0018283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9F61AD" w:rsidRPr="00402008" w:rsidTr="0018283A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9F61AD" w:rsidRPr="00402008" w:rsidTr="0018283A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9F61AD" w:rsidRPr="00402008" w:rsidTr="0018283A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</w:tbl>
    <w:p w:rsidR="009F61AD" w:rsidRPr="004671FE" w:rsidRDefault="009F61AD" w:rsidP="009F61AD">
      <w:pPr>
        <w:jc w:val="right"/>
        <w:rPr>
          <w:rFonts w:ascii="Arial" w:hAnsi="Arial" w:cs="Arial"/>
          <w:b/>
          <w:i/>
          <w:spacing w:val="-2"/>
        </w:rPr>
      </w:pPr>
    </w:p>
    <w:p w:rsidR="009F61AD" w:rsidRPr="004671FE" w:rsidRDefault="009F61AD" w:rsidP="009F61AD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F61AD" w:rsidRPr="004671FE" w:rsidRDefault="009F61AD" w:rsidP="009F61AD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  </w:t>
      </w:r>
      <w:r w:rsidRPr="004671FE">
        <w:rPr>
          <w:rFonts w:ascii="Arial" w:hAnsi="Arial" w:cs="Arial"/>
          <w:i/>
          <w:sz w:val="24"/>
        </w:rPr>
        <w:tab/>
      </w:r>
    </w:p>
    <w:p w:rsidR="009F61AD" w:rsidRPr="004671FE" w:rsidRDefault="009F61AD" w:rsidP="009F61AD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9F61AD" w:rsidRPr="00402008" w:rsidRDefault="009F61AD" w:rsidP="009F61AD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F61AD" w:rsidRPr="00402008" w:rsidRDefault="009F61AD" w:rsidP="009F61AD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9F61AD" w:rsidRPr="00402008" w:rsidTr="0018283A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402008" w:rsidRDefault="009F61AD" w:rsidP="0018283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DB00D9" w:rsidRDefault="009F61AD" w:rsidP="0018283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D23C2D" w:rsidRDefault="009F61AD" w:rsidP="0018283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Indices du mois de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anvier</w:t>
            </w:r>
          </w:p>
        </w:tc>
      </w:tr>
      <w:tr w:rsidR="009F61AD" w:rsidRPr="00402008" w:rsidTr="0018283A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F61AD" w:rsidRPr="00402008" w:rsidRDefault="009F61AD" w:rsidP="0018283A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324B4E" w:rsidRDefault="009F61AD" w:rsidP="0018283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éc.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7A3658" w:rsidRDefault="009F61AD" w:rsidP="0018283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an.201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DB00D9" w:rsidRDefault="009F61AD" w:rsidP="0018283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7A3658" w:rsidRDefault="009F61AD" w:rsidP="0018283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7A3658" w:rsidRDefault="009F61AD" w:rsidP="0018283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 201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DB00D9" w:rsidRDefault="009F61AD" w:rsidP="0018283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F61AD" w:rsidRPr="00402008" w:rsidTr="0018283A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DB5F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</w:t>
            </w:r>
            <w:r w:rsidR="00DB5F3B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DB5F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DB5F3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DB5F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DB5F3B">
              <w:rPr>
                <w:rFonts w:ascii="Arial" w:hAnsi="Arial" w:cs="Arial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DB5F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DB5F3B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DB5F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DB5F3B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9F61AD" w:rsidRPr="00402008" w:rsidTr="0018283A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9F61AD" w:rsidRPr="00402008" w:rsidTr="0018283A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F61AD" w:rsidRPr="00402008" w:rsidRDefault="009F61AD" w:rsidP="0018283A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9F61AD" w:rsidRPr="00402008" w:rsidTr="0018283A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CA17F7" w:rsidRDefault="009F61AD" w:rsidP="0018283A">
            <w:pPr>
              <w:bidi w:val="0"/>
              <w:ind w:left="112"/>
              <w:rPr>
                <w:rFonts w:cs="Times New Roman"/>
                <w:b/>
                <w:bCs/>
                <w:sz w:val="24"/>
                <w:szCs w:val="24"/>
              </w:rPr>
            </w:pPr>
            <w:r w:rsidRPr="00CA17F7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Default="009F61AD" w:rsidP="001828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</w:tbl>
    <w:p w:rsidR="009F61AD" w:rsidRPr="009E3A3D" w:rsidRDefault="009F61AD" w:rsidP="009F61AD">
      <w:pPr>
        <w:jc w:val="right"/>
        <w:rPr>
          <w:rFonts w:ascii="Arial" w:hAnsi="Arial" w:cs="Arial"/>
          <w:b/>
          <w:i/>
          <w:spacing w:val="-2"/>
        </w:rPr>
      </w:pPr>
      <w:r w:rsidRPr="009E3A3D">
        <w:rPr>
          <w:rFonts w:ascii="Arial" w:hAnsi="Arial" w:cs="Arial"/>
          <w:b/>
          <w:i/>
          <w:spacing w:val="-2"/>
        </w:rPr>
        <w:t xml:space="preserve">  </w:t>
      </w:r>
    </w:p>
    <w:p w:rsidR="009F61AD" w:rsidRPr="009F61AD" w:rsidRDefault="009F61AD" w:rsidP="008C52AA">
      <w:pPr>
        <w:tabs>
          <w:tab w:val="left" w:pos="-720"/>
        </w:tabs>
        <w:spacing w:line="360" w:lineRule="auto"/>
        <w:ind w:left="-283" w:right="284"/>
        <w:jc w:val="right"/>
        <w:rPr>
          <w:rFonts w:cs="Arial"/>
          <w:b/>
          <w:bCs/>
          <w:rtl/>
        </w:rPr>
      </w:pP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</w:t>
      </w:r>
      <w:r w:rsidRPr="004671FE">
        <w:rPr>
          <w:rFonts w:ascii="Arial" w:hAnsi="Arial" w:cs="Arial"/>
          <w:i/>
          <w:spacing w:val="-2"/>
        </w:rPr>
        <w:t>.</w:t>
      </w:r>
    </w:p>
    <w:sectPr w:rsidR="009F61AD" w:rsidRPr="009F61AD" w:rsidSect="00FD196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BE9" w:rsidRDefault="00280BE9">
      <w:pPr>
        <w:jc w:val="right"/>
      </w:pPr>
      <w:r>
        <w:separator/>
      </w:r>
    </w:p>
  </w:endnote>
  <w:endnote w:type="continuationSeparator" w:id="0">
    <w:p w:rsidR="00280BE9" w:rsidRDefault="00280BE9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BE9" w:rsidRDefault="00280BE9">
      <w:pPr>
        <w:jc w:val="right"/>
      </w:pPr>
      <w:r>
        <w:separator/>
      </w:r>
    </w:p>
  </w:footnote>
  <w:footnote w:type="continuationSeparator" w:id="0">
    <w:p w:rsidR="00280BE9" w:rsidRDefault="00280BE9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035AA"/>
    <w:rsid w:val="00014A7D"/>
    <w:rsid w:val="00015B58"/>
    <w:rsid w:val="00016996"/>
    <w:rsid w:val="00020A71"/>
    <w:rsid w:val="000224A5"/>
    <w:rsid w:val="00023754"/>
    <w:rsid w:val="00027809"/>
    <w:rsid w:val="000307F8"/>
    <w:rsid w:val="00030970"/>
    <w:rsid w:val="00030CA7"/>
    <w:rsid w:val="000356ED"/>
    <w:rsid w:val="0003571B"/>
    <w:rsid w:val="00041672"/>
    <w:rsid w:val="000420CB"/>
    <w:rsid w:val="000427D0"/>
    <w:rsid w:val="000430BB"/>
    <w:rsid w:val="00043AC7"/>
    <w:rsid w:val="000447BF"/>
    <w:rsid w:val="000468B5"/>
    <w:rsid w:val="000477B8"/>
    <w:rsid w:val="00047D6A"/>
    <w:rsid w:val="00051F76"/>
    <w:rsid w:val="00054AE8"/>
    <w:rsid w:val="00057509"/>
    <w:rsid w:val="00057CE1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85F42"/>
    <w:rsid w:val="0009125C"/>
    <w:rsid w:val="0009149B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E023F"/>
    <w:rsid w:val="000E3762"/>
    <w:rsid w:val="0010193B"/>
    <w:rsid w:val="00103640"/>
    <w:rsid w:val="00104C82"/>
    <w:rsid w:val="001054E6"/>
    <w:rsid w:val="0010600E"/>
    <w:rsid w:val="00106C4B"/>
    <w:rsid w:val="00107771"/>
    <w:rsid w:val="00107799"/>
    <w:rsid w:val="00110803"/>
    <w:rsid w:val="00111551"/>
    <w:rsid w:val="00113647"/>
    <w:rsid w:val="001156AE"/>
    <w:rsid w:val="00115C8F"/>
    <w:rsid w:val="00123E4D"/>
    <w:rsid w:val="00133549"/>
    <w:rsid w:val="00134C6E"/>
    <w:rsid w:val="0013695E"/>
    <w:rsid w:val="00136986"/>
    <w:rsid w:val="00145010"/>
    <w:rsid w:val="001455FD"/>
    <w:rsid w:val="00147371"/>
    <w:rsid w:val="00147E22"/>
    <w:rsid w:val="00165361"/>
    <w:rsid w:val="001664C7"/>
    <w:rsid w:val="00166D20"/>
    <w:rsid w:val="00170F76"/>
    <w:rsid w:val="00173A84"/>
    <w:rsid w:val="00173AF2"/>
    <w:rsid w:val="0017468D"/>
    <w:rsid w:val="00183BAE"/>
    <w:rsid w:val="00183D09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687D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07C2"/>
    <w:rsid w:val="00214B22"/>
    <w:rsid w:val="002174B9"/>
    <w:rsid w:val="002210F0"/>
    <w:rsid w:val="00221ABF"/>
    <w:rsid w:val="00221CE0"/>
    <w:rsid w:val="00222CED"/>
    <w:rsid w:val="00225B9F"/>
    <w:rsid w:val="002264CF"/>
    <w:rsid w:val="00227A67"/>
    <w:rsid w:val="00231EE6"/>
    <w:rsid w:val="002353ED"/>
    <w:rsid w:val="00235711"/>
    <w:rsid w:val="00235E10"/>
    <w:rsid w:val="00237E67"/>
    <w:rsid w:val="00241D02"/>
    <w:rsid w:val="00242B30"/>
    <w:rsid w:val="002536D6"/>
    <w:rsid w:val="00260C05"/>
    <w:rsid w:val="00262C93"/>
    <w:rsid w:val="00264881"/>
    <w:rsid w:val="00264CB6"/>
    <w:rsid w:val="00267FAB"/>
    <w:rsid w:val="002718B2"/>
    <w:rsid w:val="00272F23"/>
    <w:rsid w:val="00273F6A"/>
    <w:rsid w:val="00275052"/>
    <w:rsid w:val="00275643"/>
    <w:rsid w:val="00280570"/>
    <w:rsid w:val="002807A5"/>
    <w:rsid w:val="00280BE9"/>
    <w:rsid w:val="00282358"/>
    <w:rsid w:val="00290A01"/>
    <w:rsid w:val="00293413"/>
    <w:rsid w:val="00297BF3"/>
    <w:rsid w:val="002A1D3B"/>
    <w:rsid w:val="002A352B"/>
    <w:rsid w:val="002A7B2F"/>
    <w:rsid w:val="002B1996"/>
    <w:rsid w:val="002B3456"/>
    <w:rsid w:val="002B3777"/>
    <w:rsid w:val="002B5114"/>
    <w:rsid w:val="002B6FDF"/>
    <w:rsid w:val="002C1791"/>
    <w:rsid w:val="002C5EF3"/>
    <w:rsid w:val="002C7436"/>
    <w:rsid w:val="002D01D6"/>
    <w:rsid w:val="002D087D"/>
    <w:rsid w:val="002D0CC6"/>
    <w:rsid w:val="002D39CE"/>
    <w:rsid w:val="002D5B8E"/>
    <w:rsid w:val="002D5F73"/>
    <w:rsid w:val="002E162B"/>
    <w:rsid w:val="002E7663"/>
    <w:rsid w:val="002E77D4"/>
    <w:rsid w:val="002F5B85"/>
    <w:rsid w:val="002F7AB3"/>
    <w:rsid w:val="00303A54"/>
    <w:rsid w:val="0030441E"/>
    <w:rsid w:val="003051E9"/>
    <w:rsid w:val="0031040D"/>
    <w:rsid w:val="003113C8"/>
    <w:rsid w:val="0031201D"/>
    <w:rsid w:val="0031280E"/>
    <w:rsid w:val="00312819"/>
    <w:rsid w:val="00312D41"/>
    <w:rsid w:val="0031500A"/>
    <w:rsid w:val="003159EF"/>
    <w:rsid w:val="00320BC0"/>
    <w:rsid w:val="0032411B"/>
    <w:rsid w:val="00324B4E"/>
    <w:rsid w:val="00324F45"/>
    <w:rsid w:val="003312CF"/>
    <w:rsid w:val="0034053C"/>
    <w:rsid w:val="0034084C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66637"/>
    <w:rsid w:val="003753A1"/>
    <w:rsid w:val="003769B3"/>
    <w:rsid w:val="00380877"/>
    <w:rsid w:val="0038242C"/>
    <w:rsid w:val="00382D7A"/>
    <w:rsid w:val="0038345A"/>
    <w:rsid w:val="003842C3"/>
    <w:rsid w:val="003907B8"/>
    <w:rsid w:val="00395EB9"/>
    <w:rsid w:val="003A2C52"/>
    <w:rsid w:val="003A38E1"/>
    <w:rsid w:val="003A6D10"/>
    <w:rsid w:val="003A6FBC"/>
    <w:rsid w:val="003A7961"/>
    <w:rsid w:val="003B346D"/>
    <w:rsid w:val="003B4A5D"/>
    <w:rsid w:val="003B4DD6"/>
    <w:rsid w:val="003B5A22"/>
    <w:rsid w:val="003B6015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291"/>
    <w:rsid w:val="003E58D5"/>
    <w:rsid w:val="003F0042"/>
    <w:rsid w:val="003F0E4C"/>
    <w:rsid w:val="003F3E53"/>
    <w:rsid w:val="00400B38"/>
    <w:rsid w:val="00400E36"/>
    <w:rsid w:val="00402008"/>
    <w:rsid w:val="0040576C"/>
    <w:rsid w:val="00410156"/>
    <w:rsid w:val="0041282A"/>
    <w:rsid w:val="004129CE"/>
    <w:rsid w:val="004155AD"/>
    <w:rsid w:val="00417A51"/>
    <w:rsid w:val="00420FAE"/>
    <w:rsid w:val="004215B1"/>
    <w:rsid w:val="0042245D"/>
    <w:rsid w:val="00437D11"/>
    <w:rsid w:val="00441009"/>
    <w:rsid w:val="00441F87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5D2F"/>
    <w:rsid w:val="00506CE4"/>
    <w:rsid w:val="005102F3"/>
    <w:rsid w:val="00510635"/>
    <w:rsid w:val="0051173A"/>
    <w:rsid w:val="00511AA6"/>
    <w:rsid w:val="00511B81"/>
    <w:rsid w:val="005134F4"/>
    <w:rsid w:val="00514BD2"/>
    <w:rsid w:val="00514C0E"/>
    <w:rsid w:val="00521536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3762D"/>
    <w:rsid w:val="00541606"/>
    <w:rsid w:val="00545FD9"/>
    <w:rsid w:val="00550163"/>
    <w:rsid w:val="0055169B"/>
    <w:rsid w:val="00551B51"/>
    <w:rsid w:val="00551BDF"/>
    <w:rsid w:val="005536BC"/>
    <w:rsid w:val="00557AC8"/>
    <w:rsid w:val="005603ED"/>
    <w:rsid w:val="005662A0"/>
    <w:rsid w:val="0057341D"/>
    <w:rsid w:val="005744B1"/>
    <w:rsid w:val="00574CCA"/>
    <w:rsid w:val="00574F66"/>
    <w:rsid w:val="00585FE6"/>
    <w:rsid w:val="0058648A"/>
    <w:rsid w:val="0058777F"/>
    <w:rsid w:val="005919F6"/>
    <w:rsid w:val="00595F54"/>
    <w:rsid w:val="00596978"/>
    <w:rsid w:val="0059722E"/>
    <w:rsid w:val="005A1BBE"/>
    <w:rsid w:val="005A3C87"/>
    <w:rsid w:val="005A700F"/>
    <w:rsid w:val="005B0CC0"/>
    <w:rsid w:val="005B3943"/>
    <w:rsid w:val="005B3EEC"/>
    <w:rsid w:val="005B5A63"/>
    <w:rsid w:val="005B7E50"/>
    <w:rsid w:val="005C59F9"/>
    <w:rsid w:val="005C645E"/>
    <w:rsid w:val="005D12DB"/>
    <w:rsid w:val="005D1CE2"/>
    <w:rsid w:val="005D404E"/>
    <w:rsid w:val="005D53A7"/>
    <w:rsid w:val="005D6F13"/>
    <w:rsid w:val="005D7985"/>
    <w:rsid w:val="005D7BB6"/>
    <w:rsid w:val="005E122A"/>
    <w:rsid w:val="005E1632"/>
    <w:rsid w:val="005E23EB"/>
    <w:rsid w:val="005E2E9C"/>
    <w:rsid w:val="005E3B8F"/>
    <w:rsid w:val="005E42E1"/>
    <w:rsid w:val="005E730D"/>
    <w:rsid w:val="005F26AA"/>
    <w:rsid w:val="005F3548"/>
    <w:rsid w:val="005F549B"/>
    <w:rsid w:val="005F588D"/>
    <w:rsid w:val="00601FD2"/>
    <w:rsid w:val="0060241F"/>
    <w:rsid w:val="00602A05"/>
    <w:rsid w:val="0060327B"/>
    <w:rsid w:val="00604827"/>
    <w:rsid w:val="00613AF3"/>
    <w:rsid w:val="006152A9"/>
    <w:rsid w:val="00616205"/>
    <w:rsid w:val="00616D95"/>
    <w:rsid w:val="00623C79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672B3"/>
    <w:rsid w:val="00671C5B"/>
    <w:rsid w:val="00674936"/>
    <w:rsid w:val="006760EB"/>
    <w:rsid w:val="00676F53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B7F68"/>
    <w:rsid w:val="006C174C"/>
    <w:rsid w:val="006C22F6"/>
    <w:rsid w:val="006C3700"/>
    <w:rsid w:val="006C4F8A"/>
    <w:rsid w:val="006C79AE"/>
    <w:rsid w:val="006D0B82"/>
    <w:rsid w:val="006D1328"/>
    <w:rsid w:val="006D58C3"/>
    <w:rsid w:val="006D6791"/>
    <w:rsid w:val="006D7752"/>
    <w:rsid w:val="006E04D2"/>
    <w:rsid w:val="006E0F8A"/>
    <w:rsid w:val="006E4846"/>
    <w:rsid w:val="006F1D49"/>
    <w:rsid w:val="0070458A"/>
    <w:rsid w:val="00706C44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37B06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4DF9"/>
    <w:rsid w:val="00791D94"/>
    <w:rsid w:val="007932A1"/>
    <w:rsid w:val="00793709"/>
    <w:rsid w:val="00793946"/>
    <w:rsid w:val="00793B5C"/>
    <w:rsid w:val="00793BC6"/>
    <w:rsid w:val="007942C9"/>
    <w:rsid w:val="0079589A"/>
    <w:rsid w:val="00797F4E"/>
    <w:rsid w:val="007A05AA"/>
    <w:rsid w:val="007A1017"/>
    <w:rsid w:val="007A3658"/>
    <w:rsid w:val="007A4E1B"/>
    <w:rsid w:val="007B1FF5"/>
    <w:rsid w:val="007B29DC"/>
    <w:rsid w:val="007B663F"/>
    <w:rsid w:val="007C01D6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7F5DCE"/>
    <w:rsid w:val="007F68BA"/>
    <w:rsid w:val="00803EFD"/>
    <w:rsid w:val="00804466"/>
    <w:rsid w:val="008048AD"/>
    <w:rsid w:val="008058AF"/>
    <w:rsid w:val="0080741D"/>
    <w:rsid w:val="0080741E"/>
    <w:rsid w:val="008075F6"/>
    <w:rsid w:val="00807671"/>
    <w:rsid w:val="00810F09"/>
    <w:rsid w:val="00815977"/>
    <w:rsid w:val="00824895"/>
    <w:rsid w:val="008249B0"/>
    <w:rsid w:val="008256AE"/>
    <w:rsid w:val="00825810"/>
    <w:rsid w:val="008314FC"/>
    <w:rsid w:val="00831F7F"/>
    <w:rsid w:val="00832C77"/>
    <w:rsid w:val="00833443"/>
    <w:rsid w:val="008352EE"/>
    <w:rsid w:val="00837511"/>
    <w:rsid w:val="00837CFE"/>
    <w:rsid w:val="008405E8"/>
    <w:rsid w:val="008414DE"/>
    <w:rsid w:val="00842948"/>
    <w:rsid w:val="008438D5"/>
    <w:rsid w:val="008468E2"/>
    <w:rsid w:val="00850CFE"/>
    <w:rsid w:val="00850D84"/>
    <w:rsid w:val="00854EB7"/>
    <w:rsid w:val="008579C1"/>
    <w:rsid w:val="008612C9"/>
    <w:rsid w:val="008631BC"/>
    <w:rsid w:val="008634FB"/>
    <w:rsid w:val="00863680"/>
    <w:rsid w:val="00866C48"/>
    <w:rsid w:val="008704B4"/>
    <w:rsid w:val="00871931"/>
    <w:rsid w:val="008721B7"/>
    <w:rsid w:val="008724B2"/>
    <w:rsid w:val="00873925"/>
    <w:rsid w:val="008769AC"/>
    <w:rsid w:val="00876BBB"/>
    <w:rsid w:val="00881E1E"/>
    <w:rsid w:val="00883179"/>
    <w:rsid w:val="008841C6"/>
    <w:rsid w:val="00884FE7"/>
    <w:rsid w:val="008850A1"/>
    <w:rsid w:val="008928BB"/>
    <w:rsid w:val="0089676C"/>
    <w:rsid w:val="00897ACC"/>
    <w:rsid w:val="00897ACE"/>
    <w:rsid w:val="008A3FBD"/>
    <w:rsid w:val="008B2828"/>
    <w:rsid w:val="008B4030"/>
    <w:rsid w:val="008B40BA"/>
    <w:rsid w:val="008B6C05"/>
    <w:rsid w:val="008B6DA0"/>
    <w:rsid w:val="008C4A68"/>
    <w:rsid w:val="008C52AA"/>
    <w:rsid w:val="008D0BD0"/>
    <w:rsid w:val="008D0CB1"/>
    <w:rsid w:val="008D538D"/>
    <w:rsid w:val="008D78DC"/>
    <w:rsid w:val="008E0113"/>
    <w:rsid w:val="008E72E7"/>
    <w:rsid w:val="008F1073"/>
    <w:rsid w:val="008F4673"/>
    <w:rsid w:val="008F5030"/>
    <w:rsid w:val="008F6D22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3CA4"/>
    <w:rsid w:val="009242E9"/>
    <w:rsid w:val="00926E73"/>
    <w:rsid w:val="00927395"/>
    <w:rsid w:val="00927498"/>
    <w:rsid w:val="00931557"/>
    <w:rsid w:val="00931C2D"/>
    <w:rsid w:val="00932C5C"/>
    <w:rsid w:val="00933D29"/>
    <w:rsid w:val="00934846"/>
    <w:rsid w:val="00934BF8"/>
    <w:rsid w:val="00936A7A"/>
    <w:rsid w:val="009370C7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4E4B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4B2E"/>
    <w:rsid w:val="00997277"/>
    <w:rsid w:val="009A4273"/>
    <w:rsid w:val="009A4DC0"/>
    <w:rsid w:val="009A6CD4"/>
    <w:rsid w:val="009A7EB4"/>
    <w:rsid w:val="009B0D6E"/>
    <w:rsid w:val="009B2E1D"/>
    <w:rsid w:val="009B346E"/>
    <w:rsid w:val="009B61C1"/>
    <w:rsid w:val="009C1FBF"/>
    <w:rsid w:val="009C273D"/>
    <w:rsid w:val="009C4A83"/>
    <w:rsid w:val="009D0381"/>
    <w:rsid w:val="009D4403"/>
    <w:rsid w:val="009D5E8F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2BA3"/>
    <w:rsid w:val="009F53C0"/>
    <w:rsid w:val="009F61AD"/>
    <w:rsid w:val="00A01A3E"/>
    <w:rsid w:val="00A026CD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19FA"/>
    <w:rsid w:val="00A74213"/>
    <w:rsid w:val="00A80139"/>
    <w:rsid w:val="00A81D41"/>
    <w:rsid w:val="00A84A36"/>
    <w:rsid w:val="00A87045"/>
    <w:rsid w:val="00A87411"/>
    <w:rsid w:val="00A900CD"/>
    <w:rsid w:val="00A91347"/>
    <w:rsid w:val="00AA0625"/>
    <w:rsid w:val="00AA251C"/>
    <w:rsid w:val="00AA41DA"/>
    <w:rsid w:val="00AA54C5"/>
    <w:rsid w:val="00AA60F9"/>
    <w:rsid w:val="00AB4220"/>
    <w:rsid w:val="00AB5976"/>
    <w:rsid w:val="00AB6996"/>
    <w:rsid w:val="00AB6D50"/>
    <w:rsid w:val="00AC1EF0"/>
    <w:rsid w:val="00AC3B59"/>
    <w:rsid w:val="00AC7E1B"/>
    <w:rsid w:val="00AD14F5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AF312B"/>
    <w:rsid w:val="00B00101"/>
    <w:rsid w:val="00B018A5"/>
    <w:rsid w:val="00B02D1F"/>
    <w:rsid w:val="00B02DEE"/>
    <w:rsid w:val="00B03E76"/>
    <w:rsid w:val="00B04562"/>
    <w:rsid w:val="00B05D49"/>
    <w:rsid w:val="00B07F8F"/>
    <w:rsid w:val="00B11F61"/>
    <w:rsid w:val="00B15B3E"/>
    <w:rsid w:val="00B21932"/>
    <w:rsid w:val="00B24B94"/>
    <w:rsid w:val="00B25CC3"/>
    <w:rsid w:val="00B27815"/>
    <w:rsid w:val="00B32695"/>
    <w:rsid w:val="00B342DB"/>
    <w:rsid w:val="00B35819"/>
    <w:rsid w:val="00B35862"/>
    <w:rsid w:val="00B3762B"/>
    <w:rsid w:val="00B430CE"/>
    <w:rsid w:val="00B4494B"/>
    <w:rsid w:val="00B513F0"/>
    <w:rsid w:val="00B52843"/>
    <w:rsid w:val="00B52E28"/>
    <w:rsid w:val="00B537DC"/>
    <w:rsid w:val="00B54F88"/>
    <w:rsid w:val="00B57470"/>
    <w:rsid w:val="00B57FA7"/>
    <w:rsid w:val="00B60B25"/>
    <w:rsid w:val="00B61140"/>
    <w:rsid w:val="00B63B34"/>
    <w:rsid w:val="00B65E6C"/>
    <w:rsid w:val="00B67D3F"/>
    <w:rsid w:val="00B67F8E"/>
    <w:rsid w:val="00B71D28"/>
    <w:rsid w:val="00B73678"/>
    <w:rsid w:val="00B74B81"/>
    <w:rsid w:val="00B754E9"/>
    <w:rsid w:val="00B801E1"/>
    <w:rsid w:val="00B85846"/>
    <w:rsid w:val="00B87BF8"/>
    <w:rsid w:val="00B9540A"/>
    <w:rsid w:val="00B95B27"/>
    <w:rsid w:val="00B96E81"/>
    <w:rsid w:val="00B9704B"/>
    <w:rsid w:val="00B97493"/>
    <w:rsid w:val="00BA06E5"/>
    <w:rsid w:val="00BA1360"/>
    <w:rsid w:val="00BA546E"/>
    <w:rsid w:val="00BB16D4"/>
    <w:rsid w:val="00BB4403"/>
    <w:rsid w:val="00BB4937"/>
    <w:rsid w:val="00BB5E51"/>
    <w:rsid w:val="00BB7241"/>
    <w:rsid w:val="00BC2864"/>
    <w:rsid w:val="00BC42CA"/>
    <w:rsid w:val="00BC7457"/>
    <w:rsid w:val="00BD2912"/>
    <w:rsid w:val="00BD3937"/>
    <w:rsid w:val="00BD4491"/>
    <w:rsid w:val="00BD7817"/>
    <w:rsid w:val="00BE21A5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178A2"/>
    <w:rsid w:val="00C20A26"/>
    <w:rsid w:val="00C20C16"/>
    <w:rsid w:val="00C21711"/>
    <w:rsid w:val="00C21876"/>
    <w:rsid w:val="00C23068"/>
    <w:rsid w:val="00C234A8"/>
    <w:rsid w:val="00C24C5B"/>
    <w:rsid w:val="00C25A2D"/>
    <w:rsid w:val="00C32143"/>
    <w:rsid w:val="00C344D2"/>
    <w:rsid w:val="00C3452E"/>
    <w:rsid w:val="00C4044A"/>
    <w:rsid w:val="00C44F1C"/>
    <w:rsid w:val="00C46E34"/>
    <w:rsid w:val="00C51BFA"/>
    <w:rsid w:val="00C51CC5"/>
    <w:rsid w:val="00C52295"/>
    <w:rsid w:val="00C53CE1"/>
    <w:rsid w:val="00C544C3"/>
    <w:rsid w:val="00C60757"/>
    <w:rsid w:val="00C658B0"/>
    <w:rsid w:val="00C66763"/>
    <w:rsid w:val="00C70B6A"/>
    <w:rsid w:val="00C7139B"/>
    <w:rsid w:val="00C8371B"/>
    <w:rsid w:val="00C855D5"/>
    <w:rsid w:val="00C87218"/>
    <w:rsid w:val="00C87451"/>
    <w:rsid w:val="00C94466"/>
    <w:rsid w:val="00C94B57"/>
    <w:rsid w:val="00C954F8"/>
    <w:rsid w:val="00C97298"/>
    <w:rsid w:val="00CA0CD4"/>
    <w:rsid w:val="00CA0D32"/>
    <w:rsid w:val="00CA17F7"/>
    <w:rsid w:val="00CA4CE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4A94"/>
    <w:rsid w:val="00CD7B86"/>
    <w:rsid w:val="00CE000B"/>
    <w:rsid w:val="00CE2FFC"/>
    <w:rsid w:val="00CE34E9"/>
    <w:rsid w:val="00CE52CC"/>
    <w:rsid w:val="00CE5929"/>
    <w:rsid w:val="00CE73E4"/>
    <w:rsid w:val="00CF30CD"/>
    <w:rsid w:val="00CF4CDA"/>
    <w:rsid w:val="00CF574C"/>
    <w:rsid w:val="00CF633F"/>
    <w:rsid w:val="00D00997"/>
    <w:rsid w:val="00D03CA2"/>
    <w:rsid w:val="00D06074"/>
    <w:rsid w:val="00D06770"/>
    <w:rsid w:val="00D07092"/>
    <w:rsid w:val="00D07B26"/>
    <w:rsid w:val="00D10697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47D74"/>
    <w:rsid w:val="00D507E2"/>
    <w:rsid w:val="00D50CBE"/>
    <w:rsid w:val="00D52DA1"/>
    <w:rsid w:val="00D52FCA"/>
    <w:rsid w:val="00D542A3"/>
    <w:rsid w:val="00D64124"/>
    <w:rsid w:val="00D7295F"/>
    <w:rsid w:val="00D74603"/>
    <w:rsid w:val="00D764E2"/>
    <w:rsid w:val="00D77A7E"/>
    <w:rsid w:val="00D8057A"/>
    <w:rsid w:val="00D8115D"/>
    <w:rsid w:val="00D8234D"/>
    <w:rsid w:val="00D840AA"/>
    <w:rsid w:val="00D8621F"/>
    <w:rsid w:val="00D869F1"/>
    <w:rsid w:val="00D93038"/>
    <w:rsid w:val="00D96535"/>
    <w:rsid w:val="00DA4365"/>
    <w:rsid w:val="00DB00D9"/>
    <w:rsid w:val="00DB148E"/>
    <w:rsid w:val="00DB3BAF"/>
    <w:rsid w:val="00DB541B"/>
    <w:rsid w:val="00DB5D22"/>
    <w:rsid w:val="00DB5F3B"/>
    <w:rsid w:val="00DC1BDA"/>
    <w:rsid w:val="00DC1C84"/>
    <w:rsid w:val="00DC21FC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4CF3"/>
    <w:rsid w:val="00DE69CD"/>
    <w:rsid w:val="00DF0859"/>
    <w:rsid w:val="00DF1D87"/>
    <w:rsid w:val="00DF3347"/>
    <w:rsid w:val="00DF43ED"/>
    <w:rsid w:val="00E02DDF"/>
    <w:rsid w:val="00E03454"/>
    <w:rsid w:val="00E0470E"/>
    <w:rsid w:val="00E10129"/>
    <w:rsid w:val="00E10676"/>
    <w:rsid w:val="00E12263"/>
    <w:rsid w:val="00E1254B"/>
    <w:rsid w:val="00E16497"/>
    <w:rsid w:val="00E16595"/>
    <w:rsid w:val="00E17010"/>
    <w:rsid w:val="00E2022D"/>
    <w:rsid w:val="00E21717"/>
    <w:rsid w:val="00E22226"/>
    <w:rsid w:val="00E226D9"/>
    <w:rsid w:val="00E23BF7"/>
    <w:rsid w:val="00E24032"/>
    <w:rsid w:val="00E30920"/>
    <w:rsid w:val="00E31F18"/>
    <w:rsid w:val="00E32578"/>
    <w:rsid w:val="00E3719A"/>
    <w:rsid w:val="00E40A13"/>
    <w:rsid w:val="00E42981"/>
    <w:rsid w:val="00E46DC7"/>
    <w:rsid w:val="00E50CA9"/>
    <w:rsid w:val="00E529A1"/>
    <w:rsid w:val="00E52CEE"/>
    <w:rsid w:val="00E55C4F"/>
    <w:rsid w:val="00E62CB7"/>
    <w:rsid w:val="00E63998"/>
    <w:rsid w:val="00E64F35"/>
    <w:rsid w:val="00E67D50"/>
    <w:rsid w:val="00E70197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1979"/>
    <w:rsid w:val="00E936EA"/>
    <w:rsid w:val="00E94044"/>
    <w:rsid w:val="00E9556F"/>
    <w:rsid w:val="00E97837"/>
    <w:rsid w:val="00EA074E"/>
    <w:rsid w:val="00EA20F7"/>
    <w:rsid w:val="00EA433C"/>
    <w:rsid w:val="00EA539E"/>
    <w:rsid w:val="00EA61D7"/>
    <w:rsid w:val="00EA71E0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162FF"/>
    <w:rsid w:val="00F22499"/>
    <w:rsid w:val="00F233C3"/>
    <w:rsid w:val="00F2611F"/>
    <w:rsid w:val="00F27640"/>
    <w:rsid w:val="00F33C49"/>
    <w:rsid w:val="00F35181"/>
    <w:rsid w:val="00F3730C"/>
    <w:rsid w:val="00F4138B"/>
    <w:rsid w:val="00F537D2"/>
    <w:rsid w:val="00F63C1E"/>
    <w:rsid w:val="00F65313"/>
    <w:rsid w:val="00F65C05"/>
    <w:rsid w:val="00F669E4"/>
    <w:rsid w:val="00F70791"/>
    <w:rsid w:val="00F74414"/>
    <w:rsid w:val="00F74497"/>
    <w:rsid w:val="00F75AFE"/>
    <w:rsid w:val="00F80D6C"/>
    <w:rsid w:val="00F83AC8"/>
    <w:rsid w:val="00F866F5"/>
    <w:rsid w:val="00F93394"/>
    <w:rsid w:val="00F93863"/>
    <w:rsid w:val="00F93BA8"/>
    <w:rsid w:val="00F97E33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1966"/>
    <w:rsid w:val="00FD423E"/>
    <w:rsid w:val="00FD68D9"/>
    <w:rsid w:val="00FD6DB8"/>
    <w:rsid w:val="00FD7E74"/>
    <w:rsid w:val="00FE04B8"/>
    <w:rsid w:val="00FE15A6"/>
    <w:rsid w:val="00FE3C5D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CAC5-7F46-48A1-9CB3-B857C6BA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hp</cp:lastModifiedBy>
  <cp:revision>4</cp:revision>
  <cp:lastPrinted>2019-02-19T08:28:00Z</cp:lastPrinted>
  <dcterms:created xsi:type="dcterms:W3CDTF">2019-02-21T22:19:00Z</dcterms:created>
  <dcterms:modified xsi:type="dcterms:W3CDTF">2019-02-21T22:23:00Z</dcterms:modified>
</cp:coreProperties>
</file>