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5C5705">
      <w:pPr>
        <w:pStyle w:val="Titre"/>
      </w:pPr>
      <w:r>
        <w:t xml:space="preserve">                         </w:t>
      </w:r>
    </w:p>
    <w:p w:rsidR="00FE6A6C" w:rsidRPr="000572D2" w:rsidRDefault="00FE6A6C" w:rsidP="00FE6A6C">
      <w:pPr>
        <w:bidi/>
        <w:jc w:val="center"/>
        <w:rPr>
          <w:rFonts w:cs="Simplified Arabic"/>
          <w:b/>
          <w:bCs/>
          <w:shadow/>
          <w:color w:val="984806" w:themeColor="accent6" w:themeShade="80"/>
          <w:sz w:val="32"/>
          <w:szCs w:val="32"/>
          <w:rtl/>
        </w:rPr>
      </w:pP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 xml:space="preserve">مذكرة إخبارية </w:t>
      </w:r>
    </w:p>
    <w:p w:rsidR="00FE6A6C" w:rsidRPr="00751671" w:rsidRDefault="00FE6A6C" w:rsidP="00FE6A6C">
      <w:pPr>
        <w:bidi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 xml:space="preserve">الحساب التابع للسياحة لسنة </w:t>
      </w:r>
      <w:r w:rsidR="005F54F6">
        <w:rPr>
          <w:rFonts w:cs="Simplified Arabic"/>
          <w:b/>
          <w:bCs/>
          <w:shadow/>
          <w:color w:val="984806" w:themeColor="accent6" w:themeShade="80"/>
          <w:sz w:val="32"/>
          <w:szCs w:val="32"/>
        </w:rPr>
        <w:t>7</w:t>
      </w:r>
      <w:r w:rsidRPr="000572D2">
        <w:rPr>
          <w:rFonts w:cs="Simplified Arabic" w:hint="cs"/>
          <w:b/>
          <w:bCs/>
          <w:shadow/>
          <w:color w:val="984806" w:themeColor="accent6" w:themeShade="80"/>
          <w:sz w:val="32"/>
          <w:szCs w:val="32"/>
          <w:rtl/>
        </w:rPr>
        <w:t>201</w:t>
      </w:r>
    </w:p>
    <w:p w:rsidR="00FE6A6C" w:rsidRDefault="00FE6A6C" w:rsidP="00FE6A6C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5C5705" w:rsidRDefault="00A71561" w:rsidP="005C5705">
      <w:pPr>
        <w:bidi/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</w:rPr>
        <w:t xml:space="preserve">            </w:t>
      </w:r>
    </w:p>
    <w:p w:rsidR="00D4367F" w:rsidRDefault="00D4367F" w:rsidP="00BF1080">
      <w:pPr>
        <w:bidi/>
        <w:ind w:left="-91" w:firstLine="799"/>
        <w:jc w:val="both"/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</w:pPr>
    </w:p>
    <w:p w:rsidR="00FE6A6C" w:rsidRPr="000572D2" w:rsidRDefault="00FE6A6C" w:rsidP="00D876EA">
      <w:pPr>
        <w:bidi/>
        <w:spacing w:after="240"/>
        <w:jc w:val="both"/>
        <w:rPr>
          <w:rFonts w:asciiTheme="minorHAnsi" w:hAnsiTheme="minorHAnsi" w:cs="Simplified Arabic"/>
          <w:b/>
          <w:bCs/>
          <w:i/>
          <w:iCs/>
          <w:sz w:val="16"/>
          <w:szCs w:val="16"/>
          <w:rtl/>
          <w:lang w:bidi="ar-MA"/>
        </w:rPr>
      </w:pP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أظهرت نتائج الحساب التابع للسياحة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لسنة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5F54F6"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7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</w:rPr>
        <w:t>ارتفاعا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ملموسا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 في الناتج الداخلي الإجمالي لنشاط القطاع السياحي بنسبة</w:t>
      </w:r>
      <w:r w:rsidR="00304160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5F54F6" w:rsidRPr="009B34F6">
        <w:rPr>
          <w:rFonts w:asciiTheme="minorHAnsi" w:hAnsiTheme="minorHAnsi" w:cs="Simplified Arabic"/>
          <w:b/>
          <w:bCs/>
          <w:sz w:val="32"/>
          <w:szCs w:val="32"/>
        </w:rPr>
        <w:t>8,3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عوض</w:t>
      </w:r>
      <w:r w:rsidR="00304160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>5</w:t>
      </w:r>
      <w:r w:rsidR="005C5479"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المسجلة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5F54F6"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6</w:t>
      </w:r>
      <w:r w:rsidR="004126B0" w:rsidRPr="009B34F6">
        <w:rPr>
          <w:rFonts w:asciiTheme="minorHAnsi" w:hAnsiTheme="minorHAnsi" w:cs="Simplified Arabic"/>
          <w:sz w:val="32"/>
          <w:szCs w:val="32"/>
          <w:rtl/>
        </w:rPr>
        <w:t>،</w:t>
      </w:r>
      <w:r w:rsidR="004126B0" w:rsidRPr="009B34F6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D371CF"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وذلك نتيجة لتحسن استهلاك </w:t>
      </w:r>
      <w:r w:rsidR="009B34F6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>ا</w:t>
      </w:r>
      <w:r w:rsidR="00D371CF"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لسياحة</w:t>
      </w:r>
      <w:r w:rsidR="00D371CF" w:rsidRPr="009B34F6">
        <w:rPr>
          <w:rtl/>
        </w:rPr>
        <w:t xml:space="preserve"> </w:t>
      </w:r>
      <w:r w:rsidR="00D371CF"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  <w:t>.</w:t>
      </w:r>
    </w:p>
    <w:p w:rsidR="00D371CF" w:rsidRDefault="00D371CF" w:rsidP="00D876EA">
      <w:pPr>
        <w:bidi/>
        <w:spacing w:before="120" w:after="360"/>
        <w:ind w:left="83" w:hanging="84"/>
        <w:jc w:val="both"/>
        <w:rPr>
          <w:rFonts w:asciiTheme="minorHAnsi" w:hAnsiTheme="minorHAnsi" w:cs="Simplified Arabic"/>
          <w:sz w:val="32"/>
          <w:szCs w:val="32"/>
        </w:rPr>
      </w:pPr>
      <w:r w:rsidRPr="004B5103">
        <w:rPr>
          <w:rFonts w:asciiTheme="minorHAnsi" w:hAnsiTheme="minorHAnsi" w:cs="Simplified Arabic"/>
          <w:sz w:val="32"/>
          <w:szCs w:val="32"/>
          <w:rtl/>
        </w:rPr>
        <w:t xml:space="preserve">في هذا السياق، 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بلغت قيمة </w:t>
      </w:r>
      <w:r w:rsidR="00FE6A6C" w:rsidRPr="000572D2">
        <w:rPr>
          <w:rFonts w:asciiTheme="minorHAnsi" w:hAnsiTheme="minorHAnsi" w:cs="Simplified Arabic"/>
          <w:b/>
          <w:bCs/>
          <w:sz w:val="32"/>
          <w:szCs w:val="32"/>
          <w:rtl/>
        </w:rPr>
        <w:t>الاستهلاك الداخلي للسياحـة</w:t>
      </w:r>
      <w:r w:rsidR="00FE6A6C" w:rsidRPr="000572D2">
        <w:rPr>
          <w:rStyle w:val="Appelnotedebasdep"/>
          <w:rFonts w:asciiTheme="minorHAnsi" w:hAnsiTheme="minorHAnsi" w:cs="Simplified Arabic"/>
          <w:position w:val="10"/>
          <w:sz w:val="16"/>
          <w:szCs w:val="20"/>
          <w:rtl/>
        </w:rPr>
        <w:footnoteReference w:id="2"/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5F54F6">
        <w:rPr>
          <w:rFonts w:asciiTheme="minorHAnsi" w:hAnsiTheme="minorHAnsi" w:cs="Simplified Arabic"/>
          <w:sz w:val="32"/>
          <w:szCs w:val="32"/>
        </w:rPr>
        <w:t>124,1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سنة</w:t>
      </w:r>
      <w:r w:rsidR="00304160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</w:rPr>
        <w:t>201</w:t>
      </w:r>
      <w:r w:rsidR="005F54F6">
        <w:rPr>
          <w:rFonts w:asciiTheme="minorHAnsi" w:hAnsiTheme="minorHAnsi" w:cs="Simplified Arabic"/>
          <w:sz w:val="32"/>
          <w:szCs w:val="32"/>
        </w:rPr>
        <w:t>7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عوض 11</w:t>
      </w:r>
      <w:r w:rsidR="005F54F6">
        <w:rPr>
          <w:rFonts w:asciiTheme="minorHAnsi" w:hAnsiTheme="minorHAnsi" w:cs="Simplified Arabic"/>
          <w:sz w:val="32"/>
          <w:szCs w:val="32"/>
          <w:rtl/>
        </w:rPr>
        <w:t>4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>,</w:t>
      </w:r>
      <w:r w:rsidR="005F54F6">
        <w:rPr>
          <w:rFonts w:asciiTheme="minorHAnsi" w:hAnsiTheme="minorHAnsi" w:cs="Simplified Arabic"/>
          <w:sz w:val="32"/>
          <w:szCs w:val="32"/>
          <w:rtl/>
        </w:rPr>
        <w:t>8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FE6A6C" w:rsidRPr="000572D2">
        <w:rPr>
          <w:rFonts w:asciiTheme="minorHAnsi" w:hAnsiTheme="minorHAnsi" w:cs="Simplified Arabic"/>
          <w:sz w:val="32"/>
          <w:szCs w:val="32"/>
        </w:rPr>
        <w:t>201</w:t>
      </w:r>
      <w:r w:rsidR="005F54F6">
        <w:rPr>
          <w:rFonts w:asciiTheme="minorHAnsi" w:hAnsiTheme="minorHAnsi" w:cs="Simplified Arabic"/>
          <w:sz w:val="32"/>
          <w:szCs w:val="32"/>
        </w:rPr>
        <w:t>6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، محققة بذلك 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قدره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</w:rPr>
        <w:t>%</w:t>
      </w:r>
      <w:r w:rsidR="005F54F6">
        <w:rPr>
          <w:rFonts w:asciiTheme="minorHAnsi" w:hAnsiTheme="minorHAnsi" w:cs="Simplified Arabic"/>
          <w:sz w:val="32"/>
          <w:szCs w:val="32"/>
          <w:lang w:bidi="ar-MA"/>
        </w:rPr>
        <w:t>8</w:t>
      </w:r>
      <w:r w:rsidR="00FE6A6C" w:rsidRPr="000572D2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5F54F6">
        <w:rPr>
          <w:rFonts w:asciiTheme="minorHAnsi" w:hAnsiTheme="minorHAnsi" w:cs="Simplified Arabic"/>
          <w:sz w:val="32"/>
          <w:szCs w:val="32"/>
          <w:lang w:bidi="ar-MA"/>
        </w:rPr>
        <w:t>2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>. وذلك نتيجة لت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حسن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FE6A6C"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ا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>لاستهلاك</w:t>
      </w:r>
      <w:r w:rsidR="009B34F6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9B34F6" w:rsidRPr="00D371CF">
        <w:rPr>
          <w:rFonts w:asciiTheme="minorHAnsi" w:hAnsiTheme="minorHAnsi" w:cs="Simplified Arabic"/>
          <w:sz w:val="32"/>
          <w:szCs w:val="32"/>
          <w:rtl/>
        </w:rPr>
        <w:t>الداخلي</w:t>
      </w:r>
      <w:r>
        <w:rPr>
          <w:rFonts w:asciiTheme="minorHAnsi" w:hAnsiTheme="minorHAnsi" w:cs="Simplified Arabic"/>
          <w:sz w:val="32"/>
          <w:szCs w:val="32"/>
        </w:rPr>
        <w:t>:</w:t>
      </w:r>
    </w:p>
    <w:p w:rsidR="00D371CF" w:rsidRDefault="00FE6A6C" w:rsidP="009B34F6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بنسبة</w:t>
      </w: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</w:t>
      </w:r>
      <w:r w:rsidRPr="00D371CF">
        <w:rPr>
          <w:rFonts w:asciiTheme="minorHAnsi" w:hAnsiTheme="minorHAnsi" w:cs="Simplified Arabic"/>
          <w:sz w:val="32"/>
          <w:szCs w:val="32"/>
        </w:rPr>
        <w:t>%</w:t>
      </w:r>
      <w:r w:rsidR="005F54F6" w:rsidRPr="00D371CF">
        <w:rPr>
          <w:rFonts w:asciiTheme="minorHAnsi" w:hAnsiTheme="minorHAnsi" w:cs="Simplified Arabic"/>
          <w:sz w:val="32"/>
          <w:szCs w:val="32"/>
        </w:rPr>
        <w:t>8</w:t>
      </w:r>
      <w:r w:rsidRPr="00D371CF">
        <w:rPr>
          <w:rFonts w:asciiTheme="minorHAnsi" w:hAnsiTheme="minorHAnsi" w:cs="Simplified Arabic"/>
          <w:sz w:val="32"/>
          <w:szCs w:val="32"/>
        </w:rPr>
        <w:t>,</w:t>
      </w:r>
      <w:r w:rsidR="005F54F6" w:rsidRPr="00D371CF">
        <w:rPr>
          <w:rFonts w:asciiTheme="minorHAnsi" w:hAnsiTheme="minorHAnsi" w:cs="Simplified Arabic"/>
          <w:sz w:val="32"/>
          <w:szCs w:val="32"/>
        </w:rPr>
        <w:t>8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منتقلا من 7</w:t>
      </w:r>
      <w:r w:rsidR="005F54F6" w:rsidRPr="00D371CF">
        <w:rPr>
          <w:rFonts w:asciiTheme="minorHAnsi" w:hAnsiTheme="minorHAnsi" w:cs="Simplified Arabic"/>
          <w:sz w:val="32"/>
          <w:szCs w:val="32"/>
          <w:rtl/>
        </w:rPr>
        <w:t>7</w:t>
      </w:r>
      <w:r w:rsidRPr="00D371CF">
        <w:rPr>
          <w:rFonts w:asciiTheme="minorHAnsi" w:hAnsiTheme="minorHAnsi" w:cs="Simplified Arabic"/>
          <w:sz w:val="32"/>
          <w:szCs w:val="32"/>
          <w:rtl/>
        </w:rPr>
        <w:t>,</w:t>
      </w:r>
      <w:r w:rsidR="005F54F6" w:rsidRPr="00D371CF">
        <w:rPr>
          <w:rFonts w:asciiTheme="minorHAnsi" w:hAnsiTheme="minorHAnsi" w:cs="Simplified Arabic"/>
          <w:sz w:val="32"/>
          <w:szCs w:val="32"/>
          <w:rtl/>
        </w:rPr>
        <w:t>3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Pr="00D371CF">
        <w:rPr>
          <w:rFonts w:asciiTheme="minorHAnsi" w:hAnsiTheme="minorHAnsi" w:cs="Simplified Arabic"/>
          <w:sz w:val="32"/>
          <w:szCs w:val="32"/>
        </w:rPr>
        <w:t>201</w:t>
      </w:r>
      <w:r w:rsidR="005F54F6" w:rsidRPr="00D371CF">
        <w:rPr>
          <w:rFonts w:asciiTheme="minorHAnsi" w:hAnsiTheme="minorHAnsi" w:cs="Simplified Arabic"/>
          <w:sz w:val="32"/>
          <w:szCs w:val="32"/>
        </w:rPr>
        <w:t>6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5F54F6" w:rsidRPr="00D371CF">
        <w:rPr>
          <w:rFonts w:asciiTheme="minorHAnsi" w:hAnsiTheme="minorHAnsi" w:cs="Simplified Arabic"/>
          <w:sz w:val="32"/>
          <w:szCs w:val="32"/>
        </w:rPr>
        <w:t>84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Pr="00D371CF">
        <w:rPr>
          <w:rFonts w:asciiTheme="minorHAnsi" w:hAnsiTheme="minorHAnsi" w:cs="Simplified Arabic"/>
          <w:sz w:val="32"/>
          <w:szCs w:val="32"/>
        </w:rPr>
        <w:t>201</w:t>
      </w:r>
      <w:r w:rsidR="005F54F6" w:rsidRPr="00D371CF">
        <w:rPr>
          <w:rFonts w:asciiTheme="minorHAnsi" w:hAnsiTheme="minorHAnsi" w:cs="Simplified Arabic"/>
          <w:sz w:val="32"/>
          <w:szCs w:val="32"/>
        </w:rPr>
        <w:t>7</w:t>
      </w:r>
      <w:r w:rsidR="00304160" w:rsidRPr="004B5103">
        <w:rPr>
          <w:rFonts w:asciiTheme="minorHAnsi" w:hAnsiTheme="minorHAnsi" w:cs="Simplified Arabic"/>
          <w:sz w:val="32"/>
          <w:szCs w:val="32"/>
          <w:rtl/>
        </w:rPr>
        <w:t>،</w:t>
      </w:r>
      <w:r w:rsidR="00D371CF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</w:p>
    <w:p w:rsidR="00FE6A6C" w:rsidRPr="00D371CF" w:rsidRDefault="00FE6A6C" w:rsidP="009B34F6">
      <w:pPr>
        <w:pStyle w:val="Paragraphedeliste"/>
        <w:numPr>
          <w:ilvl w:val="0"/>
          <w:numId w:val="7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>ل</w:t>
      </w:r>
      <w:r w:rsidRPr="00D371CF">
        <w:rPr>
          <w:rFonts w:asciiTheme="minorHAnsi" w:hAnsiTheme="minorHAnsi" w:cs="Simplified Arabic"/>
          <w:b/>
          <w:bCs/>
          <w:sz w:val="32"/>
          <w:szCs w:val="32"/>
          <w:rtl/>
        </w:rPr>
        <w:t>سياحـة الداخليـة والمصدرة</w:t>
      </w:r>
      <w:r w:rsidRPr="00180891">
        <w:rPr>
          <w:rStyle w:val="Appelnotedebasdep"/>
          <w:rFonts w:asciiTheme="minorHAnsi" w:hAnsiTheme="minorHAnsi" w:cs="Simplified Arabic"/>
          <w:position w:val="8"/>
          <w:sz w:val="16"/>
          <w:szCs w:val="20"/>
          <w:rtl/>
        </w:rPr>
        <w:footnoteReference w:id="3"/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بنسبة </w:t>
      </w:r>
      <w:r w:rsidRPr="00D371CF">
        <w:rPr>
          <w:rFonts w:asciiTheme="minorHAnsi" w:hAnsiTheme="minorHAnsi" w:cs="Simplified Arabic"/>
          <w:sz w:val="32"/>
          <w:szCs w:val="32"/>
        </w:rPr>
        <w:t>7</w:t>
      </w:r>
      <w:r w:rsidRPr="00D371CF">
        <w:rPr>
          <w:rFonts w:asciiTheme="minorHAnsi" w:hAnsiTheme="minorHAnsi" w:cs="Simplified Arabic"/>
          <w:sz w:val="4"/>
          <w:szCs w:val="4"/>
          <w:rtl/>
        </w:rPr>
        <w:t xml:space="preserve"> </w:t>
      </w:r>
      <w:r w:rsidRPr="00D371CF">
        <w:rPr>
          <w:rFonts w:asciiTheme="minorHAnsi" w:hAnsiTheme="minorHAnsi" w:cs="Simplified Arabic"/>
          <w:sz w:val="32"/>
          <w:szCs w:val="32"/>
        </w:rPr>
        <w:t>%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منتقلا من 3</w:t>
      </w:r>
      <w:r w:rsidR="005F54F6" w:rsidRPr="00D371CF">
        <w:rPr>
          <w:rFonts w:asciiTheme="minorHAnsi" w:hAnsiTheme="minorHAnsi" w:cs="Simplified Arabic"/>
          <w:sz w:val="32"/>
          <w:szCs w:val="32"/>
          <w:rtl/>
        </w:rPr>
        <w:t>7</w:t>
      </w:r>
      <w:r w:rsidRPr="00D371CF">
        <w:rPr>
          <w:rFonts w:asciiTheme="minorHAnsi" w:hAnsiTheme="minorHAnsi" w:cs="Simplified Arabic"/>
          <w:sz w:val="32"/>
          <w:szCs w:val="32"/>
          <w:rtl/>
        </w:rPr>
        <w:t>,</w:t>
      </w:r>
      <w:r w:rsidR="005F54F6" w:rsidRPr="00D371CF">
        <w:rPr>
          <w:rFonts w:asciiTheme="minorHAnsi" w:hAnsiTheme="minorHAnsi" w:cs="Simplified Arabic"/>
          <w:sz w:val="32"/>
          <w:szCs w:val="32"/>
          <w:rtl/>
        </w:rPr>
        <w:t>5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مليار</w:t>
      </w:r>
      <w:r w:rsidR="009B34F6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D371CF">
        <w:rPr>
          <w:rFonts w:asciiTheme="minorHAnsi" w:hAnsiTheme="minorHAnsi" w:cs="Simplified Arabic"/>
          <w:sz w:val="32"/>
          <w:szCs w:val="32"/>
        </w:rPr>
        <w:t>201</w:t>
      </w:r>
      <w:r w:rsidR="005F54F6" w:rsidRPr="00D371CF">
        <w:rPr>
          <w:rFonts w:asciiTheme="minorHAnsi" w:hAnsiTheme="minorHAnsi" w:cs="Simplified Arabic"/>
          <w:sz w:val="32"/>
          <w:szCs w:val="32"/>
        </w:rPr>
        <w:t>6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5F54F6" w:rsidRPr="00D371CF">
        <w:rPr>
          <w:rFonts w:asciiTheme="minorHAnsi" w:hAnsiTheme="minorHAnsi" w:cs="Simplified Arabic"/>
          <w:sz w:val="32"/>
          <w:szCs w:val="32"/>
        </w:rPr>
        <w:t>40</w:t>
      </w:r>
      <w:r w:rsidRPr="00D371CF">
        <w:rPr>
          <w:rFonts w:asciiTheme="minorHAnsi" w:hAnsiTheme="minorHAnsi" w:cs="Simplified Arabic"/>
          <w:sz w:val="32"/>
          <w:szCs w:val="32"/>
        </w:rPr>
        <w:t>,</w:t>
      </w:r>
      <w:r w:rsidR="005F54F6" w:rsidRPr="00D371CF">
        <w:rPr>
          <w:rFonts w:asciiTheme="minorHAnsi" w:hAnsiTheme="minorHAnsi" w:cs="Simplified Arabic"/>
          <w:sz w:val="32"/>
          <w:szCs w:val="32"/>
        </w:rPr>
        <w:t>1</w:t>
      </w:r>
      <w:r w:rsidRPr="00D371CF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Pr="00D371CF">
        <w:rPr>
          <w:rFonts w:asciiTheme="minorHAnsi" w:hAnsiTheme="minorHAnsi" w:cs="Simplified Arabic"/>
          <w:sz w:val="32"/>
          <w:szCs w:val="32"/>
        </w:rPr>
        <w:t>201</w:t>
      </w:r>
      <w:r w:rsidR="005F54F6" w:rsidRPr="00D371CF">
        <w:rPr>
          <w:rFonts w:asciiTheme="minorHAnsi" w:hAnsiTheme="minorHAnsi" w:cs="Simplified Arabic"/>
          <w:sz w:val="32"/>
          <w:szCs w:val="32"/>
        </w:rPr>
        <w:t>7</w:t>
      </w:r>
      <w:r w:rsidRPr="00D371CF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E6A6C" w:rsidRPr="000572D2" w:rsidRDefault="004B5103" w:rsidP="00B7477E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4B5103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بلغت </w:t>
      </w:r>
      <w:r w:rsidR="00FE6A6C" w:rsidRPr="004B5103">
        <w:rPr>
          <w:rFonts w:asciiTheme="minorHAnsi" w:hAnsiTheme="minorHAnsi" w:cs="Simplified Arabic"/>
          <w:sz w:val="32"/>
          <w:szCs w:val="32"/>
          <w:rtl/>
          <w:lang w:bidi="ar-MA"/>
        </w:rPr>
        <w:t>حصة ا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لاستهلاك الداخلي </w:t>
      </w:r>
      <w:r w:rsidR="00FE6A6C" w:rsidRPr="004B5103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،</w:t>
      </w:r>
      <w:r w:rsidR="00FE6A6C" w:rsidRPr="004B5103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في</w:t>
      </w:r>
      <w:r w:rsidR="00FE6A6C" w:rsidRPr="004B5103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الاستهلاك الداخلي للسياحـة</w:t>
      </w:r>
      <w:r w:rsidR="00FE6A6C" w:rsidRPr="004B5103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6</w:t>
      </w:r>
      <w:r w:rsidR="00D570E0" w:rsidRPr="004B5103">
        <w:rPr>
          <w:rFonts w:asciiTheme="minorHAnsi" w:hAnsiTheme="minorHAnsi" w:cs="Simplified Arabic"/>
          <w:sz w:val="32"/>
          <w:szCs w:val="32"/>
          <w:rtl/>
        </w:rPr>
        <w:t>7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,</w:t>
      </w:r>
      <w:r w:rsidR="00D570E0" w:rsidRPr="004B5103">
        <w:rPr>
          <w:rFonts w:asciiTheme="minorHAnsi" w:hAnsiTheme="minorHAnsi" w:cs="Simplified Arabic"/>
          <w:sz w:val="32"/>
          <w:szCs w:val="32"/>
          <w:rtl/>
        </w:rPr>
        <w:t>7</w:t>
      </w:r>
      <w:r w:rsidR="00FE6A6C" w:rsidRPr="004B5103">
        <w:rPr>
          <w:rFonts w:asciiTheme="minorHAnsi" w:hAnsiTheme="minorHAnsi" w:cs="Simplified Arabic"/>
          <w:sz w:val="32"/>
          <w:szCs w:val="32"/>
        </w:rPr>
        <w:t>%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Pr="004B5103">
        <w:rPr>
          <w:rFonts w:asciiTheme="minorHAnsi" w:hAnsiTheme="minorHAnsi" w:cs="Simplified Arabic" w:hint="cs"/>
          <w:sz w:val="32"/>
          <w:szCs w:val="32"/>
          <w:rtl/>
        </w:rPr>
        <w:t>2017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Pr="004B5103">
        <w:rPr>
          <w:rFonts w:asciiTheme="minorHAnsi" w:hAnsiTheme="minorHAnsi" w:cs="Simplified Arabic" w:hint="cs"/>
          <w:sz w:val="32"/>
          <w:szCs w:val="32"/>
          <w:rtl/>
        </w:rPr>
        <w:t>مقابل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FE6A6C" w:rsidRPr="004B5103">
        <w:rPr>
          <w:rFonts w:asciiTheme="minorHAnsi" w:hAnsiTheme="minorHAnsi" w:cs="Simplified Arabic"/>
          <w:sz w:val="32"/>
          <w:szCs w:val="32"/>
        </w:rPr>
        <w:t>%67,3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FE6A6C" w:rsidRPr="004B5103">
        <w:rPr>
          <w:rFonts w:asciiTheme="minorHAnsi" w:hAnsiTheme="minorHAnsi" w:cs="Simplified Arabic"/>
          <w:sz w:val="32"/>
          <w:szCs w:val="32"/>
        </w:rPr>
        <w:t>2016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. في حين </w:t>
      </w:r>
      <w:r w:rsidR="00224529">
        <w:rPr>
          <w:rFonts w:asciiTheme="minorHAnsi" w:hAnsiTheme="minorHAnsi" w:cs="Simplified Arabic" w:hint="cs"/>
          <w:sz w:val="32"/>
          <w:szCs w:val="32"/>
          <w:rtl/>
        </w:rPr>
        <w:t>تراجعت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حصة استهلاك </w:t>
      </w:r>
      <w:r w:rsidR="00FE6A6C" w:rsidRPr="004B5103">
        <w:rPr>
          <w:rFonts w:asciiTheme="minorHAnsi" w:hAnsiTheme="minorHAnsi" w:cs="Simplified Arabic"/>
          <w:b/>
          <w:bCs/>
          <w:sz w:val="32"/>
          <w:szCs w:val="32"/>
          <w:rtl/>
        </w:rPr>
        <w:t>السياحـة الداخليـة والمصدرة</w:t>
      </w:r>
      <w:r w:rsidR="002639D4" w:rsidRPr="004B510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224529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من </w:t>
      </w:r>
      <w:r w:rsidR="009909AA" w:rsidRPr="004B5103">
        <w:rPr>
          <w:rFonts w:asciiTheme="minorHAnsi" w:hAnsiTheme="minorHAnsi" w:cs="Simplified Arabic"/>
          <w:sz w:val="32"/>
          <w:szCs w:val="32"/>
          <w:rtl/>
        </w:rPr>
        <w:t>3</w:t>
      </w:r>
      <w:r w:rsidR="009909AA" w:rsidRPr="004B5103">
        <w:rPr>
          <w:rFonts w:asciiTheme="minorHAnsi" w:hAnsiTheme="minorHAnsi" w:cs="Simplified Arabic" w:hint="cs"/>
          <w:sz w:val="32"/>
          <w:szCs w:val="32"/>
          <w:rtl/>
        </w:rPr>
        <w:t>2</w:t>
      </w:r>
      <w:r w:rsidR="009909AA" w:rsidRPr="004B5103">
        <w:rPr>
          <w:rFonts w:asciiTheme="minorHAnsi" w:hAnsiTheme="minorHAnsi" w:cs="Simplified Arabic"/>
          <w:sz w:val="32"/>
          <w:szCs w:val="32"/>
          <w:rtl/>
        </w:rPr>
        <w:t>,</w:t>
      </w:r>
      <w:r w:rsidR="009909AA" w:rsidRPr="004B5103">
        <w:rPr>
          <w:rFonts w:asciiTheme="minorHAnsi" w:hAnsiTheme="minorHAnsi" w:cs="Simplified Arabic" w:hint="cs"/>
          <w:sz w:val="32"/>
          <w:szCs w:val="32"/>
          <w:rtl/>
        </w:rPr>
        <w:t>7</w:t>
      </w:r>
      <w:r w:rsidR="009909AA" w:rsidRPr="004B5103">
        <w:rPr>
          <w:rFonts w:asciiTheme="minorHAnsi" w:hAnsiTheme="minorHAnsi" w:cs="Simplified Arabic"/>
          <w:sz w:val="32"/>
          <w:szCs w:val="32"/>
        </w:rPr>
        <w:t>%</w:t>
      </w:r>
      <w:r w:rsidR="009909AA" w:rsidRPr="004B5103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9909AA" w:rsidRPr="004B5103">
        <w:rPr>
          <w:rFonts w:asciiTheme="minorHAnsi" w:hAnsiTheme="minorHAnsi" w:cs="Simplified Arabic" w:hint="cs"/>
          <w:sz w:val="32"/>
          <w:szCs w:val="32"/>
          <w:rtl/>
        </w:rPr>
        <w:t>2016</w:t>
      </w:r>
      <w:r w:rsidR="009909AA">
        <w:rPr>
          <w:rFonts w:asciiTheme="minorHAnsi" w:hAnsiTheme="minorHAnsi" w:cs="Simplified Arabic" w:hint="cs"/>
          <w:sz w:val="32"/>
          <w:szCs w:val="32"/>
          <w:rtl/>
        </w:rPr>
        <w:t xml:space="preserve"> إلى </w:t>
      </w:r>
      <w:r w:rsidRPr="004B5103">
        <w:rPr>
          <w:rFonts w:asciiTheme="minorHAnsi" w:hAnsiTheme="minorHAnsi" w:cs="Simplified Arabic" w:hint="cs"/>
          <w:sz w:val="32"/>
          <w:szCs w:val="32"/>
          <w:rtl/>
        </w:rPr>
        <w:t>3</w:t>
      </w:r>
      <w:r w:rsidR="002639D4" w:rsidRPr="004B5103">
        <w:rPr>
          <w:rFonts w:asciiTheme="minorHAnsi" w:hAnsiTheme="minorHAnsi" w:cs="Simplified Arabic"/>
          <w:sz w:val="32"/>
          <w:szCs w:val="32"/>
        </w:rPr>
        <w:t>%32,</w:t>
      </w:r>
      <w:r w:rsidRPr="004B5103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2639D4" w:rsidRPr="004B5103">
        <w:rPr>
          <w:rFonts w:asciiTheme="minorHAnsi" w:hAnsiTheme="minorHAnsi" w:cs="Simplified Arabic"/>
          <w:sz w:val="32"/>
          <w:szCs w:val="32"/>
          <w:rtl/>
        </w:rPr>
        <w:t>سنة</w:t>
      </w:r>
      <w:r w:rsidR="002639D4" w:rsidRPr="004B5103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4B5103">
        <w:rPr>
          <w:rFonts w:asciiTheme="minorHAnsi" w:hAnsiTheme="minorHAnsi" w:cs="Simplified Arabic" w:hint="cs"/>
          <w:sz w:val="32"/>
          <w:szCs w:val="32"/>
          <w:rtl/>
        </w:rPr>
        <w:t>2017</w:t>
      </w:r>
      <w:r w:rsidR="00FE6A6C" w:rsidRPr="004B5103">
        <w:rPr>
          <w:rFonts w:asciiTheme="minorHAnsi" w:hAnsiTheme="minorHAnsi" w:cs="Simplified Arabic"/>
          <w:sz w:val="32"/>
          <w:szCs w:val="32"/>
          <w:rtl/>
        </w:rPr>
        <w:t>.</w:t>
      </w:r>
      <w:r w:rsidR="00FE6A6C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</w:p>
    <w:p w:rsidR="00FE6A6C" w:rsidRPr="000572D2" w:rsidRDefault="00FE6A6C" w:rsidP="00917CD7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lastRenderedPageBreak/>
        <w:t xml:space="preserve">و هكذا، بلغ إنتاج القطاع السياحي </w:t>
      </w:r>
      <w:r w:rsidRPr="000572D2">
        <w:rPr>
          <w:rFonts w:asciiTheme="minorHAnsi" w:hAnsiTheme="minorHAnsi" w:cs="Simplified Arabic"/>
          <w:sz w:val="32"/>
          <w:szCs w:val="32"/>
        </w:rPr>
        <w:t>10</w:t>
      </w:r>
      <w:r w:rsidR="00D570E0">
        <w:rPr>
          <w:rFonts w:asciiTheme="minorHAnsi" w:hAnsiTheme="minorHAnsi" w:cs="Simplified Arabic"/>
          <w:sz w:val="32"/>
          <w:szCs w:val="32"/>
        </w:rPr>
        <w:t>9</w:t>
      </w:r>
      <w:r w:rsidRPr="000572D2">
        <w:rPr>
          <w:rFonts w:asciiTheme="minorHAnsi" w:hAnsiTheme="minorHAnsi" w:cs="Simplified Arabic"/>
          <w:sz w:val="32"/>
          <w:szCs w:val="32"/>
        </w:rPr>
        <w:t>,</w:t>
      </w:r>
      <w:r w:rsidR="00D570E0">
        <w:rPr>
          <w:rFonts w:asciiTheme="minorHAnsi" w:hAnsiTheme="minorHAnsi" w:cs="Simplified Arabic"/>
          <w:sz w:val="32"/>
          <w:szCs w:val="32"/>
        </w:rPr>
        <w:t>3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Pr="000572D2">
        <w:rPr>
          <w:rFonts w:asciiTheme="minorHAnsi" w:hAnsiTheme="minorHAnsi" w:cs="Simplified Arabic"/>
          <w:sz w:val="32"/>
          <w:szCs w:val="32"/>
        </w:rPr>
        <w:t>201</w:t>
      </w:r>
      <w:r w:rsidR="00D570E0">
        <w:rPr>
          <w:rFonts w:asciiTheme="minorHAnsi" w:hAnsiTheme="minorHAnsi" w:cs="Simplified Arabic"/>
          <w:sz w:val="32"/>
          <w:szCs w:val="32"/>
        </w:rPr>
        <w:t>7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D570E0">
        <w:rPr>
          <w:rFonts w:asciiTheme="minorHAnsi" w:hAnsiTheme="minorHAnsi" w:cs="Simplified Arabic"/>
          <w:sz w:val="32"/>
          <w:szCs w:val="32"/>
          <w:rtl/>
        </w:rPr>
        <w:t>100</w:t>
      </w:r>
      <w:r w:rsidRPr="000572D2">
        <w:rPr>
          <w:rFonts w:asciiTheme="minorHAnsi" w:hAnsiTheme="minorHAnsi" w:cs="Simplified Arabic"/>
          <w:sz w:val="32"/>
          <w:szCs w:val="32"/>
          <w:rtl/>
        </w:rPr>
        <w:t>,</w:t>
      </w:r>
      <w:r w:rsidR="00D570E0">
        <w:rPr>
          <w:rFonts w:asciiTheme="minorHAnsi" w:hAnsiTheme="minorHAnsi" w:cs="Simplified Arabic"/>
          <w:sz w:val="32"/>
          <w:szCs w:val="32"/>
          <w:rtl/>
        </w:rPr>
        <w:t>8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Pr="000572D2">
        <w:rPr>
          <w:rFonts w:asciiTheme="minorHAnsi" w:hAnsiTheme="minorHAnsi" w:cs="Simplified Arabic"/>
          <w:sz w:val="32"/>
          <w:szCs w:val="32"/>
        </w:rPr>
        <w:t>201</w:t>
      </w:r>
      <w:r w:rsidR="00D570E0">
        <w:rPr>
          <w:rFonts w:asciiTheme="minorHAnsi" w:hAnsiTheme="minorHAnsi" w:cs="Simplified Arabic"/>
          <w:sz w:val="32"/>
          <w:szCs w:val="32"/>
        </w:rPr>
        <w:t>6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محقق</w:t>
      </w:r>
      <w:r w:rsidR="008019D0">
        <w:rPr>
          <w:rFonts w:asciiTheme="minorHAnsi" w:hAnsiTheme="minorHAnsi" w:cs="Simplified Arabic" w:hint="cs"/>
          <w:sz w:val="32"/>
          <w:szCs w:val="32"/>
          <w:rtl/>
        </w:rPr>
        <w:t>ا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بذلك </w:t>
      </w:r>
      <w:r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بمعدل</w:t>
      </w:r>
      <w:r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 </w:t>
      </w:r>
      <w:r w:rsidRPr="000572D2">
        <w:rPr>
          <w:rFonts w:asciiTheme="minorHAnsi" w:hAnsiTheme="minorHAnsi" w:cs="Simplified Arabic"/>
          <w:sz w:val="32"/>
          <w:szCs w:val="32"/>
        </w:rPr>
        <w:t>%</w:t>
      </w:r>
      <w:r w:rsidR="00D570E0">
        <w:rPr>
          <w:rFonts w:asciiTheme="minorHAnsi" w:hAnsiTheme="minorHAnsi" w:cs="Simplified Arabic"/>
          <w:sz w:val="32"/>
          <w:szCs w:val="32"/>
          <w:lang w:bidi="ar-MA"/>
        </w:rPr>
        <w:t>8</w:t>
      </w:r>
      <w:r w:rsidRPr="000572D2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D570E0">
        <w:rPr>
          <w:rFonts w:asciiTheme="minorHAnsi" w:hAnsiTheme="minorHAnsi" w:cs="Simplified Arabic"/>
          <w:sz w:val="32"/>
          <w:szCs w:val="32"/>
          <w:lang w:bidi="ar-MA"/>
        </w:rPr>
        <w:t>5</w:t>
      </w:r>
      <w:r w:rsidRPr="000572D2">
        <w:rPr>
          <w:rFonts w:asciiTheme="minorHAnsi" w:hAnsiTheme="minorHAnsi" w:cs="Simplified Arabic"/>
          <w:sz w:val="32"/>
          <w:szCs w:val="32"/>
          <w:rtl/>
        </w:rPr>
        <w:t>. و</w:t>
      </w:r>
      <w:r w:rsidR="00D876E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0572D2">
        <w:rPr>
          <w:rFonts w:asciiTheme="minorHAnsi" w:hAnsiTheme="minorHAnsi" w:cs="Simplified Arabic"/>
          <w:sz w:val="32"/>
          <w:szCs w:val="32"/>
          <w:rtl/>
        </w:rPr>
        <w:t>من جهتها، سجلت</w:t>
      </w:r>
      <w:r w:rsidRPr="000572D2">
        <w:rPr>
          <w:rFonts w:asciiTheme="minorHAnsi" w:hAnsiTheme="minorHAnsi" w:cs="Simplified Arabic"/>
          <w:b/>
          <w:bCs/>
          <w:sz w:val="32"/>
          <w:szCs w:val="32"/>
          <w:rtl/>
        </w:rPr>
        <w:t xml:space="preserve"> القيمة المضافة للقطاع السياحـي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نموا </w:t>
      </w:r>
      <w:r w:rsidRPr="000572D2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نسبته </w:t>
      </w:r>
      <w:r w:rsidRPr="000572D2">
        <w:rPr>
          <w:rFonts w:asciiTheme="minorHAnsi" w:hAnsiTheme="minorHAnsi" w:cs="Simplified Arabic"/>
          <w:sz w:val="32"/>
          <w:szCs w:val="32"/>
        </w:rPr>
        <w:t>%</w:t>
      </w:r>
      <w:r w:rsidR="00D570E0">
        <w:rPr>
          <w:rFonts w:asciiTheme="minorHAnsi" w:hAnsiTheme="minorHAnsi" w:cs="Simplified Arabic"/>
          <w:sz w:val="32"/>
          <w:szCs w:val="32"/>
          <w:lang w:bidi="ar-MA"/>
        </w:rPr>
        <w:t>9</w:t>
      </w:r>
      <w:r w:rsidRPr="000572D2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D570E0">
        <w:rPr>
          <w:rFonts w:asciiTheme="minorHAnsi" w:hAnsiTheme="minorHAnsi" w:cs="Simplified Arabic"/>
          <w:sz w:val="32"/>
          <w:szCs w:val="32"/>
          <w:lang w:bidi="ar-MA"/>
        </w:rPr>
        <w:t>9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Pr="000572D2">
        <w:rPr>
          <w:rFonts w:asciiTheme="minorHAnsi" w:hAnsiTheme="minorHAnsi" w:cs="Simplified Arabic"/>
          <w:sz w:val="32"/>
          <w:szCs w:val="32"/>
        </w:rPr>
        <w:t>201</w:t>
      </w:r>
      <w:r w:rsidR="00D570E0">
        <w:rPr>
          <w:rFonts w:asciiTheme="minorHAnsi" w:hAnsiTheme="minorHAnsi" w:cs="Simplified Arabic"/>
          <w:sz w:val="32"/>
          <w:szCs w:val="32"/>
        </w:rPr>
        <w:t>7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 لتبلغ </w:t>
      </w:r>
      <w:r w:rsidRPr="000572D2">
        <w:rPr>
          <w:rFonts w:asciiTheme="minorHAnsi" w:hAnsiTheme="minorHAnsi" w:cs="Simplified Arabic"/>
          <w:sz w:val="32"/>
          <w:szCs w:val="32"/>
        </w:rPr>
        <w:t>5</w:t>
      </w:r>
      <w:r w:rsidR="00D570E0">
        <w:rPr>
          <w:rFonts w:asciiTheme="minorHAnsi" w:hAnsiTheme="minorHAnsi" w:cs="Simplified Arabic"/>
          <w:sz w:val="32"/>
          <w:szCs w:val="32"/>
        </w:rPr>
        <w:t>8</w:t>
      </w:r>
      <w:r w:rsidRPr="000572D2">
        <w:rPr>
          <w:rFonts w:asciiTheme="minorHAnsi" w:hAnsiTheme="minorHAnsi" w:cs="Simplified Arabic"/>
          <w:sz w:val="32"/>
          <w:szCs w:val="32"/>
        </w:rPr>
        <w:t>,</w:t>
      </w:r>
      <w:r w:rsidR="00D570E0">
        <w:rPr>
          <w:rFonts w:asciiTheme="minorHAnsi" w:hAnsiTheme="minorHAnsi" w:cs="Simplified Arabic"/>
          <w:sz w:val="32"/>
          <w:szCs w:val="32"/>
        </w:rPr>
        <w:t>1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عوض </w:t>
      </w:r>
      <w:r w:rsidR="00D570E0">
        <w:rPr>
          <w:rFonts w:asciiTheme="minorHAnsi" w:hAnsiTheme="minorHAnsi" w:cs="Simplified Arabic"/>
          <w:sz w:val="32"/>
          <w:szCs w:val="32"/>
          <w:rtl/>
        </w:rPr>
        <w:t>9</w:t>
      </w:r>
      <w:r w:rsidRPr="000572D2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Pr="000572D2">
        <w:rPr>
          <w:rFonts w:asciiTheme="minorHAnsi" w:hAnsiTheme="minorHAnsi" w:cs="Simplified Arabic"/>
          <w:sz w:val="32"/>
          <w:szCs w:val="32"/>
          <w:rtl/>
        </w:rPr>
        <w:t>5</w:t>
      </w:r>
      <w:r w:rsidR="00D570E0">
        <w:rPr>
          <w:rFonts w:asciiTheme="minorHAnsi" w:hAnsiTheme="minorHAnsi" w:cs="Simplified Arabic"/>
          <w:sz w:val="32"/>
          <w:szCs w:val="32"/>
          <w:rtl/>
        </w:rPr>
        <w:t>2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السنة الماضية.</w:t>
      </w:r>
    </w:p>
    <w:p w:rsidR="00C97B19" w:rsidRDefault="00FE6A6C" w:rsidP="00917CD7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</w:rPr>
      </w:pP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وأخذا بعين الاعتبار ارتفاع صافي الضرائب من الإعانـــات على المنتجات السياحية بنسبة </w:t>
      </w:r>
      <w:r w:rsidRPr="000572D2">
        <w:rPr>
          <w:rFonts w:asciiTheme="minorHAnsi" w:hAnsiTheme="minorHAnsi" w:cs="Simplified Arabic"/>
          <w:sz w:val="32"/>
          <w:szCs w:val="32"/>
        </w:rPr>
        <w:t>%</w:t>
      </w:r>
      <w:r w:rsidR="00D570E0">
        <w:rPr>
          <w:rFonts w:asciiTheme="minorHAnsi" w:hAnsiTheme="minorHAnsi" w:cs="Simplified Arabic"/>
          <w:sz w:val="32"/>
          <w:szCs w:val="32"/>
        </w:rPr>
        <w:t>2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Pr="000572D2">
        <w:rPr>
          <w:rFonts w:asciiTheme="minorHAnsi" w:hAnsiTheme="minorHAnsi" w:cs="Simplified Arabic"/>
          <w:sz w:val="32"/>
          <w:szCs w:val="32"/>
        </w:rPr>
        <w:t>201</w:t>
      </w:r>
      <w:r w:rsidR="00D570E0">
        <w:rPr>
          <w:rFonts w:asciiTheme="minorHAnsi" w:hAnsiTheme="minorHAnsi" w:cs="Simplified Arabic"/>
          <w:sz w:val="32"/>
          <w:szCs w:val="32"/>
        </w:rPr>
        <w:t>7</w:t>
      </w:r>
      <w:r w:rsidRPr="000572D2">
        <w:rPr>
          <w:rFonts w:asciiTheme="minorHAnsi" w:hAnsiTheme="minorHAnsi" w:cs="Simplified Arabic"/>
          <w:sz w:val="32"/>
          <w:szCs w:val="32"/>
          <w:rtl/>
        </w:rPr>
        <w:t>،</w:t>
      </w:r>
      <w:r w:rsidRPr="000572D2">
        <w:rPr>
          <w:rFonts w:asciiTheme="minorHAnsi" w:hAnsiTheme="minorHAnsi" w:cs="Simplified Arabic"/>
          <w:sz w:val="32"/>
          <w:szCs w:val="32"/>
        </w:rPr>
        <w:t xml:space="preserve"> 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بلغ الناتج الداخلي الإجمالي للسياحة </w:t>
      </w:r>
      <w:r w:rsidR="00D570E0">
        <w:rPr>
          <w:rFonts w:asciiTheme="minorHAnsi" w:hAnsiTheme="minorHAnsi" w:cs="Simplified Arabic"/>
          <w:sz w:val="32"/>
          <w:szCs w:val="32"/>
        </w:rPr>
        <w:t>72</w:t>
      </w:r>
      <w:r w:rsidRPr="000572D2">
        <w:rPr>
          <w:rFonts w:asciiTheme="minorHAnsi" w:hAnsiTheme="minorHAnsi" w:cs="Simplified Arabic"/>
          <w:sz w:val="32"/>
          <w:szCs w:val="32"/>
        </w:rPr>
        <w:t>,</w:t>
      </w:r>
      <w:r w:rsidR="00D570E0">
        <w:rPr>
          <w:rFonts w:asciiTheme="minorHAnsi" w:hAnsiTheme="minorHAnsi" w:cs="Simplified Arabic"/>
          <w:sz w:val="32"/>
          <w:szCs w:val="32"/>
        </w:rPr>
        <w:t>4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 مليار درهم عوض 6</w:t>
      </w:r>
      <w:r w:rsidR="00D570E0">
        <w:rPr>
          <w:rFonts w:asciiTheme="minorHAnsi" w:hAnsiTheme="minorHAnsi" w:cs="Simplified Arabic"/>
          <w:sz w:val="32"/>
          <w:szCs w:val="32"/>
          <w:rtl/>
        </w:rPr>
        <w:t>6</w:t>
      </w:r>
      <w:r w:rsidRPr="000572D2">
        <w:rPr>
          <w:rFonts w:asciiTheme="minorHAnsi" w:hAnsiTheme="minorHAnsi" w:cs="Simplified Arabic"/>
          <w:sz w:val="32"/>
          <w:szCs w:val="32"/>
          <w:rtl/>
        </w:rPr>
        <w:t>,</w:t>
      </w:r>
      <w:r w:rsidR="00D570E0">
        <w:rPr>
          <w:rFonts w:asciiTheme="minorHAnsi" w:hAnsiTheme="minorHAnsi" w:cs="Simplified Arabic"/>
          <w:sz w:val="32"/>
          <w:szCs w:val="32"/>
          <w:rtl/>
        </w:rPr>
        <w:t>9</w:t>
      </w:r>
      <w:r w:rsidRPr="000572D2">
        <w:rPr>
          <w:rFonts w:asciiTheme="minorHAnsi" w:hAnsiTheme="minorHAnsi" w:cs="Simplified Arabic"/>
          <w:sz w:val="32"/>
          <w:szCs w:val="32"/>
        </w:rPr>
        <w:t xml:space="preserve">  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مليار سنة </w:t>
      </w:r>
      <w:r w:rsidRPr="000572D2">
        <w:rPr>
          <w:rFonts w:asciiTheme="minorHAnsi" w:hAnsiTheme="minorHAnsi" w:cs="Simplified Arabic"/>
          <w:sz w:val="32"/>
          <w:szCs w:val="32"/>
        </w:rPr>
        <w:t>201</w:t>
      </w:r>
      <w:r w:rsidR="00D570E0">
        <w:rPr>
          <w:rFonts w:asciiTheme="minorHAnsi" w:hAnsiTheme="minorHAnsi" w:cs="Simplified Arabic"/>
          <w:sz w:val="32"/>
          <w:szCs w:val="32"/>
        </w:rPr>
        <w:t>6</w:t>
      </w:r>
      <w:r w:rsidRPr="000572D2">
        <w:rPr>
          <w:rFonts w:asciiTheme="minorHAnsi" w:hAnsiTheme="minorHAnsi" w:cs="Simplified Arabic"/>
          <w:sz w:val="32"/>
          <w:szCs w:val="32"/>
          <w:rtl/>
        </w:rPr>
        <w:t xml:space="preserve">، محققا ارتفاعا قدره </w:t>
      </w:r>
      <w:r w:rsidRPr="000572D2">
        <w:rPr>
          <w:rFonts w:asciiTheme="minorHAnsi" w:hAnsiTheme="minorHAnsi" w:cs="Simplified Arabic"/>
          <w:sz w:val="32"/>
          <w:szCs w:val="32"/>
        </w:rPr>
        <w:t>%</w:t>
      </w:r>
      <w:r w:rsidR="00D570E0">
        <w:rPr>
          <w:rFonts w:asciiTheme="minorHAnsi" w:hAnsiTheme="minorHAnsi" w:cs="Simplified Arabic"/>
          <w:sz w:val="32"/>
          <w:szCs w:val="32"/>
        </w:rPr>
        <w:t>8,3</w:t>
      </w:r>
      <w:r w:rsidR="00282576">
        <w:rPr>
          <w:rFonts w:asciiTheme="minorHAnsi" w:hAnsiTheme="minorHAnsi" w:cs="Simplified Arabic" w:hint="cs"/>
          <w:sz w:val="32"/>
          <w:szCs w:val="32"/>
          <w:rtl/>
        </w:rPr>
        <w:t>.</w:t>
      </w:r>
      <w:r w:rsidR="00C97B19" w:rsidRPr="000572D2">
        <w:rPr>
          <w:rFonts w:asciiTheme="minorHAnsi" w:hAnsiTheme="minorHAnsi" w:cs="Simplified Arabic"/>
          <w:sz w:val="32"/>
          <w:szCs w:val="32"/>
          <w:rtl/>
        </w:rPr>
        <w:t xml:space="preserve"> </w:t>
      </w:r>
      <w:r w:rsidR="000D13DC" w:rsidRPr="000D13DC">
        <w:rPr>
          <w:rFonts w:asciiTheme="minorHAnsi" w:hAnsiTheme="minorHAnsi" w:cs="Simplified Arabic"/>
          <w:sz w:val="32"/>
          <w:szCs w:val="32"/>
          <w:rtl/>
        </w:rPr>
        <w:t xml:space="preserve">وقد بلغت مساهمته في تكوين الناتج الداخلي الإجمالي نسبة </w:t>
      </w:r>
      <w:r w:rsidR="000D13DC" w:rsidRPr="000572D2">
        <w:rPr>
          <w:rFonts w:asciiTheme="minorHAnsi" w:hAnsiTheme="minorHAnsi" w:cs="Simplified Arabic"/>
          <w:sz w:val="32"/>
          <w:szCs w:val="32"/>
        </w:rPr>
        <w:t>%6,</w:t>
      </w:r>
      <w:r w:rsidR="000D13DC">
        <w:rPr>
          <w:rFonts w:asciiTheme="minorHAnsi" w:hAnsiTheme="minorHAnsi" w:cs="Simplified Arabic"/>
          <w:sz w:val="32"/>
          <w:szCs w:val="32"/>
        </w:rPr>
        <w:t>8</w:t>
      </w:r>
      <w:r w:rsidR="000D13DC" w:rsidRPr="000D13DC">
        <w:rPr>
          <w:rFonts w:asciiTheme="minorHAnsi" w:hAnsiTheme="minorHAnsi" w:cs="Simplified Arabic"/>
          <w:sz w:val="32"/>
          <w:szCs w:val="32"/>
          <w:rtl/>
        </w:rPr>
        <w:t xml:space="preserve"> أي بزيادة 0,2 نقطة مقارنة مع سنة </w:t>
      </w:r>
      <w:r w:rsidR="000D13DC">
        <w:rPr>
          <w:rFonts w:asciiTheme="minorHAnsi" w:hAnsiTheme="minorHAnsi" w:cs="Simplified Arabic" w:hint="cs"/>
          <w:sz w:val="32"/>
          <w:szCs w:val="32"/>
          <w:rtl/>
        </w:rPr>
        <w:t>2016</w:t>
      </w:r>
      <w:r w:rsidR="000D13DC" w:rsidRPr="000D13DC">
        <w:rPr>
          <w:rFonts w:asciiTheme="minorHAnsi" w:hAnsiTheme="minorHAnsi" w:cs="Simplified Arabic"/>
          <w:sz w:val="32"/>
          <w:szCs w:val="32"/>
          <w:rtl/>
        </w:rPr>
        <w:t>.</w:t>
      </w:r>
    </w:p>
    <w:p w:rsidR="005C5705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2C6DD4" w:rsidRDefault="002C6DD4" w:rsidP="002C6DD4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5C5705" w:rsidRPr="000572D2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</w:rPr>
      </w:pPr>
    </w:p>
    <w:p w:rsidR="00FE6A6C" w:rsidRPr="005C5705" w:rsidRDefault="00FE6A6C" w:rsidP="00FE6A6C">
      <w:pPr>
        <w:bidi/>
        <w:jc w:val="both"/>
        <w:rPr>
          <w:rFonts w:ascii="Book Antiqua" w:hAnsi="Book Antiqua" w:cs="Simplified Arabic"/>
          <w:sz w:val="20"/>
          <w:szCs w:val="20"/>
        </w:rPr>
      </w:pPr>
      <w:r w:rsidRPr="005C5705">
        <w:rPr>
          <w:rFonts w:ascii="Book Antiqua" w:hAnsi="Book Antiqua" w:cs="Simplified Arabic" w:hint="cs"/>
          <w:sz w:val="20"/>
          <w:szCs w:val="20"/>
          <w:rtl/>
        </w:rPr>
        <w:t>وتوجد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رفقته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الجداول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المتعلقة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بنتائج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الحساب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التابع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للسياحة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لسنة</w:t>
      </w:r>
      <w:r w:rsidRPr="005C5705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201</w:t>
      </w:r>
      <w:r w:rsidR="00EE14A1">
        <w:rPr>
          <w:rFonts w:ascii="Book Antiqua" w:hAnsi="Book Antiqua" w:cs="Simplified Arabic"/>
          <w:sz w:val="20"/>
          <w:szCs w:val="20"/>
          <w:rtl/>
        </w:rPr>
        <w:t>7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.</w:t>
      </w: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FE6A6C" w:rsidRDefault="00FE6A6C" w:rsidP="00FE6A6C">
      <w:pPr>
        <w:bidi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523BA0" w:rsidRDefault="001973C2" w:rsidP="00EE14A1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</w:t>
      </w: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  <w:rtl/>
        </w:rPr>
      </w:pPr>
    </w:p>
    <w:p w:rsidR="000D13DC" w:rsidRDefault="000D13DC" w:rsidP="00EE14A1">
      <w:pPr>
        <w:jc w:val="center"/>
        <w:rPr>
          <w:rFonts w:ascii="Arial" w:hAnsi="Arial"/>
          <w:b/>
          <w:bCs/>
          <w:sz w:val="28"/>
          <w:szCs w:val="28"/>
          <w:rtl/>
        </w:rPr>
      </w:pPr>
    </w:p>
    <w:p w:rsidR="000D13DC" w:rsidRDefault="000D13DC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P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ind w:right="510"/>
        <w:jc w:val="left"/>
        <w:rPr>
          <w:rFonts w:asciiTheme="majorBidi" w:hAnsiTheme="majorBidi" w:cstheme="majorBidi"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  <w:lastRenderedPageBreak/>
        <w:t>الاستهلاك الداخلي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b/>
                <w:bCs/>
                <w:color w:val="FF0000"/>
              </w:rPr>
              <w:t>%</w:t>
            </w:r>
            <w:r w:rsidRPr="00C17073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cs="Simplified Arabic" w:hint="cs"/>
                <w:b/>
                <w:bCs/>
                <w:color w:val="FF0000"/>
                <w:rtl/>
              </w:rPr>
              <w:t>أنواع الاستهلاك السياحي</w:t>
            </w:r>
          </w:p>
        </w:tc>
      </w:tr>
      <w:tr w:rsidR="000D13DC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8,2</w:t>
            </w:r>
          </w:p>
        </w:tc>
        <w:tc>
          <w:tcPr>
            <w:tcW w:w="233" w:type="dxa"/>
            <w:tcBorders>
              <w:left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124</w:t>
            </w:r>
            <w:r w:rsidRPr="000B394C"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150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523BA0">
              <w:rPr>
                <w:rFonts w:asciiTheme="majorBidi" w:hAnsiTheme="majorBidi" w:cstheme="majorBidi"/>
                <w:b/>
                <w:bCs/>
                <w:color w:val="800080"/>
              </w:rPr>
              <w:t>114 755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B03C7E" w:rsidRDefault="000D13DC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C17073">
              <w:rPr>
                <w:rFonts w:cs="Simplified Arabic" w:hint="cs"/>
                <w:b/>
                <w:bCs/>
                <w:color w:val="7030A0"/>
                <w:rtl/>
              </w:rPr>
              <w:t>الاستهلاك الداخلي للسياحة</w:t>
            </w:r>
          </w:p>
        </w:tc>
      </w:tr>
      <w:tr w:rsidR="000D13DC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8,8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84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051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523BA0">
              <w:rPr>
                <w:rFonts w:asciiTheme="majorBidi" w:hAnsiTheme="majorBidi" w:cstheme="majorBidi"/>
                <w:color w:val="000000"/>
              </w:rPr>
              <w:t>77 287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AA558D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/>
              </w:rPr>
              <w:t xml:space="preserve">  </w:t>
            </w:r>
            <w:r w:rsidRPr="00C17073">
              <w:rPr>
                <w:rFonts w:cs="Simplified Arabic" w:hint="cs"/>
                <w:rtl/>
              </w:rPr>
              <w:t xml:space="preserve"> السياحة المستقبلة  </w:t>
            </w:r>
          </w:p>
        </w:tc>
      </w:tr>
      <w:tr w:rsidR="000D13DC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40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099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523BA0" w:rsidRDefault="000D13DC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523BA0">
              <w:rPr>
                <w:rFonts w:asciiTheme="majorBidi" w:hAnsiTheme="majorBidi" w:cstheme="majorBidi"/>
                <w:color w:val="000000"/>
              </w:rPr>
              <w:t>37 469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AA558D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/>
              </w:rPr>
              <w:t xml:space="preserve">  </w:t>
            </w:r>
            <w:r w:rsidRPr="00C17073">
              <w:rPr>
                <w:rFonts w:cs="Simplified Arabic" w:hint="cs"/>
                <w:rtl/>
              </w:rPr>
              <w:t xml:space="preserve"> السياحة الداخلية و المصدرة  </w:t>
            </w:r>
          </w:p>
          <w:p w:rsidR="000D13DC" w:rsidRPr="00C17073" w:rsidRDefault="000D13DC" w:rsidP="0012648A">
            <w:pPr>
              <w:bidi/>
              <w:rPr>
                <w:rFonts w:cs="Simplified Arabic"/>
              </w:rPr>
            </w:pP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</w:rPr>
            </w:pPr>
          </w:p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120"/>
        <w:jc w:val="left"/>
        <w:rPr>
          <w:bCs/>
          <w:sz w:val="40"/>
          <w:szCs w:val="40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>القيمة المضافة والناتج الداخلي الإجمالي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b/>
                <w:bCs/>
                <w:color w:val="FF0000"/>
              </w:rPr>
              <w:t>%</w:t>
            </w:r>
            <w:r w:rsidRPr="00B2558B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0D13DC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8,5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109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312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0B394C" w:rsidRDefault="000D13DC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1777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100 768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</w:p>
        </w:tc>
      </w:tr>
      <w:tr w:rsidR="000D13DC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9,9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58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0B394C" w:rsidRDefault="000D13DC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1777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52 868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القيمة المضافة للسياحة</w:t>
            </w:r>
          </w:p>
        </w:tc>
      </w:tr>
      <w:tr w:rsidR="000D13DC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0D13DC" w:rsidRPr="000B394C" w:rsidRDefault="000D13DC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14</w:t>
            </w:r>
            <w:r w:rsidRPr="000B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</w:rPr>
              <w:t>267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0B394C" w:rsidRDefault="000D13DC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1777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13 988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3DC" w:rsidRPr="00C17073" w:rsidRDefault="000D13DC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صافي</w:t>
            </w:r>
            <w:r w:rsidRPr="00C17073">
              <w:rPr>
                <w:rFonts w:cs="Simplified Arabic" w:hint="cs"/>
                <w:rtl/>
              </w:rPr>
              <w:t xml:space="preserve"> ال</w:t>
            </w:r>
            <w:r w:rsidRPr="00C17073">
              <w:rPr>
                <w:rFonts w:cs="Simplified Arabic"/>
                <w:rtl/>
              </w:rPr>
              <w:t>ضرائب من الإعانات على المنتوجات</w:t>
            </w:r>
          </w:p>
        </w:tc>
      </w:tr>
      <w:tr w:rsidR="000D13DC" w:rsidRPr="009005DE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8,3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72</w:t>
            </w:r>
            <w:r w:rsidRPr="000B394C">
              <w:rPr>
                <w:rFonts w:asciiTheme="majorBidi" w:hAnsiTheme="majorBidi" w:cstheme="majorBidi" w:hint="cs"/>
                <w:b/>
                <w:bCs/>
                <w:color w:val="800080"/>
                <w:rtl/>
              </w:rPr>
              <w:t xml:space="preserve"> </w:t>
            </w: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394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DC" w:rsidRPr="000B394C" w:rsidRDefault="000D13DC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3DC" w:rsidRPr="000B394C" w:rsidRDefault="000D13DC" w:rsidP="000B1777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66 856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DC" w:rsidRPr="009005DE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3DC" w:rsidRPr="009005DE" w:rsidRDefault="000D13DC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9005DE">
              <w:rPr>
                <w:rFonts w:cs="Simplified Arabic"/>
                <w:b/>
                <w:bCs/>
                <w:color w:val="7030A0"/>
                <w:rtl/>
              </w:rPr>
              <w:t xml:space="preserve">الناتج الداخلي 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الإجمالي ل</w:t>
            </w:r>
            <w:r w:rsidRPr="009005DE">
              <w:rPr>
                <w:rFonts w:cs="Simplified Arabic"/>
                <w:b/>
                <w:bCs/>
                <w:color w:val="7030A0"/>
                <w:rtl/>
              </w:rPr>
              <w:t>لسياح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ة</w:t>
            </w: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0B1777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</w:rPr>
            </w:pPr>
          </w:p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jc w:val="left"/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مساهمة السياحة في الاقتصاد الوطني (ب </w:t>
      </w: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</w:rPr>
        <w:t>%</w:t>
      </w: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1326"/>
        <w:gridCol w:w="160"/>
        <w:gridCol w:w="1258"/>
        <w:gridCol w:w="160"/>
        <w:gridCol w:w="5667"/>
      </w:tblGrid>
      <w:tr w:rsidR="00523BA0" w:rsidRPr="00A01735" w:rsidTr="00EE14A1">
        <w:trPr>
          <w:trHeight w:hRule="exact" w:val="454"/>
          <w:tblHeader/>
        </w:trPr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7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EE14A1">
              <w:rPr>
                <w:rFonts w:ascii="Arial Narrow" w:hAnsi="Arial Narrow"/>
                <w:b/>
                <w:bCs/>
                <w:color w:val="FF0000"/>
                <w:rtl/>
              </w:rPr>
              <w:t>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B2558B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B2558B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MA"/>
              </w:rPr>
              <w:t>معدلات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  <w:r w:rsidRPr="00C17073">
              <w:rPr>
                <w:rFonts w:cs="Simplified Arabic" w:hint="cs"/>
                <w:rtl/>
              </w:rPr>
              <w:t>/ الإنتاج الوطني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 للسياحة/ القيمة المضافة للاقتصاد الوطني</w:t>
            </w:r>
          </w:p>
        </w:tc>
      </w:tr>
      <w:tr w:rsidR="00EE14A1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C17073" w:rsidRDefault="00EE14A1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الناتج الداخلي الإجمالي الوطني</w:t>
            </w:r>
          </w:p>
        </w:tc>
      </w:tr>
      <w:tr w:rsidR="00EE14A1" w:rsidRPr="008E076B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800080"/>
              </w:rPr>
              <w:t>6,8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0B394C" w:rsidRDefault="00EE14A1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  <w:r w:rsidRPr="000B394C">
              <w:rPr>
                <w:rFonts w:asciiTheme="majorBidi" w:hAnsiTheme="majorBidi" w:cstheme="majorBidi"/>
                <w:b/>
                <w:bCs/>
                <w:color w:val="7030A0"/>
              </w:rPr>
              <w:t>6,6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4A1" w:rsidRPr="009005DE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4A1" w:rsidRPr="008E076B" w:rsidRDefault="00EE14A1" w:rsidP="00257D44">
            <w:pPr>
              <w:rPr>
                <w:rFonts w:cs="Simplified Arabic"/>
                <w:b/>
                <w:bCs/>
                <w:color w:val="7030A0"/>
                <w:rtl/>
              </w:rPr>
            </w:pPr>
            <w:r w:rsidRPr="008E076B">
              <w:rPr>
                <w:rFonts w:cs="Simplified Arabic" w:hint="cs"/>
                <w:b/>
                <w:bCs/>
                <w:color w:val="7030A0"/>
                <w:rtl/>
              </w:rPr>
              <w:t>الناتج الداخلي الإجمالي للسياحة / الناتج الداخلي لإجمالي الوطني</w:t>
            </w:r>
          </w:p>
        </w:tc>
      </w:tr>
      <w:tr w:rsidR="00EE14A1" w:rsidRPr="0051217F" w:rsidTr="00EE14A1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Default="00523BA0" w:rsidP="00523BA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sectPr w:rsidR="006C21ED" w:rsidRPr="00ED3925" w:rsidSect="005C57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6F" w:rsidRDefault="000C186F">
      <w:r>
        <w:separator/>
      </w:r>
    </w:p>
  </w:endnote>
  <w:endnote w:type="continuationSeparator" w:id="1">
    <w:p w:rsidR="000C186F" w:rsidRDefault="000C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F243D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F243D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76.6pt;margin-top:2.05pt;width:221.95pt;height:37.35pt;z-index:251658752" stroked="f">
          <v:textbox style="mso-next-textbox:#_x0000_s2053">
            <w:txbxContent>
              <w:p w:rsidR="00457A41" w:rsidRPr="00C10BDD" w:rsidRDefault="00457A41" w:rsidP="00C0202B">
                <w:pPr>
                  <w:bidi/>
                  <w:spacing w:before="60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="00C0202B">
                  <w:rPr>
                    <w:rFonts w:ascii="Arial" w:hAnsi="Arial" w:cs="MCS AL SHAMAL" w:hint="cs"/>
                    <w:color w:val="993366"/>
                    <w:sz w:val="20"/>
                    <w:szCs w:val="20"/>
                    <w:rtl/>
                    <w:lang w:bidi="ar-MA"/>
                  </w:rPr>
                  <w:t> </w:t>
                </w:r>
                <w:r w:rsidR="00C0202B">
                  <w:rPr>
                    <w:rFonts w:ascii="Arial" w:hAnsi="Arial" w:cs="MCS AL SHAMAL"/>
                    <w:color w:val="993366"/>
                    <w:sz w:val="20"/>
                    <w:szCs w:val="20"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31.35pt;margin-top:-1.95pt;width:162pt;height:37.35pt;z-index:251656704" stroked="f">
          <v:textbox style="mso-next-textbox:#_x0000_s2054"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-48.65pt;margin-top:2.05pt;width:180pt;height:27pt;z-index:251655680" stroked="f">
          <v:textbox style="mso-next-textbox:#_x0000_s2051">
            <w:txbxContent>
              <w:p w:rsidR="00457A41" w:rsidRPr="00F94487" w:rsidRDefault="00457A4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5.35pt;margin-top:-20pt;width:261pt;height:27pt;z-index:251654656" stroked="f">
          <v:textbox style="mso-next-textbox:#_x0000_s2050">
            <w:txbxContent>
              <w:p w:rsidR="00457A41" w:rsidRPr="00773F09" w:rsidRDefault="00457A41" w:rsidP="00984C53">
                <w:pPr>
                  <w:bidi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6.35pt;margin-top:-15.2pt;width:311.7pt;height:17.25pt;z-index:251657728" stroked="f">
          <v:textbox style="mso-next-textbox:#_x0000_s2052">
            <w:txbxContent>
              <w:p w:rsidR="00457A41" w:rsidRPr="00773F09" w:rsidRDefault="00457A4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57A41" w:rsidRPr="00773F09" w:rsidRDefault="00457A4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left:0;text-align:left;margin-left:198pt;margin-top:20.05pt;width:1in;height:18pt;z-index:251659776" filled="f" stroked="f">
          <v:textbox style="mso-next-textbox:#_x0000_s2055">
            <w:txbxContent>
              <w:p w:rsidR="00457A41" w:rsidRPr="00794363" w:rsidRDefault="00457A4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6F" w:rsidRDefault="000C186F">
      <w:r>
        <w:separator/>
      </w:r>
    </w:p>
  </w:footnote>
  <w:footnote w:type="continuationSeparator" w:id="1">
    <w:p w:rsidR="000C186F" w:rsidRDefault="000C186F">
      <w:r>
        <w:continuationSeparator/>
      </w:r>
    </w:p>
  </w:footnote>
  <w:footnote w:id="2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F51B9C">
        <w:rPr>
          <w:rFonts w:hint="cs"/>
          <w:sz w:val="22"/>
          <w:szCs w:val="22"/>
          <w:rtl/>
        </w:rPr>
        <w:t xml:space="preserve"> </w:t>
      </w:r>
      <w:r w:rsidRPr="006A04B9">
        <w:rPr>
          <w:rFonts w:hint="cs"/>
          <w:sz w:val="22"/>
          <w:szCs w:val="22"/>
          <w:rtl/>
        </w:rPr>
        <w:t>.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تهم ما أنفقه المقيمون داخل التراب الوطني.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C1AD3"/>
    <w:multiLevelType w:val="hybridMultilevel"/>
    <w:tmpl w:val="7A28DB0C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D5091"/>
    <w:multiLevelType w:val="hybridMultilevel"/>
    <w:tmpl w:val="A11E8ACE"/>
    <w:lvl w:ilvl="0" w:tplc="0E38C01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 w:val="0"/>
        <w:color w:val="984806" w:themeColor="accent6" w:themeShade="80"/>
        <w:sz w:val="36"/>
        <w:szCs w:val="36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3A70D4D"/>
    <w:multiLevelType w:val="hybridMultilevel"/>
    <w:tmpl w:val="F06ABAD4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6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50A6E"/>
    <w:rsid w:val="000554EE"/>
    <w:rsid w:val="00060321"/>
    <w:rsid w:val="000622EE"/>
    <w:rsid w:val="00063606"/>
    <w:rsid w:val="00063C51"/>
    <w:rsid w:val="00064386"/>
    <w:rsid w:val="0006553F"/>
    <w:rsid w:val="00070037"/>
    <w:rsid w:val="000731D6"/>
    <w:rsid w:val="00081BE5"/>
    <w:rsid w:val="00082A28"/>
    <w:rsid w:val="00085E86"/>
    <w:rsid w:val="00093022"/>
    <w:rsid w:val="00097844"/>
    <w:rsid w:val="000A3BE9"/>
    <w:rsid w:val="000A4F68"/>
    <w:rsid w:val="000B2A3E"/>
    <w:rsid w:val="000B394C"/>
    <w:rsid w:val="000B3D51"/>
    <w:rsid w:val="000C186F"/>
    <w:rsid w:val="000C5E54"/>
    <w:rsid w:val="000C74B5"/>
    <w:rsid w:val="000C7682"/>
    <w:rsid w:val="000D13DC"/>
    <w:rsid w:val="000D25AF"/>
    <w:rsid w:val="000E21D3"/>
    <w:rsid w:val="000E7503"/>
    <w:rsid w:val="000F6022"/>
    <w:rsid w:val="000F6682"/>
    <w:rsid w:val="000F6A29"/>
    <w:rsid w:val="00100AF5"/>
    <w:rsid w:val="00102905"/>
    <w:rsid w:val="001063C7"/>
    <w:rsid w:val="00107113"/>
    <w:rsid w:val="00110E92"/>
    <w:rsid w:val="00114C7E"/>
    <w:rsid w:val="00115CF8"/>
    <w:rsid w:val="00116A79"/>
    <w:rsid w:val="00116B4A"/>
    <w:rsid w:val="00120AF1"/>
    <w:rsid w:val="0012265F"/>
    <w:rsid w:val="00125DFC"/>
    <w:rsid w:val="0012648A"/>
    <w:rsid w:val="00127FF5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64985"/>
    <w:rsid w:val="00173332"/>
    <w:rsid w:val="00173DF2"/>
    <w:rsid w:val="00174719"/>
    <w:rsid w:val="00176CC0"/>
    <w:rsid w:val="00177EC0"/>
    <w:rsid w:val="00181EFF"/>
    <w:rsid w:val="0018347F"/>
    <w:rsid w:val="00190301"/>
    <w:rsid w:val="001973C2"/>
    <w:rsid w:val="0019765C"/>
    <w:rsid w:val="001A0BC6"/>
    <w:rsid w:val="001A116A"/>
    <w:rsid w:val="001A1A9C"/>
    <w:rsid w:val="001A7093"/>
    <w:rsid w:val="001B3A93"/>
    <w:rsid w:val="001B5762"/>
    <w:rsid w:val="001C3920"/>
    <w:rsid w:val="001C4BE1"/>
    <w:rsid w:val="001D07F7"/>
    <w:rsid w:val="001D0B13"/>
    <w:rsid w:val="001D34E6"/>
    <w:rsid w:val="001D57E1"/>
    <w:rsid w:val="001E05D5"/>
    <w:rsid w:val="001E110E"/>
    <w:rsid w:val="001F1343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529"/>
    <w:rsid w:val="00224F98"/>
    <w:rsid w:val="0022597E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39D4"/>
    <w:rsid w:val="00264343"/>
    <w:rsid w:val="002648C4"/>
    <w:rsid w:val="00264D30"/>
    <w:rsid w:val="002712BB"/>
    <w:rsid w:val="00271922"/>
    <w:rsid w:val="002748C7"/>
    <w:rsid w:val="0027672E"/>
    <w:rsid w:val="002817C4"/>
    <w:rsid w:val="00282576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6433"/>
    <w:rsid w:val="002C6DD4"/>
    <w:rsid w:val="002D022C"/>
    <w:rsid w:val="002D3BD2"/>
    <w:rsid w:val="002D49EF"/>
    <w:rsid w:val="002D5C16"/>
    <w:rsid w:val="002D7578"/>
    <w:rsid w:val="002E7DC6"/>
    <w:rsid w:val="002F3B72"/>
    <w:rsid w:val="002F6F50"/>
    <w:rsid w:val="0030416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04A"/>
    <w:rsid w:val="003347C0"/>
    <w:rsid w:val="0033724B"/>
    <w:rsid w:val="00341BE6"/>
    <w:rsid w:val="00346F33"/>
    <w:rsid w:val="003471DB"/>
    <w:rsid w:val="00351D4C"/>
    <w:rsid w:val="003557D2"/>
    <w:rsid w:val="00357DF4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488C"/>
    <w:rsid w:val="003B7C9A"/>
    <w:rsid w:val="003C357A"/>
    <w:rsid w:val="003D5077"/>
    <w:rsid w:val="003D7036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26B0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4474"/>
    <w:rsid w:val="00457A41"/>
    <w:rsid w:val="00460388"/>
    <w:rsid w:val="00462676"/>
    <w:rsid w:val="00464561"/>
    <w:rsid w:val="00466581"/>
    <w:rsid w:val="00467F88"/>
    <w:rsid w:val="004744FF"/>
    <w:rsid w:val="00475BA5"/>
    <w:rsid w:val="00481E24"/>
    <w:rsid w:val="00484E8D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103"/>
    <w:rsid w:val="004B5569"/>
    <w:rsid w:val="004B6126"/>
    <w:rsid w:val="004B66EA"/>
    <w:rsid w:val="004C0387"/>
    <w:rsid w:val="004C43FD"/>
    <w:rsid w:val="004D423A"/>
    <w:rsid w:val="004E0373"/>
    <w:rsid w:val="004E17D0"/>
    <w:rsid w:val="004E3167"/>
    <w:rsid w:val="004E36E2"/>
    <w:rsid w:val="004E5F26"/>
    <w:rsid w:val="004E67F8"/>
    <w:rsid w:val="004F505B"/>
    <w:rsid w:val="004F5172"/>
    <w:rsid w:val="004F572F"/>
    <w:rsid w:val="004F57F8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3BA0"/>
    <w:rsid w:val="005256D9"/>
    <w:rsid w:val="00525EF9"/>
    <w:rsid w:val="0052635A"/>
    <w:rsid w:val="00531787"/>
    <w:rsid w:val="00532366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86213"/>
    <w:rsid w:val="00587B62"/>
    <w:rsid w:val="00590E1B"/>
    <w:rsid w:val="00594250"/>
    <w:rsid w:val="00594D60"/>
    <w:rsid w:val="00595235"/>
    <w:rsid w:val="005A7944"/>
    <w:rsid w:val="005B0675"/>
    <w:rsid w:val="005B0A04"/>
    <w:rsid w:val="005B2989"/>
    <w:rsid w:val="005B3582"/>
    <w:rsid w:val="005B48EA"/>
    <w:rsid w:val="005C28E5"/>
    <w:rsid w:val="005C3582"/>
    <w:rsid w:val="005C5479"/>
    <w:rsid w:val="005C5705"/>
    <w:rsid w:val="005C707A"/>
    <w:rsid w:val="005C7D21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4D57"/>
    <w:rsid w:val="005F54F6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1B4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6EDF"/>
    <w:rsid w:val="00661B0F"/>
    <w:rsid w:val="00665592"/>
    <w:rsid w:val="00667E75"/>
    <w:rsid w:val="00667ECC"/>
    <w:rsid w:val="006707C0"/>
    <w:rsid w:val="00672CC7"/>
    <w:rsid w:val="006732B3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3883"/>
    <w:rsid w:val="006A4A25"/>
    <w:rsid w:val="006B2B90"/>
    <w:rsid w:val="006B5F68"/>
    <w:rsid w:val="006C0A0C"/>
    <w:rsid w:val="006C21ED"/>
    <w:rsid w:val="006C78D1"/>
    <w:rsid w:val="006D10A0"/>
    <w:rsid w:val="006D22BC"/>
    <w:rsid w:val="006D4F49"/>
    <w:rsid w:val="006D5BB8"/>
    <w:rsid w:val="006D7AEF"/>
    <w:rsid w:val="006D7BF3"/>
    <w:rsid w:val="006D7FA4"/>
    <w:rsid w:val="006E0B60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206D4"/>
    <w:rsid w:val="00721870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6E3E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19D0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111A"/>
    <w:rsid w:val="00852402"/>
    <w:rsid w:val="00853E6D"/>
    <w:rsid w:val="0086177A"/>
    <w:rsid w:val="00861B29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97A6A"/>
    <w:rsid w:val="008A00BF"/>
    <w:rsid w:val="008A2CAA"/>
    <w:rsid w:val="008A4CF7"/>
    <w:rsid w:val="008A5D50"/>
    <w:rsid w:val="008A6A9C"/>
    <w:rsid w:val="008B0041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4419"/>
    <w:rsid w:val="008E513B"/>
    <w:rsid w:val="008E57C2"/>
    <w:rsid w:val="008F416D"/>
    <w:rsid w:val="008F6D54"/>
    <w:rsid w:val="00900744"/>
    <w:rsid w:val="00900B2E"/>
    <w:rsid w:val="00905C15"/>
    <w:rsid w:val="009107ED"/>
    <w:rsid w:val="00911D8D"/>
    <w:rsid w:val="00916AD8"/>
    <w:rsid w:val="00917CD7"/>
    <w:rsid w:val="0092264F"/>
    <w:rsid w:val="00930BC1"/>
    <w:rsid w:val="00931126"/>
    <w:rsid w:val="00932151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9AA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4F6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65EE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11C"/>
    <w:rsid w:val="00A6364D"/>
    <w:rsid w:val="00A638E4"/>
    <w:rsid w:val="00A66289"/>
    <w:rsid w:val="00A66B5D"/>
    <w:rsid w:val="00A7067D"/>
    <w:rsid w:val="00A70FEB"/>
    <w:rsid w:val="00A71561"/>
    <w:rsid w:val="00A7235B"/>
    <w:rsid w:val="00A74F2D"/>
    <w:rsid w:val="00A76F8C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B7A6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2D8A"/>
    <w:rsid w:val="00AE3BF1"/>
    <w:rsid w:val="00AE4320"/>
    <w:rsid w:val="00AE61E0"/>
    <w:rsid w:val="00AF3B45"/>
    <w:rsid w:val="00AF4157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20C66"/>
    <w:rsid w:val="00B247B4"/>
    <w:rsid w:val="00B24B25"/>
    <w:rsid w:val="00B31049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3CD6"/>
    <w:rsid w:val="00B643DC"/>
    <w:rsid w:val="00B66FB4"/>
    <w:rsid w:val="00B674E5"/>
    <w:rsid w:val="00B70238"/>
    <w:rsid w:val="00B7412A"/>
    <w:rsid w:val="00B7477E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B57F8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12C8"/>
    <w:rsid w:val="00BF1080"/>
    <w:rsid w:val="00BF2A09"/>
    <w:rsid w:val="00BF5EE8"/>
    <w:rsid w:val="00C005F2"/>
    <w:rsid w:val="00C0202B"/>
    <w:rsid w:val="00C02BDF"/>
    <w:rsid w:val="00C03E14"/>
    <w:rsid w:val="00C10731"/>
    <w:rsid w:val="00C10BDD"/>
    <w:rsid w:val="00C14DCE"/>
    <w:rsid w:val="00C16026"/>
    <w:rsid w:val="00C26145"/>
    <w:rsid w:val="00C272F8"/>
    <w:rsid w:val="00C31EF5"/>
    <w:rsid w:val="00C36CAE"/>
    <w:rsid w:val="00C455CF"/>
    <w:rsid w:val="00C45E08"/>
    <w:rsid w:val="00C46235"/>
    <w:rsid w:val="00C50547"/>
    <w:rsid w:val="00C509B9"/>
    <w:rsid w:val="00C51588"/>
    <w:rsid w:val="00C52463"/>
    <w:rsid w:val="00C5584A"/>
    <w:rsid w:val="00C569B9"/>
    <w:rsid w:val="00C57828"/>
    <w:rsid w:val="00C57DE2"/>
    <w:rsid w:val="00C6558A"/>
    <w:rsid w:val="00C700B7"/>
    <w:rsid w:val="00C70299"/>
    <w:rsid w:val="00C7289A"/>
    <w:rsid w:val="00C77AA4"/>
    <w:rsid w:val="00C83E7A"/>
    <w:rsid w:val="00C84722"/>
    <w:rsid w:val="00C92504"/>
    <w:rsid w:val="00C92E38"/>
    <w:rsid w:val="00C97B19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D2A96"/>
    <w:rsid w:val="00CD6E99"/>
    <w:rsid w:val="00CD7C5C"/>
    <w:rsid w:val="00CE0767"/>
    <w:rsid w:val="00CE08CE"/>
    <w:rsid w:val="00CE718A"/>
    <w:rsid w:val="00CE7BB5"/>
    <w:rsid w:val="00CF115F"/>
    <w:rsid w:val="00CF3217"/>
    <w:rsid w:val="00D0012D"/>
    <w:rsid w:val="00D01031"/>
    <w:rsid w:val="00D07E75"/>
    <w:rsid w:val="00D12FA1"/>
    <w:rsid w:val="00D14C8B"/>
    <w:rsid w:val="00D15EC7"/>
    <w:rsid w:val="00D224CC"/>
    <w:rsid w:val="00D30672"/>
    <w:rsid w:val="00D30B74"/>
    <w:rsid w:val="00D333C5"/>
    <w:rsid w:val="00D347B0"/>
    <w:rsid w:val="00D371CF"/>
    <w:rsid w:val="00D37C0F"/>
    <w:rsid w:val="00D40AE4"/>
    <w:rsid w:val="00D4135D"/>
    <w:rsid w:val="00D4367F"/>
    <w:rsid w:val="00D46A93"/>
    <w:rsid w:val="00D4763E"/>
    <w:rsid w:val="00D570E0"/>
    <w:rsid w:val="00D60382"/>
    <w:rsid w:val="00D71FF6"/>
    <w:rsid w:val="00D820EB"/>
    <w:rsid w:val="00D82174"/>
    <w:rsid w:val="00D82E00"/>
    <w:rsid w:val="00D876EA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76CA8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7393"/>
    <w:rsid w:val="00ED251E"/>
    <w:rsid w:val="00ED61AD"/>
    <w:rsid w:val="00EE0046"/>
    <w:rsid w:val="00EE14A1"/>
    <w:rsid w:val="00EE549F"/>
    <w:rsid w:val="00EE5D39"/>
    <w:rsid w:val="00EF0AA8"/>
    <w:rsid w:val="00EF13CA"/>
    <w:rsid w:val="00F04237"/>
    <w:rsid w:val="00F04FAF"/>
    <w:rsid w:val="00F1016F"/>
    <w:rsid w:val="00F11331"/>
    <w:rsid w:val="00F11938"/>
    <w:rsid w:val="00F13493"/>
    <w:rsid w:val="00F14900"/>
    <w:rsid w:val="00F15891"/>
    <w:rsid w:val="00F16832"/>
    <w:rsid w:val="00F243D3"/>
    <w:rsid w:val="00F24784"/>
    <w:rsid w:val="00F2657B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13D1"/>
    <w:rsid w:val="00F92A08"/>
    <w:rsid w:val="00F94487"/>
    <w:rsid w:val="00F94BFA"/>
    <w:rsid w:val="00FA1FD9"/>
    <w:rsid w:val="00FA2B84"/>
    <w:rsid w:val="00FA3929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A6C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FF6D-EF03-4170-A89F-7C91864F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2018-10-16T12:49:00Z</cp:lastPrinted>
  <dcterms:created xsi:type="dcterms:W3CDTF">2018-10-17T10:54:00Z</dcterms:created>
  <dcterms:modified xsi:type="dcterms:W3CDTF">2018-10-17T10:54:00Z</dcterms:modified>
</cp:coreProperties>
</file>