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DB6D1E" w:rsidP="002A7221">
      <w:r w:rsidRPr="00DB6D1E">
        <w:rPr>
          <w:rFonts w:eastAsia="Arial Unicode MS"/>
          <w:noProof/>
        </w:rPr>
        <w:pict>
          <v:shape id="_x0000_s1133" type="#_x0000_t75" style="position:absolute;margin-left:442.15pt;margin-top:0;width:92.1pt;height:50.05pt;z-index:251664384" wrapcoords="-106 0 -106 21308 21600 21308 21600 0 -106 0">
            <v:imagedata r:id="rId8" o:title=""/>
            <w10:wrap type="tight"/>
          </v:shape>
          <o:OLEObject Type="Embed" ProgID="PBrush" ShapeID="_x0000_s1133" DrawAspect="Content" ObjectID="_1590946528" r:id="rId9"/>
        </w:pict>
      </w:r>
      <w:r>
        <w:rPr>
          <w:noProof/>
        </w:rPr>
        <w:pict>
          <v:group id="Group 5" o:spid="_x0000_s1026" style="position:absolute;margin-left:-129.45pt;margin-top:-47.3pt;width:910.15pt;height:205.35pt;z-index:251651072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38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0753A3" w:rsidRDefault="000753A3"/>
              </w:txbxContent>
            </v:textbox>
          </v:shape>
        </w:pic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DB6D1E" w:rsidP="003A2CE4">
      <w:pPr>
        <w:jc w:val="both"/>
      </w:pPr>
      <w:r>
        <w:rPr>
          <w:noProof/>
        </w:rPr>
        <w:pict>
          <v:shape id="Text Box 120" o:spid="_x0000_s1137" type="#_x0000_t202" style="position:absolute;left:0;text-align:left;margin-left:-19.15pt;margin-top:8.35pt;width:430.75pt;height:108.6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eLQyZwQIAAMQFAAAOAAAAAAAAAAAAAAAAAC4CAABkcnMvZTJvRG9jLnhtbFBLAQItABQA&#10;BgAIAAAAIQDVSptm4QAAAAoBAAAPAAAAAAAAAAAAAAAAABsFAABkcnMvZG93bnJldi54bWxQSwUG&#10;AAAAAAQABADzAAAAKQYAAAAA&#10;" filled="f" stroked="f" strokecolor="#e36c0a" strokeweight="1.5pt">
            <v:textbox>
              <w:txbxContent>
                <w:p w:rsidR="000753A3" w:rsidRPr="00A075CB" w:rsidRDefault="000753A3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E40A88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0753A3" w:rsidRPr="00586E7E" w:rsidRDefault="000753A3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0753A3" w:rsidRPr="00A77B5D" w:rsidRDefault="000753A3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0753A3" w:rsidRPr="006D7F7D" w:rsidRDefault="000753A3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industries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0753A3" w:rsidRPr="006D7F7D" w:rsidRDefault="000753A3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0753A3" w:rsidRDefault="000753A3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DB6D1E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DB6D1E">
        <w:rPr>
          <w:noProof/>
        </w:rPr>
        <w:pict>
          <v:shape id="Text Box 108" o:spid="_x0000_s1136" type="#_x0000_t202" style="position:absolute;left:0;text-align:left;margin-left:350.65pt;margin-top:27.85pt;width:143.1pt;height:22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0753A3" w:rsidRPr="00305B12" w:rsidRDefault="000753A3" w:rsidP="007F486C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Juin </w:t>
                  </w:r>
                  <w:r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8</w:t>
                  </w:r>
                </w:p>
                <w:p w:rsidR="000753A3" w:rsidRPr="0003724A" w:rsidRDefault="000753A3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DB6D1E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DB6D1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-4pt;margin-top:15.35pt;width:497.75pt;height:0;z-index:251654144;visibility:visible;mso-wrap-distance-top:-33e-5mm;mso-wrap-distance-bottom:-3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DB6D1E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 w:rsidRPr="00DB6D1E">
        <w:rPr>
          <w:noProof/>
        </w:rPr>
        <w:pict>
          <v:shape id="Text Box 138" o:spid="_x0000_s1134" type="#_x0000_t202" style="position:absolute;left:0;text-align:left;margin-left:2.2pt;margin-top:3.65pt;width:482.2pt;height:75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" fillcolor="#fbd4b4">
            <v:textbox>
              <w:txbxContent>
                <w:p w:rsidR="000753A3" w:rsidRDefault="000753A3" w:rsidP="00335D6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ème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="00612A85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s, de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0753A3" w:rsidRDefault="000753A3" w:rsidP="00335D6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7452F0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er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8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ème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0753A3" w:rsidRDefault="000753A3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0753A3" w:rsidRDefault="000753A3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C7017F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</w:t>
      </w:r>
    </w:p>
    <w:p w:rsidR="003A2CE4" w:rsidRPr="00F03C7C" w:rsidRDefault="00A46DAE" w:rsidP="0039125F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7452F0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39125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39125F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 xml:space="preserve">er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39125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D54120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3101340</wp:posOffset>
            </wp:positionH>
            <wp:positionV relativeFrom="margin">
              <wp:posOffset>5116830</wp:posOffset>
            </wp:positionV>
            <wp:extent cx="3390265" cy="2882900"/>
            <wp:effectExtent l="1905" t="0" r="0" b="5080"/>
            <wp:wrapSquare wrapText="bothSides"/>
            <wp:docPr id="117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EF3025" w:rsidRPr="00CE05B3" w:rsidRDefault="002F0627" w:rsidP="006C6657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A</w:t>
      </w:r>
      <w:r w:rsidR="00A46DAE" w:rsidRPr="00D310C6">
        <w:rPr>
          <w:rFonts w:eastAsia="Arial Unicode MS"/>
          <w:sz w:val="22"/>
          <w:szCs w:val="22"/>
        </w:rPr>
        <w:t xml:space="preserve">u </w:t>
      </w:r>
      <w:r w:rsidR="004276B0">
        <w:rPr>
          <w:rFonts w:eastAsia="Arial Unicode MS"/>
          <w:sz w:val="22"/>
          <w:szCs w:val="22"/>
        </w:rPr>
        <w:t>1</w:t>
      </w:r>
      <w:r w:rsidR="004276B0">
        <w:rPr>
          <w:rFonts w:eastAsia="Arial Unicode MS"/>
          <w:sz w:val="22"/>
          <w:szCs w:val="22"/>
          <w:vertAlign w:val="superscript"/>
        </w:rPr>
        <w:t xml:space="preserve">er </w:t>
      </w:r>
      <w:r w:rsidR="00A46DAE" w:rsidRPr="00D310C6">
        <w:rPr>
          <w:rFonts w:eastAsia="Arial Unicode MS"/>
          <w:sz w:val="22"/>
          <w:szCs w:val="22"/>
        </w:rPr>
        <w:t>trimestre201</w:t>
      </w:r>
      <w:r w:rsidR="004276B0">
        <w:rPr>
          <w:rFonts w:eastAsia="Arial Unicode MS"/>
          <w:sz w:val="22"/>
          <w:szCs w:val="22"/>
        </w:rPr>
        <w:t>8</w:t>
      </w:r>
      <w:r>
        <w:rPr>
          <w:rFonts w:eastAsia="Arial Unicode MS"/>
          <w:sz w:val="22"/>
          <w:szCs w:val="22"/>
        </w:rPr>
        <w:t>, l</w:t>
      </w:r>
      <w:r w:rsidR="002A1960" w:rsidRPr="00D310C6">
        <w:rPr>
          <w:rFonts w:eastAsia="Arial Unicode MS"/>
          <w:sz w:val="22"/>
          <w:szCs w:val="22"/>
        </w:rPr>
        <w:t xml:space="preserve">a </w:t>
      </w:r>
      <w:r w:rsidR="00A46DAE" w:rsidRPr="00D310C6">
        <w:rPr>
          <w:rFonts w:eastAsia="Arial Unicode MS"/>
          <w:sz w:val="22"/>
          <w:szCs w:val="22"/>
        </w:rPr>
        <w:t xml:space="preserve">production </w:t>
      </w:r>
      <w:r w:rsidR="00A46DAE">
        <w:rPr>
          <w:rFonts w:eastAsia="Arial Unicode MS"/>
          <w:sz w:val="22"/>
          <w:szCs w:val="22"/>
        </w:rPr>
        <w:t xml:space="preserve">de </w:t>
      </w:r>
      <w:r w:rsidRPr="00A46DAE">
        <w:rPr>
          <w:rFonts w:eastAsia="Arial Unicode MS"/>
          <w:b/>
          <w:bCs/>
          <w:color w:val="660033"/>
          <w:sz w:val="22"/>
          <w:szCs w:val="22"/>
        </w:rPr>
        <w:t>l’industrie</w:t>
      </w:r>
      <w:r w:rsidR="007452F0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D310C6">
        <w:rPr>
          <w:rFonts w:eastAsia="Arial Unicode MS"/>
          <w:b/>
          <w:bCs/>
          <w:color w:val="660033"/>
          <w:sz w:val="22"/>
          <w:szCs w:val="22"/>
        </w:rPr>
        <w:t>manufacturière</w:t>
      </w:r>
      <w:r w:rsidR="007452F0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>aurait</w:t>
      </w:r>
      <w:r w:rsidR="007452F0">
        <w:rPr>
          <w:rFonts w:eastAsia="Arial Unicode MS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>connu</w:t>
      </w:r>
      <w:r w:rsidR="007452F0">
        <w:rPr>
          <w:rFonts w:eastAsia="Arial Unicode MS"/>
          <w:sz w:val="22"/>
          <w:szCs w:val="22"/>
        </w:rPr>
        <w:t xml:space="preserve"> </w:t>
      </w:r>
      <w:r w:rsidR="000C54A5">
        <w:rPr>
          <w:rFonts w:eastAsia="Arial Unicode MS"/>
          <w:sz w:val="22"/>
          <w:szCs w:val="22"/>
        </w:rPr>
        <w:t>une</w:t>
      </w:r>
      <w:r>
        <w:rPr>
          <w:rFonts w:eastAsia="Arial Unicode MS"/>
          <w:sz w:val="22"/>
          <w:szCs w:val="22"/>
        </w:rPr>
        <w:t xml:space="preserve"> légère</w:t>
      </w:r>
      <w:r w:rsidR="004276B0">
        <w:rPr>
          <w:rFonts w:eastAsia="Arial Unicode MS"/>
          <w:sz w:val="22"/>
          <w:szCs w:val="22"/>
        </w:rPr>
        <w:t xml:space="preserve"> hausse</w:t>
      </w:r>
      <w:r w:rsidR="007452F0">
        <w:rPr>
          <w:rFonts w:eastAsia="Arial Unicode MS"/>
          <w:sz w:val="22"/>
          <w:szCs w:val="22"/>
        </w:rPr>
        <w:t xml:space="preserve"> </w:t>
      </w:r>
      <w:r w:rsidR="006C6657">
        <w:rPr>
          <w:rFonts w:eastAsia="Arial Unicode MS"/>
          <w:sz w:val="22"/>
          <w:szCs w:val="22"/>
        </w:rPr>
        <w:t>r</w:t>
      </w:r>
      <w:r w:rsidR="006C6657" w:rsidRPr="00CE05B3">
        <w:rPr>
          <w:rFonts w:eastAsia="Arial Unicode MS"/>
          <w:sz w:val="22"/>
          <w:szCs w:val="22"/>
        </w:rPr>
        <w:t>ésultat</w:t>
      </w:r>
      <w:r w:rsidR="007452F0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 xml:space="preserve">d’une augmentation de la </w:t>
      </w:r>
      <w:r w:rsidR="00BD29DA">
        <w:rPr>
          <w:rFonts w:eastAsia="Arial Unicode MS"/>
          <w:sz w:val="22"/>
          <w:szCs w:val="22"/>
        </w:rPr>
        <w:t xml:space="preserve">production dans </w:t>
      </w:r>
      <w:r w:rsidR="00DD2F0B">
        <w:rPr>
          <w:rFonts w:eastAsia="Arial Unicode MS"/>
          <w:sz w:val="22"/>
          <w:szCs w:val="22"/>
        </w:rPr>
        <w:t>les</w:t>
      </w:r>
      <w:r w:rsidR="007452F0">
        <w:rPr>
          <w:rFonts w:eastAsia="Arial Unicode MS"/>
          <w:sz w:val="22"/>
          <w:szCs w:val="22"/>
        </w:rPr>
        <w:t xml:space="preserve"> </w:t>
      </w:r>
      <w:r w:rsidR="00A15560" w:rsidRPr="00BC44B5">
        <w:rPr>
          <w:rFonts w:eastAsia="Arial Unicode MS"/>
          <w:sz w:val="22"/>
          <w:szCs w:val="22"/>
        </w:rPr>
        <w:t xml:space="preserve">branches </w:t>
      </w:r>
      <w:r w:rsidR="00BF0F00" w:rsidRPr="00BC44B5">
        <w:rPr>
          <w:rFonts w:eastAsia="Arial Unicode MS"/>
          <w:sz w:val="22"/>
          <w:szCs w:val="22"/>
        </w:rPr>
        <w:t>de l</w:t>
      </w:r>
      <w:r w:rsidR="00862EB9">
        <w:rPr>
          <w:rFonts w:eastAsia="Arial Unicode MS"/>
          <w:sz w:val="22"/>
          <w:szCs w:val="22"/>
        </w:rPr>
        <w:t>’</w:t>
      </w:r>
      <w:r w:rsidR="00BF0F00" w:rsidRPr="00BC44B5">
        <w:rPr>
          <w:rFonts w:eastAsia="Arial Unicode MS"/>
          <w:sz w:val="22"/>
          <w:szCs w:val="22"/>
        </w:rPr>
        <w:t>«</w:t>
      </w:r>
      <w:r w:rsidR="00DC7173" w:rsidRPr="00BC44B5">
        <w:rPr>
          <w:rFonts w:eastAsia="Arial Unicode MS"/>
          <w:sz w:val="22"/>
          <w:szCs w:val="22"/>
        </w:rPr>
        <w:t>Industrie</w:t>
      </w:r>
      <w:r w:rsidR="007452F0">
        <w:rPr>
          <w:rFonts w:eastAsia="Arial Unicode MS"/>
          <w:sz w:val="22"/>
          <w:szCs w:val="22"/>
        </w:rPr>
        <w:t xml:space="preserve"> </w:t>
      </w:r>
      <w:r w:rsidR="004276B0">
        <w:rPr>
          <w:rFonts w:eastAsia="Arial Unicode MS"/>
          <w:sz w:val="22"/>
          <w:szCs w:val="22"/>
        </w:rPr>
        <w:t>automobile</w:t>
      </w:r>
      <w:r w:rsidR="002532C9">
        <w:rPr>
          <w:rFonts w:eastAsia="Arial Unicode MS"/>
          <w:sz w:val="22"/>
          <w:szCs w:val="22"/>
        </w:rPr>
        <w:t>» et</w:t>
      </w:r>
      <w:r w:rsidR="00BF0F00" w:rsidRPr="00BC44B5">
        <w:rPr>
          <w:rFonts w:eastAsia="Arial Unicode MS"/>
          <w:sz w:val="22"/>
          <w:szCs w:val="22"/>
        </w:rPr>
        <w:t xml:space="preserve"> de</w:t>
      </w:r>
      <w:r w:rsidR="004276B0">
        <w:rPr>
          <w:rFonts w:eastAsia="Arial Unicode MS"/>
          <w:sz w:val="22"/>
          <w:szCs w:val="22"/>
        </w:rPr>
        <w:t xml:space="preserve"> la</w:t>
      </w:r>
      <w:r w:rsidR="007452F0">
        <w:rPr>
          <w:rFonts w:eastAsia="Arial Unicode MS"/>
          <w:sz w:val="22"/>
          <w:szCs w:val="22"/>
        </w:rPr>
        <w:t xml:space="preserve"> </w:t>
      </w:r>
      <w:r w:rsidR="002E2E62" w:rsidRPr="00BC44B5">
        <w:rPr>
          <w:rFonts w:eastAsia="Arial Unicode MS"/>
          <w:sz w:val="22"/>
          <w:szCs w:val="22"/>
        </w:rPr>
        <w:t>«</w:t>
      </w:r>
      <w:r w:rsidR="004276B0" w:rsidRPr="004276B0">
        <w:rPr>
          <w:rFonts w:eastAsia="Arial Unicode MS"/>
          <w:sz w:val="22"/>
          <w:szCs w:val="22"/>
        </w:rPr>
        <w:t>Fabrication de boissons</w:t>
      </w:r>
      <w:r w:rsidR="00BF0F00" w:rsidRPr="00BC44B5">
        <w:rPr>
          <w:rFonts w:eastAsia="Arial Unicode MS"/>
          <w:sz w:val="22"/>
          <w:szCs w:val="22"/>
        </w:rPr>
        <w:t>»</w:t>
      </w:r>
      <w:r w:rsidR="004D61CC">
        <w:rPr>
          <w:rFonts w:eastAsia="Arial Unicode MS"/>
          <w:sz w:val="22"/>
          <w:szCs w:val="22"/>
        </w:rPr>
        <w:t> </w:t>
      </w:r>
      <w:r w:rsidR="00BF0F00" w:rsidRPr="00BC44B5">
        <w:rPr>
          <w:rFonts w:eastAsia="Arial Unicode MS"/>
          <w:sz w:val="22"/>
          <w:szCs w:val="22"/>
        </w:rPr>
        <w:t>et</w:t>
      </w:r>
      <w:r w:rsidR="0018514F">
        <w:rPr>
          <w:rFonts w:eastAsia="Arial Unicode MS"/>
          <w:sz w:val="22"/>
          <w:szCs w:val="22"/>
        </w:rPr>
        <w:t>,</w:t>
      </w:r>
      <w:r w:rsidR="00BF0F00" w:rsidRPr="00BC44B5">
        <w:rPr>
          <w:rFonts w:eastAsia="Arial Unicode MS"/>
          <w:sz w:val="22"/>
          <w:szCs w:val="22"/>
        </w:rPr>
        <w:t xml:space="preserve"> d’une baisse de la pr</w:t>
      </w:r>
      <w:r w:rsidR="004276B0">
        <w:rPr>
          <w:rFonts w:eastAsia="Arial Unicode MS"/>
          <w:sz w:val="22"/>
          <w:szCs w:val="22"/>
        </w:rPr>
        <w:t>oduction dans les branches de l</w:t>
      </w:r>
      <w:r w:rsidR="002532C9">
        <w:rPr>
          <w:rFonts w:eastAsia="Arial Unicode MS"/>
          <w:sz w:val="22"/>
          <w:szCs w:val="22"/>
        </w:rPr>
        <w:t xml:space="preserve">a </w:t>
      </w:r>
      <w:r w:rsidR="00BF0F00" w:rsidRPr="00BC44B5">
        <w:rPr>
          <w:rFonts w:eastAsia="Arial Unicode MS"/>
          <w:sz w:val="22"/>
          <w:szCs w:val="22"/>
        </w:rPr>
        <w:t>«</w:t>
      </w:r>
      <w:r w:rsidR="002532C9" w:rsidRPr="002532C9">
        <w:rPr>
          <w:rFonts w:eastAsia="Arial Unicode MS"/>
          <w:sz w:val="22"/>
          <w:szCs w:val="22"/>
        </w:rPr>
        <w:t>Fabrication de produits métalliques, à l’exception des machines et des équipements</w:t>
      </w:r>
      <w:r w:rsidR="00BF0F00" w:rsidRPr="00BC44B5">
        <w:rPr>
          <w:rFonts w:eastAsia="Arial Unicode MS"/>
          <w:sz w:val="22"/>
          <w:szCs w:val="22"/>
        </w:rPr>
        <w:t>»</w:t>
      </w:r>
      <w:r w:rsidR="002532C9">
        <w:rPr>
          <w:rFonts w:eastAsia="Arial Unicode MS"/>
          <w:sz w:val="22"/>
          <w:szCs w:val="22"/>
        </w:rPr>
        <w:t xml:space="preserve"> et de l’</w:t>
      </w:r>
      <w:r w:rsidR="00A15560" w:rsidRPr="00BC44B5">
        <w:rPr>
          <w:rFonts w:eastAsia="Arial Unicode MS"/>
          <w:sz w:val="22"/>
          <w:szCs w:val="22"/>
        </w:rPr>
        <w:t>«</w:t>
      </w:r>
      <w:r w:rsidR="002532C9" w:rsidRPr="002532C9">
        <w:rPr>
          <w:rFonts w:eastAsia="Arial Unicode MS"/>
          <w:sz w:val="22"/>
          <w:szCs w:val="22"/>
        </w:rPr>
        <w:t>Industrie du papier et du carton</w:t>
      </w:r>
      <w:r w:rsidR="00A15560" w:rsidRPr="00BC44B5">
        <w:rPr>
          <w:rFonts w:eastAsia="Arial Unicode MS"/>
          <w:sz w:val="22"/>
          <w:szCs w:val="22"/>
        </w:rPr>
        <w:t>»</w:t>
      </w:r>
      <w:r w:rsidR="00B46D1D" w:rsidRPr="00BC44B5">
        <w:rPr>
          <w:rFonts w:eastAsia="Arial Unicode MS"/>
          <w:sz w:val="22"/>
          <w:szCs w:val="22"/>
        </w:rPr>
        <w:t>.</w:t>
      </w:r>
    </w:p>
    <w:p w:rsidR="00F03C7C" w:rsidRDefault="009142AA" w:rsidP="006C6657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="0038590B" w:rsidRPr="00D310C6">
        <w:rPr>
          <w:rFonts w:eastAsia="Arial Unicode MS"/>
          <w:sz w:val="22"/>
          <w:szCs w:val="22"/>
        </w:rPr>
        <w:t xml:space="preserve">es carnets de </w:t>
      </w:r>
      <w:r w:rsidR="00506E9B" w:rsidRPr="00D310C6">
        <w:rPr>
          <w:rFonts w:eastAsia="Arial Unicode MS"/>
          <w:sz w:val="22"/>
          <w:szCs w:val="22"/>
        </w:rPr>
        <w:t>commandes</w:t>
      </w:r>
      <w:r w:rsidR="00506E9B">
        <w:rPr>
          <w:rFonts w:eastAsia="Arial Unicode MS"/>
          <w:sz w:val="22"/>
          <w:szCs w:val="22"/>
        </w:rPr>
        <w:t xml:space="preserve"> sont </w:t>
      </w:r>
      <w:r>
        <w:rPr>
          <w:rFonts w:eastAsia="Arial Unicode MS"/>
          <w:sz w:val="22"/>
          <w:szCs w:val="22"/>
        </w:rPr>
        <w:t>jugés</w:t>
      </w:r>
      <w:r w:rsidR="00E40A88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d’</w:t>
      </w:r>
      <w:r w:rsidR="0038590B" w:rsidRPr="00D310C6">
        <w:rPr>
          <w:rFonts w:eastAsia="Arial Unicode MS"/>
          <w:sz w:val="22"/>
          <w:szCs w:val="22"/>
        </w:rPr>
        <w:t xml:space="preserve">un niveau </w:t>
      </w:r>
      <w:r w:rsidR="00506E9B" w:rsidRPr="00D310C6">
        <w:rPr>
          <w:rFonts w:eastAsia="Arial Unicode MS"/>
          <w:sz w:val="22"/>
          <w:szCs w:val="22"/>
        </w:rPr>
        <w:t>normal</w:t>
      </w:r>
      <w:r>
        <w:rPr>
          <w:rFonts w:eastAsia="Arial Unicode MS"/>
          <w:sz w:val="22"/>
          <w:szCs w:val="22"/>
        </w:rPr>
        <w:t xml:space="preserve"> par les chefs d’entreprises</w:t>
      </w:r>
      <w:r w:rsidR="00506E9B">
        <w:rPr>
          <w:rFonts w:eastAsia="Arial Unicode MS"/>
          <w:sz w:val="22"/>
          <w:szCs w:val="22"/>
        </w:rPr>
        <w:t xml:space="preserve">. S’agissant de </w:t>
      </w:r>
      <w:r w:rsidR="00506E9B" w:rsidRPr="00E71DCC">
        <w:rPr>
          <w:rFonts w:eastAsia="Arial Unicode MS"/>
          <w:sz w:val="22"/>
          <w:szCs w:val="22"/>
        </w:rPr>
        <w:t>l’emploi</w:t>
      </w:r>
      <w:r w:rsidR="00506E9B">
        <w:rPr>
          <w:rFonts w:eastAsia="Arial Unicode MS"/>
          <w:sz w:val="22"/>
          <w:szCs w:val="22"/>
        </w:rPr>
        <w:t xml:space="preserve">, il </w:t>
      </w:r>
      <w:r w:rsidR="00506E9B" w:rsidRPr="00E71DCC">
        <w:rPr>
          <w:rFonts w:eastAsia="Arial Unicode MS" w:hint="cs"/>
          <w:sz w:val="22"/>
          <w:szCs w:val="22"/>
        </w:rPr>
        <w:t>aurait</w:t>
      </w:r>
      <w:r w:rsidR="00E40A88">
        <w:rPr>
          <w:rFonts w:eastAsia="Arial Unicode MS"/>
          <w:sz w:val="22"/>
          <w:szCs w:val="22"/>
        </w:rPr>
        <w:t xml:space="preserve"> </w:t>
      </w:r>
      <w:r w:rsidR="00373869" w:rsidRPr="00E71DCC">
        <w:rPr>
          <w:rFonts w:eastAsia="Arial Unicode MS"/>
          <w:sz w:val="22"/>
          <w:szCs w:val="22"/>
        </w:rPr>
        <w:t>connu</w:t>
      </w:r>
      <w:r w:rsidR="00E40A88">
        <w:rPr>
          <w:rFonts w:eastAsia="Arial Unicode MS"/>
          <w:sz w:val="22"/>
          <w:szCs w:val="22"/>
        </w:rPr>
        <w:t xml:space="preserve"> </w:t>
      </w:r>
      <w:r w:rsidR="009A69CD" w:rsidRPr="00E71DCC">
        <w:rPr>
          <w:rFonts w:eastAsia="Arial Unicode MS" w:hint="cs"/>
          <w:sz w:val="22"/>
          <w:szCs w:val="22"/>
        </w:rPr>
        <w:t>une</w:t>
      </w:r>
      <w:r w:rsidR="00E40A88">
        <w:rPr>
          <w:rFonts w:eastAsia="Arial Unicode MS"/>
          <w:sz w:val="22"/>
          <w:szCs w:val="22"/>
        </w:rPr>
        <w:t xml:space="preserve"> </w:t>
      </w:r>
      <w:r w:rsidR="00605EA8" w:rsidRPr="00E71DCC">
        <w:rPr>
          <w:rFonts w:eastAsia="Arial Unicode MS"/>
          <w:sz w:val="22"/>
          <w:szCs w:val="22"/>
        </w:rPr>
        <w:t>stabilité</w:t>
      </w:r>
      <w:r w:rsidR="00CE370B" w:rsidRPr="00E71DCC">
        <w:rPr>
          <w:rFonts w:eastAsia="Arial Unicode MS"/>
          <w:sz w:val="22"/>
          <w:szCs w:val="22"/>
        </w:rPr>
        <w:t>.</w:t>
      </w:r>
      <w:r w:rsidR="00E40A88">
        <w:rPr>
          <w:rFonts w:eastAsia="Arial Unicode MS"/>
          <w:sz w:val="22"/>
          <w:szCs w:val="22"/>
        </w:rPr>
        <w:t xml:space="preserve"> </w:t>
      </w:r>
      <w:r w:rsidR="006C6657">
        <w:rPr>
          <w:rFonts w:eastAsia="Arial Unicode MS"/>
          <w:sz w:val="22"/>
          <w:szCs w:val="22"/>
        </w:rPr>
        <w:t>Globalement</w:t>
      </w:r>
      <w:r w:rsidR="002F0627">
        <w:rPr>
          <w:rFonts w:eastAsia="Arial Unicode MS"/>
          <w:sz w:val="22"/>
          <w:szCs w:val="22"/>
        </w:rPr>
        <w:t xml:space="preserve">, le </w:t>
      </w:r>
      <w:r w:rsidR="002F0627" w:rsidRPr="00D310C6">
        <w:rPr>
          <w:rFonts w:eastAsia="Arial Unicode MS"/>
          <w:sz w:val="22"/>
          <w:szCs w:val="22"/>
        </w:rPr>
        <w:t>taux d’utilisation de</w:t>
      </w:r>
      <w:r w:rsidR="002F0627">
        <w:rPr>
          <w:rFonts w:eastAsia="Arial Unicode MS"/>
          <w:sz w:val="22"/>
          <w:szCs w:val="22"/>
        </w:rPr>
        <w:t>s</w:t>
      </w:r>
      <w:r w:rsidR="002F0627" w:rsidRPr="00D310C6">
        <w:rPr>
          <w:rFonts w:eastAsia="Arial Unicode MS"/>
          <w:sz w:val="22"/>
          <w:szCs w:val="22"/>
        </w:rPr>
        <w:t xml:space="preserve"> capacité</w:t>
      </w:r>
      <w:r w:rsidR="002F0627">
        <w:rPr>
          <w:rFonts w:eastAsia="Arial Unicode MS"/>
          <w:sz w:val="22"/>
          <w:szCs w:val="22"/>
        </w:rPr>
        <w:t>s</w:t>
      </w:r>
      <w:r w:rsidR="00E40A88">
        <w:rPr>
          <w:rFonts w:eastAsia="Arial Unicode MS"/>
          <w:sz w:val="22"/>
          <w:szCs w:val="22"/>
        </w:rPr>
        <w:t xml:space="preserve"> </w:t>
      </w:r>
      <w:r w:rsidR="002F0627">
        <w:rPr>
          <w:rFonts w:eastAsia="Arial Unicode MS"/>
          <w:sz w:val="22"/>
          <w:szCs w:val="22"/>
        </w:rPr>
        <w:t xml:space="preserve">de </w:t>
      </w:r>
      <w:r w:rsidR="002F0627" w:rsidRPr="00D310C6">
        <w:rPr>
          <w:rFonts w:eastAsia="Arial Unicode MS"/>
          <w:sz w:val="22"/>
          <w:szCs w:val="22"/>
        </w:rPr>
        <w:t>producti</w:t>
      </w:r>
      <w:r w:rsidR="002F0627">
        <w:rPr>
          <w:rFonts w:eastAsia="Arial Unicode MS"/>
          <w:sz w:val="22"/>
          <w:szCs w:val="22"/>
        </w:rPr>
        <w:t>on</w:t>
      </w:r>
      <w:r w:rsidR="00F449A5">
        <w:rPr>
          <w:rFonts w:eastAsia="Arial Unicode MS"/>
          <w:sz w:val="22"/>
          <w:szCs w:val="22"/>
        </w:rPr>
        <w:t xml:space="preserve"> </w:t>
      </w:r>
      <w:r w:rsidR="002F0627" w:rsidRPr="00D310C6">
        <w:rPr>
          <w:rFonts w:eastAsia="Arial Unicode MS"/>
          <w:sz w:val="22"/>
          <w:szCs w:val="22"/>
        </w:rPr>
        <w:t>(TUC)</w:t>
      </w:r>
      <w:r w:rsidR="00F449A5">
        <w:rPr>
          <w:rFonts w:eastAsia="Arial Unicode MS"/>
          <w:sz w:val="22"/>
          <w:szCs w:val="22"/>
        </w:rPr>
        <w:t xml:space="preserve"> </w:t>
      </w:r>
      <w:r w:rsidR="002F0627" w:rsidRPr="00D310C6">
        <w:rPr>
          <w:rFonts w:eastAsia="Arial Unicode MS"/>
          <w:sz w:val="22"/>
          <w:szCs w:val="22"/>
        </w:rPr>
        <w:t>se</w:t>
      </w:r>
      <w:r w:rsidR="002F0627" w:rsidRPr="004A5769">
        <w:rPr>
          <w:rFonts w:eastAsia="Arial Unicode MS"/>
          <w:sz w:val="22"/>
          <w:szCs w:val="22"/>
        </w:rPr>
        <w:t xml:space="preserve"> serait établi</w:t>
      </w:r>
      <w:r w:rsidR="00E40A88">
        <w:rPr>
          <w:rFonts w:eastAsia="Arial Unicode MS"/>
          <w:sz w:val="22"/>
          <w:szCs w:val="22"/>
        </w:rPr>
        <w:t xml:space="preserve"> </w:t>
      </w:r>
      <w:r w:rsidR="002F0627" w:rsidRPr="00D310C6">
        <w:rPr>
          <w:rFonts w:eastAsia="Arial Unicode MS"/>
          <w:sz w:val="22"/>
          <w:szCs w:val="22"/>
        </w:rPr>
        <w:t>à 7</w:t>
      </w:r>
      <w:r w:rsidR="002F0627">
        <w:rPr>
          <w:rFonts w:eastAsia="Arial Unicode MS"/>
          <w:sz w:val="22"/>
          <w:szCs w:val="22"/>
        </w:rPr>
        <w:t>5</w:t>
      </w:r>
      <w:r w:rsidR="002F0627" w:rsidRPr="00D310C6">
        <w:rPr>
          <w:rFonts w:eastAsia="Arial Unicode MS"/>
          <w:sz w:val="22"/>
          <w:szCs w:val="22"/>
        </w:rPr>
        <w:t>%</w:t>
      </w:r>
      <w:r w:rsidR="00712FC1">
        <w:rPr>
          <w:rFonts w:eastAsia="Arial Unicode MS"/>
          <w:sz w:val="22"/>
          <w:szCs w:val="22"/>
        </w:rPr>
        <w:t>.</w:t>
      </w:r>
      <w:r w:rsidR="00F03C7C">
        <w:rPr>
          <w:rFonts w:eastAsia="Arial Unicode MS"/>
          <w:sz w:val="22"/>
          <w:szCs w:val="22"/>
        </w:rPr>
        <w:br w:type="page"/>
      </w:r>
    </w:p>
    <w:p w:rsidR="0073499F" w:rsidRDefault="00D54120" w:rsidP="004276B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3068955</wp:posOffset>
            </wp:positionH>
            <wp:positionV relativeFrom="margin">
              <wp:posOffset>-83820</wp:posOffset>
            </wp:positionV>
            <wp:extent cx="3371850" cy="2401570"/>
            <wp:effectExtent l="0" t="0" r="1905" b="635"/>
            <wp:wrapSquare wrapText="bothSides"/>
            <wp:docPr id="116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8590B" w:rsidRPr="00302676" w:rsidRDefault="009142AA" w:rsidP="009142AA">
      <w:pPr>
        <w:spacing w:after="120" w:line="276" w:lineRule="auto"/>
        <w:jc w:val="both"/>
        <w:rPr>
          <w:rFonts w:eastAsia="Arial Unicode MS"/>
          <w:sz w:val="22"/>
          <w:szCs w:val="22"/>
        </w:rPr>
        <w:sectPr w:rsidR="0038590B" w:rsidRPr="00302676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rFonts w:eastAsia="Arial Unicode MS"/>
          <w:sz w:val="22"/>
          <w:szCs w:val="22"/>
        </w:rPr>
        <w:t>Au 1</w:t>
      </w:r>
      <w:r>
        <w:rPr>
          <w:rFonts w:eastAsia="Arial Unicode MS"/>
          <w:sz w:val="22"/>
          <w:szCs w:val="22"/>
          <w:vertAlign w:val="superscript"/>
        </w:rPr>
        <w:t xml:space="preserve">er </w:t>
      </w:r>
      <w:r>
        <w:rPr>
          <w:rFonts w:eastAsia="Arial Unicode MS"/>
          <w:sz w:val="22"/>
          <w:szCs w:val="22"/>
        </w:rPr>
        <w:t>trimestre 2018, l</w:t>
      </w:r>
      <w:r w:rsidR="00A15EDE">
        <w:rPr>
          <w:rFonts w:eastAsia="Arial Unicode MS"/>
          <w:sz w:val="22"/>
          <w:szCs w:val="22"/>
        </w:rPr>
        <w:t xml:space="preserve">a production </w:t>
      </w:r>
      <w:r w:rsidR="00B807F8">
        <w:rPr>
          <w:rFonts w:eastAsia="Arial Unicode MS"/>
          <w:sz w:val="22"/>
          <w:szCs w:val="22"/>
        </w:rPr>
        <w:t xml:space="preserve">de </w:t>
      </w:r>
      <w:r w:rsidR="002F0627" w:rsidRPr="001702AB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7452F0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>aurait</w:t>
      </w:r>
      <w:r w:rsidR="007452F0">
        <w:rPr>
          <w:rFonts w:eastAsia="Arial Unicode MS"/>
          <w:sz w:val="22"/>
          <w:szCs w:val="22"/>
        </w:rPr>
        <w:t xml:space="preserve"> </w:t>
      </w:r>
      <w:r w:rsidR="00066703" w:rsidRPr="00CE05B3">
        <w:rPr>
          <w:rFonts w:eastAsia="Arial Unicode MS"/>
          <w:sz w:val="22"/>
          <w:szCs w:val="22"/>
        </w:rPr>
        <w:t>affiché</w:t>
      </w:r>
      <w:r w:rsidR="007452F0">
        <w:rPr>
          <w:rFonts w:eastAsia="Arial Unicode MS"/>
          <w:sz w:val="22"/>
          <w:szCs w:val="22"/>
        </w:rPr>
        <w:t xml:space="preserve"> </w:t>
      </w:r>
      <w:r w:rsidR="00572A4D" w:rsidRPr="00CE05B3">
        <w:rPr>
          <w:rFonts w:eastAsia="Arial Unicode MS"/>
          <w:sz w:val="22"/>
          <w:szCs w:val="22"/>
        </w:rPr>
        <w:t xml:space="preserve">une </w:t>
      </w:r>
      <w:r w:rsidR="004276B0">
        <w:rPr>
          <w:rFonts w:eastAsia="Arial Unicode MS"/>
          <w:sz w:val="22"/>
          <w:szCs w:val="22"/>
        </w:rPr>
        <w:t>stabilité</w:t>
      </w:r>
      <w:r>
        <w:rPr>
          <w:rFonts w:eastAsia="Arial Unicode MS"/>
          <w:sz w:val="22"/>
          <w:szCs w:val="22"/>
        </w:rPr>
        <w:t xml:space="preserve"> imputable à une </w:t>
      </w:r>
      <w:r w:rsidR="004276B0">
        <w:rPr>
          <w:rFonts w:eastAsia="Arial Unicode MS"/>
          <w:sz w:val="22"/>
          <w:szCs w:val="22"/>
        </w:rPr>
        <w:t>stagnation</w:t>
      </w:r>
      <w:r w:rsidR="007452F0">
        <w:rPr>
          <w:rFonts w:eastAsia="Arial Unicode MS"/>
          <w:sz w:val="22"/>
          <w:szCs w:val="22"/>
        </w:rPr>
        <w:t xml:space="preserve"> </w:t>
      </w:r>
      <w:r w:rsidR="00356D34" w:rsidRPr="00302676">
        <w:rPr>
          <w:rFonts w:eastAsia="Arial Unicode MS"/>
          <w:sz w:val="22"/>
          <w:szCs w:val="22"/>
        </w:rPr>
        <w:t>d</w:t>
      </w:r>
      <w:r w:rsidR="0038590B" w:rsidRPr="00302676">
        <w:rPr>
          <w:rFonts w:eastAsia="Arial Unicode MS"/>
          <w:sz w:val="22"/>
          <w:szCs w:val="22"/>
        </w:rPr>
        <w:t>e la production d</w:t>
      </w:r>
      <w:r w:rsidR="00A15EDE">
        <w:rPr>
          <w:rFonts w:eastAsia="Arial Unicode MS"/>
          <w:sz w:val="22"/>
          <w:szCs w:val="22"/>
        </w:rPr>
        <w:t>’</w:t>
      </w:r>
      <w:r w:rsidR="0038590B" w:rsidRPr="00302676">
        <w:rPr>
          <w:rFonts w:eastAsia="Arial Unicode MS"/>
          <w:sz w:val="22"/>
          <w:szCs w:val="22"/>
        </w:rPr>
        <w:t>«Autres indus</w:t>
      </w:r>
      <w:r w:rsidR="00021C30">
        <w:rPr>
          <w:rFonts w:eastAsia="Arial Unicode MS"/>
          <w:sz w:val="22"/>
          <w:szCs w:val="22"/>
        </w:rPr>
        <w:t>tries</w:t>
      </w:r>
      <w:r w:rsidR="007452F0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e</w:t>
      </w:r>
      <w:r w:rsidR="00021C30">
        <w:rPr>
          <w:rFonts w:eastAsia="Arial Unicode MS"/>
          <w:sz w:val="22"/>
          <w:szCs w:val="22"/>
        </w:rPr>
        <w:t>xtractives».</w:t>
      </w:r>
    </w:p>
    <w:p w:rsidR="0038590B" w:rsidRPr="00302676" w:rsidRDefault="002A4F23" w:rsidP="009142AA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Les </w:t>
      </w:r>
      <w:r w:rsidRPr="00302676">
        <w:rPr>
          <w:rFonts w:eastAsia="Arial Unicode MS"/>
          <w:sz w:val="22"/>
          <w:szCs w:val="22"/>
        </w:rPr>
        <w:t>carnets</w:t>
      </w:r>
      <w:r w:rsidR="0038590B" w:rsidRPr="00302676">
        <w:rPr>
          <w:rFonts w:eastAsia="Arial Unicode MS"/>
          <w:sz w:val="22"/>
          <w:szCs w:val="22"/>
        </w:rPr>
        <w:t xml:space="preserve"> de commande </w:t>
      </w:r>
      <w:r w:rsidR="009142AA">
        <w:rPr>
          <w:rFonts w:eastAsia="Arial Unicode MS"/>
          <w:sz w:val="22"/>
          <w:szCs w:val="22"/>
        </w:rPr>
        <w:t xml:space="preserve">se seraient </w:t>
      </w:r>
      <w:r w:rsidR="00487714">
        <w:rPr>
          <w:rFonts w:eastAsia="Arial Unicode MS"/>
          <w:sz w:val="22"/>
          <w:szCs w:val="22"/>
        </w:rPr>
        <w:t xml:space="preserve">situés </w:t>
      </w:r>
      <w:r w:rsidR="00487714" w:rsidRPr="00302676">
        <w:rPr>
          <w:rFonts w:eastAsia="Arial Unicode MS"/>
          <w:sz w:val="22"/>
          <w:szCs w:val="22"/>
        </w:rPr>
        <w:t>à</w:t>
      </w:r>
      <w:r w:rsidR="007452F0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un niveau normal</w:t>
      </w:r>
      <w:r w:rsidR="00B807F8">
        <w:rPr>
          <w:rFonts w:eastAsia="Arial Unicode MS"/>
          <w:sz w:val="22"/>
          <w:szCs w:val="22"/>
        </w:rPr>
        <w:t xml:space="preserve"> et</w:t>
      </w:r>
      <w:r w:rsidR="007452F0">
        <w:rPr>
          <w:rFonts w:eastAsia="Arial Unicode MS"/>
          <w:sz w:val="22"/>
          <w:szCs w:val="22"/>
        </w:rPr>
        <w:t xml:space="preserve"> </w:t>
      </w:r>
      <w:r w:rsidR="00B807F8">
        <w:rPr>
          <w:rFonts w:eastAsia="Arial Unicode MS"/>
          <w:sz w:val="22"/>
          <w:szCs w:val="22"/>
        </w:rPr>
        <w:t>l</w:t>
      </w:r>
      <w:r w:rsidR="0038590B" w:rsidRPr="00E71DCC">
        <w:rPr>
          <w:rFonts w:eastAsia="Arial Unicode MS"/>
          <w:sz w:val="22"/>
          <w:szCs w:val="22"/>
        </w:rPr>
        <w:t>’emploi</w:t>
      </w:r>
      <w:r w:rsidR="002A1960" w:rsidRPr="00E71DCC">
        <w:rPr>
          <w:rFonts w:eastAsia="Arial Unicode MS"/>
          <w:sz w:val="22"/>
          <w:szCs w:val="22"/>
        </w:rPr>
        <w:t xml:space="preserve"> aurait</w:t>
      </w:r>
      <w:r w:rsidR="007452F0">
        <w:rPr>
          <w:rFonts w:eastAsia="Arial Unicode MS"/>
          <w:sz w:val="22"/>
          <w:szCs w:val="22"/>
        </w:rPr>
        <w:t xml:space="preserve"> </w:t>
      </w:r>
      <w:r w:rsidRPr="00E71DCC">
        <w:rPr>
          <w:rFonts w:eastAsia="Arial Unicode MS"/>
          <w:sz w:val="22"/>
          <w:szCs w:val="22"/>
        </w:rPr>
        <w:t>c</w:t>
      </w:r>
      <w:bookmarkStart w:id="1" w:name="_GoBack"/>
      <w:bookmarkEnd w:id="1"/>
      <w:r w:rsidRPr="00E71DCC">
        <w:rPr>
          <w:rFonts w:eastAsia="Arial Unicode MS"/>
          <w:sz w:val="22"/>
          <w:szCs w:val="22"/>
        </w:rPr>
        <w:t>onnu</w:t>
      </w:r>
      <w:r w:rsidR="007452F0">
        <w:rPr>
          <w:rFonts w:eastAsia="Arial Unicode MS"/>
          <w:sz w:val="22"/>
          <w:szCs w:val="22"/>
        </w:rPr>
        <w:t xml:space="preserve"> </w:t>
      </w:r>
      <w:r w:rsidRPr="00E71DCC">
        <w:rPr>
          <w:rFonts w:eastAsia="Arial Unicode MS"/>
          <w:sz w:val="22"/>
          <w:szCs w:val="22"/>
        </w:rPr>
        <w:t xml:space="preserve">une </w:t>
      </w:r>
      <w:r w:rsidR="00AA65D3" w:rsidRPr="00E71DCC">
        <w:rPr>
          <w:rFonts w:eastAsia="Arial Unicode MS"/>
          <w:sz w:val="22"/>
          <w:szCs w:val="22"/>
        </w:rPr>
        <w:t>diminution</w:t>
      </w:r>
      <w:r w:rsidRPr="00E71DCC">
        <w:rPr>
          <w:rFonts w:eastAsia="Arial Unicode MS"/>
          <w:sz w:val="22"/>
          <w:szCs w:val="22"/>
        </w:rPr>
        <w:t>.</w:t>
      </w:r>
      <w:r w:rsidR="002F0627">
        <w:rPr>
          <w:rFonts w:eastAsia="Arial Unicode MS"/>
          <w:sz w:val="22"/>
          <w:szCs w:val="22"/>
        </w:rPr>
        <w:t xml:space="preserve"> Dans ces conditions, Le </w:t>
      </w:r>
      <w:r w:rsidR="002F0627" w:rsidRPr="004A5769">
        <w:rPr>
          <w:rFonts w:eastAsia="Arial Unicode MS"/>
          <w:sz w:val="22"/>
          <w:szCs w:val="22"/>
        </w:rPr>
        <w:t xml:space="preserve">TUC </w:t>
      </w:r>
      <w:r w:rsidR="002F0627">
        <w:rPr>
          <w:rFonts w:eastAsia="Arial Unicode MS"/>
          <w:sz w:val="22"/>
          <w:szCs w:val="22"/>
        </w:rPr>
        <w:t xml:space="preserve">dans ce secteur se </w:t>
      </w:r>
      <w:r w:rsidR="002F0627" w:rsidRPr="004A5769">
        <w:rPr>
          <w:rFonts w:eastAsia="Arial Unicode MS"/>
          <w:sz w:val="22"/>
          <w:szCs w:val="22"/>
        </w:rPr>
        <w:t>serait établi à</w:t>
      </w:r>
      <w:r w:rsidR="002F0627">
        <w:rPr>
          <w:rFonts w:eastAsia="Arial Unicode MS"/>
          <w:sz w:val="22"/>
          <w:szCs w:val="22"/>
        </w:rPr>
        <w:t>73</w:t>
      </w:r>
      <w:r w:rsidR="002F0627" w:rsidRPr="004A5769">
        <w:rPr>
          <w:rFonts w:eastAsia="Arial Unicode MS"/>
          <w:sz w:val="22"/>
          <w:szCs w:val="22"/>
        </w:rPr>
        <w:t>%</w:t>
      </w: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D55B9E" w:rsidRDefault="00D55B9E" w:rsidP="008F4E28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38590B" w:rsidRPr="00302676" w:rsidRDefault="00B807F8" w:rsidP="009142AA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Au titre du 1</w:t>
      </w:r>
      <w:r w:rsidRPr="00B807F8">
        <w:rPr>
          <w:rFonts w:eastAsia="Arial Unicode MS"/>
          <w:sz w:val="22"/>
          <w:szCs w:val="22"/>
          <w:vertAlign w:val="superscript"/>
        </w:rPr>
        <w:t>er</w:t>
      </w:r>
      <w:r>
        <w:rPr>
          <w:rFonts w:eastAsia="Arial Unicode MS"/>
          <w:sz w:val="22"/>
          <w:szCs w:val="22"/>
        </w:rPr>
        <w:t xml:space="preserve"> trimestre </w:t>
      </w:r>
      <w:r w:rsidR="009A69CD">
        <w:rPr>
          <w:rFonts w:eastAsia="Arial Unicode MS"/>
          <w:sz w:val="22"/>
          <w:szCs w:val="22"/>
        </w:rPr>
        <w:t>2018,</w:t>
      </w:r>
      <w:r>
        <w:rPr>
          <w:rFonts w:eastAsia="Arial Unicode MS"/>
          <w:sz w:val="22"/>
          <w:szCs w:val="22"/>
        </w:rPr>
        <w:t xml:space="preserve"> l</w:t>
      </w:r>
      <w:r w:rsidR="00066703">
        <w:rPr>
          <w:rFonts w:eastAsia="Arial Unicode MS"/>
          <w:sz w:val="22"/>
          <w:szCs w:val="22"/>
        </w:rPr>
        <w:t xml:space="preserve">a production de </w:t>
      </w:r>
      <w:r w:rsidRPr="002A4F23">
        <w:rPr>
          <w:rFonts w:eastAsia="Arial Unicode MS"/>
          <w:b/>
          <w:bCs/>
          <w:color w:val="660033"/>
          <w:sz w:val="22"/>
          <w:szCs w:val="22"/>
        </w:rPr>
        <w:t>l’industrie énerg</w:t>
      </w:r>
      <w:r>
        <w:rPr>
          <w:rFonts w:eastAsia="Arial Unicode MS"/>
          <w:b/>
          <w:bCs/>
          <w:color w:val="660033"/>
          <w:sz w:val="22"/>
          <w:szCs w:val="22"/>
        </w:rPr>
        <w:t>é</w:t>
      </w:r>
      <w:r w:rsidRPr="002A4F23">
        <w:rPr>
          <w:rFonts w:eastAsia="Arial Unicode MS"/>
          <w:b/>
          <w:bCs/>
          <w:color w:val="660033"/>
          <w:sz w:val="22"/>
          <w:szCs w:val="22"/>
        </w:rPr>
        <w:t>tique</w:t>
      </w:r>
      <w:r w:rsidR="007452F0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aurait</w:t>
      </w:r>
      <w:r>
        <w:rPr>
          <w:rFonts w:eastAsia="Arial Unicode MS"/>
          <w:sz w:val="22"/>
          <w:szCs w:val="22"/>
        </w:rPr>
        <w:t xml:space="preserve"> connu une</w:t>
      </w:r>
      <w:r w:rsidR="007452F0">
        <w:rPr>
          <w:rFonts w:eastAsia="Arial Unicode MS"/>
          <w:sz w:val="22"/>
          <w:szCs w:val="22"/>
        </w:rPr>
        <w:t xml:space="preserve"> </w:t>
      </w:r>
      <w:r w:rsidR="00EC36F6">
        <w:rPr>
          <w:rFonts w:eastAsia="Arial Unicode MS"/>
          <w:sz w:val="22"/>
          <w:szCs w:val="22"/>
        </w:rPr>
        <w:t>diminution</w:t>
      </w:r>
      <w:r w:rsidR="007452F0">
        <w:rPr>
          <w:rFonts w:eastAsia="Arial Unicode MS"/>
          <w:sz w:val="22"/>
          <w:szCs w:val="22"/>
        </w:rPr>
        <w:t xml:space="preserve"> </w:t>
      </w:r>
      <w:r w:rsidR="002A1960" w:rsidRPr="00302676">
        <w:rPr>
          <w:rFonts w:eastAsia="Arial Unicode MS"/>
          <w:sz w:val="22"/>
          <w:szCs w:val="22"/>
        </w:rPr>
        <w:t>due</w:t>
      </w:r>
      <w:r>
        <w:rPr>
          <w:rFonts w:eastAsia="Arial Unicode MS"/>
          <w:sz w:val="22"/>
          <w:szCs w:val="22"/>
        </w:rPr>
        <w:t xml:space="preserve"> principalement </w:t>
      </w:r>
      <w:r>
        <w:rPr>
          <w:rFonts w:eastAsia="Arial Unicode MS" w:hint="cs"/>
          <w:sz w:val="22"/>
          <w:szCs w:val="22"/>
        </w:rPr>
        <w:t>à</w:t>
      </w:r>
      <w:r w:rsidR="007452F0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la </w:t>
      </w:r>
      <w:r w:rsidR="00EC36F6">
        <w:rPr>
          <w:rFonts w:eastAsia="Arial Unicode MS"/>
          <w:sz w:val="22"/>
          <w:szCs w:val="22"/>
        </w:rPr>
        <w:t>baisse</w:t>
      </w:r>
      <w:r w:rsidR="007452F0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de la </w:t>
      </w:r>
      <w:r w:rsidR="009831C0" w:rsidRPr="00302676">
        <w:rPr>
          <w:rFonts w:eastAsia="Arial Unicode MS"/>
          <w:sz w:val="22"/>
          <w:szCs w:val="22"/>
        </w:rPr>
        <w:t>«</w:t>
      </w:r>
      <w:r w:rsidR="009831C0" w:rsidRPr="00863E4A">
        <w:rPr>
          <w:rFonts w:eastAsia="Arial Unicode MS"/>
          <w:sz w:val="22"/>
          <w:szCs w:val="22"/>
        </w:rPr>
        <w:t>P</w:t>
      </w:r>
      <w:r w:rsidR="0038590B" w:rsidRPr="00863E4A">
        <w:rPr>
          <w:rFonts w:eastAsia="Arial Unicode MS"/>
          <w:sz w:val="22"/>
          <w:szCs w:val="22"/>
        </w:rPr>
        <w:t>roduction et distribution</w:t>
      </w:r>
      <w:r w:rsidR="009E1CC2" w:rsidRPr="00863E4A">
        <w:rPr>
          <w:rFonts w:eastAsia="Arial Unicode MS"/>
          <w:sz w:val="22"/>
          <w:szCs w:val="22"/>
        </w:rPr>
        <w:t> </w:t>
      </w:r>
      <w:r w:rsidR="0038590B" w:rsidRPr="00863E4A">
        <w:rPr>
          <w:rFonts w:eastAsia="Arial Unicode MS"/>
          <w:sz w:val="22"/>
          <w:szCs w:val="22"/>
        </w:rPr>
        <w:t>d’électricité, de gaz, de vapeur et d’air conditionné</w:t>
      </w:r>
      <w:r w:rsidR="0038590B" w:rsidRPr="00302676">
        <w:rPr>
          <w:rFonts w:eastAsia="Arial Unicode MS"/>
          <w:sz w:val="22"/>
          <w:szCs w:val="22"/>
        </w:rPr>
        <w:t xml:space="preserve">». </w:t>
      </w:r>
      <w:r w:rsidR="00506E9B">
        <w:rPr>
          <w:rFonts w:eastAsia="Arial Unicode MS"/>
          <w:sz w:val="22"/>
          <w:szCs w:val="22"/>
        </w:rPr>
        <w:t>S’agissant des</w:t>
      </w:r>
      <w:r w:rsidRPr="00302676">
        <w:rPr>
          <w:rFonts w:eastAsia="Arial Unicode MS"/>
          <w:sz w:val="22"/>
          <w:szCs w:val="22"/>
        </w:rPr>
        <w:t xml:space="preserve"> carnets de </w:t>
      </w:r>
      <w:r w:rsidR="0031675C" w:rsidRPr="00302676">
        <w:rPr>
          <w:rFonts w:eastAsia="Arial Unicode MS"/>
          <w:sz w:val="22"/>
          <w:szCs w:val="22"/>
        </w:rPr>
        <w:t>commandes</w:t>
      </w:r>
      <w:r w:rsidR="0031675C">
        <w:rPr>
          <w:rFonts w:eastAsia="Arial Unicode MS"/>
          <w:sz w:val="22"/>
          <w:szCs w:val="22"/>
        </w:rPr>
        <w:t>,</w:t>
      </w:r>
      <w:r w:rsidR="00506E9B">
        <w:rPr>
          <w:rFonts w:eastAsia="Arial Unicode MS"/>
          <w:sz w:val="22"/>
          <w:szCs w:val="22"/>
        </w:rPr>
        <w:t xml:space="preserve"> ils </w:t>
      </w:r>
      <w:r>
        <w:rPr>
          <w:rFonts w:eastAsia="Arial Unicode MS"/>
          <w:sz w:val="22"/>
          <w:szCs w:val="22"/>
        </w:rPr>
        <w:t>sont</w:t>
      </w:r>
      <w:r w:rsidRPr="00302676">
        <w:rPr>
          <w:rFonts w:eastAsia="Arial Unicode MS"/>
          <w:sz w:val="22"/>
          <w:szCs w:val="22"/>
        </w:rPr>
        <w:t xml:space="preserve"> jugés</w:t>
      </w:r>
      <w:r w:rsidR="009A69CD">
        <w:rPr>
          <w:rFonts w:eastAsia="Arial Unicode MS"/>
          <w:sz w:val="22"/>
          <w:szCs w:val="22"/>
        </w:rPr>
        <w:t xml:space="preserve"> généralement </w:t>
      </w:r>
      <w:r w:rsidR="009A69CD" w:rsidRPr="00302676">
        <w:rPr>
          <w:rFonts w:eastAsia="Arial Unicode MS"/>
          <w:sz w:val="22"/>
          <w:szCs w:val="22"/>
        </w:rPr>
        <w:t>d’un</w:t>
      </w:r>
      <w:r w:rsidRPr="00302676">
        <w:rPr>
          <w:rFonts w:eastAsia="Arial Unicode MS"/>
          <w:sz w:val="22"/>
          <w:szCs w:val="22"/>
        </w:rPr>
        <w:t xml:space="preserve"> niveau</w:t>
      </w:r>
      <w:r w:rsidR="007452F0">
        <w:rPr>
          <w:rFonts w:eastAsia="Arial Unicode MS"/>
          <w:sz w:val="22"/>
          <w:szCs w:val="22"/>
        </w:rPr>
        <w:t xml:space="preserve"> </w:t>
      </w:r>
      <w:r w:rsidR="009142AA">
        <w:rPr>
          <w:rFonts w:eastAsia="Arial Unicode MS"/>
          <w:sz w:val="22"/>
          <w:szCs w:val="22"/>
        </w:rPr>
        <w:t xml:space="preserve">normal. L’emploi, quant à lui, </w:t>
      </w:r>
      <w:r w:rsidRPr="00E71DCC">
        <w:rPr>
          <w:rFonts w:eastAsia="Arial Unicode MS"/>
          <w:sz w:val="22"/>
          <w:szCs w:val="22"/>
        </w:rPr>
        <w:t>aurait</w:t>
      </w:r>
      <w:r w:rsidR="007452F0">
        <w:rPr>
          <w:rFonts w:eastAsia="Arial Unicode MS"/>
          <w:sz w:val="22"/>
          <w:szCs w:val="22"/>
        </w:rPr>
        <w:t xml:space="preserve"> </w:t>
      </w:r>
      <w:r w:rsidRPr="00E71DCC">
        <w:rPr>
          <w:rFonts w:eastAsia="Arial Unicode MS"/>
          <w:sz w:val="22"/>
          <w:szCs w:val="22"/>
        </w:rPr>
        <w:t>connu</w:t>
      </w:r>
      <w:r w:rsidR="007452F0">
        <w:rPr>
          <w:rFonts w:eastAsia="Arial Unicode MS"/>
          <w:sz w:val="22"/>
          <w:szCs w:val="22"/>
        </w:rPr>
        <w:t xml:space="preserve"> </w:t>
      </w:r>
      <w:r w:rsidRPr="00E71DCC">
        <w:rPr>
          <w:rFonts w:eastAsia="Arial Unicode MS"/>
          <w:sz w:val="22"/>
          <w:szCs w:val="22"/>
        </w:rPr>
        <w:t xml:space="preserve">une </w:t>
      </w:r>
      <w:r w:rsidR="009A69CD" w:rsidRPr="00E71DCC">
        <w:rPr>
          <w:rFonts w:eastAsia="Arial Unicode MS"/>
          <w:sz w:val="22"/>
          <w:szCs w:val="22"/>
        </w:rPr>
        <w:t xml:space="preserve">diminution. </w:t>
      </w:r>
      <w:r w:rsidR="009A69CD">
        <w:rPr>
          <w:rFonts w:eastAsia="Arial Unicode MS"/>
          <w:sz w:val="22"/>
          <w:szCs w:val="22"/>
        </w:rPr>
        <w:t xml:space="preserve">Dans ces conditions, </w:t>
      </w:r>
      <w:r w:rsidR="00DA1EBF">
        <w:rPr>
          <w:rFonts w:eastAsia="Arial Unicode MS"/>
          <w:sz w:val="22"/>
          <w:szCs w:val="22"/>
        </w:rPr>
        <w:t>l</w:t>
      </w:r>
      <w:r w:rsidRPr="00302676">
        <w:rPr>
          <w:rFonts w:eastAsia="Arial Unicode MS"/>
          <w:sz w:val="22"/>
          <w:szCs w:val="22"/>
        </w:rPr>
        <w:t xml:space="preserve">e </w:t>
      </w:r>
      <w:r w:rsidR="009A69CD" w:rsidRPr="00302676">
        <w:rPr>
          <w:rFonts w:eastAsia="Arial Unicode MS"/>
          <w:sz w:val="22"/>
          <w:szCs w:val="22"/>
        </w:rPr>
        <w:t>TUC</w:t>
      </w:r>
      <w:r w:rsidR="009A69CD">
        <w:rPr>
          <w:rFonts w:eastAsia="Arial Unicode MS"/>
          <w:sz w:val="22"/>
          <w:szCs w:val="22"/>
        </w:rPr>
        <w:t xml:space="preserve"> dans l’industrie énergétique </w:t>
      </w:r>
      <w:r w:rsidR="00DA1EBF">
        <w:rPr>
          <w:rFonts w:eastAsia="Arial Unicode MS"/>
          <w:sz w:val="22"/>
          <w:szCs w:val="22"/>
        </w:rPr>
        <w:t xml:space="preserve">se </w:t>
      </w:r>
      <w:r w:rsidRPr="003D46A9">
        <w:rPr>
          <w:rFonts w:eastAsia="Arial Unicode MS"/>
          <w:sz w:val="22"/>
          <w:szCs w:val="22"/>
        </w:rPr>
        <w:t>serait</w:t>
      </w:r>
      <w:r>
        <w:rPr>
          <w:rFonts w:eastAsia="Arial Unicode MS"/>
          <w:sz w:val="22"/>
          <w:szCs w:val="22"/>
        </w:rPr>
        <w:t xml:space="preserve"> établi à 94</w:t>
      </w:r>
      <w:r w:rsidRPr="00302676">
        <w:rPr>
          <w:rFonts w:eastAsia="Arial Unicode MS"/>
          <w:sz w:val="22"/>
          <w:szCs w:val="22"/>
        </w:rPr>
        <w:t>%.</w:t>
      </w:r>
    </w:p>
    <w:p w:rsidR="0038590B" w:rsidRPr="00302676" w:rsidRDefault="00A94D3C" w:rsidP="00DA1EBF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La production</w:t>
      </w:r>
      <w:r w:rsidR="007452F0">
        <w:rPr>
          <w:rFonts w:eastAsia="Arial Unicode MS"/>
          <w:sz w:val="22"/>
          <w:szCs w:val="22"/>
        </w:rPr>
        <w:t xml:space="preserve"> </w:t>
      </w:r>
      <w:r w:rsidR="002A4F23">
        <w:rPr>
          <w:rFonts w:eastAsia="Arial Unicode MS"/>
          <w:sz w:val="22"/>
          <w:szCs w:val="22"/>
        </w:rPr>
        <w:t xml:space="preserve">de </w:t>
      </w:r>
      <w:r w:rsidR="00B807F8">
        <w:rPr>
          <w:rFonts w:eastAsia="Arial Unicode MS"/>
          <w:b/>
          <w:bCs/>
          <w:color w:val="660033"/>
          <w:sz w:val="22"/>
          <w:szCs w:val="22"/>
        </w:rPr>
        <w:t>l</w:t>
      </w:r>
      <w:r w:rsidR="00B807F8" w:rsidRPr="00302676">
        <w:rPr>
          <w:rFonts w:eastAsia="Arial Unicode MS"/>
          <w:b/>
          <w:bCs/>
          <w:color w:val="660033"/>
          <w:sz w:val="22"/>
          <w:szCs w:val="22"/>
        </w:rPr>
        <w:t>’industrie environnementale</w:t>
      </w:r>
      <w:r w:rsidR="007452F0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>aurait</w:t>
      </w:r>
      <w:r w:rsidR="007452F0">
        <w:rPr>
          <w:rFonts w:eastAsia="Arial Unicode MS"/>
          <w:sz w:val="22"/>
          <w:szCs w:val="22"/>
        </w:rPr>
        <w:t xml:space="preserve"> </w:t>
      </w:r>
      <w:r w:rsidR="00C33D7F" w:rsidRPr="00302676">
        <w:rPr>
          <w:rFonts w:eastAsia="Arial Unicode MS"/>
          <w:sz w:val="22"/>
          <w:szCs w:val="22"/>
        </w:rPr>
        <w:t>enregistré</w:t>
      </w:r>
      <w:r w:rsidR="007452F0">
        <w:rPr>
          <w:rFonts w:eastAsia="Arial Unicode MS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 xml:space="preserve">une </w:t>
      </w:r>
      <w:r w:rsidR="0044734F">
        <w:rPr>
          <w:rFonts w:eastAsia="Arial Unicode MS"/>
          <w:sz w:val="22"/>
          <w:szCs w:val="22"/>
        </w:rPr>
        <w:t>augmentation</w:t>
      </w:r>
      <w:r w:rsidR="007452F0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imputable </w:t>
      </w:r>
      <w:r w:rsidR="0044734F">
        <w:rPr>
          <w:rFonts w:eastAsia="Arial Unicode MS"/>
          <w:sz w:val="22"/>
          <w:szCs w:val="22"/>
        </w:rPr>
        <w:t>à une hausse</w:t>
      </w:r>
      <w:r w:rsidR="0038590B" w:rsidRPr="00302676">
        <w:rPr>
          <w:rFonts w:eastAsia="Arial Unicode MS"/>
          <w:sz w:val="22"/>
          <w:szCs w:val="22"/>
        </w:rPr>
        <w:t xml:space="preserve"> d</w:t>
      </w:r>
      <w:r w:rsidR="003F1A8D">
        <w:rPr>
          <w:rFonts w:eastAsia="Arial Unicode MS"/>
          <w:sz w:val="22"/>
          <w:szCs w:val="22"/>
        </w:rPr>
        <w:t>e l</w:t>
      </w:r>
      <w:r w:rsidR="00356D34" w:rsidRPr="00302676">
        <w:rPr>
          <w:rFonts w:eastAsia="Arial Unicode MS"/>
          <w:sz w:val="22"/>
          <w:szCs w:val="22"/>
        </w:rPr>
        <w:t xml:space="preserve">'activité du </w:t>
      </w:r>
      <w:r w:rsidR="0038590B" w:rsidRPr="00302676">
        <w:rPr>
          <w:rFonts w:eastAsia="Arial Unicode MS"/>
          <w:sz w:val="22"/>
          <w:szCs w:val="22"/>
        </w:rPr>
        <w:t>«Captage, traitement et distribution d’eau».</w:t>
      </w:r>
      <w:r w:rsidR="0031675C">
        <w:rPr>
          <w:rFonts w:eastAsia="Arial Unicode MS"/>
          <w:sz w:val="22"/>
          <w:szCs w:val="22"/>
        </w:rPr>
        <w:t xml:space="preserve"> En ce qui concerne</w:t>
      </w:r>
      <w:r w:rsidR="007452F0">
        <w:rPr>
          <w:rFonts w:eastAsia="Arial Unicode MS"/>
          <w:sz w:val="22"/>
          <w:szCs w:val="22"/>
        </w:rPr>
        <w:t xml:space="preserve"> </w:t>
      </w:r>
      <w:r w:rsidR="009A69CD" w:rsidRPr="00302676">
        <w:rPr>
          <w:rFonts w:eastAsia="Arial Unicode MS"/>
          <w:sz w:val="22"/>
          <w:szCs w:val="22"/>
        </w:rPr>
        <w:t>Les carnets de commandes</w:t>
      </w:r>
      <w:r w:rsidR="009A69CD">
        <w:rPr>
          <w:rFonts w:eastAsia="Arial Unicode MS"/>
          <w:sz w:val="22"/>
          <w:szCs w:val="22"/>
        </w:rPr>
        <w:t xml:space="preserve"> de </w:t>
      </w:r>
      <w:r w:rsidR="001F7F34">
        <w:rPr>
          <w:rFonts w:eastAsia="Arial Unicode MS"/>
          <w:sz w:val="22"/>
          <w:szCs w:val="22"/>
        </w:rPr>
        <w:t>ce secteur</w:t>
      </w:r>
      <w:r w:rsidR="0031675C">
        <w:rPr>
          <w:rFonts w:eastAsia="Arial Unicode MS"/>
          <w:sz w:val="22"/>
          <w:szCs w:val="22"/>
        </w:rPr>
        <w:t xml:space="preserve">, </w:t>
      </w:r>
      <w:r w:rsidR="001F7F34">
        <w:rPr>
          <w:rFonts w:eastAsia="Arial Unicode MS"/>
          <w:sz w:val="22"/>
          <w:szCs w:val="22"/>
        </w:rPr>
        <w:t xml:space="preserve">ils </w:t>
      </w:r>
      <w:r w:rsidR="009142AA">
        <w:rPr>
          <w:rFonts w:eastAsia="Arial Unicode MS"/>
          <w:sz w:val="22"/>
          <w:szCs w:val="22"/>
        </w:rPr>
        <w:t xml:space="preserve">se seraient </w:t>
      </w:r>
      <w:r w:rsidR="009A69CD">
        <w:rPr>
          <w:rFonts w:eastAsia="Arial Unicode MS"/>
          <w:sz w:val="22"/>
          <w:szCs w:val="22"/>
        </w:rPr>
        <w:t>établi</w:t>
      </w:r>
      <w:r w:rsidR="0031675C">
        <w:rPr>
          <w:rFonts w:eastAsia="Arial Unicode MS"/>
          <w:sz w:val="22"/>
          <w:szCs w:val="22"/>
        </w:rPr>
        <w:t>s</w:t>
      </w:r>
      <w:r w:rsidR="009A69CD">
        <w:rPr>
          <w:rFonts w:eastAsia="Arial Unicode MS"/>
          <w:sz w:val="22"/>
          <w:szCs w:val="22"/>
        </w:rPr>
        <w:t xml:space="preserve"> à un niveau normal</w:t>
      </w:r>
      <w:r w:rsidR="007452F0">
        <w:rPr>
          <w:rFonts w:eastAsia="Arial Unicode MS"/>
          <w:sz w:val="22"/>
          <w:szCs w:val="22"/>
        </w:rPr>
        <w:t xml:space="preserve"> </w:t>
      </w:r>
      <w:r w:rsidR="001F7F34">
        <w:rPr>
          <w:rFonts w:eastAsia="Arial Unicode MS"/>
          <w:sz w:val="22"/>
          <w:szCs w:val="22"/>
        </w:rPr>
        <w:t>et l’emploi</w:t>
      </w:r>
      <w:r w:rsidR="009A69CD">
        <w:rPr>
          <w:rFonts w:eastAsia="Arial Unicode MS"/>
          <w:sz w:val="22"/>
          <w:szCs w:val="22"/>
        </w:rPr>
        <w:t xml:space="preserve"> aurait connu une augmentation. Dans ces conditions, l</w:t>
      </w:r>
      <w:r w:rsidR="00B807F8" w:rsidRPr="00302676">
        <w:rPr>
          <w:rFonts w:eastAsia="Arial Unicode MS"/>
          <w:sz w:val="22"/>
          <w:szCs w:val="22"/>
        </w:rPr>
        <w:t xml:space="preserve">e TUC </w:t>
      </w:r>
      <w:r w:rsidR="00B807F8" w:rsidRPr="0063735A">
        <w:rPr>
          <w:rFonts w:eastAsia="Arial Unicode MS"/>
          <w:sz w:val="22"/>
          <w:szCs w:val="22"/>
        </w:rPr>
        <w:t>d</w:t>
      </w:r>
      <w:r w:rsidR="00B807F8">
        <w:rPr>
          <w:rFonts w:eastAsia="Arial Unicode MS"/>
          <w:sz w:val="22"/>
          <w:szCs w:val="22"/>
        </w:rPr>
        <w:t>ans</w:t>
      </w:r>
      <w:r w:rsidR="007452F0">
        <w:rPr>
          <w:rFonts w:eastAsia="Arial Unicode MS"/>
          <w:sz w:val="22"/>
          <w:szCs w:val="22"/>
        </w:rPr>
        <w:t xml:space="preserve"> </w:t>
      </w:r>
      <w:r w:rsidR="009A69CD">
        <w:rPr>
          <w:rFonts w:eastAsia="Arial Unicode MS"/>
          <w:sz w:val="22"/>
          <w:szCs w:val="22"/>
        </w:rPr>
        <w:t>l’industrie environnementale se</w:t>
      </w:r>
      <w:r w:rsidR="00B807F8" w:rsidRPr="003D46A9">
        <w:rPr>
          <w:rFonts w:eastAsia="Arial Unicode MS"/>
          <w:sz w:val="22"/>
          <w:szCs w:val="22"/>
        </w:rPr>
        <w:t xml:space="preserve"> serait</w:t>
      </w:r>
      <w:r w:rsidR="00B807F8">
        <w:rPr>
          <w:rFonts w:eastAsia="Arial Unicode MS"/>
          <w:sz w:val="22"/>
          <w:szCs w:val="22"/>
        </w:rPr>
        <w:t xml:space="preserve"> établi à 83</w:t>
      </w:r>
      <w:r w:rsidR="00B807F8" w:rsidRPr="00302676">
        <w:rPr>
          <w:rFonts w:eastAsia="Arial Unicode MS"/>
          <w:sz w:val="22"/>
          <w:szCs w:val="22"/>
        </w:rPr>
        <w:t>%.</w:t>
      </w:r>
    </w:p>
    <w:p w:rsidR="009377FB" w:rsidRDefault="00D54120" w:rsidP="009A69CD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2887345</wp:posOffset>
            </wp:positionH>
            <wp:positionV relativeFrom="margin">
              <wp:posOffset>4923155</wp:posOffset>
            </wp:positionV>
            <wp:extent cx="3152140" cy="3194050"/>
            <wp:effectExtent l="0" t="0" r="4445" b="1905"/>
            <wp:wrapSquare wrapText="bothSides"/>
            <wp:docPr id="115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-121920</wp:posOffset>
            </wp:positionH>
            <wp:positionV relativeFrom="margin">
              <wp:posOffset>4984115</wp:posOffset>
            </wp:positionV>
            <wp:extent cx="3009265" cy="3131820"/>
            <wp:effectExtent l="0" t="0" r="3810" b="3175"/>
            <wp:wrapTopAndBottom/>
            <wp:docPr id="114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A8435F" w:rsidRDefault="00A8435F" w:rsidP="00A8435F">
      <w:pPr>
        <w:spacing w:after="120" w:line="276" w:lineRule="auto"/>
        <w:jc w:val="both"/>
        <w:rPr>
          <w:rFonts w:eastAsia="Arial Unicode MS"/>
          <w:sz w:val="22"/>
          <w:szCs w:val="22"/>
        </w:rPr>
      </w:pPr>
    </w:p>
    <w:p w:rsidR="00A2455C" w:rsidRDefault="00A2455C" w:rsidP="000E04FA">
      <w:pPr>
        <w:spacing w:after="120" w:line="276" w:lineRule="auto"/>
        <w:jc w:val="both"/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572FD7" w:rsidRPr="00F03C7C" w:rsidRDefault="00D62AB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  <w:r w:rsidR="00D54120"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2955290</wp:posOffset>
            </wp:positionH>
            <wp:positionV relativeFrom="margin">
              <wp:posOffset>37465</wp:posOffset>
            </wp:positionV>
            <wp:extent cx="3244850" cy="2468880"/>
            <wp:effectExtent l="0" t="1270" r="5715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CE423E" w:rsidRPr="004915DF" w:rsidRDefault="00E5241D" w:rsidP="00F75FD7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  <w:r>
        <w:rPr>
          <w:rFonts w:eastAsia="Arial Unicode MS"/>
          <w:sz w:val="22"/>
          <w:szCs w:val="22"/>
        </w:rPr>
        <w:t xml:space="preserve">Au </w:t>
      </w:r>
      <w:r w:rsidR="00CE423E">
        <w:rPr>
          <w:rFonts w:eastAsia="Arial Unicode MS"/>
          <w:sz w:val="22"/>
          <w:szCs w:val="22"/>
        </w:rPr>
        <w:t>1</w:t>
      </w:r>
      <w:r w:rsidR="00CE423E" w:rsidRPr="00F464BC">
        <w:rPr>
          <w:rFonts w:eastAsia="Arial Unicode MS"/>
          <w:sz w:val="22"/>
          <w:szCs w:val="22"/>
          <w:vertAlign w:val="superscript"/>
        </w:rPr>
        <w:t>er</w:t>
      </w:r>
      <w:r w:rsidR="00CE423E" w:rsidRPr="003D46A9">
        <w:rPr>
          <w:rFonts w:eastAsia="Arial Unicode MS"/>
          <w:sz w:val="22"/>
          <w:szCs w:val="22"/>
        </w:rPr>
        <w:t>trimestre 201</w:t>
      </w:r>
      <w:r w:rsidR="00F75FD7">
        <w:rPr>
          <w:rFonts w:eastAsia="Arial Unicode MS"/>
          <w:sz w:val="22"/>
          <w:szCs w:val="22"/>
        </w:rPr>
        <w:t>8,</w:t>
      </w:r>
      <w:r w:rsidR="00ED7F5F">
        <w:rPr>
          <w:rFonts w:eastAsia="Arial Unicode MS"/>
          <w:sz w:val="22"/>
          <w:szCs w:val="22"/>
        </w:rPr>
        <w:t xml:space="preserve"> </w:t>
      </w:r>
      <w:r w:rsidR="00F75FD7">
        <w:rPr>
          <w:rFonts w:eastAsia="Arial Unicode MS"/>
          <w:sz w:val="22"/>
          <w:szCs w:val="22"/>
        </w:rPr>
        <w:t>l</w:t>
      </w:r>
      <w:r w:rsidRPr="00DD1D7B">
        <w:rPr>
          <w:rFonts w:eastAsia="Arial Unicode MS"/>
          <w:sz w:val="22"/>
          <w:szCs w:val="22"/>
        </w:rPr>
        <w:t xml:space="preserve">’activité </w:t>
      </w:r>
      <w:r>
        <w:rPr>
          <w:rFonts w:eastAsia="Arial Unicode MS"/>
          <w:sz w:val="22"/>
          <w:szCs w:val="22"/>
        </w:rPr>
        <w:t xml:space="preserve">dans </w:t>
      </w:r>
      <w:r w:rsidR="009142AA">
        <w:rPr>
          <w:rFonts w:eastAsia="Arial Unicode MS"/>
          <w:sz w:val="22"/>
          <w:szCs w:val="22"/>
        </w:rPr>
        <w:t xml:space="preserve">le secteur de </w:t>
      </w:r>
      <w:r>
        <w:rPr>
          <w:rFonts w:eastAsia="Arial Unicode MS"/>
          <w:sz w:val="22"/>
          <w:szCs w:val="22"/>
        </w:rPr>
        <w:t xml:space="preserve">la construction </w:t>
      </w:r>
      <w:r w:rsidR="00CE423E" w:rsidRPr="003D46A9">
        <w:rPr>
          <w:rFonts w:eastAsia="Arial Unicode MS"/>
          <w:sz w:val="22"/>
          <w:szCs w:val="22"/>
        </w:rPr>
        <w:t>aurait connu</w:t>
      </w:r>
      <w:r w:rsidR="00EC65FC">
        <w:rPr>
          <w:rFonts w:eastAsia="Arial Unicode MS"/>
          <w:sz w:val="22"/>
          <w:szCs w:val="22"/>
        </w:rPr>
        <w:t xml:space="preserve"> </w:t>
      </w:r>
      <w:r w:rsidR="00CE423E" w:rsidRPr="003D46A9">
        <w:rPr>
          <w:rFonts w:eastAsia="Arial Unicode MS"/>
          <w:sz w:val="22"/>
          <w:szCs w:val="22"/>
        </w:rPr>
        <w:t>une stabilité</w:t>
      </w:r>
      <w:r w:rsidR="00CE423E" w:rsidRPr="00A13CF0">
        <w:rPr>
          <w:rFonts w:eastAsia="Arial Unicode MS"/>
          <w:sz w:val="22"/>
          <w:szCs w:val="22"/>
        </w:rPr>
        <w:t xml:space="preserve">. Cette </w:t>
      </w:r>
      <w:r>
        <w:rPr>
          <w:rFonts w:eastAsia="Arial Unicode MS"/>
          <w:sz w:val="22"/>
          <w:szCs w:val="22"/>
        </w:rPr>
        <w:t>évolution</w:t>
      </w:r>
      <w:r w:rsidR="00EC65FC">
        <w:rPr>
          <w:rFonts w:eastAsia="Arial Unicode MS"/>
          <w:sz w:val="22"/>
          <w:szCs w:val="22"/>
        </w:rPr>
        <w:t xml:space="preserve"> </w:t>
      </w:r>
      <w:r w:rsidR="00CE423E" w:rsidRPr="00F75DAA">
        <w:rPr>
          <w:rFonts w:eastAsia="Arial Unicode MS"/>
          <w:color w:val="000000"/>
          <w:sz w:val="22"/>
          <w:szCs w:val="22"/>
        </w:rPr>
        <w:t xml:space="preserve">aurait </w:t>
      </w:r>
      <w:r w:rsidR="00CE423E" w:rsidRPr="00801153">
        <w:rPr>
          <w:rFonts w:eastAsia="Arial Unicode MS"/>
          <w:color w:val="000000"/>
          <w:sz w:val="22"/>
          <w:szCs w:val="22"/>
        </w:rPr>
        <w:t xml:space="preserve">été </w:t>
      </w:r>
      <w:r w:rsidR="0073499F">
        <w:rPr>
          <w:rFonts w:eastAsia="Arial Unicode MS"/>
          <w:color w:val="000000"/>
          <w:sz w:val="22"/>
          <w:szCs w:val="22"/>
        </w:rPr>
        <w:t xml:space="preserve">due </w:t>
      </w:r>
      <w:r w:rsidR="00CE423E" w:rsidRPr="00801153">
        <w:rPr>
          <w:rFonts w:eastAsia="Arial Unicode MS"/>
          <w:color w:val="000000"/>
          <w:sz w:val="22"/>
          <w:szCs w:val="22"/>
        </w:rPr>
        <w:t>principalement</w:t>
      </w:r>
      <w:r w:rsidR="0073499F">
        <w:rPr>
          <w:rFonts w:eastAsia="Arial Unicode MS"/>
          <w:color w:val="000000"/>
          <w:sz w:val="22"/>
          <w:szCs w:val="22"/>
        </w:rPr>
        <w:t>,</w:t>
      </w:r>
      <w:r w:rsidR="00EC65FC">
        <w:rPr>
          <w:rFonts w:eastAsia="Arial Unicode MS"/>
          <w:color w:val="000000"/>
          <w:sz w:val="22"/>
          <w:szCs w:val="22"/>
        </w:rPr>
        <w:t xml:space="preserve"> </w:t>
      </w:r>
      <w:r w:rsidR="0073499F">
        <w:rPr>
          <w:rFonts w:eastAsia="Arial Unicode MS"/>
          <w:color w:val="000000"/>
          <w:sz w:val="22"/>
          <w:szCs w:val="22"/>
        </w:rPr>
        <w:t>d</w:t>
      </w:r>
      <w:r w:rsidR="00CE423E">
        <w:rPr>
          <w:rFonts w:eastAsia="Arial Unicode MS"/>
          <w:color w:val="000000"/>
          <w:sz w:val="22"/>
          <w:szCs w:val="22"/>
        </w:rPr>
        <w:t>’une part</w:t>
      </w:r>
      <w:r w:rsidR="000C54A5">
        <w:rPr>
          <w:rFonts w:eastAsia="Arial Unicode MS"/>
          <w:color w:val="000000"/>
          <w:sz w:val="22"/>
          <w:szCs w:val="22"/>
        </w:rPr>
        <w:t xml:space="preserve">, </w:t>
      </w:r>
      <w:r w:rsidR="0073499F">
        <w:rPr>
          <w:rFonts w:eastAsia="Arial Unicode MS"/>
          <w:color w:val="000000"/>
          <w:sz w:val="22"/>
          <w:szCs w:val="22"/>
        </w:rPr>
        <w:t>à</w:t>
      </w:r>
      <w:r w:rsidR="00CE423E">
        <w:rPr>
          <w:rFonts w:eastAsia="Arial Unicode MS"/>
          <w:color w:val="000000"/>
          <w:sz w:val="22"/>
          <w:szCs w:val="22"/>
        </w:rPr>
        <w:t xml:space="preserve"> la hausse</w:t>
      </w:r>
      <w:r w:rsidR="00EC65FC">
        <w:rPr>
          <w:rFonts w:eastAsia="Arial Unicode MS"/>
          <w:color w:val="000000"/>
          <w:sz w:val="22"/>
          <w:szCs w:val="22"/>
        </w:rPr>
        <w:t xml:space="preserve"> </w:t>
      </w:r>
      <w:r w:rsidR="00CE423E">
        <w:rPr>
          <w:rFonts w:eastAsia="Arial Unicode MS"/>
          <w:color w:val="000000"/>
          <w:sz w:val="22"/>
          <w:szCs w:val="22"/>
        </w:rPr>
        <w:t>d’</w:t>
      </w:r>
      <w:r w:rsidR="00CE423E" w:rsidRPr="00F75DAA">
        <w:rPr>
          <w:rFonts w:eastAsia="Arial Unicode MS"/>
          <w:color w:val="000000"/>
          <w:sz w:val="22"/>
          <w:szCs w:val="22"/>
        </w:rPr>
        <w:t>activité dans l</w:t>
      </w:r>
      <w:r w:rsidR="009142AA">
        <w:rPr>
          <w:rFonts w:eastAsia="Arial Unicode MS"/>
          <w:color w:val="000000"/>
          <w:sz w:val="22"/>
          <w:szCs w:val="22"/>
        </w:rPr>
        <w:t>a</w:t>
      </w:r>
      <w:r w:rsidR="00CE423E">
        <w:rPr>
          <w:rFonts w:eastAsia="Arial Unicode MS"/>
          <w:color w:val="000000"/>
          <w:sz w:val="22"/>
          <w:szCs w:val="22"/>
        </w:rPr>
        <w:t xml:space="preserve"> branche d</w:t>
      </w:r>
      <w:r w:rsidR="009142AA">
        <w:rPr>
          <w:rFonts w:eastAsia="Arial Unicode MS"/>
          <w:color w:val="000000"/>
          <w:sz w:val="22"/>
          <w:szCs w:val="22"/>
        </w:rPr>
        <w:t>es</w:t>
      </w:r>
      <w:r w:rsidR="00CE423E" w:rsidRPr="00F75DAA">
        <w:rPr>
          <w:rFonts w:eastAsia="Arial Unicode MS"/>
          <w:color w:val="000000"/>
          <w:sz w:val="22"/>
          <w:szCs w:val="22"/>
        </w:rPr>
        <w:t xml:space="preserve"> «</w:t>
      </w:r>
      <w:r w:rsidR="00CE423E" w:rsidRPr="00A500CB">
        <w:rPr>
          <w:rFonts w:eastAsia="Arial Unicode MS"/>
          <w:color w:val="000000"/>
          <w:sz w:val="22"/>
          <w:szCs w:val="22"/>
        </w:rPr>
        <w:t>Travaux de construction spécialisés</w:t>
      </w:r>
      <w:r w:rsidR="00CE423E" w:rsidRPr="00F75DAA">
        <w:rPr>
          <w:rFonts w:eastAsia="Arial Unicode MS"/>
          <w:color w:val="000000"/>
          <w:sz w:val="22"/>
          <w:szCs w:val="22"/>
        </w:rPr>
        <w:t>»</w:t>
      </w:r>
      <w:r w:rsidR="00CE423E">
        <w:rPr>
          <w:rFonts w:eastAsia="Arial Unicode MS"/>
          <w:color w:val="000000"/>
          <w:sz w:val="22"/>
          <w:szCs w:val="22"/>
        </w:rPr>
        <w:t xml:space="preserve"> et</w:t>
      </w:r>
      <w:r w:rsidR="0073499F">
        <w:rPr>
          <w:rFonts w:eastAsia="Arial Unicode MS"/>
          <w:color w:val="000000"/>
          <w:sz w:val="22"/>
          <w:szCs w:val="22"/>
        </w:rPr>
        <w:t>,</w:t>
      </w:r>
      <w:r w:rsidR="00CE423E">
        <w:rPr>
          <w:rFonts w:eastAsia="Arial Unicode MS"/>
          <w:color w:val="000000"/>
          <w:sz w:val="22"/>
          <w:szCs w:val="22"/>
        </w:rPr>
        <w:t xml:space="preserve"> d’autre part</w:t>
      </w:r>
      <w:r w:rsidR="0073499F">
        <w:rPr>
          <w:rFonts w:eastAsia="Arial Unicode MS"/>
          <w:color w:val="000000"/>
          <w:sz w:val="22"/>
          <w:szCs w:val="22"/>
        </w:rPr>
        <w:t>,</w:t>
      </w:r>
      <w:r w:rsidR="00EC65FC">
        <w:rPr>
          <w:rFonts w:eastAsia="Arial Unicode MS"/>
          <w:color w:val="000000"/>
          <w:sz w:val="22"/>
          <w:szCs w:val="22"/>
        </w:rPr>
        <w:t xml:space="preserve"> </w:t>
      </w:r>
      <w:r w:rsidR="0073499F">
        <w:rPr>
          <w:rFonts w:eastAsia="Arial Unicode MS"/>
          <w:color w:val="000000"/>
          <w:sz w:val="22"/>
          <w:szCs w:val="22"/>
        </w:rPr>
        <w:t>à</w:t>
      </w:r>
      <w:r w:rsidR="00EC65FC">
        <w:rPr>
          <w:rFonts w:eastAsia="Arial Unicode MS"/>
          <w:color w:val="000000"/>
          <w:sz w:val="22"/>
          <w:szCs w:val="22"/>
        </w:rPr>
        <w:t xml:space="preserve"> </w:t>
      </w:r>
      <w:r w:rsidR="00CE423E">
        <w:rPr>
          <w:rFonts w:eastAsia="Arial Unicode MS"/>
          <w:sz w:val="22"/>
          <w:szCs w:val="22"/>
        </w:rPr>
        <w:t>la baisse d</w:t>
      </w:r>
      <w:r w:rsidR="0073499F">
        <w:rPr>
          <w:rFonts w:eastAsia="Arial Unicode MS"/>
          <w:sz w:val="22"/>
          <w:szCs w:val="22"/>
        </w:rPr>
        <w:t>’activité dans le «Génie civil</w:t>
      </w:r>
      <w:r w:rsidR="00CE423E">
        <w:rPr>
          <w:rFonts w:eastAsia="Arial Unicode MS"/>
          <w:sz w:val="22"/>
          <w:szCs w:val="22"/>
        </w:rPr>
        <w:t>»</w:t>
      </w:r>
      <w:r w:rsidR="000C54A5">
        <w:rPr>
          <w:rFonts w:eastAsia="Arial Unicode MS"/>
          <w:sz w:val="22"/>
          <w:szCs w:val="22"/>
        </w:rPr>
        <w:t>.</w:t>
      </w:r>
    </w:p>
    <w:p w:rsidR="00CE423E" w:rsidRPr="004915DF" w:rsidRDefault="00CE423E" w:rsidP="00CE423E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3F3032" w:rsidRDefault="00CE423E" w:rsidP="00F75FD7">
      <w:pPr>
        <w:tabs>
          <w:tab w:val="left" w:pos="5977"/>
        </w:tabs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rFonts w:eastAsia="Arial Unicode MS"/>
          <w:noProof/>
          <w:sz w:val="22"/>
          <w:szCs w:val="22"/>
        </w:rPr>
        <w:t>Les</w:t>
      </w:r>
      <w:r w:rsidRPr="00DD1D7B">
        <w:rPr>
          <w:rFonts w:eastAsia="Arial Unicode MS"/>
          <w:noProof/>
          <w:sz w:val="22"/>
          <w:szCs w:val="22"/>
        </w:rPr>
        <w:t xml:space="preserve"> carnets de commande</w:t>
      </w:r>
      <w:r w:rsidR="00E5241D">
        <w:rPr>
          <w:rFonts w:eastAsia="Arial Unicode MS"/>
          <w:noProof/>
          <w:sz w:val="22"/>
          <w:szCs w:val="22"/>
        </w:rPr>
        <w:t xml:space="preserve"> dans la construction</w:t>
      </w:r>
      <w:r w:rsidR="009142AA">
        <w:rPr>
          <w:rFonts w:eastAsia="Arial Unicode MS"/>
          <w:noProof/>
          <w:sz w:val="22"/>
          <w:szCs w:val="22"/>
        </w:rPr>
        <w:t>se seraient situés</w:t>
      </w:r>
      <w:r w:rsidR="00E5241D">
        <w:rPr>
          <w:rFonts w:eastAsia="Arial Unicode MS"/>
          <w:noProof/>
          <w:sz w:val="22"/>
          <w:szCs w:val="22"/>
        </w:rPr>
        <w:t xml:space="preserve"> à </w:t>
      </w:r>
      <w:r w:rsidRPr="00DD1D7B">
        <w:rPr>
          <w:rFonts w:eastAsia="Arial Unicode MS"/>
          <w:noProof/>
          <w:sz w:val="22"/>
          <w:szCs w:val="22"/>
        </w:rPr>
        <w:t xml:space="preserve">un niveau normal </w:t>
      </w:r>
      <w:r w:rsidR="00E5241D">
        <w:rPr>
          <w:rFonts w:eastAsia="Arial Unicode MS"/>
          <w:noProof/>
          <w:sz w:val="22"/>
          <w:szCs w:val="22"/>
        </w:rPr>
        <w:t xml:space="preserve">et </w:t>
      </w:r>
      <w:r w:rsidR="00F75FD7">
        <w:rPr>
          <w:rFonts w:eastAsia="Arial Unicode MS"/>
          <w:noProof/>
          <w:sz w:val="22"/>
          <w:szCs w:val="22"/>
        </w:rPr>
        <w:t>l</w:t>
      </w:r>
      <w:r w:rsidRPr="00DD1D7B">
        <w:rPr>
          <w:rFonts w:eastAsia="Arial Unicode MS"/>
          <w:noProof/>
          <w:sz w:val="22"/>
          <w:szCs w:val="22"/>
        </w:rPr>
        <w:t>’emploi</w:t>
      </w:r>
      <w:r w:rsidRPr="003D46A9">
        <w:rPr>
          <w:rFonts w:eastAsia="Arial Unicode MS"/>
          <w:noProof/>
          <w:sz w:val="22"/>
          <w:szCs w:val="22"/>
        </w:rPr>
        <w:t>aurait connuune stabilité</w:t>
      </w:r>
      <w:r w:rsidR="00E5241D">
        <w:rPr>
          <w:rFonts w:eastAsia="Arial Unicode MS"/>
          <w:noProof/>
          <w:sz w:val="22"/>
          <w:szCs w:val="22"/>
        </w:rPr>
        <w:t>.</w:t>
      </w:r>
      <w:r w:rsidR="008959AB">
        <w:rPr>
          <w:rFonts w:eastAsia="Arial Unicode MS"/>
          <w:noProof/>
          <w:sz w:val="22"/>
          <w:szCs w:val="22"/>
        </w:rPr>
        <w:t xml:space="preserve"> Dans ces conditions, l</w:t>
      </w:r>
      <w:r w:rsidR="009A69CD" w:rsidRPr="003D46A9">
        <w:rPr>
          <w:rFonts w:eastAsia="Arial Unicode MS"/>
          <w:noProof/>
          <w:sz w:val="22"/>
          <w:szCs w:val="22"/>
        </w:rPr>
        <w:t xml:space="preserve">e TUC </w:t>
      </w:r>
      <w:r w:rsidR="009A69CD">
        <w:rPr>
          <w:rFonts w:eastAsia="Arial Unicode MS"/>
          <w:noProof/>
          <w:sz w:val="22"/>
          <w:szCs w:val="22"/>
        </w:rPr>
        <w:t xml:space="preserve">dans le </w:t>
      </w:r>
      <w:r w:rsidR="009A69CD" w:rsidRPr="00E0748D">
        <w:rPr>
          <w:rFonts w:eastAsia="Arial Unicode MS"/>
          <w:b/>
          <w:bCs/>
          <w:color w:val="660033"/>
          <w:sz w:val="22"/>
          <w:szCs w:val="22"/>
        </w:rPr>
        <w:t xml:space="preserve">secteur de la </w:t>
      </w:r>
      <w:r w:rsidR="009A69CD">
        <w:rPr>
          <w:rFonts w:eastAsia="Arial Unicode MS"/>
          <w:b/>
          <w:bCs/>
          <w:color w:val="660033"/>
          <w:sz w:val="22"/>
          <w:szCs w:val="22"/>
        </w:rPr>
        <w:t>C</w:t>
      </w:r>
      <w:r w:rsidR="009A69CD" w:rsidRPr="00E0748D">
        <w:rPr>
          <w:rFonts w:eastAsia="Arial Unicode MS"/>
          <w:b/>
          <w:bCs/>
          <w:color w:val="660033"/>
          <w:sz w:val="22"/>
          <w:szCs w:val="22"/>
        </w:rPr>
        <w:t>onstruction</w:t>
      </w:r>
      <w:r w:rsidR="00EC65FC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9A69CD" w:rsidRPr="003D46A9">
        <w:rPr>
          <w:rFonts w:eastAsia="Arial Unicode MS"/>
          <w:noProof/>
          <w:sz w:val="22"/>
          <w:szCs w:val="22"/>
        </w:rPr>
        <w:t xml:space="preserve">se serait établi à </w:t>
      </w:r>
      <w:r w:rsidR="009A69CD">
        <w:rPr>
          <w:rFonts w:eastAsia="Arial Unicode MS"/>
          <w:noProof/>
          <w:sz w:val="22"/>
          <w:szCs w:val="22"/>
        </w:rPr>
        <w:t>69</w:t>
      </w:r>
      <w:r w:rsidR="009A69CD" w:rsidRPr="003D46A9">
        <w:rPr>
          <w:rFonts w:eastAsia="Arial Unicode MS"/>
          <w:noProof/>
          <w:sz w:val="22"/>
          <w:szCs w:val="22"/>
        </w:rPr>
        <w:t>%</w:t>
      </w:r>
      <w:r w:rsidR="008959AB">
        <w:rPr>
          <w:rFonts w:eastAsia="Arial Unicode MS"/>
          <w:noProof/>
          <w:sz w:val="22"/>
          <w:szCs w:val="22"/>
        </w:rPr>
        <w:t>.</w:t>
      </w: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AB26CF" w:rsidRDefault="00AB26CF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93093" w:rsidRDefault="00C93093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93093" w:rsidRDefault="00C93093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93093" w:rsidRDefault="00C93093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93093" w:rsidRDefault="00C93093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Default="003F3D1F" w:rsidP="0039125F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39125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</w:t>
      </w:r>
      <w:r w:rsidR="0039125F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 xml:space="preserve">ème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7F486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3359E4" w:rsidRPr="001357F1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F81A11" w:rsidRPr="00F03C7C" w:rsidRDefault="00D54120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2589530</wp:posOffset>
            </wp:positionH>
            <wp:positionV relativeFrom="margin">
              <wp:posOffset>3686175</wp:posOffset>
            </wp:positionV>
            <wp:extent cx="3569970" cy="3678555"/>
            <wp:effectExtent l="3175" t="1905" r="0" b="0"/>
            <wp:wrapSquare wrapText="bothSides"/>
            <wp:docPr id="112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902341" w:rsidRPr="00BC44B5" w:rsidRDefault="00E5241D" w:rsidP="00C74267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A</w:t>
      </w:r>
      <w:r w:rsidRPr="00544B74">
        <w:rPr>
          <w:rFonts w:eastAsia="Arial Unicode MS"/>
          <w:sz w:val="22"/>
          <w:szCs w:val="22"/>
        </w:rPr>
        <w:t xml:space="preserve">u </w:t>
      </w:r>
      <w:r>
        <w:rPr>
          <w:rFonts w:eastAsia="Arial Unicode MS"/>
          <w:sz w:val="22"/>
          <w:szCs w:val="22"/>
        </w:rPr>
        <w:t>2</w:t>
      </w:r>
      <w:r>
        <w:rPr>
          <w:rFonts w:eastAsia="Arial Unicode MS"/>
          <w:sz w:val="22"/>
          <w:szCs w:val="22"/>
          <w:vertAlign w:val="superscript"/>
        </w:rPr>
        <w:t xml:space="preserve">ème </w:t>
      </w:r>
      <w:r w:rsidRPr="00544B74">
        <w:rPr>
          <w:rFonts w:eastAsia="Arial Unicode MS"/>
          <w:sz w:val="22"/>
          <w:szCs w:val="22"/>
        </w:rPr>
        <w:t>trimestre 201</w:t>
      </w:r>
      <w:r>
        <w:rPr>
          <w:rFonts w:eastAsia="Arial Unicode MS"/>
          <w:sz w:val="22"/>
          <w:szCs w:val="22"/>
        </w:rPr>
        <w:t>8</w:t>
      </w:r>
      <w:r w:rsidR="009142AA">
        <w:rPr>
          <w:rFonts w:eastAsia="Arial Unicode MS"/>
          <w:sz w:val="22"/>
          <w:szCs w:val="22"/>
        </w:rPr>
        <w:t>,</w:t>
      </w:r>
      <w:r w:rsidR="00EC65FC">
        <w:rPr>
          <w:rFonts w:eastAsia="Arial Unicode MS"/>
          <w:sz w:val="22"/>
          <w:szCs w:val="22"/>
        </w:rPr>
        <w:t xml:space="preserve"> </w:t>
      </w:r>
      <w:r w:rsidR="009142AA" w:rsidRPr="00EC65FC">
        <w:rPr>
          <w:rFonts w:eastAsia="Arial Unicode MS"/>
          <w:sz w:val="22"/>
          <w:szCs w:val="22"/>
        </w:rPr>
        <w:t>l</w:t>
      </w:r>
      <w:r w:rsidRPr="00EC65FC">
        <w:rPr>
          <w:noProof/>
          <w:sz w:val="22"/>
          <w:szCs w:val="22"/>
        </w:rPr>
        <w:t>es</w:t>
      </w:r>
      <w:r w:rsidR="00EC65FC">
        <w:rPr>
          <w:noProof/>
        </w:rPr>
        <w:t xml:space="preserve"> </w:t>
      </w:r>
      <w:r>
        <w:rPr>
          <w:rFonts w:eastAsia="Arial Unicode MS"/>
          <w:sz w:val="22"/>
          <w:szCs w:val="22"/>
        </w:rPr>
        <w:t>entreprises de l’industrie</w:t>
      </w:r>
      <w:r w:rsidR="00902341" w:rsidRPr="00544B74">
        <w:rPr>
          <w:rFonts w:eastAsia="Arial Unicode MS"/>
          <w:b/>
          <w:bCs/>
          <w:color w:val="660033"/>
          <w:sz w:val="22"/>
          <w:szCs w:val="22"/>
        </w:rPr>
        <w:t xml:space="preserve"> manufacturière</w:t>
      </w:r>
      <w:r w:rsidR="00EC65FC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s’attendent à une hausse de leur </w:t>
      </w:r>
      <w:r w:rsidRPr="00544B74">
        <w:rPr>
          <w:rFonts w:eastAsia="Arial Unicode MS"/>
          <w:sz w:val="22"/>
          <w:szCs w:val="22"/>
        </w:rPr>
        <w:t>production</w:t>
      </w:r>
      <w:r w:rsidR="004E09E6">
        <w:rPr>
          <w:rFonts w:eastAsia="Arial Unicode MS"/>
          <w:sz w:val="22"/>
          <w:szCs w:val="22"/>
        </w:rPr>
        <w:t xml:space="preserve">. </w:t>
      </w:r>
      <w:r w:rsidR="001A024E">
        <w:rPr>
          <w:rFonts w:eastAsia="Arial Unicode MS"/>
          <w:sz w:val="22"/>
          <w:szCs w:val="22"/>
        </w:rPr>
        <w:t>Ce</w:t>
      </w:r>
      <w:r w:rsidR="00255C34">
        <w:rPr>
          <w:rFonts w:eastAsia="Arial Unicode MS"/>
          <w:sz w:val="22"/>
          <w:szCs w:val="22"/>
        </w:rPr>
        <w:t>s</w:t>
      </w:r>
      <w:r w:rsidR="00EC65FC">
        <w:rPr>
          <w:rFonts w:eastAsia="Arial Unicode MS"/>
          <w:sz w:val="22"/>
          <w:szCs w:val="22"/>
        </w:rPr>
        <w:t xml:space="preserve"> </w:t>
      </w:r>
      <w:r w:rsidR="00736187">
        <w:rPr>
          <w:rFonts w:eastAsia="Arial Unicode MS"/>
          <w:sz w:val="22"/>
          <w:szCs w:val="22"/>
        </w:rPr>
        <w:t>anticipation</w:t>
      </w:r>
      <w:r w:rsidR="00255C34">
        <w:rPr>
          <w:rFonts w:eastAsia="Arial Unicode MS"/>
          <w:sz w:val="22"/>
          <w:szCs w:val="22"/>
        </w:rPr>
        <w:t>s</w:t>
      </w:r>
      <w:r w:rsidR="00EC65FC">
        <w:rPr>
          <w:rFonts w:eastAsia="Arial Unicode MS"/>
          <w:sz w:val="22"/>
          <w:szCs w:val="22"/>
        </w:rPr>
        <w:t xml:space="preserve"> </w:t>
      </w:r>
      <w:r w:rsidR="0007522F">
        <w:rPr>
          <w:rFonts w:eastAsia="Arial Unicode MS"/>
          <w:sz w:val="22"/>
          <w:szCs w:val="22"/>
        </w:rPr>
        <w:t>seraient</w:t>
      </w:r>
      <w:r w:rsidR="00902341" w:rsidRPr="00544B74">
        <w:rPr>
          <w:rFonts w:eastAsia="Arial Unicode MS"/>
          <w:sz w:val="22"/>
          <w:szCs w:val="22"/>
        </w:rPr>
        <w:t xml:space="preserve"> attribuable</w:t>
      </w:r>
      <w:r w:rsidR="00255C34">
        <w:rPr>
          <w:rFonts w:eastAsia="Arial Unicode MS"/>
          <w:sz w:val="22"/>
          <w:szCs w:val="22"/>
        </w:rPr>
        <w:t>s</w:t>
      </w:r>
      <w:r w:rsidR="00572A4D">
        <w:rPr>
          <w:rFonts w:eastAsia="Arial Unicode MS"/>
          <w:sz w:val="22"/>
          <w:szCs w:val="22"/>
        </w:rPr>
        <w:t>,</w:t>
      </w:r>
      <w:r w:rsidR="00EC65FC">
        <w:rPr>
          <w:rFonts w:eastAsia="Arial Unicode MS"/>
          <w:sz w:val="22"/>
          <w:szCs w:val="22"/>
        </w:rPr>
        <w:t xml:space="preserve"> </w:t>
      </w:r>
      <w:r w:rsidR="007939F2">
        <w:rPr>
          <w:rFonts w:eastAsia="Arial Unicode MS"/>
          <w:sz w:val="22"/>
          <w:szCs w:val="22"/>
        </w:rPr>
        <w:t>d’une part</w:t>
      </w:r>
      <w:r w:rsidR="00572A4D">
        <w:rPr>
          <w:rFonts w:eastAsia="Arial Unicode MS"/>
          <w:sz w:val="22"/>
          <w:szCs w:val="22"/>
        </w:rPr>
        <w:t>,</w:t>
      </w:r>
      <w:r w:rsidR="00EC65FC">
        <w:rPr>
          <w:rFonts w:eastAsia="Arial Unicode MS"/>
          <w:sz w:val="22"/>
          <w:szCs w:val="22"/>
        </w:rPr>
        <w:t xml:space="preserve"> </w:t>
      </w:r>
      <w:r w:rsidR="00902341" w:rsidRPr="00544B74">
        <w:rPr>
          <w:rFonts w:eastAsia="Arial Unicode MS"/>
          <w:sz w:val="22"/>
          <w:szCs w:val="22"/>
        </w:rPr>
        <w:t xml:space="preserve">à une </w:t>
      </w:r>
      <w:r w:rsidR="0022622F">
        <w:rPr>
          <w:rFonts w:eastAsia="Arial Unicode MS"/>
          <w:sz w:val="22"/>
          <w:szCs w:val="22"/>
        </w:rPr>
        <w:t>hausse</w:t>
      </w:r>
      <w:r w:rsidR="00902341" w:rsidRPr="00544B74">
        <w:rPr>
          <w:rFonts w:eastAsia="Arial Unicode MS"/>
          <w:sz w:val="22"/>
          <w:szCs w:val="22"/>
        </w:rPr>
        <w:t xml:space="preserve"> de </w:t>
      </w:r>
      <w:r w:rsidR="005B6049" w:rsidRPr="00544B74">
        <w:rPr>
          <w:rFonts w:eastAsia="Arial Unicode MS"/>
          <w:sz w:val="22"/>
          <w:szCs w:val="22"/>
        </w:rPr>
        <w:t xml:space="preserve">l’activité </w:t>
      </w:r>
      <w:r w:rsidR="005B6049">
        <w:rPr>
          <w:rFonts w:eastAsia="Arial Unicode MS"/>
          <w:sz w:val="22"/>
          <w:szCs w:val="22"/>
        </w:rPr>
        <w:t>des</w:t>
      </w:r>
      <w:r w:rsidR="00C0766A" w:rsidRPr="00BC44B5">
        <w:rPr>
          <w:rFonts w:eastAsia="Arial Unicode MS"/>
          <w:sz w:val="22"/>
          <w:szCs w:val="22"/>
        </w:rPr>
        <w:t xml:space="preserve"> «Industries alimentaires» et</w:t>
      </w:r>
      <w:r w:rsidR="0022622F">
        <w:rPr>
          <w:rFonts w:eastAsia="Arial Unicode MS"/>
          <w:sz w:val="22"/>
          <w:szCs w:val="22"/>
        </w:rPr>
        <w:t xml:space="preserve"> de l</w:t>
      </w:r>
      <w:r w:rsidR="00BD24E9">
        <w:rPr>
          <w:rFonts w:eastAsia="Arial Unicode MS"/>
          <w:sz w:val="22"/>
          <w:szCs w:val="22"/>
        </w:rPr>
        <w:t>’</w:t>
      </w:r>
      <w:r w:rsidR="0022622F">
        <w:rPr>
          <w:rFonts w:eastAsia="Arial Unicode MS"/>
          <w:sz w:val="22"/>
          <w:szCs w:val="22"/>
        </w:rPr>
        <w:t>«</w:t>
      </w:r>
      <w:r w:rsidR="00BD24E9" w:rsidRPr="00BD24E9">
        <w:rPr>
          <w:rFonts w:eastAsia="Arial Unicode MS"/>
          <w:sz w:val="22"/>
          <w:szCs w:val="22"/>
        </w:rPr>
        <w:t>Industrie chimique</w:t>
      </w:r>
      <w:r w:rsidR="0022622F">
        <w:rPr>
          <w:rFonts w:eastAsia="Arial Unicode MS"/>
          <w:sz w:val="22"/>
          <w:szCs w:val="22"/>
        </w:rPr>
        <w:t>» et</w:t>
      </w:r>
      <w:r w:rsidR="00753AC8">
        <w:rPr>
          <w:rFonts w:eastAsia="Arial Unicode MS"/>
          <w:sz w:val="22"/>
          <w:szCs w:val="22"/>
        </w:rPr>
        <w:t>,</w:t>
      </w:r>
      <w:r w:rsidR="00C0766A" w:rsidRPr="00BC44B5">
        <w:rPr>
          <w:rFonts w:eastAsia="Arial Unicode MS"/>
          <w:sz w:val="22"/>
          <w:szCs w:val="22"/>
        </w:rPr>
        <w:t xml:space="preserve"> d’autre part, à une </w:t>
      </w:r>
      <w:r w:rsidR="0022622F">
        <w:rPr>
          <w:rFonts w:eastAsia="Arial Unicode MS"/>
          <w:sz w:val="22"/>
          <w:szCs w:val="22"/>
        </w:rPr>
        <w:t>diminution</w:t>
      </w:r>
      <w:r w:rsidR="00C0766A" w:rsidRPr="00BC44B5">
        <w:rPr>
          <w:rFonts w:eastAsia="Arial Unicode MS"/>
          <w:sz w:val="22"/>
          <w:szCs w:val="22"/>
        </w:rPr>
        <w:t xml:space="preserve"> de l</w:t>
      </w:r>
      <w:r w:rsidR="0022622F">
        <w:rPr>
          <w:rFonts w:eastAsia="Arial Unicode MS"/>
          <w:sz w:val="22"/>
          <w:szCs w:val="22"/>
        </w:rPr>
        <w:t xml:space="preserve">a production de l’activité de </w:t>
      </w:r>
      <w:r w:rsidR="00BD24E9">
        <w:rPr>
          <w:rFonts w:eastAsia="Arial Unicode MS"/>
          <w:sz w:val="22"/>
          <w:szCs w:val="22"/>
        </w:rPr>
        <w:t xml:space="preserve">la </w:t>
      </w:r>
      <w:r w:rsidR="00BD24E9" w:rsidRPr="00BD24E9">
        <w:rPr>
          <w:rFonts w:eastAsia="Arial Unicode MS"/>
          <w:sz w:val="22"/>
          <w:szCs w:val="22"/>
        </w:rPr>
        <w:t>«Fabrication d'autres produits minéraux non métalliques</w:t>
      </w:r>
      <w:r w:rsidR="00C0766A" w:rsidRPr="00BC44B5">
        <w:rPr>
          <w:rFonts w:eastAsia="Arial Unicode MS"/>
          <w:sz w:val="22"/>
          <w:szCs w:val="22"/>
        </w:rPr>
        <w:t>»</w:t>
      </w:r>
      <w:r w:rsidR="0022622F">
        <w:rPr>
          <w:rFonts w:eastAsia="Arial Unicode MS"/>
          <w:sz w:val="22"/>
          <w:szCs w:val="22"/>
        </w:rPr>
        <w:t xml:space="preserve"> et de la «</w:t>
      </w:r>
      <w:r w:rsidR="00BD24E9" w:rsidRPr="00BD24E9">
        <w:rPr>
          <w:rFonts w:eastAsia="Arial Unicode MS"/>
          <w:sz w:val="22"/>
          <w:szCs w:val="22"/>
        </w:rPr>
        <w:t>Fabrication de produits métalliques, à l’exception des machines et des équipements</w:t>
      </w:r>
      <w:r w:rsidR="0022622F" w:rsidRPr="00E71DCC">
        <w:rPr>
          <w:rFonts w:eastAsia="Arial Unicode MS"/>
          <w:sz w:val="22"/>
          <w:szCs w:val="22"/>
        </w:rPr>
        <w:t xml:space="preserve">». </w:t>
      </w:r>
      <w:r w:rsidR="009A7C3B" w:rsidRPr="00E71DCC">
        <w:rPr>
          <w:rFonts w:eastAsia="Arial Unicode MS"/>
          <w:sz w:val="22"/>
          <w:szCs w:val="22"/>
        </w:rPr>
        <w:t xml:space="preserve">Concernant </w:t>
      </w:r>
      <w:r w:rsidR="00736187" w:rsidRPr="00E71DCC">
        <w:rPr>
          <w:rFonts w:eastAsia="Arial Unicode MS"/>
          <w:sz w:val="22"/>
          <w:szCs w:val="22"/>
        </w:rPr>
        <w:t>les anticipations de l’emploi,</w:t>
      </w:r>
      <w:r w:rsidR="00EC65FC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les industriels</w:t>
      </w:r>
      <w:r w:rsidR="00902341" w:rsidRPr="00E71DCC">
        <w:rPr>
          <w:rFonts w:eastAsia="Arial Unicode MS"/>
          <w:sz w:val="22"/>
          <w:szCs w:val="22"/>
        </w:rPr>
        <w:t xml:space="preserve"> prévoient</w:t>
      </w:r>
      <w:r>
        <w:rPr>
          <w:rFonts w:eastAsia="Arial Unicode MS"/>
          <w:sz w:val="22"/>
          <w:szCs w:val="22"/>
        </w:rPr>
        <w:t xml:space="preserve"> globalement</w:t>
      </w:r>
      <w:r w:rsidR="00902341" w:rsidRPr="00E71DCC">
        <w:rPr>
          <w:rFonts w:eastAsia="Arial Unicode MS"/>
          <w:sz w:val="22"/>
          <w:szCs w:val="22"/>
        </w:rPr>
        <w:t xml:space="preserve"> une </w:t>
      </w:r>
      <w:r w:rsidR="007B40DF" w:rsidRPr="00E71DCC">
        <w:rPr>
          <w:rFonts w:eastAsia="Arial Unicode MS"/>
          <w:sz w:val="22"/>
          <w:szCs w:val="22"/>
        </w:rPr>
        <w:t>stabilité</w:t>
      </w:r>
      <w:r w:rsidR="00902341" w:rsidRPr="00E71DCC">
        <w:rPr>
          <w:rFonts w:eastAsia="Arial Unicode MS"/>
          <w:sz w:val="22"/>
          <w:szCs w:val="22"/>
        </w:rPr>
        <w:t xml:space="preserve"> des effectifs employés.</w:t>
      </w:r>
    </w:p>
    <w:p w:rsidR="00902341" w:rsidRPr="00BC44B5" w:rsidRDefault="00736187" w:rsidP="00C74267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BC44B5">
        <w:rPr>
          <w:rFonts w:eastAsia="Arial Unicode MS"/>
          <w:sz w:val="22"/>
          <w:szCs w:val="22"/>
        </w:rPr>
        <w:t xml:space="preserve">S’agissant de </w:t>
      </w:r>
      <w:r w:rsidRPr="00BC44B5">
        <w:rPr>
          <w:rFonts w:eastAsia="Arial Unicode MS"/>
          <w:b/>
          <w:bCs/>
          <w:color w:val="660033"/>
          <w:sz w:val="22"/>
          <w:szCs w:val="22"/>
        </w:rPr>
        <w:t>l’industrie extractive,</w:t>
      </w:r>
      <w:r w:rsidR="00EC65FC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E5241D">
        <w:rPr>
          <w:rFonts w:eastAsia="Arial Unicode MS"/>
          <w:sz w:val="22"/>
          <w:szCs w:val="22"/>
        </w:rPr>
        <w:t xml:space="preserve">les entreprises de ce secteur </w:t>
      </w:r>
      <w:r w:rsidR="00E5241D" w:rsidRPr="00BC44B5">
        <w:rPr>
          <w:rFonts w:eastAsia="Arial Unicode MS"/>
          <w:sz w:val="22"/>
          <w:szCs w:val="22"/>
        </w:rPr>
        <w:t>prévoient</w:t>
      </w:r>
      <w:r w:rsidR="00902341" w:rsidRPr="00BC44B5">
        <w:rPr>
          <w:rFonts w:eastAsia="Arial Unicode MS"/>
          <w:sz w:val="22"/>
          <w:szCs w:val="22"/>
        </w:rPr>
        <w:t xml:space="preserve"> une </w:t>
      </w:r>
      <w:r w:rsidR="00BD24E9">
        <w:rPr>
          <w:rFonts w:eastAsia="Arial Unicode MS"/>
          <w:sz w:val="22"/>
          <w:szCs w:val="22"/>
        </w:rPr>
        <w:t>augmentation</w:t>
      </w:r>
      <w:r w:rsidR="00902341" w:rsidRPr="00BC44B5">
        <w:rPr>
          <w:rFonts w:eastAsia="Arial Unicode MS"/>
          <w:sz w:val="22"/>
          <w:szCs w:val="22"/>
        </w:rPr>
        <w:t xml:space="preserve"> de l</w:t>
      </w:r>
      <w:r w:rsidR="00E5241D">
        <w:rPr>
          <w:rFonts w:eastAsia="Arial Unicode MS"/>
          <w:sz w:val="22"/>
          <w:szCs w:val="22"/>
        </w:rPr>
        <w:t>eur</w:t>
      </w:r>
      <w:r w:rsidR="00902341" w:rsidRPr="00BC44B5">
        <w:rPr>
          <w:rFonts w:eastAsia="Arial Unicode MS"/>
          <w:sz w:val="22"/>
          <w:szCs w:val="22"/>
        </w:rPr>
        <w:t xml:space="preserve"> production</w:t>
      </w:r>
      <w:r w:rsidR="00E5241D">
        <w:rPr>
          <w:rFonts w:eastAsia="Arial Unicode MS"/>
          <w:sz w:val="22"/>
          <w:szCs w:val="22"/>
        </w:rPr>
        <w:t>. Cette évolution serait</w:t>
      </w:r>
      <w:r w:rsidR="00902341" w:rsidRPr="00BC44B5">
        <w:rPr>
          <w:rFonts w:eastAsia="Arial Unicode MS"/>
          <w:sz w:val="22"/>
          <w:szCs w:val="22"/>
        </w:rPr>
        <w:t xml:space="preserve"> imputable principalement à une </w:t>
      </w:r>
      <w:r w:rsidR="00BD24E9">
        <w:rPr>
          <w:rFonts w:eastAsia="Arial Unicode MS"/>
          <w:sz w:val="22"/>
          <w:szCs w:val="22"/>
        </w:rPr>
        <w:t>hausse</w:t>
      </w:r>
      <w:r w:rsidR="00902341" w:rsidRPr="00BC44B5">
        <w:rPr>
          <w:rFonts w:eastAsia="Arial Unicode MS"/>
          <w:sz w:val="22"/>
          <w:szCs w:val="22"/>
        </w:rPr>
        <w:t xml:space="preserve"> de la production des </w:t>
      </w:r>
      <w:r w:rsidR="00902341" w:rsidRPr="00E71DCC">
        <w:rPr>
          <w:rFonts w:eastAsia="Arial Unicode MS"/>
          <w:sz w:val="22"/>
          <w:szCs w:val="22"/>
        </w:rPr>
        <w:t>phosphates. Au niveau des effectifs employés</w:t>
      </w:r>
      <w:r w:rsidR="00C74267">
        <w:rPr>
          <w:rFonts w:eastAsia="Arial Unicode MS"/>
          <w:sz w:val="22"/>
          <w:szCs w:val="22"/>
        </w:rPr>
        <w:t>,</w:t>
      </w:r>
      <w:r w:rsidR="00EC65FC">
        <w:rPr>
          <w:rFonts w:eastAsia="Arial Unicode MS"/>
          <w:sz w:val="22"/>
          <w:szCs w:val="22"/>
        </w:rPr>
        <w:t xml:space="preserve"> </w:t>
      </w:r>
      <w:r w:rsidR="00C74267">
        <w:rPr>
          <w:rFonts w:eastAsia="Arial Unicode MS"/>
          <w:sz w:val="22"/>
          <w:szCs w:val="22"/>
        </w:rPr>
        <w:t xml:space="preserve">les patrons de ce secteur prévoient </w:t>
      </w:r>
      <w:r w:rsidR="00E5241D">
        <w:rPr>
          <w:rFonts w:eastAsia="Arial Unicode MS"/>
          <w:sz w:val="22"/>
          <w:szCs w:val="22"/>
        </w:rPr>
        <w:t>une baisse</w:t>
      </w:r>
      <w:r w:rsidR="00E5241D" w:rsidRPr="00E71DCC">
        <w:rPr>
          <w:rFonts w:eastAsia="Arial Unicode MS"/>
          <w:sz w:val="22"/>
          <w:szCs w:val="22"/>
        </w:rPr>
        <w:t>.</w:t>
      </w:r>
    </w:p>
    <w:p w:rsidR="00A9724A" w:rsidRDefault="00902341" w:rsidP="00C74267">
      <w:pPr>
        <w:spacing w:line="300" w:lineRule="exact"/>
        <w:jc w:val="both"/>
        <w:rPr>
          <w:rFonts w:eastAsia="Arial Unicode MS"/>
          <w:sz w:val="22"/>
          <w:szCs w:val="22"/>
        </w:rPr>
      </w:pPr>
      <w:r w:rsidRPr="00BC44B5">
        <w:rPr>
          <w:rFonts w:eastAsia="Arial Unicode MS"/>
          <w:b/>
          <w:bCs/>
          <w:color w:val="660033"/>
          <w:sz w:val="22"/>
          <w:szCs w:val="22"/>
        </w:rPr>
        <w:t>L</w:t>
      </w:r>
      <w:r w:rsidR="00255C34" w:rsidRPr="00BC44B5">
        <w:rPr>
          <w:rFonts w:eastAsia="Arial Unicode MS"/>
          <w:b/>
          <w:bCs/>
          <w:color w:val="660033"/>
          <w:sz w:val="22"/>
          <w:szCs w:val="22"/>
        </w:rPr>
        <w:t>a production énergétique</w:t>
      </w:r>
      <w:r w:rsidR="00EC65FC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400CB6" w:rsidRPr="00400CB6">
        <w:rPr>
          <w:rFonts w:eastAsia="Arial Unicode MS"/>
          <w:sz w:val="22"/>
          <w:szCs w:val="22"/>
        </w:rPr>
        <w:t>attendue pour</w:t>
      </w:r>
      <w:r w:rsidR="00400CB6">
        <w:rPr>
          <w:rFonts w:eastAsia="Arial Unicode MS"/>
          <w:sz w:val="22"/>
          <w:szCs w:val="22"/>
        </w:rPr>
        <w:t xml:space="preserve"> le 2</w:t>
      </w:r>
      <w:r w:rsidR="00400CB6" w:rsidRPr="00400CB6">
        <w:rPr>
          <w:rFonts w:eastAsia="Arial Unicode MS"/>
          <w:sz w:val="22"/>
          <w:szCs w:val="22"/>
          <w:vertAlign w:val="superscript"/>
        </w:rPr>
        <w:t>ème</w:t>
      </w:r>
      <w:r w:rsidR="00400CB6">
        <w:rPr>
          <w:rFonts w:eastAsia="Arial Unicode MS"/>
          <w:sz w:val="22"/>
          <w:szCs w:val="22"/>
        </w:rPr>
        <w:t xml:space="preserve"> trimestre de 2018, </w:t>
      </w:r>
      <w:r w:rsidR="00400CB6" w:rsidRPr="00400CB6">
        <w:rPr>
          <w:rFonts w:eastAsia="Arial Unicode MS" w:hint="cs"/>
          <w:sz w:val="22"/>
          <w:szCs w:val="22"/>
        </w:rPr>
        <w:t>connaîtrait</w:t>
      </w:r>
      <w:r w:rsidR="00255C34" w:rsidRPr="00BC44B5">
        <w:rPr>
          <w:rFonts w:eastAsia="Arial Unicode MS"/>
          <w:sz w:val="22"/>
          <w:szCs w:val="22"/>
        </w:rPr>
        <w:t xml:space="preserve"> une </w:t>
      </w:r>
      <w:r w:rsidR="00D46868">
        <w:rPr>
          <w:rFonts w:eastAsia="Arial Unicode MS"/>
          <w:sz w:val="22"/>
          <w:szCs w:val="22"/>
        </w:rPr>
        <w:t>hau</w:t>
      </w:r>
      <w:r w:rsidR="007B40DF" w:rsidRPr="00BC44B5">
        <w:rPr>
          <w:rFonts w:eastAsia="Arial Unicode MS"/>
          <w:sz w:val="22"/>
          <w:szCs w:val="22"/>
        </w:rPr>
        <w:t>sse</w:t>
      </w:r>
      <w:r w:rsidR="00EC65FC">
        <w:rPr>
          <w:rFonts w:eastAsia="Arial Unicode MS"/>
          <w:sz w:val="22"/>
          <w:szCs w:val="22"/>
        </w:rPr>
        <w:t xml:space="preserve"> </w:t>
      </w:r>
      <w:r w:rsidR="00736187" w:rsidRPr="00BC44B5">
        <w:rPr>
          <w:rFonts w:eastAsia="Arial Unicode MS"/>
          <w:sz w:val="22"/>
          <w:szCs w:val="22"/>
        </w:rPr>
        <w:t>attribuable</w:t>
      </w:r>
      <w:r w:rsidRPr="00BC44B5">
        <w:rPr>
          <w:rFonts w:eastAsia="Arial Unicode MS"/>
          <w:sz w:val="22"/>
          <w:szCs w:val="22"/>
        </w:rPr>
        <w:t xml:space="preserve"> à </w:t>
      </w:r>
      <w:r w:rsidR="00EC3161" w:rsidRPr="00BC44B5">
        <w:rPr>
          <w:rFonts w:eastAsia="Arial Unicode MS"/>
          <w:sz w:val="22"/>
          <w:szCs w:val="22"/>
        </w:rPr>
        <w:t xml:space="preserve">une </w:t>
      </w:r>
      <w:r w:rsidR="00047A32">
        <w:rPr>
          <w:rFonts w:eastAsia="Arial Unicode MS"/>
          <w:sz w:val="22"/>
          <w:szCs w:val="22"/>
        </w:rPr>
        <w:t>augmenta</w:t>
      </w:r>
      <w:r w:rsidR="00EC3161" w:rsidRPr="00BC44B5">
        <w:rPr>
          <w:rFonts w:eastAsia="Arial Unicode MS"/>
          <w:sz w:val="22"/>
          <w:szCs w:val="22"/>
        </w:rPr>
        <w:t>tion</w:t>
      </w:r>
      <w:r w:rsidRPr="00BC44B5">
        <w:rPr>
          <w:rFonts w:eastAsia="Arial Unicode MS"/>
          <w:sz w:val="22"/>
          <w:szCs w:val="22"/>
        </w:rPr>
        <w:t xml:space="preserve"> de la «Production et distribution d’électricité, de gaz, de vapeur et d’air conditionné».</w:t>
      </w:r>
      <w:r w:rsidR="00963370">
        <w:rPr>
          <w:rFonts w:eastAsia="Arial Unicode MS"/>
          <w:sz w:val="22"/>
          <w:szCs w:val="22"/>
        </w:rPr>
        <w:t>Pour ce qui est</w:t>
      </w:r>
      <w:r w:rsidR="00A9724A">
        <w:rPr>
          <w:rFonts w:eastAsia="Arial Unicode MS"/>
          <w:sz w:val="22"/>
          <w:szCs w:val="22"/>
        </w:rPr>
        <w:t xml:space="preserve"> de</w:t>
      </w:r>
      <w:r w:rsidR="00EC65FC">
        <w:rPr>
          <w:rFonts w:eastAsia="Arial Unicode MS"/>
          <w:sz w:val="22"/>
          <w:szCs w:val="22"/>
        </w:rPr>
        <w:t xml:space="preserve"> </w:t>
      </w:r>
      <w:r w:rsidR="00A9724A">
        <w:rPr>
          <w:rFonts w:eastAsia="Arial Unicode MS"/>
          <w:sz w:val="22"/>
          <w:szCs w:val="22"/>
        </w:rPr>
        <w:t xml:space="preserve">l’emploi, </w:t>
      </w:r>
      <w:r w:rsidR="00D921C3">
        <w:rPr>
          <w:rFonts w:eastAsia="Arial Unicode MS"/>
          <w:sz w:val="22"/>
          <w:szCs w:val="22"/>
        </w:rPr>
        <w:t xml:space="preserve">il </w:t>
      </w:r>
      <w:r w:rsidR="00D921C3" w:rsidRPr="00E71DCC">
        <w:rPr>
          <w:rFonts w:eastAsia="Arial Unicode MS" w:hint="cs"/>
          <w:sz w:val="22"/>
          <w:szCs w:val="22"/>
        </w:rPr>
        <w:t>connaîtrait</w:t>
      </w:r>
      <w:r w:rsidR="00EC65FC">
        <w:rPr>
          <w:rFonts w:eastAsia="Arial Unicode MS"/>
          <w:sz w:val="22"/>
          <w:szCs w:val="22"/>
        </w:rPr>
        <w:t xml:space="preserve"> </w:t>
      </w:r>
      <w:r w:rsidR="00A9724A">
        <w:rPr>
          <w:rFonts w:eastAsia="Arial Unicode MS"/>
          <w:sz w:val="22"/>
          <w:szCs w:val="22"/>
        </w:rPr>
        <w:t>globalement une</w:t>
      </w:r>
      <w:r w:rsidR="00A9724A" w:rsidRPr="00E71DCC">
        <w:rPr>
          <w:rFonts w:eastAsia="Arial Unicode MS"/>
          <w:sz w:val="22"/>
          <w:szCs w:val="22"/>
        </w:rPr>
        <w:t xml:space="preserve"> stabilité</w:t>
      </w:r>
      <w:r w:rsidR="00A9724A">
        <w:rPr>
          <w:rFonts w:eastAsia="Arial Unicode MS"/>
          <w:sz w:val="22"/>
          <w:szCs w:val="22"/>
        </w:rPr>
        <w:t>.</w:t>
      </w:r>
    </w:p>
    <w:p w:rsidR="00A9042C" w:rsidRDefault="00B9023C" w:rsidP="00D62AB7">
      <w:pPr>
        <w:spacing w:before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Pour le </w:t>
      </w:r>
      <w:r w:rsidR="00C93093">
        <w:rPr>
          <w:rFonts w:eastAsia="Arial Unicode MS"/>
          <w:sz w:val="22"/>
          <w:szCs w:val="22"/>
        </w:rPr>
        <w:t xml:space="preserve">même </w:t>
      </w:r>
      <w:r w:rsidR="00A9724A" w:rsidRPr="00A9724A">
        <w:rPr>
          <w:rFonts w:eastAsia="Arial Unicode MS"/>
          <w:sz w:val="22"/>
          <w:szCs w:val="22"/>
        </w:rPr>
        <w:t xml:space="preserve">trimestre 2018, les </w:t>
      </w:r>
      <w:r w:rsidR="001E3E25" w:rsidRPr="00A9724A">
        <w:rPr>
          <w:rFonts w:eastAsia="Arial Unicode MS"/>
          <w:sz w:val="22"/>
          <w:szCs w:val="22"/>
        </w:rPr>
        <w:t xml:space="preserve">entreprises </w:t>
      </w:r>
      <w:r w:rsidR="001E3E25">
        <w:rPr>
          <w:rFonts w:eastAsia="Arial Unicode MS"/>
          <w:sz w:val="22"/>
          <w:szCs w:val="22"/>
        </w:rPr>
        <w:t>de</w:t>
      </w:r>
      <w:r w:rsidR="001E3E25" w:rsidRPr="001E3E25">
        <w:rPr>
          <w:rFonts w:eastAsia="Arial Unicode MS"/>
          <w:b/>
          <w:bCs/>
          <w:color w:val="660033"/>
          <w:sz w:val="22"/>
          <w:szCs w:val="22"/>
        </w:rPr>
        <w:t xml:space="preserve"> l’industrie environnementale</w:t>
      </w:r>
      <w:r w:rsidR="00EC65FC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A9724A" w:rsidRPr="00A9724A">
        <w:rPr>
          <w:rFonts w:eastAsia="Arial Unicode MS"/>
          <w:sz w:val="22"/>
          <w:szCs w:val="22"/>
        </w:rPr>
        <w:t>anticipent</w:t>
      </w:r>
      <w:r w:rsidR="00EC65FC">
        <w:rPr>
          <w:rFonts w:eastAsia="Arial Unicode MS"/>
          <w:sz w:val="22"/>
          <w:szCs w:val="22"/>
        </w:rPr>
        <w:t xml:space="preserve"> </w:t>
      </w:r>
      <w:r w:rsidR="00A9724A" w:rsidRPr="001E3E25">
        <w:rPr>
          <w:rFonts w:eastAsia="Arial Unicode MS"/>
          <w:sz w:val="22"/>
          <w:szCs w:val="22"/>
        </w:rPr>
        <w:t>une augmentation</w:t>
      </w:r>
      <w:r w:rsidR="00EC65FC">
        <w:rPr>
          <w:rFonts w:eastAsia="Arial Unicode MS"/>
          <w:sz w:val="22"/>
          <w:szCs w:val="22"/>
        </w:rPr>
        <w:t xml:space="preserve"> </w:t>
      </w:r>
      <w:r w:rsidR="001E3E25" w:rsidRPr="001E3E25">
        <w:rPr>
          <w:rFonts w:eastAsia="Arial Unicode MS"/>
          <w:sz w:val="22"/>
          <w:szCs w:val="22"/>
        </w:rPr>
        <w:t>de la production</w:t>
      </w:r>
      <w:r w:rsidR="00EC65FC">
        <w:rPr>
          <w:rFonts w:eastAsia="Arial Unicode MS"/>
          <w:sz w:val="22"/>
          <w:szCs w:val="22"/>
        </w:rPr>
        <w:t xml:space="preserve"> </w:t>
      </w:r>
      <w:r w:rsidR="00902341" w:rsidRPr="00BC44B5">
        <w:rPr>
          <w:rFonts w:eastAsia="Arial Unicode MS"/>
          <w:sz w:val="22"/>
          <w:szCs w:val="22"/>
        </w:rPr>
        <w:t>notamment dans les activités du «Captage, traitement et distribution d’eau»</w:t>
      </w:r>
      <w:r w:rsidR="00A9724A">
        <w:rPr>
          <w:rFonts w:eastAsia="Arial Unicode MS"/>
          <w:sz w:val="22"/>
          <w:szCs w:val="22"/>
        </w:rPr>
        <w:t xml:space="preserve"> et une stabilité </w:t>
      </w:r>
      <w:r w:rsidR="005551C1">
        <w:rPr>
          <w:rFonts w:eastAsia="Arial Unicode MS"/>
          <w:sz w:val="22"/>
          <w:szCs w:val="22"/>
        </w:rPr>
        <w:t>des effectifs employés</w:t>
      </w:r>
      <w:r w:rsidR="00A9724A">
        <w:rPr>
          <w:rFonts w:eastAsia="Arial Unicode MS"/>
          <w:sz w:val="22"/>
          <w:szCs w:val="22"/>
        </w:rPr>
        <w:t>.</w:t>
      </w:r>
    </w:p>
    <w:p w:rsidR="0073499F" w:rsidRDefault="0073499F" w:rsidP="00720E44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73499F" w:rsidRDefault="00D54120" w:rsidP="00720E44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2918460</wp:posOffset>
            </wp:positionH>
            <wp:positionV relativeFrom="margin">
              <wp:posOffset>510540</wp:posOffset>
            </wp:positionV>
            <wp:extent cx="3401695" cy="2743200"/>
            <wp:effectExtent l="0" t="0" r="0" b="0"/>
            <wp:wrapSquare wrapText="bothSides"/>
            <wp:docPr id="111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8A5D7C" w:rsidRPr="008A5D7C" w:rsidRDefault="0033375A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5165C5" w:rsidRDefault="005165C5" w:rsidP="00C93093">
      <w:pPr>
        <w:spacing w:after="120" w:line="300" w:lineRule="exact"/>
        <w:jc w:val="both"/>
        <w:rPr>
          <w:color w:val="000000"/>
        </w:rPr>
      </w:pPr>
      <w:r>
        <w:rPr>
          <w:rFonts w:eastAsia="Arial Unicode MS"/>
          <w:sz w:val="22"/>
          <w:szCs w:val="22"/>
        </w:rPr>
        <w:t>L</w:t>
      </w:r>
      <w:r w:rsidRPr="00AF11D6">
        <w:rPr>
          <w:rFonts w:eastAsia="Arial Unicode MS"/>
          <w:sz w:val="22"/>
          <w:szCs w:val="22"/>
        </w:rPr>
        <w:t xml:space="preserve">es anticipations avancées </w:t>
      </w:r>
      <w:r w:rsidR="00C93093">
        <w:rPr>
          <w:rFonts w:eastAsia="Arial Unicode MS"/>
          <w:sz w:val="22"/>
          <w:szCs w:val="22"/>
        </w:rPr>
        <w:t xml:space="preserve">par les chefs d’entreprises du </w:t>
      </w:r>
      <w:r w:rsidRPr="00AF11D6">
        <w:rPr>
          <w:rFonts w:eastAsia="Arial Unicode MS"/>
          <w:sz w:val="22"/>
          <w:szCs w:val="22"/>
        </w:rPr>
        <w:t xml:space="preserve">secteur de </w:t>
      </w:r>
      <w:r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Pr="00AF11D6">
        <w:rPr>
          <w:rFonts w:eastAsia="Arial Unicode MS"/>
          <w:sz w:val="22"/>
          <w:szCs w:val="22"/>
        </w:rPr>
        <w:t xml:space="preserve">, </w:t>
      </w:r>
      <w:r w:rsidR="00C93093">
        <w:rPr>
          <w:rFonts w:eastAsia="Arial Unicode MS"/>
          <w:sz w:val="22"/>
          <w:szCs w:val="22"/>
        </w:rPr>
        <w:t>pour le</w:t>
      </w:r>
      <w:r w:rsidR="00B31450">
        <w:rPr>
          <w:rFonts w:eastAsia="Arial Unicode MS"/>
          <w:sz w:val="22"/>
          <w:szCs w:val="22"/>
        </w:rPr>
        <w:t xml:space="preserve"> </w:t>
      </w:r>
      <w:r w:rsidRPr="00AF11D6">
        <w:rPr>
          <w:rFonts w:eastAsia="Arial Unicode MS"/>
          <w:sz w:val="22"/>
          <w:szCs w:val="22"/>
        </w:rPr>
        <w:t xml:space="preserve">deuxième trimestre </w:t>
      </w:r>
      <w:r>
        <w:rPr>
          <w:rFonts w:eastAsia="Arial Unicode MS"/>
          <w:sz w:val="22"/>
          <w:szCs w:val="22"/>
        </w:rPr>
        <w:t>2018</w:t>
      </w:r>
      <w:r w:rsidRPr="00AF11D6">
        <w:rPr>
          <w:rFonts w:eastAsia="Arial Unicode MS"/>
          <w:sz w:val="22"/>
          <w:szCs w:val="22"/>
        </w:rPr>
        <w:t>, font ressortir, globalement</w:t>
      </w:r>
      <w:r w:rsidR="00400CB6" w:rsidRPr="00AF11D6">
        <w:rPr>
          <w:rFonts w:eastAsia="Arial Unicode MS"/>
          <w:sz w:val="22"/>
          <w:szCs w:val="22"/>
        </w:rPr>
        <w:t>, une</w:t>
      </w:r>
      <w:r>
        <w:rPr>
          <w:rFonts w:eastAsia="Arial Unicode MS"/>
          <w:sz w:val="22"/>
          <w:szCs w:val="22"/>
        </w:rPr>
        <w:t xml:space="preserve"> stabilité </w:t>
      </w:r>
      <w:r w:rsidRPr="00AF11D6">
        <w:rPr>
          <w:rFonts w:eastAsia="Arial Unicode MS"/>
          <w:sz w:val="22"/>
          <w:szCs w:val="22"/>
        </w:rPr>
        <w:t>de l’activité</w:t>
      </w:r>
      <w:r w:rsidR="00B9023C">
        <w:rPr>
          <w:rFonts w:eastAsia="Arial Unicode MS"/>
          <w:sz w:val="22"/>
          <w:szCs w:val="22"/>
        </w:rPr>
        <w:t xml:space="preserve"> de ce secteur</w:t>
      </w:r>
      <w:r>
        <w:rPr>
          <w:rFonts w:eastAsia="Arial Unicode MS"/>
          <w:sz w:val="22"/>
          <w:szCs w:val="22"/>
        </w:rPr>
        <w:t>.</w:t>
      </w:r>
      <w:r w:rsidRPr="00AF11D6">
        <w:rPr>
          <w:rFonts w:eastAsia="Arial Unicode MS"/>
          <w:sz w:val="22"/>
          <w:szCs w:val="22"/>
        </w:rPr>
        <w:t xml:space="preserve"> Cette </w:t>
      </w:r>
      <w:r w:rsidR="00231B51">
        <w:rPr>
          <w:rFonts w:eastAsia="Arial Unicode MS"/>
          <w:sz w:val="22"/>
          <w:szCs w:val="22"/>
        </w:rPr>
        <w:t xml:space="preserve">évolution </w:t>
      </w:r>
      <w:r w:rsidRPr="00AF11D6">
        <w:rPr>
          <w:rFonts w:eastAsia="Arial Unicode MS"/>
          <w:sz w:val="22"/>
          <w:szCs w:val="22"/>
        </w:rPr>
        <w:t>résulterait</w:t>
      </w:r>
      <w:r w:rsidR="00231B51">
        <w:rPr>
          <w:rFonts w:eastAsia="Arial Unicode MS"/>
          <w:sz w:val="22"/>
          <w:szCs w:val="22"/>
        </w:rPr>
        <w:t xml:space="preserve">, d’une part, </w:t>
      </w:r>
      <w:r w:rsidRPr="00AF11D6">
        <w:rPr>
          <w:rFonts w:eastAsia="Arial Unicode MS"/>
          <w:sz w:val="22"/>
          <w:szCs w:val="22"/>
        </w:rPr>
        <w:t>de l</w:t>
      </w:r>
      <w:r w:rsidR="00231B51">
        <w:rPr>
          <w:rFonts w:eastAsia="Arial Unicode MS"/>
          <w:sz w:val="22"/>
          <w:szCs w:val="22"/>
        </w:rPr>
        <w:t xml:space="preserve">’augmentation </w:t>
      </w:r>
      <w:r w:rsidRPr="00AF11D6">
        <w:rPr>
          <w:rFonts w:eastAsia="Arial Unicode MS"/>
          <w:sz w:val="22"/>
          <w:szCs w:val="22"/>
        </w:rPr>
        <w:t xml:space="preserve">d’activité </w:t>
      </w:r>
      <w:r w:rsidRPr="003767A8">
        <w:rPr>
          <w:rFonts w:eastAsia="Arial Unicode MS"/>
          <w:sz w:val="22"/>
          <w:szCs w:val="22"/>
        </w:rPr>
        <w:t>prévue</w:t>
      </w:r>
      <w:r w:rsidR="00B31450">
        <w:rPr>
          <w:rFonts w:eastAsia="Arial Unicode MS"/>
          <w:sz w:val="22"/>
          <w:szCs w:val="22"/>
        </w:rPr>
        <w:t xml:space="preserve"> </w:t>
      </w:r>
      <w:r w:rsidRPr="00AF11D6">
        <w:rPr>
          <w:rFonts w:eastAsia="Arial Unicode MS"/>
          <w:sz w:val="22"/>
          <w:szCs w:val="22"/>
        </w:rPr>
        <w:t>au niveau des</w:t>
      </w:r>
      <w:r>
        <w:rPr>
          <w:rFonts w:eastAsia="Arial Unicode MS"/>
          <w:sz w:val="22"/>
          <w:szCs w:val="22"/>
        </w:rPr>
        <w:t xml:space="preserve"> branches </w:t>
      </w:r>
      <w:r w:rsidRPr="00AF11D6">
        <w:rPr>
          <w:rFonts w:eastAsia="Arial Unicode MS"/>
          <w:sz w:val="22"/>
          <w:szCs w:val="22"/>
        </w:rPr>
        <w:t>des «Travaux de construction spécialisés»</w:t>
      </w:r>
      <w:r w:rsidR="00B31450">
        <w:rPr>
          <w:rFonts w:eastAsia="Arial Unicode MS"/>
          <w:sz w:val="22"/>
          <w:szCs w:val="22"/>
        </w:rPr>
        <w:t xml:space="preserve"> </w:t>
      </w:r>
      <w:r w:rsidRPr="005516EE">
        <w:rPr>
          <w:rFonts w:eastAsia="Arial Unicode MS"/>
          <w:sz w:val="22"/>
          <w:szCs w:val="22"/>
        </w:rPr>
        <w:t>et</w:t>
      </w:r>
      <w:r w:rsidR="00231B51">
        <w:rPr>
          <w:rFonts w:eastAsia="Arial Unicode MS"/>
          <w:sz w:val="22"/>
          <w:szCs w:val="22"/>
        </w:rPr>
        <w:t>, d’autre part,</w:t>
      </w:r>
      <w:r w:rsidRPr="005516EE">
        <w:rPr>
          <w:rFonts w:eastAsia="Arial Unicode MS"/>
          <w:sz w:val="22"/>
          <w:szCs w:val="22"/>
        </w:rPr>
        <w:t xml:space="preserve"> de</w:t>
      </w:r>
      <w:r w:rsidRPr="006E2332">
        <w:rPr>
          <w:rFonts w:eastAsia="Arial Unicode MS"/>
          <w:sz w:val="22"/>
          <w:szCs w:val="22"/>
        </w:rPr>
        <w:t xml:space="preserve"> la</w:t>
      </w:r>
      <w:r>
        <w:rPr>
          <w:rFonts w:eastAsia="Arial Unicode MS"/>
          <w:sz w:val="22"/>
          <w:szCs w:val="22"/>
        </w:rPr>
        <w:t xml:space="preserve"> baisse </w:t>
      </w:r>
      <w:r w:rsidRPr="003767A8">
        <w:rPr>
          <w:rFonts w:eastAsia="Arial Unicode MS"/>
          <w:sz w:val="22"/>
          <w:szCs w:val="22"/>
        </w:rPr>
        <w:t xml:space="preserve">d’activité prévue </w:t>
      </w:r>
      <w:r>
        <w:rPr>
          <w:rFonts w:eastAsia="Arial Unicode MS"/>
          <w:sz w:val="22"/>
          <w:szCs w:val="22"/>
        </w:rPr>
        <w:t>dans le «Génie civil».</w:t>
      </w:r>
      <w:r w:rsidR="00400CB6">
        <w:rPr>
          <w:rFonts w:eastAsia="Arial Unicode MS"/>
          <w:sz w:val="22"/>
          <w:szCs w:val="22"/>
        </w:rPr>
        <w:t>Cette stagnation dans le secteur de la construction</w:t>
      </w:r>
      <w:r w:rsidR="00B31450">
        <w:rPr>
          <w:rFonts w:eastAsia="Arial Unicode MS"/>
          <w:sz w:val="22"/>
          <w:szCs w:val="22"/>
        </w:rPr>
        <w:t xml:space="preserve"> </w:t>
      </w:r>
      <w:r w:rsidRPr="00AF11D6">
        <w:rPr>
          <w:rFonts w:eastAsia="Arial Unicode MS"/>
          <w:sz w:val="22"/>
          <w:szCs w:val="22"/>
        </w:rPr>
        <w:t>serait accompagnée</w:t>
      </w:r>
      <w:r w:rsidR="00B31450">
        <w:rPr>
          <w:rFonts w:eastAsia="Arial Unicode MS"/>
          <w:sz w:val="22"/>
          <w:szCs w:val="22"/>
        </w:rPr>
        <w:t xml:space="preserve"> </w:t>
      </w:r>
      <w:r w:rsidRPr="00AF11D6">
        <w:rPr>
          <w:rFonts w:eastAsia="Arial Unicode MS"/>
          <w:sz w:val="22"/>
          <w:szCs w:val="22"/>
        </w:rPr>
        <w:t>par une stabilité des effectifs employés.</w:t>
      </w:r>
    </w:p>
    <w:p w:rsidR="008A5D7C" w:rsidRDefault="008A5D7C" w:rsidP="005165C5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E02272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p w:rsidR="00E02272" w:rsidRDefault="000F723D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</w:t>
      </w:r>
      <w:r w:rsidR="00E02272">
        <w:rPr>
          <w:rFonts w:eastAsia="Arial Unicode MS"/>
          <w:sz w:val="22"/>
          <w:szCs w:val="22"/>
        </w:rPr>
        <w:br w:type="page"/>
      </w:r>
    </w:p>
    <w:p w:rsidR="005B18F9" w:rsidRDefault="00E02272" w:rsidP="00E02272">
      <w:pPr>
        <w:tabs>
          <w:tab w:val="left" w:pos="5025"/>
        </w:tabs>
        <w:jc w:val="center"/>
        <w:rPr>
          <w:rFonts w:eastAsia="Arial Unicode MS"/>
          <w:b/>
          <w:bCs/>
          <w:sz w:val="22"/>
          <w:szCs w:val="22"/>
        </w:rPr>
      </w:pPr>
      <w:r w:rsidRPr="00E02272">
        <w:rPr>
          <w:rFonts w:eastAsia="Arial Unicode MS"/>
          <w:b/>
          <w:bCs/>
          <w:sz w:val="22"/>
          <w:szCs w:val="22"/>
        </w:rPr>
        <w:lastRenderedPageBreak/>
        <w:t>Annexes</w:t>
      </w:r>
    </w:p>
    <w:p w:rsidR="00E02272" w:rsidRDefault="00E02272" w:rsidP="00E02272">
      <w:pPr>
        <w:tabs>
          <w:tab w:val="left" w:pos="5025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E02272" w:rsidRPr="00E02272" w:rsidRDefault="00E02272" w:rsidP="00E02272">
      <w:pPr>
        <w:tabs>
          <w:tab w:val="left" w:pos="5025"/>
        </w:tabs>
        <w:rPr>
          <w:rFonts w:eastAsia="Arial Unicode MS"/>
          <w:b/>
          <w:bCs/>
          <w:i/>
          <w:iCs/>
          <w:sz w:val="22"/>
          <w:szCs w:val="22"/>
        </w:rPr>
      </w:pPr>
      <w:r w:rsidRPr="00E02272">
        <w:rPr>
          <w:rFonts w:eastAsia="Arial Unicode MS"/>
          <w:b/>
          <w:bCs/>
          <w:i/>
          <w:iCs/>
          <w:sz w:val="22"/>
          <w:szCs w:val="22"/>
          <w:u w:val="single"/>
        </w:rPr>
        <w:t>Tableau 1</w:t>
      </w:r>
      <w:r w:rsidRPr="00E02272">
        <w:rPr>
          <w:rFonts w:eastAsia="Arial Unicode MS"/>
          <w:b/>
          <w:bCs/>
          <w:i/>
          <w:iCs/>
          <w:sz w:val="22"/>
          <w:szCs w:val="22"/>
        </w:rPr>
        <w:t xml:space="preserve"> : Résultats par branche d’activité du secteur de l’industrie manufacturière</w:t>
      </w:r>
      <w:r w:rsidR="000753A3">
        <w:rPr>
          <w:rFonts w:eastAsia="Arial Unicode MS"/>
          <w:b/>
          <w:bCs/>
          <w:i/>
          <w:iCs/>
          <w:sz w:val="22"/>
          <w:szCs w:val="22"/>
        </w:rPr>
        <w:t xml:space="preserve"> (en %)</w:t>
      </w:r>
    </w:p>
    <w:p w:rsidR="00E02272" w:rsidRDefault="00E02272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488"/>
        <w:gridCol w:w="425"/>
        <w:gridCol w:w="441"/>
        <w:gridCol w:w="451"/>
        <w:gridCol w:w="382"/>
        <w:gridCol w:w="382"/>
        <w:gridCol w:w="382"/>
        <w:gridCol w:w="445"/>
        <w:gridCol w:w="382"/>
        <w:gridCol w:w="382"/>
        <w:gridCol w:w="382"/>
        <w:gridCol w:w="445"/>
        <w:gridCol w:w="383"/>
        <w:gridCol w:w="383"/>
        <w:gridCol w:w="383"/>
        <w:gridCol w:w="445"/>
        <w:gridCol w:w="383"/>
        <w:gridCol w:w="383"/>
        <w:gridCol w:w="383"/>
        <w:gridCol w:w="445"/>
      </w:tblGrid>
      <w:tr w:rsidR="00E02272" w:rsidRPr="00BB05B0" w:rsidTr="00AD5270">
        <w:trPr>
          <w:trHeight w:val="686"/>
          <w:jc w:val="center"/>
        </w:trPr>
        <w:tc>
          <w:tcPr>
            <w:tcW w:w="19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  <w:gridSpan w:val="4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Secteur de l’Industrie manufacturière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Agro-Alimentaires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Textiles et cuirs</w:t>
            </w:r>
          </w:p>
        </w:tc>
        <w:tc>
          <w:tcPr>
            <w:tcW w:w="15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Industrie métalliques, mécaniques, électriques et électroniques…</w:t>
            </w:r>
          </w:p>
        </w:tc>
        <w:tc>
          <w:tcPr>
            <w:tcW w:w="15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Industrie chimique et pharmaceutique</w:t>
            </w: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02272" w:rsidRPr="00AD5270" w:rsidRDefault="00E02272" w:rsidP="00AD52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</w:t>
            </w:r>
            <w:r w:rsidR="00DA1EBF" w:rsidRPr="00AD527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b/>
                <w:bCs/>
                <w:i/>
                <w:iCs/>
                <w:sz w:val="16"/>
                <w:szCs w:val="16"/>
              </w:rPr>
              <w:t>Evolution de la production</w:t>
            </w:r>
          </w:p>
        </w:tc>
        <w:tc>
          <w:tcPr>
            <w:tcW w:w="488" w:type="dxa"/>
            <w:tcBorders>
              <w:top w:val="single" w:sz="4" w:space="0" w:color="auto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-54</w:t>
            </w: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88" w:type="dxa"/>
            <w:tcBorders>
              <w:top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8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8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39</w:t>
            </w: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b/>
                <w:bCs/>
                <w:i/>
                <w:iCs/>
                <w:sz w:val="16"/>
                <w:szCs w:val="16"/>
              </w:rPr>
              <w:t xml:space="preserve">Evolution des effectifs </w:t>
            </w:r>
          </w:p>
        </w:tc>
        <w:tc>
          <w:tcPr>
            <w:tcW w:w="488" w:type="dxa"/>
            <w:tcBorders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nil"/>
              <w:bottom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-14</w:t>
            </w: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88" w:type="dxa"/>
            <w:tcBorders>
              <w:top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b/>
                <w:bCs/>
                <w:i/>
                <w:iCs/>
                <w:sz w:val="16"/>
                <w:szCs w:val="16"/>
              </w:rPr>
              <w:t>Evolution des prix</w:t>
            </w:r>
          </w:p>
        </w:tc>
        <w:tc>
          <w:tcPr>
            <w:tcW w:w="488" w:type="dxa"/>
            <w:tcBorders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nil"/>
              <w:bottom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eastAsia="Arial Unicode MS" w:hAnsi="Calibri"/>
                <w:sz w:val="16"/>
                <w:szCs w:val="16"/>
              </w:rPr>
            </w:pP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88" w:type="dxa"/>
            <w:tcBorders>
              <w:top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-10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E02272" w:rsidRPr="00BB05B0" w:rsidTr="00AD5270">
        <w:trPr>
          <w:trHeight w:val="340"/>
          <w:jc w:val="center"/>
        </w:trPr>
        <w:tc>
          <w:tcPr>
            <w:tcW w:w="1986" w:type="dxa"/>
            <w:tcBorders>
              <w:top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88" w:type="dxa"/>
            <w:tcBorders>
              <w:top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1" w:type="dxa"/>
            <w:tcBorders>
              <w:top w:val="nil"/>
              <w:lef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-13</w:t>
            </w:r>
          </w:p>
        </w:tc>
        <w:tc>
          <w:tcPr>
            <w:tcW w:w="3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-4</w:t>
            </w:r>
          </w:p>
        </w:tc>
      </w:tr>
    </w:tbl>
    <w:p w:rsidR="00E02272" w:rsidRDefault="00E02272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p w:rsidR="00E02272" w:rsidRDefault="00E02272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5"/>
        <w:gridCol w:w="590"/>
        <w:gridCol w:w="358"/>
        <w:gridCol w:w="533"/>
        <w:gridCol w:w="472"/>
        <w:gridCol w:w="567"/>
        <w:gridCol w:w="522"/>
        <w:gridCol w:w="533"/>
        <w:gridCol w:w="377"/>
        <w:gridCol w:w="590"/>
        <w:gridCol w:w="358"/>
        <w:gridCol w:w="533"/>
        <w:gridCol w:w="471"/>
        <w:gridCol w:w="590"/>
        <w:gridCol w:w="358"/>
        <w:gridCol w:w="533"/>
        <w:gridCol w:w="377"/>
        <w:gridCol w:w="590"/>
        <w:gridCol w:w="358"/>
        <w:gridCol w:w="533"/>
        <w:gridCol w:w="506"/>
      </w:tblGrid>
      <w:tr w:rsidR="00E02272" w:rsidRPr="00E02272" w:rsidTr="00AD5270">
        <w:trPr>
          <w:trHeight w:val="608"/>
        </w:trPr>
        <w:tc>
          <w:tcPr>
            <w:tcW w:w="10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Secteur de l’Industrie manufacturière</w:t>
            </w:r>
          </w:p>
        </w:tc>
        <w:tc>
          <w:tcPr>
            <w:tcW w:w="19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Agro-Alimentaires</w:t>
            </w:r>
          </w:p>
        </w:tc>
        <w:tc>
          <w:tcPr>
            <w:tcW w:w="19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Textiles et cuirs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Industrie métalliques, mécaniques, électriques et électroniques…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Industrie chimique et pharmaceutique</w:t>
            </w:r>
          </w:p>
        </w:tc>
      </w:tr>
      <w:tr w:rsidR="00E02272" w:rsidRPr="00E02272" w:rsidTr="00AD5270">
        <w:trPr>
          <w:trHeight w:val="345"/>
        </w:trPr>
        <w:tc>
          <w:tcPr>
            <w:tcW w:w="10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Sup.N </w:t>
            </w:r>
            <w:r w:rsidR="00DA1EBF" w:rsidRPr="00AD527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N 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Inf.N 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SO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Sup.N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N 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Inf.N 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SO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Sup.N 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N 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Inf.N 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SO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Sup.N 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N 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Inf.N </w:t>
            </w:r>
          </w:p>
        </w:tc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SO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Sup.N 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N 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Inf.N 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SO</w:t>
            </w:r>
          </w:p>
        </w:tc>
      </w:tr>
      <w:tr w:rsidR="00E02272" w:rsidRPr="00E02272" w:rsidTr="00AD5270">
        <w:trPr>
          <w:trHeight w:val="608"/>
        </w:trPr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272" w:rsidRPr="00AD5270" w:rsidRDefault="00E02272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b/>
                <w:bCs/>
                <w:sz w:val="16"/>
                <w:szCs w:val="16"/>
              </w:rPr>
              <w:t>Niveau des carnets de commandes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-2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-26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82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-8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2272" w:rsidRPr="00AD5270" w:rsidRDefault="00E02272" w:rsidP="00AD5270">
            <w:pPr>
              <w:jc w:val="right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-22</w:t>
            </w:r>
          </w:p>
        </w:tc>
      </w:tr>
    </w:tbl>
    <w:p w:rsidR="00E02272" w:rsidRDefault="00E02272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p w:rsidR="000753A3" w:rsidRDefault="000753A3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p w:rsidR="000753A3" w:rsidRPr="00E02272" w:rsidRDefault="000753A3" w:rsidP="000753A3">
      <w:pPr>
        <w:tabs>
          <w:tab w:val="left" w:pos="5025"/>
        </w:tabs>
        <w:rPr>
          <w:rFonts w:eastAsia="Arial Unicode MS"/>
          <w:b/>
          <w:bCs/>
          <w:i/>
          <w:iCs/>
          <w:sz w:val="22"/>
          <w:szCs w:val="22"/>
        </w:rPr>
      </w:pPr>
      <w:r w:rsidRPr="00E02272">
        <w:rPr>
          <w:rFonts w:eastAsia="Arial Unicode MS"/>
          <w:b/>
          <w:bCs/>
          <w:i/>
          <w:iCs/>
          <w:sz w:val="22"/>
          <w:szCs w:val="22"/>
          <w:u w:val="single"/>
        </w:rPr>
        <w:t xml:space="preserve">Tableau </w:t>
      </w:r>
      <w:r>
        <w:rPr>
          <w:rFonts w:eastAsia="Arial Unicode MS"/>
          <w:b/>
          <w:bCs/>
          <w:i/>
          <w:iCs/>
          <w:sz w:val="22"/>
          <w:szCs w:val="22"/>
          <w:u w:val="single"/>
        </w:rPr>
        <w:t>2</w:t>
      </w:r>
      <w:r w:rsidRPr="00E02272">
        <w:rPr>
          <w:rFonts w:eastAsia="Arial Unicode MS"/>
          <w:b/>
          <w:bCs/>
          <w:i/>
          <w:iCs/>
          <w:sz w:val="22"/>
          <w:szCs w:val="22"/>
        </w:rPr>
        <w:t xml:space="preserve"> : Résultats d</w:t>
      </w:r>
      <w:r>
        <w:rPr>
          <w:rFonts w:eastAsia="Arial Unicode MS"/>
          <w:b/>
          <w:bCs/>
          <w:i/>
          <w:iCs/>
          <w:sz w:val="22"/>
          <w:szCs w:val="22"/>
        </w:rPr>
        <w:t xml:space="preserve">es </w:t>
      </w:r>
      <w:r w:rsidRPr="00E02272">
        <w:rPr>
          <w:rFonts w:eastAsia="Arial Unicode MS"/>
          <w:b/>
          <w:bCs/>
          <w:i/>
          <w:iCs/>
          <w:sz w:val="22"/>
          <w:szCs w:val="22"/>
        </w:rPr>
        <w:t>secteur</w:t>
      </w:r>
      <w:r>
        <w:rPr>
          <w:rFonts w:eastAsia="Arial Unicode MS"/>
          <w:b/>
          <w:bCs/>
          <w:i/>
          <w:iCs/>
          <w:sz w:val="22"/>
          <w:szCs w:val="22"/>
        </w:rPr>
        <w:t xml:space="preserve">s des industries extractives, énergétiques et environnementales </w:t>
      </w:r>
      <w:r w:rsidR="00DA1EBF">
        <w:rPr>
          <w:rFonts w:eastAsia="Arial Unicode MS"/>
          <w:b/>
          <w:bCs/>
          <w:i/>
          <w:iCs/>
          <w:sz w:val="22"/>
          <w:szCs w:val="22"/>
        </w:rPr>
        <w:t>(en %)</w:t>
      </w:r>
    </w:p>
    <w:p w:rsidR="000753A3" w:rsidRDefault="000753A3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0"/>
        <w:gridCol w:w="605"/>
        <w:gridCol w:w="605"/>
        <w:gridCol w:w="605"/>
        <w:gridCol w:w="741"/>
        <w:gridCol w:w="633"/>
        <w:gridCol w:w="633"/>
        <w:gridCol w:w="633"/>
        <w:gridCol w:w="735"/>
        <w:gridCol w:w="633"/>
        <w:gridCol w:w="633"/>
        <w:gridCol w:w="633"/>
        <w:gridCol w:w="737"/>
      </w:tblGrid>
      <w:tr w:rsidR="000753A3" w:rsidRPr="00CD184A" w:rsidTr="00AD5270">
        <w:trPr>
          <w:trHeight w:val="481"/>
        </w:trPr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Industrie extractive</w:t>
            </w:r>
          </w:p>
        </w:tc>
        <w:tc>
          <w:tcPr>
            <w:tcW w:w="26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pStyle w:val="Paragraphedeliste"/>
              <w:tabs>
                <w:tab w:val="left" w:pos="5025"/>
              </w:tabs>
              <w:ind w:left="113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Industrie énergétique</w:t>
            </w:r>
          </w:p>
        </w:tc>
        <w:tc>
          <w:tcPr>
            <w:tcW w:w="26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pStyle w:val="Paragraphedeliste"/>
              <w:tabs>
                <w:tab w:val="left" w:pos="5025"/>
              </w:tabs>
              <w:spacing w:after="0"/>
              <w:ind w:left="28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Industrie environnementale</w:t>
            </w:r>
          </w:p>
        </w:tc>
      </w:tr>
      <w:tr w:rsidR="000753A3" w:rsidRPr="00CD184A" w:rsidTr="00AD5270">
        <w:trPr>
          <w:trHeight w:val="401"/>
        </w:trPr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0753A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</w:t>
            </w: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</w:tr>
      <w:tr w:rsidR="000753A3" w:rsidRPr="00CD184A" w:rsidTr="00AD5270">
        <w:trPr>
          <w:trHeight w:val="225"/>
        </w:trPr>
        <w:tc>
          <w:tcPr>
            <w:tcW w:w="21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b/>
                <w:bCs/>
                <w:i/>
                <w:iCs/>
                <w:sz w:val="16"/>
                <w:szCs w:val="16"/>
              </w:rPr>
              <w:t>Evolution de la production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sz w:val="18"/>
                <w:szCs w:val="18"/>
              </w:rPr>
            </w:pPr>
          </w:p>
        </w:tc>
      </w:tr>
      <w:tr w:rsidR="000753A3" w:rsidRPr="00CD184A" w:rsidTr="00AD5270">
        <w:trPr>
          <w:trHeight w:val="240"/>
        </w:trPr>
        <w:tc>
          <w:tcPr>
            <w:tcW w:w="2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-46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91</w:t>
            </w:r>
          </w:p>
        </w:tc>
      </w:tr>
      <w:tr w:rsidR="000753A3" w:rsidRPr="00CD184A" w:rsidTr="00AD5270">
        <w:trPr>
          <w:trHeight w:val="225"/>
        </w:trPr>
        <w:tc>
          <w:tcPr>
            <w:tcW w:w="2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95</w:t>
            </w:r>
          </w:p>
        </w:tc>
      </w:tr>
      <w:tr w:rsidR="000753A3" w:rsidRPr="00CD184A" w:rsidTr="00AD5270">
        <w:trPr>
          <w:trHeight w:val="240"/>
        </w:trPr>
        <w:tc>
          <w:tcPr>
            <w:tcW w:w="2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b/>
                <w:bCs/>
                <w:i/>
                <w:iCs/>
                <w:sz w:val="16"/>
                <w:szCs w:val="16"/>
              </w:rPr>
              <w:t xml:space="preserve">Evolution des effectifs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0753A3" w:rsidRPr="00CD184A" w:rsidTr="00AD5270">
        <w:trPr>
          <w:trHeight w:val="225"/>
        </w:trPr>
        <w:tc>
          <w:tcPr>
            <w:tcW w:w="2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-78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-80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91</w:t>
            </w:r>
          </w:p>
        </w:tc>
      </w:tr>
      <w:tr w:rsidR="000753A3" w:rsidRPr="00CD184A" w:rsidTr="00AD5270">
        <w:trPr>
          <w:trHeight w:val="240"/>
        </w:trPr>
        <w:tc>
          <w:tcPr>
            <w:tcW w:w="2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-72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-16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</w:tr>
      <w:tr w:rsidR="000753A3" w:rsidRPr="00CD184A" w:rsidTr="00AD5270">
        <w:trPr>
          <w:trHeight w:val="225"/>
        </w:trPr>
        <w:tc>
          <w:tcPr>
            <w:tcW w:w="2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b/>
                <w:bCs/>
                <w:i/>
                <w:iCs/>
                <w:sz w:val="16"/>
                <w:szCs w:val="16"/>
              </w:rPr>
              <w:t>Evolution des prix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0753A3" w:rsidRPr="00CD184A" w:rsidTr="00AD5270">
        <w:trPr>
          <w:trHeight w:val="240"/>
        </w:trPr>
        <w:tc>
          <w:tcPr>
            <w:tcW w:w="2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-51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</w:tr>
      <w:tr w:rsidR="000753A3" w:rsidRPr="00CD184A" w:rsidTr="00AD5270">
        <w:trPr>
          <w:trHeight w:val="240"/>
        </w:trPr>
        <w:tc>
          <w:tcPr>
            <w:tcW w:w="21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753A3" w:rsidRPr="00AD5270" w:rsidRDefault="000753A3" w:rsidP="00AD5270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D5270">
              <w:rPr>
                <w:rFonts w:ascii="Calibri" w:hAnsi="Calibri"/>
                <w:b/>
                <w:bCs/>
                <w:sz w:val="16"/>
                <w:szCs w:val="16"/>
              </w:rPr>
              <w:t>0</w:t>
            </w:r>
          </w:p>
        </w:tc>
      </w:tr>
    </w:tbl>
    <w:p w:rsidR="000753A3" w:rsidRDefault="000753A3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p w:rsidR="00C93093" w:rsidRDefault="00C93093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p w:rsidR="00C93093" w:rsidRDefault="00C93093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p w:rsidR="000753A3" w:rsidRPr="00DA1EBF" w:rsidRDefault="000753A3" w:rsidP="00C93093">
      <w:pPr>
        <w:pStyle w:val="Paragraphedeliste"/>
        <w:numPr>
          <w:ilvl w:val="0"/>
          <w:numId w:val="30"/>
        </w:numPr>
        <w:ind w:right="284"/>
        <w:rPr>
          <w:rFonts w:cs="Calibri"/>
          <w:i/>
          <w:iCs/>
          <w:color w:val="000000"/>
          <w:sz w:val="16"/>
          <w:szCs w:val="16"/>
        </w:rPr>
      </w:pPr>
      <w:r w:rsidRPr="00DA1EBF">
        <w:rPr>
          <w:rFonts w:cs="Calibri"/>
          <w:i/>
          <w:iCs/>
          <w:color w:val="000000"/>
          <w:sz w:val="16"/>
          <w:szCs w:val="16"/>
        </w:rPr>
        <w:t xml:space="preserve">H : Hausse ; S : </w:t>
      </w:r>
      <w:r w:rsidR="00C93093">
        <w:rPr>
          <w:rFonts w:cs="Calibri"/>
          <w:i/>
          <w:iCs/>
          <w:color w:val="000000"/>
          <w:sz w:val="16"/>
          <w:szCs w:val="16"/>
        </w:rPr>
        <w:t>S</w:t>
      </w:r>
      <w:r w:rsidRPr="00DA1EBF">
        <w:rPr>
          <w:rFonts w:cs="Calibri"/>
          <w:i/>
          <w:iCs/>
          <w:color w:val="000000"/>
          <w:sz w:val="16"/>
          <w:szCs w:val="16"/>
        </w:rPr>
        <w:t>tabilité ; B </w:t>
      </w:r>
      <w:r w:rsidR="00160BF0" w:rsidRPr="00DA1EBF">
        <w:rPr>
          <w:rFonts w:cs="Calibri"/>
          <w:i/>
          <w:iCs/>
          <w:color w:val="000000"/>
          <w:sz w:val="16"/>
          <w:szCs w:val="16"/>
        </w:rPr>
        <w:t>:</w:t>
      </w:r>
      <w:r w:rsidR="00160BF0">
        <w:rPr>
          <w:rFonts w:cs="Calibri"/>
          <w:i/>
          <w:iCs/>
          <w:color w:val="000000"/>
          <w:sz w:val="16"/>
          <w:szCs w:val="16"/>
        </w:rPr>
        <w:t xml:space="preserve"> Baisse</w:t>
      </w:r>
      <w:r w:rsidRPr="00DA1EBF">
        <w:rPr>
          <w:rFonts w:cs="Calibri"/>
          <w:i/>
          <w:iCs/>
          <w:color w:val="000000"/>
          <w:sz w:val="16"/>
          <w:szCs w:val="16"/>
        </w:rPr>
        <w:t xml:space="preserve"> ; Sup.N : Supérieur à la </w:t>
      </w:r>
      <w:r w:rsidR="00C93093">
        <w:rPr>
          <w:rFonts w:cs="Calibri"/>
          <w:i/>
          <w:iCs/>
          <w:color w:val="000000"/>
          <w:sz w:val="16"/>
          <w:szCs w:val="16"/>
        </w:rPr>
        <w:t>N</w:t>
      </w:r>
      <w:r w:rsidRPr="00DA1EBF">
        <w:rPr>
          <w:rFonts w:cs="Calibri"/>
          <w:i/>
          <w:iCs/>
          <w:color w:val="000000"/>
          <w:sz w:val="16"/>
          <w:szCs w:val="16"/>
        </w:rPr>
        <w:t>ormale. ; Inf.N : Inférieur à la</w:t>
      </w:r>
      <w:r w:rsidR="00C93093">
        <w:rPr>
          <w:rFonts w:cs="Calibri"/>
          <w:i/>
          <w:iCs/>
          <w:color w:val="000000"/>
          <w:sz w:val="16"/>
          <w:szCs w:val="16"/>
        </w:rPr>
        <w:t xml:space="preserve"> N</w:t>
      </w:r>
      <w:r w:rsidRPr="00DA1EBF">
        <w:rPr>
          <w:rFonts w:cs="Calibri"/>
          <w:i/>
          <w:iCs/>
          <w:color w:val="000000"/>
          <w:sz w:val="16"/>
          <w:szCs w:val="16"/>
        </w:rPr>
        <w:t xml:space="preserve">normale ; N : </w:t>
      </w:r>
      <w:r w:rsidR="00C93093">
        <w:rPr>
          <w:rFonts w:cs="Calibri"/>
          <w:i/>
          <w:iCs/>
          <w:color w:val="000000"/>
          <w:sz w:val="16"/>
          <w:szCs w:val="16"/>
        </w:rPr>
        <w:t>N</w:t>
      </w:r>
      <w:r w:rsidRPr="00DA1EBF">
        <w:rPr>
          <w:rFonts w:cs="Calibri"/>
          <w:i/>
          <w:iCs/>
          <w:color w:val="000000"/>
          <w:sz w:val="16"/>
          <w:szCs w:val="16"/>
        </w:rPr>
        <w:t>ormale</w:t>
      </w:r>
    </w:p>
    <w:p w:rsidR="000753A3" w:rsidRPr="005063C0" w:rsidRDefault="000753A3" w:rsidP="00C93093">
      <w:pPr>
        <w:pStyle w:val="Paragraphedeliste"/>
        <w:ind w:left="644"/>
        <w:rPr>
          <w:rFonts w:eastAsia="Times New Roman" w:cs="Calibri"/>
          <w:i/>
          <w:iCs/>
          <w:color w:val="000000"/>
          <w:sz w:val="16"/>
          <w:szCs w:val="16"/>
          <w:lang w:eastAsia="fr-FR"/>
        </w:rPr>
      </w:pPr>
      <w:r w:rsidRPr="005063C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 xml:space="preserve"> SO : Solde d’</w:t>
      </w:r>
      <w:r w:rsidR="00C93093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O</w:t>
      </w:r>
      <w:r w:rsidRPr="005063C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pinion (différence entre le pourcentage des réponses « hausse » ou « Supérieur à la normal</w:t>
      </w:r>
      <w:r w:rsidR="00160BF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e</w:t>
      </w:r>
      <w:r w:rsidRPr="005063C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 » et le pourcentage des réponses « baisse » ou   « Inférieur à la normal</w:t>
      </w:r>
      <w:r w:rsidR="00160BF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e</w:t>
      </w:r>
      <w:r w:rsidRPr="005063C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 »).</w:t>
      </w:r>
    </w:p>
    <w:p w:rsidR="000753A3" w:rsidRDefault="000753A3">
      <w:pPr>
        <w:rPr>
          <w:b/>
          <w:bCs/>
        </w:rPr>
      </w:pPr>
    </w:p>
    <w:p w:rsidR="000753A3" w:rsidRDefault="000753A3">
      <w:pPr>
        <w:rPr>
          <w:b/>
          <w:bCs/>
        </w:rPr>
      </w:pPr>
      <w:r>
        <w:rPr>
          <w:b/>
          <w:bCs/>
        </w:rPr>
        <w:br w:type="page"/>
      </w:r>
    </w:p>
    <w:p w:rsidR="000753A3" w:rsidRPr="00F42FD3" w:rsidRDefault="000753A3" w:rsidP="000753A3">
      <w:pPr>
        <w:rPr>
          <w:b/>
          <w:bCs/>
        </w:rPr>
      </w:pPr>
      <w:r w:rsidRPr="000753A3">
        <w:rPr>
          <w:rFonts w:eastAsia="Arial Unicode MS"/>
          <w:b/>
          <w:bCs/>
          <w:i/>
          <w:iCs/>
          <w:sz w:val="22"/>
          <w:szCs w:val="22"/>
          <w:u w:val="single"/>
        </w:rPr>
        <w:lastRenderedPageBreak/>
        <w:t>Tableau 3</w:t>
      </w:r>
      <w:r w:rsidRPr="00F42FD3">
        <w:rPr>
          <w:b/>
          <w:bCs/>
        </w:rPr>
        <w:t xml:space="preserve">: </w:t>
      </w:r>
      <w:r w:rsidRPr="000753A3">
        <w:rPr>
          <w:rFonts w:eastAsia="Arial Unicode MS"/>
          <w:b/>
          <w:bCs/>
          <w:i/>
          <w:iCs/>
          <w:sz w:val="22"/>
          <w:szCs w:val="22"/>
        </w:rPr>
        <w:t>Résultats par branche d’</w:t>
      </w:r>
      <w:r w:rsidR="00DA1EBF" w:rsidRPr="000753A3">
        <w:rPr>
          <w:rFonts w:eastAsia="Arial Unicode MS"/>
          <w:b/>
          <w:bCs/>
          <w:i/>
          <w:iCs/>
          <w:sz w:val="22"/>
          <w:szCs w:val="22"/>
        </w:rPr>
        <w:t>activité</w:t>
      </w:r>
      <w:r w:rsidR="00E27F0E">
        <w:rPr>
          <w:rFonts w:eastAsia="Arial Unicode MS"/>
          <w:b/>
          <w:bCs/>
          <w:i/>
          <w:iCs/>
          <w:sz w:val="22"/>
          <w:szCs w:val="22"/>
        </w:rPr>
        <w:t xml:space="preserve"> du secteur de la construction</w:t>
      </w:r>
      <w:r w:rsidR="00DA1EBF">
        <w:rPr>
          <w:rFonts w:eastAsia="Arial Unicode MS"/>
          <w:b/>
          <w:bCs/>
          <w:i/>
          <w:iCs/>
          <w:sz w:val="22"/>
          <w:szCs w:val="22"/>
        </w:rPr>
        <w:t xml:space="preserve"> (en %)</w:t>
      </w:r>
    </w:p>
    <w:p w:rsidR="000753A3" w:rsidRDefault="000753A3" w:rsidP="000753A3"/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32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72"/>
      </w:tblGrid>
      <w:tr w:rsidR="000753A3" w:rsidRPr="00EA1209" w:rsidTr="00AD5270">
        <w:trPr>
          <w:trHeight w:val="304"/>
        </w:trPr>
        <w:tc>
          <w:tcPr>
            <w:tcW w:w="253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A3" w:rsidRPr="00EA1209" w:rsidRDefault="000753A3" w:rsidP="00075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Secteur de la </w:t>
            </w:r>
            <w:r w:rsidRPr="00EA120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Construction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Construction de bâtiments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Génie civil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Travaux de construction spécialisés</w:t>
            </w:r>
          </w:p>
        </w:tc>
      </w:tr>
      <w:tr w:rsidR="000753A3" w:rsidRPr="00EA1209" w:rsidTr="00AD5270">
        <w:trPr>
          <w:trHeight w:val="304"/>
        </w:trPr>
        <w:tc>
          <w:tcPr>
            <w:tcW w:w="2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A3" w:rsidRPr="00EA1209" w:rsidRDefault="000753A3" w:rsidP="00075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DA1E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</w:t>
            </w:r>
            <w:r w:rsidRPr="005063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(</w:t>
            </w:r>
            <w:r w:rsidR="00DA1E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Pr="005063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E14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SO</w:t>
            </w:r>
          </w:p>
        </w:tc>
      </w:tr>
      <w:tr w:rsidR="000753A3" w:rsidRPr="00EA1209" w:rsidTr="00AD5270">
        <w:trPr>
          <w:trHeight w:val="289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Evolution de l'activité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right"/>
              <w:rPr>
                <w:rFonts w:ascii="Calibri" w:hAnsi="Calibri" w:cs="Calibri"/>
                <w:color w:val="000000"/>
              </w:rPr>
            </w:pPr>
            <w:r w:rsidRPr="00EA12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753A3" w:rsidRPr="00EA1209" w:rsidTr="00AD5270">
        <w:trPr>
          <w:trHeight w:val="289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AD5270" w:rsidRDefault="000753A3" w:rsidP="000753A3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-7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0753A3" w:rsidRPr="00EA1209" w:rsidTr="00AD5270">
        <w:trPr>
          <w:trHeight w:val="304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AD5270" w:rsidRDefault="000753A3" w:rsidP="000753A3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40</w:t>
            </w:r>
          </w:p>
        </w:tc>
      </w:tr>
      <w:tr w:rsidR="000753A3" w:rsidRPr="00EA1209" w:rsidTr="00AD5270">
        <w:trPr>
          <w:trHeight w:val="304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Evolution de  l'effectif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3A3" w:rsidRPr="00EA1209" w:rsidTr="00AD5270">
        <w:trPr>
          <w:trHeight w:val="289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AD5270" w:rsidRDefault="000753A3" w:rsidP="000753A3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-5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</w:tr>
      <w:tr w:rsidR="000753A3" w:rsidRPr="00EA1209" w:rsidTr="00AD5270">
        <w:trPr>
          <w:trHeight w:val="304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AD5270" w:rsidRDefault="000753A3" w:rsidP="000753A3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0753A3" w:rsidRPr="00EA1209" w:rsidTr="00AD5270">
        <w:trPr>
          <w:trHeight w:val="304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Evolution des prix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753A3" w:rsidRPr="00EA1209" w:rsidTr="00AD5270">
        <w:trPr>
          <w:trHeight w:val="289"/>
        </w:trPr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AD5270" w:rsidRDefault="000753A3" w:rsidP="000753A3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 Réalisations 1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er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-7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-46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-25</w:t>
            </w:r>
          </w:p>
        </w:tc>
      </w:tr>
      <w:tr w:rsidR="000753A3" w:rsidRPr="00EA1209" w:rsidTr="00AD5270">
        <w:trPr>
          <w:trHeight w:val="304"/>
        </w:trPr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AD5270" w:rsidRDefault="000753A3" w:rsidP="000753A3">
            <w:pPr>
              <w:tabs>
                <w:tab w:val="left" w:pos="5025"/>
              </w:tabs>
              <w:rPr>
                <w:rFonts w:ascii="Calibri" w:eastAsia="Arial Unicode MS" w:hAnsi="Calibri"/>
                <w:i/>
                <w:iCs/>
                <w:sz w:val="16"/>
                <w:szCs w:val="16"/>
              </w:rPr>
            </w:pP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  Anticipations 2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  <w:vertAlign w:val="superscript"/>
              </w:rPr>
              <w:t>ème</w:t>
            </w:r>
            <w:r w:rsidRPr="00AD5270">
              <w:rPr>
                <w:rFonts w:ascii="Calibri" w:eastAsia="Arial Unicode MS" w:hAnsi="Calibri"/>
                <w:i/>
                <w:iCs/>
                <w:sz w:val="16"/>
                <w:szCs w:val="16"/>
              </w:rPr>
              <w:t xml:space="preserve"> T 2018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-2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-37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-15</w:t>
            </w:r>
          </w:p>
        </w:tc>
      </w:tr>
    </w:tbl>
    <w:p w:rsidR="000753A3" w:rsidRDefault="000753A3" w:rsidP="000753A3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32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72"/>
      </w:tblGrid>
      <w:tr w:rsidR="000753A3" w:rsidRPr="00EA1209" w:rsidTr="00AD5270">
        <w:trPr>
          <w:trHeight w:val="343"/>
        </w:trPr>
        <w:tc>
          <w:tcPr>
            <w:tcW w:w="253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753A3" w:rsidRPr="00EA1209" w:rsidRDefault="000753A3" w:rsidP="00075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5" w:type="dxa"/>
            <w:gridSpan w:val="4"/>
            <w:shd w:val="clear" w:color="auto" w:fill="EEECE1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Secteur de la </w:t>
            </w:r>
            <w:r w:rsidRPr="00EA120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Construction</w:t>
            </w:r>
          </w:p>
        </w:tc>
        <w:tc>
          <w:tcPr>
            <w:tcW w:w="1808" w:type="dxa"/>
            <w:gridSpan w:val="4"/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Construction de bâtiments</w:t>
            </w:r>
          </w:p>
        </w:tc>
        <w:tc>
          <w:tcPr>
            <w:tcW w:w="1808" w:type="dxa"/>
            <w:gridSpan w:val="4"/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Génie civil</w:t>
            </w:r>
          </w:p>
        </w:tc>
        <w:tc>
          <w:tcPr>
            <w:tcW w:w="1828" w:type="dxa"/>
            <w:gridSpan w:val="4"/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A120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Travaux de construction spécialisés</w:t>
            </w:r>
          </w:p>
        </w:tc>
      </w:tr>
      <w:tr w:rsidR="000753A3" w:rsidRPr="00EA1209" w:rsidTr="00AD5270">
        <w:trPr>
          <w:trHeight w:val="327"/>
        </w:trPr>
        <w:tc>
          <w:tcPr>
            <w:tcW w:w="253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0753A3" w:rsidRPr="00EA1209" w:rsidRDefault="000753A3" w:rsidP="000753A3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EA120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Sup.N</w:t>
            </w:r>
            <w:r w:rsidR="00DA1EBF" w:rsidRPr="005063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(</w:t>
            </w:r>
            <w:r w:rsidR="00DA1E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DA1EBF" w:rsidRPr="005063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N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Inf.N</w:t>
            </w:r>
          </w:p>
        </w:tc>
        <w:tc>
          <w:tcPr>
            <w:tcW w:w="452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SO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Sup.N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N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Inf.N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SO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Sup.N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N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Inf.N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SO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Sup.N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N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Inf.N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SO</w:t>
            </w:r>
          </w:p>
        </w:tc>
      </w:tr>
      <w:tr w:rsidR="000753A3" w:rsidRPr="00EA1209" w:rsidTr="00AD5270">
        <w:trPr>
          <w:trHeight w:val="343"/>
        </w:trPr>
        <w:tc>
          <w:tcPr>
            <w:tcW w:w="2532" w:type="dxa"/>
            <w:shd w:val="clear" w:color="auto" w:fill="auto"/>
            <w:noWrap/>
            <w:vAlign w:val="center"/>
            <w:hideMark/>
          </w:tcPr>
          <w:p w:rsidR="000753A3" w:rsidRPr="00EA1209" w:rsidRDefault="000753A3" w:rsidP="000753A3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Niveau des c</w:t>
            </w:r>
            <w:r w:rsidRPr="00EA12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arnet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</w:t>
            </w:r>
            <w:r w:rsidRPr="00EA120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de commandes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451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2" w:type="dxa"/>
            <w:shd w:val="clear" w:color="auto" w:fill="EEECE1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-2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-56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0753A3" w:rsidRPr="000753A3" w:rsidRDefault="000753A3" w:rsidP="000753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53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-14</w:t>
            </w:r>
          </w:p>
        </w:tc>
      </w:tr>
    </w:tbl>
    <w:p w:rsidR="000753A3" w:rsidRDefault="000753A3" w:rsidP="000753A3">
      <w:pP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0753A3" w:rsidRDefault="000753A3" w:rsidP="000753A3">
      <w:pP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0753A3" w:rsidRDefault="000753A3" w:rsidP="000753A3">
      <w:pP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</w:pPr>
    </w:p>
    <w:p w:rsidR="000753A3" w:rsidRPr="00DA1EBF" w:rsidRDefault="000753A3" w:rsidP="00C93093">
      <w:pPr>
        <w:pStyle w:val="Paragraphedeliste"/>
        <w:numPr>
          <w:ilvl w:val="0"/>
          <w:numId w:val="29"/>
        </w:numPr>
        <w:ind w:right="284"/>
        <w:rPr>
          <w:rFonts w:cs="Calibri"/>
          <w:i/>
          <w:iCs/>
          <w:color w:val="000000"/>
          <w:sz w:val="16"/>
          <w:szCs w:val="16"/>
        </w:rPr>
      </w:pPr>
      <w:r w:rsidRPr="00DA1EBF">
        <w:rPr>
          <w:rFonts w:cs="Calibri"/>
          <w:i/>
          <w:iCs/>
          <w:color w:val="000000"/>
          <w:sz w:val="16"/>
          <w:szCs w:val="16"/>
        </w:rPr>
        <w:t>H : Hausse ; S :</w:t>
      </w:r>
      <w:r w:rsidR="00C93093">
        <w:rPr>
          <w:rFonts w:cs="Calibri"/>
          <w:i/>
          <w:iCs/>
          <w:color w:val="000000"/>
          <w:sz w:val="16"/>
          <w:szCs w:val="16"/>
        </w:rPr>
        <w:t xml:space="preserve"> Stabilité ; B : Baisse ; Sup.N : Supérieur à la N</w:t>
      </w:r>
      <w:r w:rsidRPr="00DA1EBF">
        <w:rPr>
          <w:rFonts w:cs="Calibri"/>
          <w:i/>
          <w:iCs/>
          <w:color w:val="000000"/>
          <w:sz w:val="16"/>
          <w:szCs w:val="16"/>
        </w:rPr>
        <w:t xml:space="preserve">ormale. ; Inf.N : </w:t>
      </w:r>
      <w:r w:rsidR="00C93093">
        <w:rPr>
          <w:rFonts w:cs="Calibri"/>
          <w:i/>
          <w:iCs/>
          <w:color w:val="000000"/>
          <w:sz w:val="16"/>
          <w:szCs w:val="16"/>
        </w:rPr>
        <w:t>Inférieur à la normale ; N : N</w:t>
      </w:r>
      <w:r w:rsidRPr="00DA1EBF">
        <w:rPr>
          <w:rFonts w:cs="Calibri"/>
          <w:i/>
          <w:iCs/>
          <w:color w:val="000000"/>
          <w:sz w:val="16"/>
          <w:szCs w:val="16"/>
        </w:rPr>
        <w:t>ormale</w:t>
      </w:r>
    </w:p>
    <w:p w:rsidR="000753A3" w:rsidRPr="005063C0" w:rsidRDefault="00C93093" w:rsidP="00160BF0">
      <w:pPr>
        <w:pStyle w:val="Paragraphedeliste"/>
        <w:ind w:left="644"/>
        <w:rPr>
          <w:rFonts w:eastAsia="Times New Roman" w:cs="Calibri"/>
          <w:i/>
          <w:iCs/>
          <w:color w:val="000000"/>
          <w:sz w:val="16"/>
          <w:szCs w:val="16"/>
          <w:lang w:eastAsia="fr-FR"/>
        </w:rPr>
      </w:pPr>
      <w:r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 xml:space="preserve"> SO : Solde d’O</w:t>
      </w:r>
      <w:r w:rsidR="000753A3" w:rsidRPr="005063C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pinion (différence entre le pourcentage des réponses « hausse » ou « Supérieur à la normal</w:t>
      </w:r>
      <w:r w:rsidR="00160BF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e</w:t>
      </w:r>
      <w:r w:rsidR="000753A3" w:rsidRPr="005063C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 » et le pourcentage des réponses « baisse » ou   « Inférieur à la normal</w:t>
      </w:r>
      <w:r w:rsidR="00160BF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e</w:t>
      </w:r>
      <w:r w:rsidR="000753A3" w:rsidRPr="005063C0">
        <w:rPr>
          <w:rFonts w:eastAsia="Times New Roman" w:cs="Calibri"/>
          <w:i/>
          <w:iCs/>
          <w:color w:val="000000"/>
          <w:sz w:val="16"/>
          <w:szCs w:val="16"/>
          <w:lang w:eastAsia="fr-FR"/>
        </w:rPr>
        <w:t>»).</w:t>
      </w:r>
    </w:p>
    <w:p w:rsidR="000753A3" w:rsidRPr="00E02272" w:rsidRDefault="000753A3" w:rsidP="00E02272">
      <w:pPr>
        <w:tabs>
          <w:tab w:val="left" w:pos="5025"/>
        </w:tabs>
        <w:rPr>
          <w:rFonts w:eastAsia="Arial Unicode MS"/>
          <w:sz w:val="22"/>
          <w:szCs w:val="22"/>
        </w:rPr>
      </w:pPr>
    </w:p>
    <w:sectPr w:rsidR="000753A3" w:rsidRPr="00E02272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27E" w:rsidRDefault="0021427E">
      <w:r>
        <w:separator/>
      </w:r>
    </w:p>
  </w:endnote>
  <w:endnote w:type="continuationSeparator" w:id="1">
    <w:p w:rsidR="0021427E" w:rsidRDefault="0021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6182"/>
      <w:gridCol w:w="3672"/>
    </w:tblGrid>
    <w:tr w:rsidR="000753A3" w:rsidRPr="00FE7F7C" w:rsidTr="0039125F">
      <w:trPr>
        <w:trHeight w:val="274"/>
      </w:trPr>
      <w:tc>
        <w:tcPr>
          <w:tcW w:w="3137" w:type="pct"/>
          <w:vAlign w:val="center"/>
        </w:tcPr>
        <w:p w:rsidR="000753A3" w:rsidRPr="00FE7F7C" w:rsidRDefault="000753A3" w:rsidP="0039125F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863" w:type="pct"/>
          <w:shd w:val="clear" w:color="auto" w:fill="auto"/>
          <w:vAlign w:val="center"/>
        </w:tcPr>
        <w:p w:rsidR="000753A3" w:rsidRPr="009066FA" w:rsidRDefault="000753A3" w:rsidP="00EB28DA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Juin 2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8                                              </w:t>
          </w:r>
          <w:r w:rsidRPr="00EB28D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DB6D1E" w:rsidRPr="00EB28DA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EB28DA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DB6D1E" w:rsidRPr="00EB28DA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0F723D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="00DB6D1E" w:rsidRPr="00EB28DA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EB28D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0F723D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6</w:t>
            </w:r>
          </w:fldSimple>
        </w:p>
      </w:tc>
    </w:tr>
  </w:tbl>
  <w:p w:rsidR="000753A3" w:rsidRPr="0013128E" w:rsidRDefault="000753A3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0753A3" w:rsidRDefault="000753A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A3" w:rsidRDefault="00DB6D1E">
    <w:pPr>
      <w:pStyle w:val="Pieddepage"/>
      <w:jc w:val="center"/>
    </w:pPr>
    <w:r>
      <w:fldChar w:fldCharType="begin"/>
    </w:r>
    <w:r w:rsidR="000753A3">
      <w:instrText xml:space="preserve"> PAGE   \* MERGEFORMAT </w:instrText>
    </w:r>
    <w:r>
      <w:fldChar w:fldCharType="separate"/>
    </w:r>
    <w:r w:rsidR="000753A3">
      <w:rPr>
        <w:noProof/>
      </w:rPr>
      <w:t>1</w:t>
    </w:r>
    <w:r>
      <w:rPr>
        <w:noProof/>
      </w:rPr>
      <w:fldChar w:fldCharType="end"/>
    </w:r>
  </w:p>
  <w:p w:rsidR="000753A3" w:rsidRDefault="000753A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6222"/>
      <w:gridCol w:w="1675"/>
      <w:gridCol w:w="1675"/>
    </w:tblGrid>
    <w:tr w:rsidR="000753A3" w:rsidRPr="00FE7F7C" w:rsidTr="00231B51">
      <w:trPr>
        <w:trHeight w:val="274"/>
      </w:trPr>
      <w:tc>
        <w:tcPr>
          <w:tcW w:w="3250" w:type="pct"/>
          <w:vAlign w:val="center"/>
        </w:tcPr>
        <w:p w:rsidR="000753A3" w:rsidRPr="00FE7F7C" w:rsidRDefault="000753A3" w:rsidP="00231B5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875" w:type="pct"/>
          <w:shd w:val="clear" w:color="auto" w:fill="auto"/>
          <w:vAlign w:val="center"/>
        </w:tcPr>
        <w:p w:rsidR="000753A3" w:rsidRPr="009066FA" w:rsidRDefault="000753A3" w:rsidP="004615F6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juin  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8</w:t>
          </w:r>
        </w:p>
      </w:tc>
      <w:tc>
        <w:tcPr>
          <w:tcW w:w="875" w:type="pct"/>
        </w:tcPr>
        <w:p w:rsidR="000753A3" w:rsidRPr="00FE7F7C" w:rsidRDefault="000753A3" w:rsidP="00231B51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231B5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DB6D1E" w:rsidRPr="00231B51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231B51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DB6D1E" w:rsidRPr="00231B51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0F723D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4</w:t>
          </w:r>
          <w:r w:rsidR="00DB6D1E" w:rsidRPr="00231B51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231B5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0F723D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6</w:t>
            </w:r>
          </w:fldSimple>
        </w:p>
      </w:tc>
    </w:tr>
  </w:tbl>
  <w:p w:rsidR="000753A3" w:rsidRPr="007E64AF" w:rsidRDefault="000753A3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A3" w:rsidRDefault="00DB6D1E">
    <w:pPr>
      <w:pStyle w:val="Pieddepage"/>
      <w:jc w:val="center"/>
    </w:pPr>
    <w:r>
      <w:fldChar w:fldCharType="begin"/>
    </w:r>
    <w:r w:rsidR="000753A3">
      <w:instrText xml:space="preserve"> PAGE   \* MERGEFORMAT </w:instrText>
    </w:r>
    <w:r>
      <w:fldChar w:fldCharType="separate"/>
    </w:r>
    <w:r w:rsidR="000753A3">
      <w:rPr>
        <w:noProof/>
      </w:rPr>
      <w:t>1</w:t>
    </w:r>
    <w:r>
      <w:rPr>
        <w:noProof/>
      </w:rPr>
      <w:fldChar w:fldCharType="end"/>
    </w:r>
  </w:p>
  <w:p w:rsidR="000753A3" w:rsidRDefault="000753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27E" w:rsidRDefault="0021427E">
      <w:r>
        <w:separator/>
      </w:r>
    </w:p>
  </w:footnote>
  <w:footnote w:type="continuationSeparator" w:id="1">
    <w:p w:rsidR="0021427E" w:rsidRDefault="00214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F3CBD"/>
    <w:multiLevelType w:val="hybridMultilevel"/>
    <w:tmpl w:val="5DA8593A"/>
    <w:lvl w:ilvl="0" w:tplc="883CF878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482FBD"/>
    <w:multiLevelType w:val="hybridMultilevel"/>
    <w:tmpl w:val="083E7A7A"/>
    <w:lvl w:ilvl="0" w:tplc="EAAEC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3236D5"/>
    <w:multiLevelType w:val="hybridMultilevel"/>
    <w:tmpl w:val="564C02EC"/>
    <w:lvl w:ilvl="0" w:tplc="66B6EFB8">
      <w:start w:val="1"/>
      <w:numFmt w:val="decimal"/>
      <w:lvlText w:val="(%1)"/>
      <w:lvlJc w:val="left"/>
      <w:pPr>
        <w:ind w:left="719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9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6"/>
  </w:num>
  <w:num w:numId="5">
    <w:abstractNumId w:val="26"/>
  </w:num>
  <w:num w:numId="6">
    <w:abstractNumId w:val="19"/>
  </w:num>
  <w:num w:numId="7">
    <w:abstractNumId w:val="8"/>
  </w:num>
  <w:num w:numId="8">
    <w:abstractNumId w:val="16"/>
  </w:num>
  <w:num w:numId="9">
    <w:abstractNumId w:val="29"/>
  </w:num>
  <w:num w:numId="10">
    <w:abstractNumId w:val="20"/>
  </w:num>
  <w:num w:numId="11">
    <w:abstractNumId w:val="7"/>
  </w:num>
  <w:num w:numId="12">
    <w:abstractNumId w:val="15"/>
  </w:num>
  <w:num w:numId="13">
    <w:abstractNumId w:val="24"/>
  </w:num>
  <w:num w:numId="14">
    <w:abstractNumId w:val="21"/>
  </w:num>
  <w:num w:numId="15">
    <w:abstractNumId w:val="11"/>
  </w:num>
  <w:num w:numId="16">
    <w:abstractNumId w:val="23"/>
  </w:num>
  <w:num w:numId="17">
    <w:abstractNumId w:val="13"/>
  </w:num>
  <w:num w:numId="18">
    <w:abstractNumId w:val="2"/>
  </w:num>
  <w:num w:numId="19">
    <w:abstractNumId w:val="17"/>
  </w:num>
  <w:num w:numId="20">
    <w:abstractNumId w:val="9"/>
  </w:num>
  <w:num w:numId="21">
    <w:abstractNumId w:val="12"/>
  </w:num>
  <w:num w:numId="22">
    <w:abstractNumId w:val="14"/>
  </w:num>
  <w:num w:numId="23">
    <w:abstractNumId w:val="4"/>
  </w:num>
  <w:num w:numId="24">
    <w:abstractNumId w:val="18"/>
  </w:num>
  <w:num w:numId="25">
    <w:abstractNumId w:val="27"/>
  </w:num>
  <w:num w:numId="26">
    <w:abstractNumId w:val="0"/>
  </w:num>
  <w:num w:numId="27">
    <w:abstractNumId w:val="10"/>
  </w:num>
  <w:num w:numId="28">
    <w:abstractNumId w:val="3"/>
  </w:num>
  <w:num w:numId="29">
    <w:abstractNumId w:val="28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5CD7"/>
    <w:rsid w:val="00006216"/>
    <w:rsid w:val="00006861"/>
    <w:rsid w:val="00006DD3"/>
    <w:rsid w:val="000075E8"/>
    <w:rsid w:val="0001021C"/>
    <w:rsid w:val="00011235"/>
    <w:rsid w:val="00011B92"/>
    <w:rsid w:val="00011D25"/>
    <w:rsid w:val="00012963"/>
    <w:rsid w:val="00013E44"/>
    <w:rsid w:val="00014315"/>
    <w:rsid w:val="000172A2"/>
    <w:rsid w:val="00021C30"/>
    <w:rsid w:val="00022D8B"/>
    <w:rsid w:val="0002646D"/>
    <w:rsid w:val="000275EF"/>
    <w:rsid w:val="00030A66"/>
    <w:rsid w:val="00031605"/>
    <w:rsid w:val="00032ABA"/>
    <w:rsid w:val="0003329C"/>
    <w:rsid w:val="00037040"/>
    <w:rsid w:val="0003724A"/>
    <w:rsid w:val="00043D21"/>
    <w:rsid w:val="000464F7"/>
    <w:rsid w:val="00047A32"/>
    <w:rsid w:val="000511BB"/>
    <w:rsid w:val="00053F91"/>
    <w:rsid w:val="00054E17"/>
    <w:rsid w:val="000554EE"/>
    <w:rsid w:val="00057C47"/>
    <w:rsid w:val="000625B3"/>
    <w:rsid w:val="00066703"/>
    <w:rsid w:val="00072976"/>
    <w:rsid w:val="00074098"/>
    <w:rsid w:val="0007522F"/>
    <w:rsid w:val="000753A3"/>
    <w:rsid w:val="0007624B"/>
    <w:rsid w:val="00084B71"/>
    <w:rsid w:val="00086874"/>
    <w:rsid w:val="0009025C"/>
    <w:rsid w:val="00091CDB"/>
    <w:rsid w:val="0009283F"/>
    <w:rsid w:val="00093794"/>
    <w:rsid w:val="00095BA9"/>
    <w:rsid w:val="000A2AE4"/>
    <w:rsid w:val="000A3937"/>
    <w:rsid w:val="000A3E97"/>
    <w:rsid w:val="000A6D2B"/>
    <w:rsid w:val="000B1D9D"/>
    <w:rsid w:val="000B2A3E"/>
    <w:rsid w:val="000B2AA5"/>
    <w:rsid w:val="000B3925"/>
    <w:rsid w:val="000B3E29"/>
    <w:rsid w:val="000B4C25"/>
    <w:rsid w:val="000B5B84"/>
    <w:rsid w:val="000B6C46"/>
    <w:rsid w:val="000C31D2"/>
    <w:rsid w:val="000C3A0E"/>
    <w:rsid w:val="000C54A5"/>
    <w:rsid w:val="000C70E7"/>
    <w:rsid w:val="000D4A9A"/>
    <w:rsid w:val="000D7810"/>
    <w:rsid w:val="000E04FA"/>
    <w:rsid w:val="000E1335"/>
    <w:rsid w:val="000E20A9"/>
    <w:rsid w:val="000E52CC"/>
    <w:rsid w:val="000E5893"/>
    <w:rsid w:val="000E76B0"/>
    <w:rsid w:val="000F0BF1"/>
    <w:rsid w:val="000F6813"/>
    <w:rsid w:val="000F71D1"/>
    <w:rsid w:val="000F723D"/>
    <w:rsid w:val="00100AF5"/>
    <w:rsid w:val="00100DF0"/>
    <w:rsid w:val="0010285F"/>
    <w:rsid w:val="00102A1F"/>
    <w:rsid w:val="001062FA"/>
    <w:rsid w:val="00106C12"/>
    <w:rsid w:val="00112318"/>
    <w:rsid w:val="0011346C"/>
    <w:rsid w:val="00123B0E"/>
    <w:rsid w:val="00124024"/>
    <w:rsid w:val="001245E1"/>
    <w:rsid w:val="00127090"/>
    <w:rsid w:val="00130063"/>
    <w:rsid w:val="00130367"/>
    <w:rsid w:val="001308D6"/>
    <w:rsid w:val="0013128E"/>
    <w:rsid w:val="00131807"/>
    <w:rsid w:val="00131EDC"/>
    <w:rsid w:val="00133AA7"/>
    <w:rsid w:val="00135176"/>
    <w:rsid w:val="001357F1"/>
    <w:rsid w:val="00136EC8"/>
    <w:rsid w:val="00137652"/>
    <w:rsid w:val="0014114C"/>
    <w:rsid w:val="00144168"/>
    <w:rsid w:val="0014690D"/>
    <w:rsid w:val="00151644"/>
    <w:rsid w:val="0015197C"/>
    <w:rsid w:val="0015631E"/>
    <w:rsid w:val="001575EB"/>
    <w:rsid w:val="00157A43"/>
    <w:rsid w:val="00160B9E"/>
    <w:rsid w:val="00160BF0"/>
    <w:rsid w:val="00161DB1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514F"/>
    <w:rsid w:val="00185849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C3920"/>
    <w:rsid w:val="001D119E"/>
    <w:rsid w:val="001D4566"/>
    <w:rsid w:val="001D522B"/>
    <w:rsid w:val="001D6519"/>
    <w:rsid w:val="001D69A9"/>
    <w:rsid w:val="001D6CCE"/>
    <w:rsid w:val="001D6D12"/>
    <w:rsid w:val="001D6F2D"/>
    <w:rsid w:val="001E0DAC"/>
    <w:rsid w:val="001E3163"/>
    <w:rsid w:val="001E3E25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1F7F34"/>
    <w:rsid w:val="00203FD6"/>
    <w:rsid w:val="00204441"/>
    <w:rsid w:val="002050CB"/>
    <w:rsid w:val="0020594A"/>
    <w:rsid w:val="00206659"/>
    <w:rsid w:val="00207E17"/>
    <w:rsid w:val="00207F60"/>
    <w:rsid w:val="00210EFA"/>
    <w:rsid w:val="00212505"/>
    <w:rsid w:val="0021427E"/>
    <w:rsid w:val="00215236"/>
    <w:rsid w:val="00215A43"/>
    <w:rsid w:val="002164FB"/>
    <w:rsid w:val="0022299E"/>
    <w:rsid w:val="0022622F"/>
    <w:rsid w:val="00231B51"/>
    <w:rsid w:val="00233459"/>
    <w:rsid w:val="00236B5B"/>
    <w:rsid w:val="00245006"/>
    <w:rsid w:val="00245FD1"/>
    <w:rsid w:val="002532C9"/>
    <w:rsid w:val="0025451A"/>
    <w:rsid w:val="002559DF"/>
    <w:rsid w:val="00255C34"/>
    <w:rsid w:val="00256291"/>
    <w:rsid w:val="00257C74"/>
    <w:rsid w:val="00260217"/>
    <w:rsid w:val="00265A87"/>
    <w:rsid w:val="002668FE"/>
    <w:rsid w:val="00267FF9"/>
    <w:rsid w:val="00273257"/>
    <w:rsid w:val="002760BD"/>
    <w:rsid w:val="002770BB"/>
    <w:rsid w:val="00281414"/>
    <w:rsid w:val="002824C8"/>
    <w:rsid w:val="002833BE"/>
    <w:rsid w:val="00283E97"/>
    <w:rsid w:val="00284321"/>
    <w:rsid w:val="0028439F"/>
    <w:rsid w:val="00286F23"/>
    <w:rsid w:val="00287CF6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4B98"/>
    <w:rsid w:val="002D537A"/>
    <w:rsid w:val="002D769F"/>
    <w:rsid w:val="002E1737"/>
    <w:rsid w:val="002E2E62"/>
    <w:rsid w:val="002E446D"/>
    <w:rsid w:val="002E750F"/>
    <w:rsid w:val="002F0627"/>
    <w:rsid w:val="002F37B3"/>
    <w:rsid w:val="002F3FB3"/>
    <w:rsid w:val="002F47BF"/>
    <w:rsid w:val="002F5C54"/>
    <w:rsid w:val="002F71A5"/>
    <w:rsid w:val="002F7B54"/>
    <w:rsid w:val="00301A88"/>
    <w:rsid w:val="00302676"/>
    <w:rsid w:val="003027A9"/>
    <w:rsid w:val="00302E80"/>
    <w:rsid w:val="00303C33"/>
    <w:rsid w:val="00304336"/>
    <w:rsid w:val="003045CB"/>
    <w:rsid w:val="00304F3F"/>
    <w:rsid w:val="00305B12"/>
    <w:rsid w:val="0030605C"/>
    <w:rsid w:val="00306823"/>
    <w:rsid w:val="00306CBC"/>
    <w:rsid w:val="00307146"/>
    <w:rsid w:val="00310224"/>
    <w:rsid w:val="003121A0"/>
    <w:rsid w:val="00312DB8"/>
    <w:rsid w:val="00313123"/>
    <w:rsid w:val="00314023"/>
    <w:rsid w:val="00314191"/>
    <w:rsid w:val="00316313"/>
    <w:rsid w:val="0031675C"/>
    <w:rsid w:val="00316FF5"/>
    <w:rsid w:val="00317A9E"/>
    <w:rsid w:val="00321166"/>
    <w:rsid w:val="00321EFF"/>
    <w:rsid w:val="00330198"/>
    <w:rsid w:val="0033069D"/>
    <w:rsid w:val="003329F7"/>
    <w:rsid w:val="0033375A"/>
    <w:rsid w:val="00334763"/>
    <w:rsid w:val="0033541E"/>
    <w:rsid w:val="003359E4"/>
    <w:rsid w:val="00335D61"/>
    <w:rsid w:val="00336BD4"/>
    <w:rsid w:val="0034133F"/>
    <w:rsid w:val="003456C6"/>
    <w:rsid w:val="0034613F"/>
    <w:rsid w:val="00346886"/>
    <w:rsid w:val="00351D4C"/>
    <w:rsid w:val="00356D34"/>
    <w:rsid w:val="003617C7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2F99"/>
    <w:rsid w:val="003832DA"/>
    <w:rsid w:val="00383327"/>
    <w:rsid w:val="0038590B"/>
    <w:rsid w:val="00391150"/>
    <w:rsid w:val="0039125F"/>
    <w:rsid w:val="003930A1"/>
    <w:rsid w:val="0039671A"/>
    <w:rsid w:val="003A0669"/>
    <w:rsid w:val="003A2CE4"/>
    <w:rsid w:val="003A3083"/>
    <w:rsid w:val="003B0615"/>
    <w:rsid w:val="003B5F82"/>
    <w:rsid w:val="003B6532"/>
    <w:rsid w:val="003B7C9A"/>
    <w:rsid w:val="003C153C"/>
    <w:rsid w:val="003C1B70"/>
    <w:rsid w:val="003C2ECA"/>
    <w:rsid w:val="003C3C15"/>
    <w:rsid w:val="003C6E2C"/>
    <w:rsid w:val="003C709A"/>
    <w:rsid w:val="003C75FD"/>
    <w:rsid w:val="003D0B92"/>
    <w:rsid w:val="003D2655"/>
    <w:rsid w:val="003D46A9"/>
    <w:rsid w:val="003D68CD"/>
    <w:rsid w:val="003D76E8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68B1"/>
    <w:rsid w:val="003F7BFE"/>
    <w:rsid w:val="00400CB6"/>
    <w:rsid w:val="00404176"/>
    <w:rsid w:val="00405781"/>
    <w:rsid w:val="00407D80"/>
    <w:rsid w:val="00416C7F"/>
    <w:rsid w:val="00421870"/>
    <w:rsid w:val="00421C0A"/>
    <w:rsid w:val="004247A5"/>
    <w:rsid w:val="004249F6"/>
    <w:rsid w:val="004276B0"/>
    <w:rsid w:val="00431972"/>
    <w:rsid w:val="00431EBD"/>
    <w:rsid w:val="00434088"/>
    <w:rsid w:val="00435B96"/>
    <w:rsid w:val="00436AE5"/>
    <w:rsid w:val="00441D95"/>
    <w:rsid w:val="0044331A"/>
    <w:rsid w:val="00446B5D"/>
    <w:rsid w:val="00446DB7"/>
    <w:rsid w:val="0044734F"/>
    <w:rsid w:val="00453F1C"/>
    <w:rsid w:val="00454991"/>
    <w:rsid w:val="00456E49"/>
    <w:rsid w:val="004615F6"/>
    <w:rsid w:val="00462822"/>
    <w:rsid w:val="00462AEA"/>
    <w:rsid w:val="004659F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87714"/>
    <w:rsid w:val="00490415"/>
    <w:rsid w:val="00490DF8"/>
    <w:rsid w:val="004910D9"/>
    <w:rsid w:val="004915DF"/>
    <w:rsid w:val="00491F4E"/>
    <w:rsid w:val="0049594F"/>
    <w:rsid w:val="004A03AC"/>
    <w:rsid w:val="004A1B02"/>
    <w:rsid w:val="004A2AD5"/>
    <w:rsid w:val="004A5769"/>
    <w:rsid w:val="004A7EF1"/>
    <w:rsid w:val="004B00AE"/>
    <w:rsid w:val="004B19E7"/>
    <w:rsid w:val="004B2E96"/>
    <w:rsid w:val="004B411A"/>
    <w:rsid w:val="004C2C45"/>
    <w:rsid w:val="004C584F"/>
    <w:rsid w:val="004C612B"/>
    <w:rsid w:val="004C7838"/>
    <w:rsid w:val="004D4CBB"/>
    <w:rsid w:val="004D61CC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86B"/>
    <w:rsid w:val="004E6E15"/>
    <w:rsid w:val="004E7600"/>
    <w:rsid w:val="004E7ABF"/>
    <w:rsid w:val="004F3556"/>
    <w:rsid w:val="004F3796"/>
    <w:rsid w:val="00500ACF"/>
    <w:rsid w:val="00502528"/>
    <w:rsid w:val="00504E5F"/>
    <w:rsid w:val="00505AD5"/>
    <w:rsid w:val="00506785"/>
    <w:rsid w:val="00506E9B"/>
    <w:rsid w:val="005102C2"/>
    <w:rsid w:val="00511F05"/>
    <w:rsid w:val="00511FBB"/>
    <w:rsid w:val="00513024"/>
    <w:rsid w:val="005142A8"/>
    <w:rsid w:val="00514D14"/>
    <w:rsid w:val="005165C5"/>
    <w:rsid w:val="005247DE"/>
    <w:rsid w:val="00530796"/>
    <w:rsid w:val="00532B0F"/>
    <w:rsid w:val="005330D1"/>
    <w:rsid w:val="005337B6"/>
    <w:rsid w:val="00533D55"/>
    <w:rsid w:val="00533E4A"/>
    <w:rsid w:val="00535A84"/>
    <w:rsid w:val="00537897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51C1"/>
    <w:rsid w:val="00557213"/>
    <w:rsid w:val="005573F0"/>
    <w:rsid w:val="00566A26"/>
    <w:rsid w:val="00566ACC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43CE"/>
    <w:rsid w:val="00584A52"/>
    <w:rsid w:val="005850FD"/>
    <w:rsid w:val="00585CD7"/>
    <w:rsid w:val="0059090F"/>
    <w:rsid w:val="00594250"/>
    <w:rsid w:val="00594D60"/>
    <w:rsid w:val="0059629C"/>
    <w:rsid w:val="00596EA4"/>
    <w:rsid w:val="005974B8"/>
    <w:rsid w:val="005A0189"/>
    <w:rsid w:val="005A3690"/>
    <w:rsid w:val="005A3755"/>
    <w:rsid w:val="005A4826"/>
    <w:rsid w:val="005B18F9"/>
    <w:rsid w:val="005B1E03"/>
    <w:rsid w:val="005B3B22"/>
    <w:rsid w:val="005B48EA"/>
    <w:rsid w:val="005B5B99"/>
    <w:rsid w:val="005B6049"/>
    <w:rsid w:val="005B789E"/>
    <w:rsid w:val="005C0641"/>
    <w:rsid w:val="005C0687"/>
    <w:rsid w:val="005C3AA3"/>
    <w:rsid w:val="005C3B99"/>
    <w:rsid w:val="005C3EE4"/>
    <w:rsid w:val="005C490C"/>
    <w:rsid w:val="005D0DC1"/>
    <w:rsid w:val="005D4A17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0FDA"/>
    <w:rsid w:val="00611C26"/>
    <w:rsid w:val="00612A85"/>
    <w:rsid w:val="00612B0E"/>
    <w:rsid w:val="00614FEA"/>
    <w:rsid w:val="006153E5"/>
    <w:rsid w:val="00616F7E"/>
    <w:rsid w:val="006202E0"/>
    <w:rsid w:val="00621BE8"/>
    <w:rsid w:val="00630C01"/>
    <w:rsid w:val="00630E13"/>
    <w:rsid w:val="00631531"/>
    <w:rsid w:val="006328C2"/>
    <w:rsid w:val="00633CEF"/>
    <w:rsid w:val="006353E9"/>
    <w:rsid w:val="00636323"/>
    <w:rsid w:val="0063735A"/>
    <w:rsid w:val="006403D8"/>
    <w:rsid w:val="006420C4"/>
    <w:rsid w:val="006451A0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5C54"/>
    <w:rsid w:val="0066722C"/>
    <w:rsid w:val="00667ECC"/>
    <w:rsid w:val="006707C0"/>
    <w:rsid w:val="00676B69"/>
    <w:rsid w:val="00683CC4"/>
    <w:rsid w:val="00684DA3"/>
    <w:rsid w:val="006850D8"/>
    <w:rsid w:val="0068688D"/>
    <w:rsid w:val="00690102"/>
    <w:rsid w:val="00695538"/>
    <w:rsid w:val="00695704"/>
    <w:rsid w:val="006A2470"/>
    <w:rsid w:val="006A2D89"/>
    <w:rsid w:val="006B0611"/>
    <w:rsid w:val="006B089B"/>
    <w:rsid w:val="006B21F5"/>
    <w:rsid w:val="006B3697"/>
    <w:rsid w:val="006B36B6"/>
    <w:rsid w:val="006B3900"/>
    <w:rsid w:val="006B67F3"/>
    <w:rsid w:val="006B771C"/>
    <w:rsid w:val="006B7B34"/>
    <w:rsid w:val="006C20F3"/>
    <w:rsid w:val="006C4536"/>
    <w:rsid w:val="006C4E25"/>
    <w:rsid w:val="006C6657"/>
    <w:rsid w:val="006C742F"/>
    <w:rsid w:val="006D08D3"/>
    <w:rsid w:val="006D09D7"/>
    <w:rsid w:val="006D1049"/>
    <w:rsid w:val="006D1BFB"/>
    <w:rsid w:val="006D40B9"/>
    <w:rsid w:val="006D4D06"/>
    <w:rsid w:val="006D50AE"/>
    <w:rsid w:val="006D5263"/>
    <w:rsid w:val="006D7F7D"/>
    <w:rsid w:val="006E0499"/>
    <w:rsid w:val="006E1F9E"/>
    <w:rsid w:val="006E2332"/>
    <w:rsid w:val="006E5679"/>
    <w:rsid w:val="006E6C4B"/>
    <w:rsid w:val="006E6FEB"/>
    <w:rsid w:val="006F1AF1"/>
    <w:rsid w:val="006F499A"/>
    <w:rsid w:val="006F5643"/>
    <w:rsid w:val="00700208"/>
    <w:rsid w:val="00702012"/>
    <w:rsid w:val="00704699"/>
    <w:rsid w:val="00706C10"/>
    <w:rsid w:val="0070760B"/>
    <w:rsid w:val="00711A4F"/>
    <w:rsid w:val="00711D32"/>
    <w:rsid w:val="00712FC1"/>
    <w:rsid w:val="00720AA5"/>
    <w:rsid w:val="00720E44"/>
    <w:rsid w:val="00722358"/>
    <w:rsid w:val="00722F27"/>
    <w:rsid w:val="00723F62"/>
    <w:rsid w:val="007265A7"/>
    <w:rsid w:val="00726F08"/>
    <w:rsid w:val="007320F2"/>
    <w:rsid w:val="00733C13"/>
    <w:rsid w:val="0073499F"/>
    <w:rsid w:val="007357DB"/>
    <w:rsid w:val="00736187"/>
    <w:rsid w:val="00737135"/>
    <w:rsid w:val="00740E2F"/>
    <w:rsid w:val="007422A6"/>
    <w:rsid w:val="00744367"/>
    <w:rsid w:val="007452F0"/>
    <w:rsid w:val="00747BC9"/>
    <w:rsid w:val="007507E3"/>
    <w:rsid w:val="00750E7B"/>
    <w:rsid w:val="00752DE5"/>
    <w:rsid w:val="00753113"/>
    <w:rsid w:val="00753AC8"/>
    <w:rsid w:val="0075402B"/>
    <w:rsid w:val="00755A12"/>
    <w:rsid w:val="007563F9"/>
    <w:rsid w:val="0075705E"/>
    <w:rsid w:val="00757AF5"/>
    <w:rsid w:val="00757E5D"/>
    <w:rsid w:val="0076004A"/>
    <w:rsid w:val="00760864"/>
    <w:rsid w:val="00760A52"/>
    <w:rsid w:val="007611CA"/>
    <w:rsid w:val="0076370A"/>
    <w:rsid w:val="00765EB8"/>
    <w:rsid w:val="00766520"/>
    <w:rsid w:val="00772EAC"/>
    <w:rsid w:val="00777D93"/>
    <w:rsid w:val="007810B5"/>
    <w:rsid w:val="0078191E"/>
    <w:rsid w:val="007862ED"/>
    <w:rsid w:val="00787D8A"/>
    <w:rsid w:val="00790B01"/>
    <w:rsid w:val="00791A9E"/>
    <w:rsid w:val="007923E3"/>
    <w:rsid w:val="00792FF0"/>
    <w:rsid w:val="007939F2"/>
    <w:rsid w:val="007A4818"/>
    <w:rsid w:val="007A4D09"/>
    <w:rsid w:val="007B3B1A"/>
    <w:rsid w:val="007B3F80"/>
    <w:rsid w:val="007B3FA3"/>
    <w:rsid w:val="007B40DF"/>
    <w:rsid w:val="007B65C5"/>
    <w:rsid w:val="007C305A"/>
    <w:rsid w:val="007C59E3"/>
    <w:rsid w:val="007D02BB"/>
    <w:rsid w:val="007D09FF"/>
    <w:rsid w:val="007D2263"/>
    <w:rsid w:val="007D442B"/>
    <w:rsid w:val="007D46BC"/>
    <w:rsid w:val="007E1420"/>
    <w:rsid w:val="007E1533"/>
    <w:rsid w:val="007E17F1"/>
    <w:rsid w:val="007E3BF2"/>
    <w:rsid w:val="007E4C00"/>
    <w:rsid w:val="007E5662"/>
    <w:rsid w:val="007E5AD3"/>
    <w:rsid w:val="007E64AF"/>
    <w:rsid w:val="007E71EE"/>
    <w:rsid w:val="007F0825"/>
    <w:rsid w:val="007F4784"/>
    <w:rsid w:val="007F486C"/>
    <w:rsid w:val="007F4BA9"/>
    <w:rsid w:val="007F5B2F"/>
    <w:rsid w:val="007F7461"/>
    <w:rsid w:val="00801153"/>
    <w:rsid w:val="00801F97"/>
    <w:rsid w:val="00803FCD"/>
    <w:rsid w:val="00804FEE"/>
    <w:rsid w:val="008070DD"/>
    <w:rsid w:val="0080789B"/>
    <w:rsid w:val="00810D7F"/>
    <w:rsid w:val="008150BF"/>
    <w:rsid w:val="00815FC3"/>
    <w:rsid w:val="0082137A"/>
    <w:rsid w:val="00824681"/>
    <w:rsid w:val="00825871"/>
    <w:rsid w:val="0082608B"/>
    <w:rsid w:val="008271D4"/>
    <w:rsid w:val="00830647"/>
    <w:rsid w:val="008341D3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2EB9"/>
    <w:rsid w:val="008637F4"/>
    <w:rsid w:val="00863E4A"/>
    <w:rsid w:val="00866410"/>
    <w:rsid w:val="00871F9A"/>
    <w:rsid w:val="008741C5"/>
    <w:rsid w:val="008758DE"/>
    <w:rsid w:val="00876787"/>
    <w:rsid w:val="00881864"/>
    <w:rsid w:val="00882C89"/>
    <w:rsid w:val="0088499C"/>
    <w:rsid w:val="00893F31"/>
    <w:rsid w:val="00894A15"/>
    <w:rsid w:val="008959AB"/>
    <w:rsid w:val="00895AA3"/>
    <w:rsid w:val="00897D91"/>
    <w:rsid w:val="008A5D7C"/>
    <w:rsid w:val="008A691E"/>
    <w:rsid w:val="008A6E37"/>
    <w:rsid w:val="008A7F8C"/>
    <w:rsid w:val="008B0453"/>
    <w:rsid w:val="008B1E64"/>
    <w:rsid w:val="008B2CBB"/>
    <w:rsid w:val="008B4895"/>
    <w:rsid w:val="008B7C79"/>
    <w:rsid w:val="008C0608"/>
    <w:rsid w:val="008C1E77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8F4E28"/>
    <w:rsid w:val="00902289"/>
    <w:rsid w:val="00902341"/>
    <w:rsid w:val="00902660"/>
    <w:rsid w:val="009031FE"/>
    <w:rsid w:val="009049AB"/>
    <w:rsid w:val="009066FA"/>
    <w:rsid w:val="00906EB8"/>
    <w:rsid w:val="009101C8"/>
    <w:rsid w:val="009102EE"/>
    <w:rsid w:val="009142AA"/>
    <w:rsid w:val="009174FB"/>
    <w:rsid w:val="00917A18"/>
    <w:rsid w:val="00921E8C"/>
    <w:rsid w:val="0092724E"/>
    <w:rsid w:val="00927721"/>
    <w:rsid w:val="00931126"/>
    <w:rsid w:val="00937624"/>
    <w:rsid w:val="009377FB"/>
    <w:rsid w:val="00940D49"/>
    <w:rsid w:val="00942405"/>
    <w:rsid w:val="00942A7D"/>
    <w:rsid w:val="009437F8"/>
    <w:rsid w:val="0094389A"/>
    <w:rsid w:val="00946792"/>
    <w:rsid w:val="009475AB"/>
    <w:rsid w:val="00947FC6"/>
    <w:rsid w:val="00951557"/>
    <w:rsid w:val="00952BCB"/>
    <w:rsid w:val="00954425"/>
    <w:rsid w:val="0095483F"/>
    <w:rsid w:val="00957A56"/>
    <w:rsid w:val="00957B30"/>
    <w:rsid w:val="00957DD8"/>
    <w:rsid w:val="00961F36"/>
    <w:rsid w:val="00963370"/>
    <w:rsid w:val="0096568D"/>
    <w:rsid w:val="00971D5C"/>
    <w:rsid w:val="009801E4"/>
    <w:rsid w:val="00982ADB"/>
    <w:rsid w:val="009831C0"/>
    <w:rsid w:val="00983318"/>
    <w:rsid w:val="00983ECD"/>
    <w:rsid w:val="00984FAB"/>
    <w:rsid w:val="00985659"/>
    <w:rsid w:val="00986F74"/>
    <w:rsid w:val="00991D68"/>
    <w:rsid w:val="009929AA"/>
    <w:rsid w:val="00993C49"/>
    <w:rsid w:val="009956CF"/>
    <w:rsid w:val="009975E3"/>
    <w:rsid w:val="009A1333"/>
    <w:rsid w:val="009A3DCF"/>
    <w:rsid w:val="009A3EBE"/>
    <w:rsid w:val="009A431C"/>
    <w:rsid w:val="009A69BF"/>
    <w:rsid w:val="009A69CD"/>
    <w:rsid w:val="009A7A01"/>
    <w:rsid w:val="009A7C3B"/>
    <w:rsid w:val="009B00B8"/>
    <w:rsid w:val="009B2B2B"/>
    <w:rsid w:val="009B4490"/>
    <w:rsid w:val="009B690E"/>
    <w:rsid w:val="009B74A7"/>
    <w:rsid w:val="009B799B"/>
    <w:rsid w:val="009C02DC"/>
    <w:rsid w:val="009C2B83"/>
    <w:rsid w:val="009C2D0B"/>
    <w:rsid w:val="009C4073"/>
    <w:rsid w:val="009C52D4"/>
    <w:rsid w:val="009C7AAE"/>
    <w:rsid w:val="009D02F2"/>
    <w:rsid w:val="009D12F2"/>
    <w:rsid w:val="009D5321"/>
    <w:rsid w:val="009D5A39"/>
    <w:rsid w:val="009D5F2E"/>
    <w:rsid w:val="009D7D48"/>
    <w:rsid w:val="009E1CC2"/>
    <w:rsid w:val="009E2807"/>
    <w:rsid w:val="009E4E74"/>
    <w:rsid w:val="009E782E"/>
    <w:rsid w:val="009F3B38"/>
    <w:rsid w:val="009F4C75"/>
    <w:rsid w:val="00A005BF"/>
    <w:rsid w:val="00A016BB"/>
    <w:rsid w:val="00A01DE9"/>
    <w:rsid w:val="00A02ED5"/>
    <w:rsid w:val="00A03537"/>
    <w:rsid w:val="00A0399D"/>
    <w:rsid w:val="00A03B99"/>
    <w:rsid w:val="00A0553F"/>
    <w:rsid w:val="00A06792"/>
    <w:rsid w:val="00A075CB"/>
    <w:rsid w:val="00A07BCC"/>
    <w:rsid w:val="00A12866"/>
    <w:rsid w:val="00A13AFA"/>
    <w:rsid w:val="00A13CF0"/>
    <w:rsid w:val="00A1430C"/>
    <w:rsid w:val="00A153E5"/>
    <w:rsid w:val="00A15560"/>
    <w:rsid w:val="00A1572C"/>
    <w:rsid w:val="00A158A2"/>
    <w:rsid w:val="00A15EDE"/>
    <w:rsid w:val="00A16299"/>
    <w:rsid w:val="00A1694E"/>
    <w:rsid w:val="00A211EB"/>
    <w:rsid w:val="00A2168A"/>
    <w:rsid w:val="00A23965"/>
    <w:rsid w:val="00A2404F"/>
    <w:rsid w:val="00A2455C"/>
    <w:rsid w:val="00A24A06"/>
    <w:rsid w:val="00A2564B"/>
    <w:rsid w:val="00A3071F"/>
    <w:rsid w:val="00A354B7"/>
    <w:rsid w:val="00A355B1"/>
    <w:rsid w:val="00A36B5E"/>
    <w:rsid w:val="00A42EA3"/>
    <w:rsid w:val="00A43B9B"/>
    <w:rsid w:val="00A46DAE"/>
    <w:rsid w:val="00A529E0"/>
    <w:rsid w:val="00A5393D"/>
    <w:rsid w:val="00A566B0"/>
    <w:rsid w:val="00A611F6"/>
    <w:rsid w:val="00A61367"/>
    <w:rsid w:val="00A614FE"/>
    <w:rsid w:val="00A6216B"/>
    <w:rsid w:val="00A62E51"/>
    <w:rsid w:val="00A62F75"/>
    <w:rsid w:val="00A633F9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14E6"/>
    <w:rsid w:val="00A834E9"/>
    <w:rsid w:val="00A8435F"/>
    <w:rsid w:val="00A85D85"/>
    <w:rsid w:val="00A9042C"/>
    <w:rsid w:val="00A9195F"/>
    <w:rsid w:val="00A92176"/>
    <w:rsid w:val="00A92EB8"/>
    <w:rsid w:val="00A94D3C"/>
    <w:rsid w:val="00A95465"/>
    <w:rsid w:val="00A96487"/>
    <w:rsid w:val="00A9724A"/>
    <w:rsid w:val="00AA53CC"/>
    <w:rsid w:val="00AA65D3"/>
    <w:rsid w:val="00AB0858"/>
    <w:rsid w:val="00AB24B6"/>
    <w:rsid w:val="00AB26CF"/>
    <w:rsid w:val="00AB5150"/>
    <w:rsid w:val="00AB522F"/>
    <w:rsid w:val="00AB5455"/>
    <w:rsid w:val="00AB602C"/>
    <w:rsid w:val="00AB635B"/>
    <w:rsid w:val="00AC26A5"/>
    <w:rsid w:val="00AC2CF2"/>
    <w:rsid w:val="00AC3EF4"/>
    <w:rsid w:val="00AC7561"/>
    <w:rsid w:val="00AC7EEE"/>
    <w:rsid w:val="00AD4CA8"/>
    <w:rsid w:val="00AD5270"/>
    <w:rsid w:val="00AD53FD"/>
    <w:rsid w:val="00AD56E7"/>
    <w:rsid w:val="00AE4467"/>
    <w:rsid w:val="00AF04E7"/>
    <w:rsid w:val="00AF11D6"/>
    <w:rsid w:val="00AF1522"/>
    <w:rsid w:val="00AF3140"/>
    <w:rsid w:val="00AF5CFA"/>
    <w:rsid w:val="00AF6102"/>
    <w:rsid w:val="00B0327E"/>
    <w:rsid w:val="00B03354"/>
    <w:rsid w:val="00B0407B"/>
    <w:rsid w:val="00B05478"/>
    <w:rsid w:val="00B05F06"/>
    <w:rsid w:val="00B065DA"/>
    <w:rsid w:val="00B10250"/>
    <w:rsid w:val="00B2004F"/>
    <w:rsid w:val="00B2294E"/>
    <w:rsid w:val="00B24F9D"/>
    <w:rsid w:val="00B26FFC"/>
    <w:rsid w:val="00B31450"/>
    <w:rsid w:val="00B325B7"/>
    <w:rsid w:val="00B345AB"/>
    <w:rsid w:val="00B35B39"/>
    <w:rsid w:val="00B365B9"/>
    <w:rsid w:val="00B36EC4"/>
    <w:rsid w:val="00B376D9"/>
    <w:rsid w:val="00B43C5F"/>
    <w:rsid w:val="00B44B88"/>
    <w:rsid w:val="00B4533E"/>
    <w:rsid w:val="00B46D1D"/>
    <w:rsid w:val="00B5029B"/>
    <w:rsid w:val="00B51A49"/>
    <w:rsid w:val="00B55AAA"/>
    <w:rsid w:val="00B601E4"/>
    <w:rsid w:val="00B605C3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656"/>
    <w:rsid w:val="00B75A67"/>
    <w:rsid w:val="00B77653"/>
    <w:rsid w:val="00B803F7"/>
    <w:rsid w:val="00B807F8"/>
    <w:rsid w:val="00B81D2D"/>
    <w:rsid w:val="00B83220"/>
    <w:rsid w:val="00B841D5"/>
    <w:rsid w:val="00B857E2"/>
    <w:rsid w:val="00B86C55"/>
    <w:rsid w:val="00B9023C"/>
    <w:rsid w:val="00B9066A"/>
    <w:rsid w:val="00B94223"/>
    <w:rsid w:val="00B974D5"/>
    <w:rsid w:val="00B97C77"/>
    <w:rsid w:val="00BA50F0"/>
    <w:rsid w:val="00BA67EB"/>
    <w:rsid w:val="00BA7483"/>
    <w:rsid w:val="00BB0A03"/>
    <w:rsid w:val="00BB2266"/>
    <w:rsid w:val="00BB2982"/>
    <w:rsid w:val="00BB322B"/>
    <w:rsid w:val="00BB616E"/>
    <w:rsid w:val="00BC2E39"/>
    <w:rsid w:val="00BC44B5"/>
    <w:rsid w:val="00BC46F9"/>
    <w:rsid w:val="00BC7766"/>
    <w:rsid w:val="00BD0CF1"/>
    <w:rsid w:val="00BD24E9"/>
    <w:rsid w:val="00BD29DA"/>
    <w:rsid w:val="00BD2B3A"/>
    <w:rsid w:val="00BD3A65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6145"/>
    <w:rsid w:val="00C3089D"/>
    <w:rsid w:val="00C32730"/>
    <w:rsid w:val="00C33D7F"/>
    <w:rsid w:val="00C3412F"/>
    <w:rsid w:val="00C36659"/>
    <w:rsid w:val="00C42507"/>
    <w:rsid w:val="00C466D1"/>
    <w:rsid w:val="00C5491F"/>
    <w:rsid w:val="00C55145"/>
    <w:rsid w:val="00C55FD3"/>
    <w:rsid w:val="00C56B6E"/>
    <w:rsid w:val="00C57C82"/>
    <w:rsid w:val="00C61F50"/>
    <w:rsid w:val="00C64B98"/>
    <w:rsid w:val="00C674BD"/>
    <w:rsid w:val="00C67995"/>
    <w:rsid w:val="00C7017F"/>
    <w:rsid w:val="00C73BA9"/>
    <w:rsid w:val="00C74267"/>
    <w:rsid w:val="00C76671"/>
    <w:rsid w:val="00C77CE7"/>
    <w:rsid w:val="00C80D79"/>
    <w:rsid w:val="00C8184F"/>
    <w:rsid w:val="00C827BD"/>
    <w:rsid w:val="00C926FE"/>
    <w:rsid w:val="00C93093"/>
    <w:rsid w:val="00C9525B"/>
    <w:rsid w:val="00C959F1"/>
    <w:rsid w:val="00C97020"/>
    <w:rsid w:val="00C97449"/>
    <w:rsid w:val="00CA2006"/>
    <w:rsid w:val="00CA2232"/>
    <w:rsid w:val="00CA33CB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6AE1"/>
    <w:rsid w:val="00CC2A9C"/>
    <w:rsid w:val="00CC383A"/>
    <w:rsid w:val="00CC43FB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423E"/>
    <w:rsid w:val="00CE5918"/>
    <w:rsid w:val="00CE6A15"/>
    <w:rsid w:val="00CE7B4D"/>
    <w:rsid w:val="00CF1B79"/>
    <w:rsid w:val="00CF2970"/>
    <w:rsid w:val="00CF3217"/>
    <w:rsid w:val="00CF5653"/>
    <w:rsid w:val="00CF5B6D"/>
    <w:rsid w:val="00CF5EA6"/>
    <w:rsid w:val="00CF6466"/>
    <w:rsid w:val="00CF6D85"/>
    <w:rsid w:val="00CF6F9D"/>
    <w:rsid w:val="00CF7036"/>
    <w:rsid w:val="00D00354"/>
    <w:rsid w:val="00D04431"/>
    <w:rsid w:val="00D119CB"/>
    <w:rsid w:val="00D122C4"/>
    <w:rsid w:val="00D135EC"/>
    <w:rsid w:val="00D15412"/>
    <w:rsid w:val="00D16D19"/>
    <w:rsid w:val="00D16DE4"/>
    <w:rsid w:val="00D20384"/>
    <w:rsid w:val="00D20556"/>
    <w:rsid w:val="00D235C1"/>
    <w:rsid w:val="00D26980"/>
    <w:rsid w:val="00D30B74"/>
    <w:rsid w:val="00D310C6"/>
    <w:rsid w:val="00D3407E"/>
    <w:rsid w:val="00D34498"/>
    <w:rsid w:val="00D407AA"/>
    <w:rsid w:val="00D4113B"/>
    <w:rsid w:val="00D4168B"/>
    <w:rsid w:val="00D42230"/>
    <w:rsid w:val="00D4334A"/>
    <w:rsid w:val="00D45C5C"/>
    <w:rsid w:val="00D46868"/>
    <w:rsid w:val="00D53B2F"/>
    <w:rsid w:val="00D54120"/>
    <w:rsid w:val="00D54458"/>
    <w:rsid w:val="00D55B9E"/>
    <w:rsid w:val="00D6022B"/>
    <w:rsid w:val="00D621DB"/>
    <w:rsid w:val="00D6222E"/>
    <w:rsid w:val="00D626C6"/>
    <w:rsid w:val="00D62AB7"/>
    <w:rsid w:val="00D676A7"/>
    <w:rsid w:val="00D7292B"/>
    <w:rsid w:val="00D72D1C"/>
    <w:rsid w:val="00D74FF0"/>
    <w:rsid w:val="00D75067"/>
    <w:rsid w:val="00D77D5D"/>
    <w:rsid w:val="00D80FF6"/>
    <w:rsid w:val="00D83517"/>
    <w:rsid w:val="00D83BA8"/>
    <w:rsid w:val="00D83BAA"/>
    <w:rsid w:val="00D85184"/>
    <w:rsid w:val="00D921C3"/>
    <w:rsid w:val="00D92659"/>
    <w:rsid w:val="00D94221"/>
    <w:rsid w:val="00D95CB8"/>
    <w:rsid w:val="00DA02A1"/>
    <w:rsid w:val="00DA1EBF"/>
    <w:rsid w:val="00DA2114"/>
    <w:rsid w:val="00DA3F98"/>
    <w:rsid w:val="00DB0D6F"/>
    <w:rsid w:val="00DB1375"/>
    <w:rsid w:val="00DB210B"/>
    <w:rsid w:val="00DB2CCF"/>
    <w:rsid w:val="00DB4228"/>
    <w:rsid w:val="00DB4906"/>
    <w:rsid w:val="00DB4CFC"/>
    <w:rsid w:val="00DB6D1E"/>
    <w:rsid w:val="00DC0356"/>
    <w:rsid w:val="00DC0988"/>
    <w:rsid w:val="00DC41E8"/>
    <w:rsid w:val="00DC6E42"/>
    <w:rsid w:val="00DC7173"/>
    <w:rsid w:val="00DD1D7B"/>
    <w:rsid w:val="00DD280D"/>
    <w:rsid w:val="00DD2F0B"/>
    <w:rsid w:val="00DD391E"/>
    <w:rsid w:val="00DE15B9"/>
    <w:rsid w:val="00DE1B47"/>
    <w:rsid w:val="00DE26A0"/>
    <w:rsid w:val="00DE26C3"/>
    <w:rsid w:val="00DE434B"/>
    <w:rsid w:val="00DF27E6"/>
    <w:rsid w:val="00DF4DF6"/>
    <w:rsid w:val="00DF5477"/>
    <w:rsid w:val="00E017B8"/>
    <w:rsid w:val="00E02272"/>
    <w:rsid w:val="00E052C6"/>
    <w:rsid w:val="00E05632"/>
    <w:rsid w:val="00E0748D"/>
    <w:rsid w:val="00E11548"/>
    <w:rsid w:val="00E208A0"/>
    <w:rsid w:val="00E238AE"/>
    <w:rsid w:val="00E2722C"/>
    <w:rsid w:val="00E27F0E"/>
    <w:rsid w:val="00E324DB"/>
    <w:rsid w:val="00E34B72"/>
    <w:rsid w:val="00E3569D"/>
    <w:rsid w:val="00E40A88"/>
    <w:rsid w:val="00E459A8"/>
    <w:rsid w:val="00E50B24"/>
    <w:rsid w:val="00E512C8"/>
    <w:rsid w:val="00E5241D"/>
    <w:rsid w:val="00E53E18"/>
    <w:rsid w:val="00E564E6"/>
    <w:rsid w:val="00E574D7"/>
    <w:rsid w:val="00E57CE0"/>
    <w:rsid w:val="00E62C54"/>
    <w:rsid w:val="00E62E93"/>
    <w:rsid w:val="00E630BD"/>
    <w:rsid w:val="00E6426B"/>
    <w:rsid w:val="00E64713"/>
    <w:rsid w:val="00E663F9"/>
    <w:rsid w:val="00E6770C"/>
    <w:rsid w:val="00E7015B"/>
    <w:rsid w:val="00E702AF"/>
    <w:rsid w:val="00E71DCC"/>
    <w:rsid w:val="00E72DEE"/>
    <w:rsid w:val="00E734FE"/>
    <w:rsid w:val="00E77A1E"/>
    <w:rsid w:val="00E9575F"/>
    <w:rsid w:val="00E972E6"/>
    <w:rsid w:val="00EA0C8A"/>
    <w:rsid w:val="00EA3448"/>
    <w:rsid w:val="00EA36AD"/>
    <w:rsid w:val="00EA50F6"/>
    <w:rsid w:val="00EA7121"/>
    <w:rsid w:val="00EA7557"/>
    <w:rsid w:val="00EB28DA"/>
    <w:rsid w:val="00EB42FB"/>
    <w:rsid w:val="00EB537F"/>
    <w:rsid w:val="00EB5AC5"/>
    <w:rsid w:val="00EB6D47"/>
    <w:rsid w:val="00EC1447"/>
    <w:rsid w:val="00EC185B"/>
    <w:rsid w:val="00EC3161"/>
    <w:rsid w:val="00EC36F6"/>
    <w:rsid w:val="00EC65FC"/>
    <w:rsid w:val="00EC7A91"/>
    <w:rsid w:val="00ED001D"/>
    <w:rsid w:val="00ED07CB"/>
    <w:rsid w:val="00ED1662"/>
    <w:rsid w:val="00ED1E7B"/>
    <w:rsid w:val="00ED302E"/>
    <w:rsid w:val="00ED7F5F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25E3"/>
    <w:rsid w:val="00EF3025"/>
    <w:rsid w:val="00F0227C"/>
    <w:rsid w:val="00F03C7C"/>
    <w:rsid w:val="00F05237"/>
    <w:rsid w:val="00F05668"/>
    <w:rsid w:val="00F05BE7"/>
    <w:rsid w:val="00F06A45"/>
    <w:rsid w:val="00F07CFD"/>
    <w:rsid w:val="00F10EDE"/>
    <w:rsid w:val="00F1553D"/>
    <w:rsid w:val="00F1754C"/>
    <w:rsid w:val="00F17FE2"/>
    <w:rsid w:val="00F20194"/>
    <w:rsid w:val="00F20A75"/>
    <w:rsid w:val="00F21865"/>
    <w:rsid w:val="00F21AA5"/>
    <w:rsid w:val="00F229C6"/>
    <w:rsid w:val="00F236C1"/>
    <w:rsid w:val="00F27289"/>
    <w:rsid w:val="00F27B9D"/>
    <w:rsid w:val="00F31D0B"/>
    <w:rsid w:val="00F333DE"/>
    <w:rsid w:val="00F34DE5"/>
    <w:rsid w:val="00F3631B"/>
    <w:rsid w:val="00F37DE1"/>
    <w:rsid w:val="00F449A5"/>
    <w:rsid w:val="00F461BE"/>
    <w:rsid w:val="00F463ED"/>
    <w:rsid w:val="00F46C84"/>
    <w:rsid w:val="00F4704E"/>
    <w:rsid w:val="00F50C76"/>
    <w:rsid w:val="00F511E9"/>
    <w:rsid w:val="00F5202C"/>
    <w:rsid w:val="00F52D52"/>
    <w:rsid w:val="00F5556A"/>
    <w:rsid w:val="00F558F8"/>
    <w:rsid w:val="00F55E9F"/>
    <w:rsid w:val="00F615ED"/>
    <w:rsid w:val="00F62091"/>
    <w:rsid w:val="00F63E5F"/>
    <w:rsid w:val="00F64E2D"/>
    <w:rsid w:val="00F70AC7"/>
    <w:rsid w:val="00F7365A"/>
    <w:rsid w:val="00F75193"/>
    <w:rsid w:val="00F75DAA"/>
    <w:rsid w:val="00F75FD7"/>
    <w:rsid w:val="00F76F1D"/>
    <w:rsid w:val="00F81A11"/>
    <w:rsid w:val="00F82293"/>
    <w:rsid w:val="00F831A2"/>
    <w:rsid w:val="00F85406"/>
    <w:rsid w:val="00F92A9B"/>
    <w:rsid w:val="00F95422"/>
    <w:rsid w:val="00FA2170"/>
    <w:rsid w:val="00FA28F3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028"/>
    <w:rsid w:val="00FD0726"/>
    <w:rsid w:val="00FD079F"/>
    <w:rsid w:val="00FD2048"/>
    <w:rsid w:val="00FD74D9"/>
    <w:rsid w:val="00FD771B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rsid w:val="00E0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 d'entreprises dans l'industrie manufacturière (proportion en %) </a:t>
            </a:r>
          </a:p>
        </c:rich>
      </c:tx>
      <c:layout>
        <c:manualLayout>
          <c:xMode val="edge"/>
          <c:yMode val="edge"/>
          <c:x val="0.12884289463817022"/>
          <c:y val="2.5347701844436677E-2"/>
        </c:manualLayout>
      </c:layout>
    </c:title>
    <c:plotArea>
      <c:layout>
        <c:manualLayout>
          <c:layoutTarget val="inner"/>
          <c:xMode val="edge"/>
          <c:yMode val="edge"/>
          <c:x val="0.12333684404099172"/>
          <c:y val="0.17155801878868027"/>
          <c:w val="0.67871842452816566"/>
          <c:h val="0.6734969237273842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30.34</c:v>
                </c:pt>
                <c:pt idx="1">
                  <c:v>6.63</c:v>
                </c:pt>
                <c:pt idx="2">
                  <c:v>17.7</c:v>
                </c:pt>
                <c:pt idx="3">
                  <c:v>10.301533539647624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41.47</c:v>
                </c:pt>
                <c:pt idx="1">
                  <c:v>75.92</c:v>
                </c:pt>
                <c:pt idx="2">
                  <c:v>69.459999999999994</c:v>
                </c:pt>
                <c:pt idx="3">
                  <c:v>80.348564305614275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28.18</c:v>
                </c:pt>
                <c:pt idx="1">
                  <c:v>17.45</c:v>
                </c:pt>
                <c:pt idx="2">
                  <c:v>12.83</c:v>
                </c:pt>
                <c:pt idx="3">
                  <c:v>9.349902154738114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2.16</c:v>
                </c:pt>
                <c:pt idx="1">
                  <c:v>-10.82</c:v>
                </c:pt>
                <c:pt idx="2">
                  <c:v>4.87</c:v>
                </c:pt>
                <c:pt idx="3">
                  <c:v>0.95163138490950261</c:v>
                </c:pt>
              </c:numCache>
            </c:numRef>
          </c:val>
        </c:ser>
        <c:axId val="83995264"/>
        <c:axId val="85410176"/>
      </c:barChart>
      <c:catAx>
        <c:axId val="83995264"/>
        <c:scaling>
          <c:orientation val="minMax"/>
        </c:scaling>
        <c:axPos val="b"/>
        <c:majorGridlines>
          <c:spPr>
            <a:ln w="9548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5410176"/>
        <c:crosses val="autoZero"/>
        <c:auto val="1"/>
        <c:lblAlgn val="ctr"/>
        <c:lblOffset val="100"/>
      </c:catAx>
      <c:valAx>
        <c:axId val="85410176"/>
        <c:scaling>
          <c:orientation val="minMax"/>
          <c:max val="90"/>
          <c:min val="-15"/>
        </c:scaling>
        <c:axPos val="l"/>
        <c:majorGridlines>
          <c:spPr>
            <a:ln w="9548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3995264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35845519329"/>
          <c:y val="0.41368878378257351"/>
          <c:w val="0.16643819522559683"/>
          <c:h val="0.29893418612775813"/>
        </c:manualLayout>
      </c:layout>
      <c:txPr>
        <a:bodyPr/>
        <a:lstStyle/>
        <a:p>
          <a:pPr>
            <a:defRPr sz="67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chefs d'entreprises dans l'industrie extractive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9.0163279008728517E-2"/>
          <c:y val="2.9622350925142621E-2"/>
        </c:manualLayout>
      </c:layout>
    </c:title>
    <c:plotArea>
      <c:layout>
        <c:manualLayout>
          <c:layoutTarget val="inner"/>
          <c:xMode val="edge"/>
          <c:yMode val="edge"/>
          <c:x val="0.13273226811560834"/>
          <c:y val="0.19290867007914428"/>
          <c:w val="0.63614280671058343"/>
          <c:h val="0.634276407309365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6.8</c:v>
                </c:pt>
                <c:pt idx="1">
                  <c:v>0</c:v>
                </c:pt>
                <c:pt idx="2">
                  <c:v>82.59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89.05</c:v>
                </c:pt>
                <c:pt idx="1">
                  <c:v>95.81</c:v>
                </c:pt>
                <c:pt idx="2">
                  <c:v>17.05</c:v>
                </c:pt>
                <c:pt idx="3">
                  <c:v>21.640643465024322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4.1499999999999995</c:v>
                </c:pt>
                <c:pt idx="1">
                  <c:v>4.1899999999999995</c:v>
                </c:pt>
                <c:pt idx="2">
                  <c:v>0.3600000000000001</c:v>
                </c:pt>
                <c:pt idx="3">
                  <c:v>78.359356534975646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2.65</c:v>
                </c:pt>
                <c:pt idx="1">
                  <c:v>-4.1899999999999995</c:v>
                </c:pt>
                <c:pt idx="2">
                  <c:v>82.22</c:v>
                </c:pt>
                <c:pt idx="3">
                  <c:v>-78.359356534975646</c:v>
                </c:pt>
              </c:numCache>
            </c:numRef>
          </c:val>
        </c:ser>
        <c:axId val="85929984"/>
        <c:axId val="85932672"/>
      </c:barChart>
      <c:catAx>
        <c:axId val="859299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5932672"/>
        <c:crosses val="autoZero"/>
        <c:auto val="1"/>
        <c:lblAlgn val="ctr"/>
        <c:lblOffset val="100"/>
      </c:catAx>
      <c:valAx>
        <c:axId val="85932672"/>
        <c:scaling>
          <c:orientation val="minMax"/>
          <c:max val="100"/>
          <c:min val="-80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5929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16523225294511"/>
          <c:y val="0.36872388885273638"/>
          <c:w val="0.15338216443874753"/>
          <c:h val="0.30596472961540983"/>
        </c:manualLayout>
      </c:layout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7" b="1" i="0" baseline="0"/>
              <a:t>Opinion des chef d'entreprises dans l'industrie environnementale (proportion en %) </a:t>
            </a:r>
            <a:endParaRPr lang="fr-FR" sz="1000" b="1"/>
          </a:p>
        </c:rich>
      </c:tx>
      <c:layout>
        <c:manualLayout>
          <c:xMode val="edge"/>
          <c:yMode val="edge"/>
          <c:x val="7.5731841930973584E-2"/>
          <c:y val="7.6631697960831857E-2"/>
        </c:manualLayout>
      </c:layout>
    </c:title>
    <c:plotArea>
      <c:layout>
        <c:manualLayout>
          <c:layoutTarget val="inner"/>
          <c:xMode val="edge"/>
          <c:yMode val="edge"/>
          <c:x val="8.9659469985611293E-2"/>
          <c:y val="0.22486821008107241"/>
          <c:w val="0.7112715265430688"/>
          <c:h val="0.5878427038725420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94.669999999999987</c:v>
                </c:pt>
                <c:pt idx="1">
                  <c:v>0</c:v>
                </c:pt>
                <c:pt idx="2">
                  <c:v>0</c:v>
                </c:pt>
                <c:pt idx="3">
                  <c:v>90.724403327108433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</c:v>
                </c:pt>
                <c:pt idx="1">
                  <c:v>99.98</c:v>
                </c:pt>
                <c:pt idx="2">
                  <c:v>100</c:v>
                </c:pt>
                <c:pt idx="3">
                  <c:v>8.2755966728915666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3.3299999999999992</c:v>
                </c:pt>
                <c:pt idx="1">
                  <c:v>2.0000000000000007E-2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91.34</c:v>
                </c:pt>
                <c:pt idx="1">
                  <c:v>-2.0000000000000007E-2</c:v>
                </c:pt>
                <c:pt idx="2">
                  <c:v>0</c:v>
                </c:pt>
                <c:pt idx="3">
                  <c:v>90.724403327108433</c:v>
                </c:pt>
              </c:numCache>
            </c:numRef>
          </c:val>
        </c:ser>
        <c:axId val="87753088"/>
        <c:axId val="87754624"/>
      </c:barChart>
      <c:catAx>
        <c:axId val="87753088"/>
        <c:scaling>
          <c:orientation val="minMax"/>
        </c:scaling>
        <c:axPos val="b"/>
        <c:majorGridlines>
          <c:spPr>
            <a:ln w="949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/>
          <a:lstStyle/>
          <a:p>
            <a:pPr>
              <a:defRPr sz="798" b="1"/>
            </a:pPr>
            <a:endParaRPr lang="fr-FR"/>
          </a:p>
        </c:txPr>
        <c:crossAx val="87754624"/>
        <c:crosses val="autoZero"/>
        <c:auto val="1"/>
        <c:lblAlgn val="ctr"/>
        <c:lblOffset val="100"/>
      </c:catAx>
      <c:valAx>
        <c:axId val="87754624"/>
        <c:scaling>
          <c:orientation val="minMax"/>
          <c:max val="110"/>
          <c:min val="-10"/>
        </c:scaling>
        <c:axPos val="l"/>
        <c:majorGridlines>
          <c:spPr>
            <a:ln w="949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8775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57017522346"/>
          <c:y val="0.3640860892388455"/>
          <c:w val="0.17141773166204696"/>
          <c:h val="0.37639216636382006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</a:t>
            </a:r>
            <a:r>
              <a:rPr lang="fr-FR" sz="997" b="1" i="0" u="none" strike="noStrike" baseline="0">
                <a:effectLst/>
              </a:rPr>
              <a:t>chefs d'</a:t>
            </a:r>
            <a:r>
              <a:rPr lang="fr-FR"/>
              <a:t>entreprises dans l'industrie énergétique (proportion en %) </a:t>
            </a:r>
          </a:p>
        </c:rich>
      </c:tx>
      <c:layout>
        <c:manualLayout>
          <c:xMode val="edge"/>
          <c:yMode val="edge"/>
          <c:x val="0.10988317636765998"/>
          <c:y val="5.4508264836801414E-2"/>
        </c:manualLayout>
      </c:layout>
    </c:title>
    <c:plotArea>
      <c:layout>
        <c:manualLayout>
          <c:layoutTarget val="inner"/>
          <c:xMode val="edge"/>
          <c:yMode val="edge"/>
          <c:x val="0.12637886621480598"/>
          <c:y val="0.19404327218280187"/>
          <c:w val="0.69565666633444334"/>
          <c:h val="0.5833652331920045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14.74</c:v>
                </c:pt>
                <c:pt idx="1">
                  <c:v>0</c:v>
                </c:pt>
                <c:pt idx="2">
                  <c:v>7.3</c:v>
                </c:pt>
                <c:pt idx="3">
                  <c:v>1.9337406346820403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24.62</c:v>
                </c:pt>
                <c:pt idx="1">
                  <c:v>98.07</c:v>
                </c:pt>
                <c:pt idx="2">
                  <c:v>33.99</c:v>
                </c:pt>
                <c:pt idx="3">
                  <c:v>16.325146656379587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60.64</c:v>
                </c:pt>
                <c:pt idx="1">
                  <c:v>1.9300000000000004</c:v>
                </c:pt>
                <c:pt idx="2">
                  <c:v>58.71</c:v>
                </c:pt>
                <c:pt idx="3">
                  <c:v>81.741112708938388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-45.9</c:v>
                </c:pt>
                <c:pt idx="1">
                  <c:v>-1.9300000000000004</c:v>
                </c:pt>
                <c:pt idx="2">
                  <c:v>-51.4</c:v>
                </c:pt>
                <c:pt idx="3">
                  <c:v>-79.807372074256264</c:v>
                </c:pt>
              </c:numCache>
            </c:numRef>
          </c:val>
        </c:ser>
        <c:axId val="90621824"/>
        <c:axId val="90623360"/>
      </c:barChart>
      <c:catAx>
        <c:axId val="90621824"/>
        <c:scaling>
          <c:orientation val="minMax"/>
        </c:scaling>
        <c:axPos val="b"/>
        <c:majorGridlines>
          <c:spPr>
            <a:ln w="9496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0623360"/>
        <c:crossesAt val="0"/>
        <c:auto val="1"/>
        <c:lblAlgn val="ctr"/>
        <c:lblOffset val="100"/>
      </c:catAx>
      <c:valAx>
        <c:axId val="90623360"/>
        <c:scaling>
          <c:orientation val="minMax"/>
          <c:max val="100"/>
          <c:min val="-85"/>
        </c:scaling>
        <c:axPos val="l"/>
        <c:majorGridlines>
          <c:spPr>
            <a:ln w="9496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062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52692433049"/>
          <c:y val="0.37531853972798879"/>
          <c:w val="0.17841147307566946"/>
          <c:h val="0.34528538164704348"/>
        </c:manualLayout>
      </c:layout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 des chefs d'entreprises sur l'activité  de la construction (proportion en %)</a:t>
            </a:r>
          </a:p>
        </c:rich>
      </c:tx>
      <c:layout>
        <c:manualLayout>
          <c:xMode val="edge"/>
          <c:yMode val="edge"/>
          <c:x val="9.5932707206779849E-2"/>
          <c:y val="2.8676845501839174E-2"/>
        </c:manualLayout>
      </c:layout>
    </c:title>
    <c:plotArea>
      <c:layout>
        <c:manualLayout>
          <c:layoutTarget val="inner"/>
          <c:xMode val="edge"/>
          <c:yMode val="edge"/>
          <c:x val="0.15467011232195038"/>
          <c:y val="0.18815754512167471"/>
          <c:w val="0.6823019972372395"/>
          <c:h val="0.6256203622695412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21.982472482970635</c:v>
                </c:pt>
                <c:pt idx="1">
                  <c:v>14.966116000000003</c:v>
                </c:pt>
                <c:pt idx="2">
                  <c:v>20.016072999999999</c:v>
                </c:pt>
                <c:pt idx="3">
                  <c:v>29.767802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57.508154148267508</c:v>
                </c:pt>
                <c:pt idx="1">
                  <c:v>77.082211000000001</c:v>
                </c:pt>
                <c:pt idx="2">
                  <c:v>52.936634000000005</c:v>
                </c:pt>
                <c:pt idx="3">
                  <c:v>46.057801999999995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20.509370948235492</c:v>
                </c:pt>
                <c:pt idx="1">
                  <c:v>7.9516720000000021</c:v>
                </c:pt>
                <c:pt idx="2">
                  <c:v>27.04729</c:v>
                </c:pt>
                <c:pt idx="3">
                  <c:v>24.174392999999991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1.4731015347351586</c:v>
                </c:pt>
                <c:pt idx="1">
                  <c:v>7.0144439999999983</c:v>
                </c:pt>
                <c:pt idx="2">
                  <c:v>-7.0312169999999998</c:v>
                </c:pt>
                <c:pt idx="3">
                  <c:v>5.5934090000000003</c:v>
                </c:pt>
              </c:numCache>
            </c:numRef>
          </c:val>
        </c:ser>
        <c:axId val="96944896"/>
        <c:axId val="96946432"/>
      </c:barChart>
      <c:catAx>
        <c:axId val="96944896"/>
        <c:scaling>
          <c:orientation val="minMax"/>
        </c:scaling>
        <c:axPos val="b"/>
        <c:majorGridlines>
          <c:spPr>
            <a:ln w="854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spPr>
          <a:ln w="22786">
            <a:solidFill>
              <a:schemeClr val="bg1">
                <a:lumMod val="65000"/>
              </a:schemeClr>
            </a:solidFill>
          </a:ln>
        </c:spPr>
        <c:txPr>
          <a:bodyPr rot="-2700000" vert="horz"/>
          <a:lstStyle/>
          <a:p>
            <a:pPr>
              <a:defRPr sz="71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6946432"/>
        <c:crosses val="autoZero"/>
        <c:auto val="1"/>
        <c:lblAlgn val="ctr"/>
        <c:lblOffset val="100"/>
      </c:catAx>
      <c:valAx>
        <c:axId val="96946432"/>
        <c:scaling>
          <c:orientation val="minMax"/>
          <c:min val="-10"/>
        </c:scaling>
        <c:axPos val="l"/>
        <c:majorGridlines>
          <c:spPr>
            <a:ln w="14242" cap="flat" cmpd="sng" algn="ctr">
              <a:solidFill>
                <a:sysClr val="windowText" lastClr="000000">
                  <a:lumMod val="50000"/>
                  <a:lumOff val="50000"/>
                </a:sys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spPr>
          <a:ln w="17089"/>
        </c:spPr>
        <c:txPr>
          <a:bodyPr rot="0" vert="horz"/>
          <a:lstStyle/>
          <a:p>
            <a:pPr>
              <a:defRPr sz="897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6944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90687158081179"/>
          <c:y val="0.45208779010150607"/>
          <c:w val="0.15180248553268202"/>
          <c:h val="0.25530851654295911"/>
        </c:manualLayout>
      </c:layout>
      <c:txPr>
        <a:bodyPr/>
        <a:lstStyle/>
        <a:p>
          <a:pPr>
            <a:defRPr sz="65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9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des chefs d'entreprises industrielles sur la production  (proportion en %)  </a:t>
            </a:r>
          </a:p>
        </c:rich>
      </c:tx>
      <c:layout>
        <c:manualLayout>
          <c:xMode val="edge"/>
          <c:yMode val="edge"/>
          <c:x val="0.10557714348008822"/>
          <c:y val="4.9236115552832034E-2"/>
        </c:manualLayout>
      </c:layout>
    </c:title>
    <c:plotArea>
      <c:layout>
        <c:manualLayout>
          <c:layoutTarget val="inner"/>
          <c:xMode val="edge"/>
          <c:yMode val="edge"/>
          <c:x val="0.16991813700341346"/>
          <c:y val="0.20474763381850039"/>
          <c:w val="0.68109180403441338"/>
          <c:h val="0.685115360579927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38.33</c:v>
                </c:pt>
                <c:pt idx="1">
                  <c:v>78.36</c:v>
                </c:pt>
                <c:pt idx="2">
                  <c:v>75.38</c:v>
                </c:pt>
                <c:pt idx="3">
                  <c:v>94.97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49.25</c:v>
                </c:pt>
                <c:pt idx="1">
                  <c:v>21.279999999999994</c:v>
                </c:pt>
                <c:pt idx="2">
                  <c:v>24.62</c:v>
                </c:pt>
                <c:pt idx="3">
                  <c:v>5.03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12.41</c:v>
                </c:pt>
                <c:pt idx="1">
                  <c:v>0.3600000000000001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25.919999999999995</c:v>
                </c:pt>
                <c:pt idx="1">
                  <c:v>78</c:v>
                </c:pt>
                <c:pt idx="2">
                  <c:v>75.38</c:v>
                </c:pt>
                <c:pt idx="3">
                  <c:v>94.97</c:v>
                </c:pt>
              </c:numCache>
            </c:numRef>
          </c:val>
        </c:ser>
        <c:axId val="98056448"/>
        <c:axId val="98114176"/>
      </c:barChart>
      <c:catAx>
        <c:axId val="98056448"/>
        <c:scaling>
          <c:orientation val="minMax"/>
        </c:scaling>
        <c:axPos val="b"/>
        <c:majorGridlines>
          <c:spPr>
            <a:ln w="948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5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8114176"/>
        <c:crosses val="autoZero"/>
        <c:auto val="1"/>
        <c:lblAlgn val="ctr"/>
        <c:lblOffset val="100"/>
      </c:catAx>
      <c:valAx>
        <c:axId val="98114176"/>
        <c:scaling>
          <c:orientation val="minMax"/>
          <c:max val="100"/>
          <c:min val="0"/>
        </c:scaling>
        <c:axPos val="l"/>
        <c:majorGridlines>
          <c:spPr>
            <a:ln w="948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997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8056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29424843182738"/>
          <c:y val="0.35611519532198121"/>
          <c:w val="0.14278956148542143"/>
          <c:h val="0.32513248121186988"/>
        </c:manualLayout>
      </c:layout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chefs d'entreprises sur l'activité  de construction (proportion en %)</a:t>
            </a:r>
          </a:p>
        </c:rich>
      </c:tx>
    </c:title>
    <c:plotArea>
      <c:layout>
        <c:manualLayout>
          <c:layoutTarget val="inner"/>
          <c:xMode val="edge"/>
          <c:yMode val="edge"/>
          <c:x val="0.10731787693205017"/>
          <c:y val="0.19951345634034931"/>
          <c:w val="0.71733566637503665"/>
          <c:h val="0.5807458769146396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28.416846361354317</c:v>
                </c:pt>
                <c:pt idx="1">
                  <c:v>20.435103999999988</c:v>
                </c:pt>
                <c:pt idx="2">
                  <c:v>16.219445999999994</c:v>
                </c:pt>
                <c:pt idx="3">
                  <c:v>47.443403000000004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54.764951059006336</c:v>
                </c:pt>
                <c:pt idx="1">
                  <c:v>73.546108000000004</c:v>
                </c:pt>
                <c:pt idx="2">
                  <c:v>48.951704999999997</c:v>
                </c:pt>
                <c:pt idx="3">
                  <c:v>45.235360000000014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16.81820015911299</c:v>
                </c:pt>
                <c:pt idx="1">
                  <c:v>6.0187869999999979</c:v>
                </c:pt>
                <c:pt idx="2">
                  <c:v>34.828846000000006</c:v>
                </c:pt>
                <c:pt idx="3">
                  <c:v>7.3212339999999996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11.598645850683614</c:v>
                </c:pt>
                <c:pt idx="1">
                  <c:v>14.416317000000001</c:v>
                </c:pt>
                <c:pt idx="2">
                  <c:v>-18.609400000000001</c:v>
                </c:pt>
                <c:pt idx="3">
                  <c:v>40.122168000000016</c:v>
                </c:pt>
              </c:numCache>
            </c:numRef>
          </c:val>
        </c:ser>
        <c:axId val="85943040"/>
        <c:axId val="85944576"/>
      </c:barChart>
      <c:catAx>
        <c:axId val="85943040"/>
        <c:scaling>
          <c:orientation val="minMax"/>
        </c:scaling>
        <c:axPos val="b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5944576"/>
        <c:crosses val="autoZero"/>
        <c:auto val="1"/>
        <c:lblAlgn val="ctr"/>
        <c:lblOffset val="100"/>
      </c:catAx>
      <c:valAx>
        <c:axId val="85944576"/>
        <c:scaling>
          <c:orientation val="minMax"/>
          <c:max val="90"/>
          <c:min val="-30"/>
        </c:scaling>
        <c:axPos val="l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5943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36278203118753"/>
          <c:y val="0.36661944865636475"/>
          <c:w val="0.15663721796881236"/>
          <c:h val="0.25732971761010121"/>
        </c:manualLayout>
      </c:layout>
      <c:txPr>
        <a:bodyPr/>
        <a:lstStyle/>
        <a:p>
          <a:pPr>
            <a:defRPr sz="67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AC667-E264-463C-979A-B55FFBF7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1291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User</cp:lastModifiedBy>
  <cp:revision>10</cp:revision>
  <cp:lastPrinted>2018-06-19T15:34:00Z</cp:lastPrinted>
  <dcterms:created xsi:type="dcterms:W3CDTF">2018-06-19T18:39:00Z</dcterms:created>
  <dcterms:modified xsi:type="dcterms:W3CDTF">2018-06-19T18:49:00Z</dcterms:modified>
</cp:coreProperties>
</file>