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DC" w:rsidRPr="00754D0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9B7BDC" w:rsidRPr="00754D0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9B7BDC" w:rsidRDefault="00AE5B0B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  <w:r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  <w:t xml:space="preserve">               </w:t>
      </w: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9B7BDC" w:rsidRDefault="00D75679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  <w:r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  <w:t xml:space="preserve">      </w:t>
      </w:r>
      <w:r w:rsidR="0035750D"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  <w:t xml:space="preserve">            </w:t>
      </w:r>
    </w:p>
    <w:p w:rsidR="009B7BDC" w:rsidRPr="00754D0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9B7BDC" w:rsidRPr="00754D0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F043B0" w:rsidRPr="00642C11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</w:pPr>
      <w:r w:rsidRPr="00642C11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 xml:space="preserve">NOTE D’INFORMATION DU HAUT COMMISSARIAT AU PLAN </w:t>
      </w:r>
    </w:p>
    <w:p w:rsidR="00585E03" w:rsidRDefault="009B7BDC" w:rsidP="00D25226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</w:pPr>
      <w:r w:rsidRPr="00642C11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 xml:space="preserve">AU SUJET DE LA SITUATION DU MARCHE DU TRAVAIL </w:t>
      </w:r>
    </w:p>
    <w:p w:rsidR="009B7BDC" w:rsidRDefault="00621920" w:rsidP="00585E03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</w:pPr>
      <w:r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 xml:space="preserve">AU PREMIER TRIMESTRE DE L’ANNEE </w:t>
      </w:r>
      <w:r w:rsidR="00D25226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>2018</w:t>
      </w:r>
    </w:p>
    <w:p w:rsidR="00D25226" w:rsidRDefault="00D25226" w:rsidP="00D25226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</w:pPr>
    </w:p>
    <w:p w:rsidR="00D25226" w:rsidRDefault="00D25226" w:rsidP="00D25226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</w:pPr>
    </w:p>
    <w:p w:rsidR="00D25226" w:rsidRPr="00391E0C" w:rsidRDefault="00D25226" w:rsidP="008B21BA">
      <w:pPr>
        <w:autoSpaceDE w:val="0"/>
        <w:autoSpaceDN w:val="0"/>
        <w:bidi w:val="0"/>
        <w:adjustRightInd w:val="0"/>
        <w:spacing w:before="240" w:after="60" w:line="276" w:lineRule="auto"/>
        <w:jc w:val="both"/>
        <w:rPr>
          <w:rFonts w:ascii="Book Antiqua" w:hAnsi="Book Antiqua" w:cstheme="majorBidi"/>
          <w:color w:val="0070C0"/>
          <w:sz w:val="28"/>
          <w:szCs w:val="28"/>
        </w:rPr>
      </w:pP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Entre le premier trimestre de </w:t>
      </w:r>
      <w:r>
        <w:rPr>
          <w:rFonts w:ascii="Book Antiqua" w:hAnsi="Book Antiqua" w:cstheme="majorBidi"/>
          <w:color w:val="0070C0"/>
          <w:sz w:val="28"/>
          <w:szCs w:val="28"/>
        </w:rPr>
        <w:t>2017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 et la même période de </w:t>
      </w:r>
      <w:r>
        <w:rPr>
          <w:rFonts w:ascii="Book Antiqua" w:hAnsi="Book Antiqua" w:cstheme="majorBidi"/>
          <w:color w:val="0070C0"/>
          <w:sz w:val="28"/>
          <w:szCs w:val="28"/>
        </w:rPr>
        <w:t>2018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, </w:t>
      </w:r>
      <w:r w:rsidR="008B21BA" w:rsidRPr="00391E0C">
        <w:rPr>
          <w:rFonts w:ascii="Book Antiqua" w:hAnsi="Book Antiqua" w:cstheme="majorBidi"/>
          <w:color w:val="0070C0"/>
          <w:sz w:val="28"/>
          <w:szCs w:val="28"/>
        </w:rPr>
        <w:t xml:space="preserve">l’économie marocaine </w:t>
      </w:r>
      <w:r w:rsidR="008B21BA">
        <w:rPr>
          <w:rFonts w:ascii="Book Antiqua" w:hAnsi="Book Antiqua" w:cstheme="majorBidi"/>
          <w:color w:val="0070C0"/>
          <w:sz w:val="28"/>
          <w:szCs w:val="28"/>
        </w:rPr>
        <w:t xml:space="preserve">a créé </w:t>
      </w:r>
      <w:r>
        <w:rPr>
          <w:rFonts w:ascii="Book Antiqua" w:hAnsi="Book Antiqua" w:cstheme="majorBidi"/>
          <w:color w:val="0070C0"/>
          <w:sz w:val="28"/>
          <w:szCs w:val="28"/>
        </w:rPr>
        <w:t>116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.000 postes d’emplois</w:t>
      </w:r>
      <w:r w:rsidR="00844F19">
        <w:rPr>
          <w:rFonts w:ascii="Book Antiqua" w:hAnsi="Book Antiqua" w:cstheme="majorBidi"/>
          <w:color w:val="0070C0"/>
          <w:sz w:val="28"/>
          <w:szCs w:val="28"/>
        </w:rPr>
        <w:t xml:space="preserve"> nets</w:t>
      </w:r>
      <w:r w:rsidR="008B21BA">
        <w:rPr>
          <w:rFonts w:ascii="Book Antiqua" w:hAnsi="Book Antiqua" w:cstheme="majorBidi"/>
          <w:color w:val="0070C0"/>
          <w:sz w:val="28"/>
          <w:szCs w:val="28"/>
        </w:rPr>
        <w:t xml:space="preserve">, </w:t>
      </w:r>
      <w:r>
        <w:rPr>
          <w:rFonts w:ascii="Book Antiqua" w:hAnsi="Book Antiqua" w:cstheme="majorBidi"/>
          <w:color w:val="0070C0"/>
          <w:sz w:val="28"/>
          <w:szCs w:val="28"/>
        </w:rPr>
        <w:t>77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.000 en milieu urbain et </w:t>
      </w:r>
      <w:r>
        <w:rPr>
          <w:rFonts w:ascii="Book Antiqua" w:hAnsi="Book Antiqua" w:cstheme="majorBidi"/>
          <w:color w:val="0070C0"/>
          <w:sz w:val="28"/>
          <w:szCs w:val="28"/>
        </w:rPr>
        <w:t>39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.000 en milieu rural, contre une </w:t>
      </w:r>
      <w:r>
        <w:rPr>
          <w:rFonts w:ascii="Book Antiqua" w:hAnsi="Book Antiqua" w:cstheme="majorBidi"/>
          <w:color w:val="0070C0"/>
          <w:sz w:val="28"/>
          <w:szCs w:val="28"/>
        </w:rPr>
        <w:t>création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 de </w:t>
      </w:r>
      <w:r>
        <w:rPr>
          <w:rFonts w:ascii="Book Antiqua" w:hAnsi="Book Antiqua" w:cstheme="majorBidi"/>
          <w:color w:val="0070C0"/>
          <w:sz w:val="28"/>
          <w:szCs w:val="28"/>
        </w:rPr>
        <w:t>109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.000 une année auparavant.</w:t>
      </w:r>
    </w:p>
    <w:p w:rsidR="00D25226" w:rsidRDefault="00D25226" w:rsidP="008B21BA">
      <w:pPr>
        <w:autoSpaceDE w:val="0"/>
        <w:autoSpaceDN w:val="0"/>
        <w:bidi w:val="0"/>
        <w:adjustRightInd w:val="0"/>
        <w:spacing w:before="240" w:after="60" w:line="276" w:lineRule="auto"/>
        <w:jc w:val="both"/>
        <w:rPr>
          <w:rFonts w:ascii="Book Antiqua" w:hAnsi="Book Antiqua" w:cstheme="majorBidi"/>
          <w:color w:val="0070C0"/>
          <w:sz w:val="28"/>
          <w:szCs w:val="28"/>
        </w:rPr>
      </w:pPr>
      <w:r w:rsidRPr="00391E0C">
        <w:rPr>
          <w:rFonts w:ascii="Book Antiqua" w:hAnsi="Book Antiqua" w:cstheme="majorBidi"/>
          <w:color w:val="0070C0"/>
          <w:sz w:val="28"/>
          <w:szCs w:val="28"/>
        </w:rPr>
        <w:t>Le</w:t>
      </w:r>
      <w:r w:rsidR="008B21BA">
        <w:rPr>
          <w:rFonts w:ascii="Book Antiqua" w:hAnsi="Book Antiqua" w:cstheme="majorBidi"/>
          <w:color w:val="0070C0"/>
          <w:sz w:val="28"/>
          <w:szCs w:val="28"/>
        </w:rPr>
        <w:t xml:space="preserve">s 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"services" </w:t>
      </w:r>
      <w:r w:rsidR="008B21BA">
        <w:rPr>
          <w:rFonts w:ascii="Book Antiqua" w:hAnsi="Book Antiqua" w:cstheme="majorBidi"/>
          <w:color w:val="0070C0"/>
          <w:sz w:val="28"/>
          <w:szCs w:val="28"/>
        </w:rPr>
        <w:t xml:space="preserve">ont 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créé</w:t>
      </w:r>
      <w:r w:rsidR="008B21BA">
        <w:rPr>
          <w:rFonts w:ascii="Book Antiqua" w:hAnsi="Book Antiqua" w:cstheme="majorBidi"/>
          <w:color w:val="0070C0"/>
          <w:sz w:val="28"/>
          <w:szCs w:val="28"/>
        </w:rPr>
        <w:t>s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="00A77DD9">
        <w:rPr>
          <w:rFonts w:ascii="Book Antiqua" w:hAnsi="Book Antiqua" w:cstheme="majorBidi"/>
          <w:color w:val="0070C0"/>
          <w:sz w:val="28"/>
          <w:szCs w:val="28"/>
        </w:rPr>
        <w:t>50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.000 emplois, l’"agriculture, forêt et pêche" </w:t>
      </w:r>
      <w:r w:rsidR="00B05494">
        <w:rPr>
          <w:rFonts w:ascii="Book Antiqua" w:hAnsi="Book Antiqua" w:cstheme="majorBidi"/>
          <w:color w:val="0070C0"/>
          <w:sz w:val="28"/>
          <w:szCs w:val="28"/>
        </w:rPr>
        <w:t>43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.000</w:t>
      </w:r>
      <w:r w:rsidR="008B21BA">
        <w:rPr>
          <w:rFonts w:ascii="Book Antiqua" w:hAnsi="Book Antiqua" w:cstheme="majorBidi"/>
          <w:color w:val="0070C0"/>
          <w:sz w:val="28"/>
          <w:szCs w:val="28"/>
        </w:rPr>
        <w:t>,</w:t>
      </w:r>
      <w:r w:rsidR="00B05494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les BTP </w:t>
      </w:r>
      <w:r w:rsidR="00B05494">
        <w:rPr>
          <w:rFonts w:ascii="Book Antiqua" w:hAnsi="Book Antiqua" w:cstheme="majorBidi"/>
          <w:color w:val="0070C0"/>
          <w:sz w:val="28"/>
          <w:szCs w:val="28"/>
        </w:rPr>
        <w:t>32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.000</w:t>
      </w:r>
      <w:r w:rsidR="008B21BA">
        <w:rPr>
          <w:rFonts w:ascii="Book Antiqua" w:hAnsi="Book Antiqua" w:cstheme="majorBidi"/>
          <w:color w:val="0070C0"/>
          <w:sz w:val="28"/>
          <w:szCs w:val="28"/>
        </w:rPr>
        <w:t xml:space="preserve"> alors que l</w:t>
      </w:r>
      <w:r w:rsidR="00B05494" w:rsidRPr="008B21BA">
        <w:rPr>
          <w:rFonts w:ascii="Book Antiqua" w:hAnsi="Book Antiqua" w:cstheme="majorBidi"/>
          <w:color w:val="0070C0"/>
          <w:sz w:val="28"/>
          <w:szCs w:val="28"/>
        </w:rPr>
        <w:t>e secteur de l</w:t>
      </w:r>
      <w:r w:rsidR="00B05494" w:rsidRPr="00391E0C">
        <w:rPr>
          <w:rFonts w:ascii="Book Antiqua" w:hAnsi="Book Antiqua" w:cstheme="majorBidi"/>
          <w:color w:val="0070C0"/>
          <w:sz w:val="28"/>
          <w:szCs w:val="28"/>
        </w:rPr>
        <w:t>’"industrie y compris l'artisanat"</w:t>
      </w:r>
      <w:r w:rsidR="00B05494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="00B05494" w:rsidRPr="008B21BA">
        <w:rPr>
          <w:rFonts w:ascii="Book Antiqua" w:hAnsi="Book Antiqua" w:cstheme="majorBidi"/>
          <w:color w:val="0070C0"/>
          <w:sz w:val="28"/>
          <w:szCs w:val="28"/>
        </w:rPr>
        <w:t xml:space="preserve">en </w:t>
      </w:r>
      <w:r w:rsidR="008B21BA">
        <w:rPr>
          <w:rFonts w:ascii="Book Antiqua" w:hAnsi="Book Antiqua" w:cstheme="majorBidi"/>
          <w:color w:val="0070C0"/>
          <w:sz w:val="28"/>
          <w:szCs w:val="28"/>
        </w:rPr>
        <w:t xml:space="preserve">a </w:t>
      </w:r>
      <w:r w:rsidR="00B05494" w:rsidRPr="008B21BA">
        <w:rPr>
          <w:rFonts w:ascii="Book Antiqua" w:hAnsi="Book Antiqua" w:cstheme="majorBidi"/>
          <w:color w:val="0070C0"/>
          <w:sz w:val="28"/>
          <w:szCs w:val="28"/>
        </w:rPr>
        <w:t xml:space="preserve"> perdu 9.000. </w:t>
      </w:r>
      <w:r w:rsidR="003F54E6">
        <w:rPr>
          <w:rFonts w:ascii="Book Antiqua" w:hAnsi="Book Antiqua" w:cstheme="majorBidi"/>
          <w:color w:val="0070C0"/>
          <w:sz w:val="28"/>
          <w:szCs w:val="28"/>
        </w:rPr>
        <w:t>Le volume global de l’emploi a ainsi atteint 10.882.000 actifs occupés.</w:t>
      </w:r>
    </w:p>
    <w:p w:rsidR="008B21BA" w:rsidRDefault="008B21BA" w:rsidP="00B41F66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color w:val="0070C0"/>
          <w:sz w:val="28"/>
          <w:szCs w:val="28"/>
        </w:rPr>
      </w:pPr>
      <w:r w:rsidRPr="003947EF">
        <w:rPr>
          <w:rFonts w:ascii="Book Antiqua" w:hAnsi="Book Antiqua" w:cstheme="majorBidi"/>
          <w:color w:val="0070C0"/>
          <w:sz w:val="28"/>
          <w:szCs w:val="28"/>
        </w:rPr>
        <w:t xml:space="preserve">Dans ce contexte, </w:t>
      </w:r>
      <w:r>
        <w:rPr>
          <w:rFonts w:ascii="Book Antiqua" w:hAnsi="Book Antiqua" w:cstheme="majorBidi"/>
          <w:color w:val="0070C0"/>
          <w:sz w:val="28"/>
          <w:szCs w:val="28"/>
        </w:rPr>
        <w:t xml:space="preserve">avec une hausse de </w:t>
      </w:r>
      <w:r w:rsidR="00861F33">
        <w:rPr>
          <w:rFonts w:ascii="Book Antiqua" w:hAnsi="Book Antiqua" w:cstheme="majorBidi"/>
          <w:color w:val="0070C0"/>
          <w:sz w:val="28"/>
          <w:szCs w:val="28"/>
        </w:rPr>
        <w:t>6</w:t>
      </w:r>
      <w:r w:rsidRPr="003947EF">
        <w:rPr>
          <w:rFonts w:ascii="Book Antiqua" w:hAnsi="Book Antiqua" w:cstheme="majorBidi"/>
          <w:color w:val="0070C0"/>
          <w:sz w:val="28"/>
          <w:szCs w:val="28"/>
        </w:rPr>
        <w:t xml:space="preserve">.000 </w:t>
      </w:r>
      <w:r>
        <w:rPr>
          <w:rFonts w:ascii="Book Antiqua" w:hAnsi="Book Antiqua" w:cstheme="majorBidi"/>
          <w:color w:val="0070C0"/>
          <w:sz w:val="28"/>
          <w:szCs w:val="28"/>
        </w:rPr>
        <w:t xml:space="preserve">personnes </w:t>
      </w:r>
      <w:r w:rsidRPr="003947EF">
        <w:rPr>
          <w:rFonts w:ascii="Book Antiqua" w:hAnsi="Book Antiqua" w:cstheme="majorBidi"/>
          <w:color w:val="0070C0"/>
          <w:sz w:val="28"/>
          <w:szCs w:val="28"/>
        </w:rPr>
        <w:t xml:space="preserve">en milieu urbain et </w:t>
      </w:r>
      <w:r>
        <w:rPr>
          <w:rFonts w:ascii="Book Antiqua" w:hAnsi="Book Antiqua" w:cstheme="majorBidi"/>
          <w:color w:val="0070C0"/>
          <w:sz w:val="28"/>
          <w:szCs w:val="28"/>
        </w:rPr>
        <w:t xml:space="preserve">une baisse de </w:t>
      </w:r>
      <w:r w:rsidR="00861F33">
        <w:rPr>
          <w:rFonts w:ascii="Book Antiqua" w:hAnsi="Book Antiqua" w:cstheme="majorBidi"/>
          <w:color w:val="0070C0"/>
          <w:sz w:val="28"/>
          <w:szCs w:val="28"/>
        </w:rPr>
        <w:t>30</w:t>
      </w:r>
      <w:r w:rsidRPr="003947EF">
        <w:rPr>
          <w:rFonts w:ascii="Book Antiqua" w:hAnsi="Book Antiqua" w:cstheme="majorBidi"/>
          <w:color w:val="0070C0"/>
          <w:sz w:val="28"/>
          <w:szCs w:val="28"/>
        </w:rPr>
        <w:t xml:space="preserve">.000 en milieu rural, le </w:t>
      </w:r>
      <w:r>
        <w:rPr>
          <w:rFonts w:ascii="Book Antiqua" w:hAnsi="Book Antiqua" w:cstheme="majorBidi"/>
          <w:color w:val="0070C0"/>
          <w:sz w:val="28"/>
          <w:szCs w:val="28"/>
        </w:rPr>
        <w:t>nombre</w:t>
      </w:r>
      <w:r w:rsidRPr="003947EF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>
        <w:rPr>
          <w:rFonts w:ascii="Book Antiqua" w:hAnsi="Book Antiqua" w:cstheme="majorBidi"/>
          <w:color w:val="0070C0"/>
          <w:sz w:val="28"/>
          <w:szCs w:val="28"/>
        </w:rPr>
        <w:t xml:space="preserve">total </w:t>
      </w:r>
      <w:r w:rsidRPr="003947EF">
        <w:rPr>
          <w:rFonts w:ascii="Book Antiqua" w:hAnsi="Book Antiqua" w:cstheme="majorBidi"/>
          <w:color w:val="0070C0"/>
          <w:sz w:val="28"/>
          <w:szCs w:val="28"/>
        </w:rPr>
        <w:t>de</w:t>
      </w:r>
      <w:r>
        <w:rPr>
          <w:rFonts w:ascii="Book Antiqua" w:hAnsi="Book Antiqua" w:cstheme="majorBidi"/>
          <w:color w:val="0070C0"/>
          <w:sz w:val="28"/>
          <w:szCs w:val="28"/>
        </w:rPr>
        <w:t>s</w:t>
      </w:r>
      <w:r w:rsidRPr="003947EF">
        <w:rPr>
          <w:rFonts w:ascii="Book Antiqua" w:hAnsi="Book Antiqua" w:cstheme="majorBidi"/>
          <w:color w:val="0070C0"/>
          <w:sz w:val="28"/>
          <w:szCs w:val="28"/>
        </w:rPr>
        <w:t xml:space="preserve"> chômeurs </w:t>
      </w:r>
      <w:r w:rsidR="00861F33">
        <w:rPr>
          <w:rFonts w:ascii="Book Antiqua" w:hAnsi="Book Antiqua" w:cstheme="majorBidi"/>
          <w:color w:val="0070C0"/>
          <w:sz w:val="28"/>
          <w:szCs w:val="28"/>
        </w:rPr>
        <w:t>a baissé de 24</w:t>
      </w:r>
      <w:r w:rsidRPr="003947EF">
        <w:rPr>
          <w:rFonts w:ascii="Book Antiqua" w:hAnsi="Book Antiqua" w:cstheme="majorBidi"/>
          <w:color w:val="0070C0"/>
          <w:sz w:val="28"/>
          <w:szCs w:val="28"/>
        </w:rPr>
        <w:t>.000</w:t>
      </w:r>
      <w:r>
        <w:rPr>
          <w:rFonts w:ascii="Book Antiqua" w:hAnsi="Book Antiqua" w:cstheme="majorBidi"/>
          <w:color w:val="0070C0"/>
          <w:sz w:val="28"/>
          <w:szCs w:val="28"/>
        </w:rPr>
        <w:t xml:space="preserve"> personnes au niveau national, atteignant  </w:t>
      </w:r>
      <w:r w:rsidRPr="003947EF">
        <w:rPr>
          <w:rFonts w:ascii="Book Antiqua" w:hAnsi="Book Antiqua" w:cstheme="majorBidi"/>
          <w:color w:val="0070C0"/>
          <w:sz w:val="28"/>
          <w:szCs w:val="28"/>
        </w:rPr>
        <w:t>1.</w:t>
      </w:r>
      <w:r w:rsidR="00861F33">
        <w:rPr>
          <w:rFonts w:ascii="Book Antiqua" w:hAnsi="Book Antiqua" w:cstheme="majorBidi"/>
          <w:color w:val="0070C0"/>
          <w:sz w:val="28"/>
          <w:szCs w:val="28"/>
        </w:rPr>
        <w:t>272</w:t>
      </w:r>
      <w:r w:rsidRPr="003947EF">
        <w:rPr>
          <w:rFonts w:ascii="Book Antiqua" w:hAnsi="Book Antiqua" w:cstheme="majorBidi"/>
          <w:color w:val="0070C0"/>
          <w:sz w:val="28"/>
          <w:szCs w:val="28"/>
        </w:rPr>
        <w:t>.000 chômeurs</w:t>
      </w:r>
      <w:r>
        <w:rPr>
          <w:rFonts w:ascii="Book Antiqua" w:hAnsi="Book Antiqua" w:cstheme="majorBidi"/>
          <w:color w:val="0070C0"/>
          <w:sz w:val="28"/>
          <w:szCs w:val="28"/>
        </w:rPr>
        <w:t>.</w:t>
      </w:r>
    </w:p>
    <w:p w:rsidR="008B21BA" w:rsidRDefault="008B21BA" w:rsidP="00546D44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color w:val="0070C0"/>
          <w:sz w:val="28"/>
          <w:szCs w:val="28"/>
        </w:rPr>
      </w:pPr>
      <w:r w:rsidRPr="00B41F66">
        <w:rPr>
          <w:rFonts w:ascii="Book Antiqua" w:hAnsi="Book Antiqua" w:cstheme="majorBidi"/>
          <w:color w:val="0070C0"/>
          <w:sz w:val="28"/>
          <w:szCs w:val="28"/>
        </w:rPr>
        <w:t>Le</w:t>
      </w:r>
      <w:r w:rsidRPr="00D46545">
        <w:rPr>
          <w:rFonts w:ascii="Book Antiqua" w:hAnsi="Book Antiqua" w:cstheme="majorBidi"/>
          <w:color w:val="0070C0"/>
          <w:sz w:val="28"/>
          <w:szCs w:val="28"/>
        </w:rPr>
        <w:t xml:space="preserve"> taux de chômage est ainsi passé</w:t>
      </w:r>
      <w:r w:rsidR="00B41F66">
        <w:rPr>
          <w:rFonts w:ascii="Book Antiqua" w:hAnsi="Book Antiqua" w:cstheme="majorBidi"/>
          <w:color w:val="0070C0"/>
          <w:sz w:val="28"/>
          <w:szCs w:val="28"/>
        </w:rPr>
        <w:t xml:space="preserve"> </w:t>
      </w:r>
      <w:r w:rsidR="00FE17B0">
        <w:rPr>
          <w:rFonts w:ascii="Book Antiqua" w:hAnsi="Book Antiqua" w:cstheme="majorBidi"/>
          <w:color w:val="0070C0"/>
          <w:sz w:val="28"/>
          <w:szCs w:val="28"/>
        </w:rPr>
        <w:t xml:space="preserve">de </w:t>
      </w:r>
      <w:r w:rsidR="00B41F66">
        <w:rPr>
          <w:rFonts w:ascii="Book Antiqua" w:hAnsi="Book Antiqua" w:cstheme="majorBidi"/>
          <w:color w:val="0070C0"/>
          <w:sz w:val="28"/>
          <w:szCs w:val="28"/>
        </w:rPr>
        <w:t>10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,</w:t>
      </w:r>
      <w:r w:rsidR="00B41F66">
        <w:rPr>
          <w:rFonts w:ascii="Book Antiqua" w:hAnsi="Book Antiqua" w:cstheme="majorBidi"/>
          <w:color w:val="0070C0"/>
          <w:sz w:val="28"/>
          <w:szCs w:val="28"/>
        </w:rPr>
        <w:t>7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% à </w:t>
      </w:r>
      <w:r w:rsidR="00B41F66">
        <w:rPr>
          <w:rFonts w:ascii="Book Antiqua" w:hAnsi="Book Antiqua" w:cstheme="majorBidi"/>
          <w:color w:val="0070C0"/>
          <w:sz w:val="28"/>
          <w:szCs w:val="28"/>
        </w:rPr>
        <w:t>10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,</w:t>
      </w:r>
      <w:r w:rsidR="00B41F66">
        <w:rPr>
          <w:rFonts w:ascii="Book Antiqua" w:hAnsi="Book Antiqua" w:cstheme="majorBidi"/>
          <w:color w:val="0070C0"/>
          <w:sz w:val="28"/>
          <w:szCs w:val="28"/>
        </w:rPr>
        <w:t>5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% au niveau national</w:t>
      </w:r>
      <w:r w:rsidR="00B41F66">
        <w:rPr>
          <w:rFonts w:ascii="Book Antiqua" w:hAnsi="Book Antiqua" w:cstheme="majorBidi"/>
          <w:color w:val="0070C0"/>
          <w:sz w:val="28"/>
          <w:szCs w:val="28"/>
        </w:rPr>
        <w:t xml:space="preserve">, 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de </w:t>
      </w:r>
      <w:r w:rsidR="00B41F66">
        <w:rPr>
          <w:rFonts w:ascii="Book Antiqua" w:hAnsi="Book Antiqua" w:cstheme="majorBidi"/>
          <w:color w:val="0070C0"/>
          <w:sz w:val="28"/>
          <w:szCs w:val="28"/>
        </w:rPr>
        <w:t>15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,</w:t>
      </w:r>
      <w:r w:rsidR="00B41F66">
        <w:rPr>
          <w:rFonts w:ascii="Book Antiqua" w:hAnsi="Book Antiqua" w:cstheme="majorBidi"/>
          <w:color w:val="0070C0"/>
          <w:sz w:val="28"/>
          <w:szCs w:val="28"/>
        </w:rPr>
        <w:t>7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% à </w:t>
      </w:r>
      <w:r w:rsidR="00B41F66">
        <w:rPr>
          <w:rFonts w:ascii="Book Antiqua" w:hAnsi="Book Antiqua" w:cstheme="majorBidi"/>
          <w:color w:val="0070C0"/>
          <w:sz w:val="28"/>
          <w:szCs w:val="28"/>
        </w:rPr>
        <w:t>15,6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% en milieu urbain</w:t>
      </w:r>
      <w:r w:rsidR="00B41F66">
        <w:rPr>
          <w:rFonts w:ascii="Book Antiqua" w:hAnsi="Book Antiqua" w:cstheme="majorBidi"/>
          <w:color w:val="0070C0"/>
          <w:sz w:val="28"/>
          <w:szCs w:val="28"/>
        </w:rPr>
        <w:t xml:space="preserve"> et 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de </w:t>
      </w:r>
      <w:r w:rsidR="00B41F66">
        <w:rPr>
          <w:rFonts w:ascii="Book Antiqua" w:hAnsi="Book Antiqua" w:cstheme="majorBidi"/>
          <w:color w:val="0070C0"/>
          <w:sz w:val="28"/>
          <w:szCs w:val="28"/>
        </w:rPr>
        <w:t>4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,</w:t>
      </w:r>
      <w:r w:rsidR="00B41F66">
        <w:rPr>
          <w:rFonts w:ascii="Book Antiqua" w:hAnsi="Book Antiqua" w:cstheme="majorBidi"/>
          <w:color w:val="0070C0"/>
          <w:sz w:val="28"/>
          <w:szCs w:val="28"/>
        </w:rPr>
        <w:t>1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% à </w:t>
      </w:r>
      <w:r>
        <w:rPr>
          <w:rFonts w:ascii="Book Antiqua" w:hAnsi="Book Antiqua" w:cstheme="majorBidi"/>
          <w:color w:val="0070C0"/>
          <w:sz w:val="28"/>
          <w:szCs w:val="28"/>
        </w:rPr>
        <w:t>3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,</w:t>
      </w:r>
      <w:r w:rsidR="00B41F66">
        <w:rPr>
          <w:rFonts w:ascii="Book Antiqua" w:hAnsi="Book Antiqua" w:cstheme="majorBidi"/>
          <w:color w:val="0070C0"/>
          <w:sz w:val="28"/>
          <w:szCs w:val="28"/>
        </w:rPr>
        <w:t>5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%</w:t>
      </w:r>
      <w:r w:rsidR="00B41F66">
        <w:rPr>
          <w:rFonts w:ascii="Book Antiqua" w:hAnsi="Book Antiqua" w:cstheme="majorBidi"/>
          <w:color w:val="0070C0"/>
          <w:sz w:val="28"/>
          <w:szCs w:val="28"/>
        </w:rPr>
        <w:t xml:space="preserve"> en milieu rural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. </w:t>
      </w:r>
      <w:r w:rsidR="00FE17B0" w:rsidRPr="00FE17B0">
        <w:rPr>
          <w:rFonts w:ascii="Book Antiqua" w:hAnsi="Book Antiqua" w:cstheme="majorBidi"/>
          <w:color w:val="0070C0"/>
          <w:sz w:val="28"/>
          <w:szCs w:val="28"/>
        </w:rPr>
        <w:t>Les baisses les plus importantes du taux de chômage ont été relevées parmi les adultes âgés de 35 à 44 ans (-</w:t>
      </w:r>
      <w:r w:rsidR="00FE17B0">
        <w:rPr>
          <w:rFonts w:ascii="Book Antiqua" w:hAnsi="Book Antiqua" w:cstheme="majorBidi"/>
          <w:color w:val="0070C0"/>
          <w:sz w:val="28"/>
          <w:szCs w:val="28"/>
        </w:rPr>
        <w:t>0,8</w:t>
      </w:r>
      <w:r w:rsidR="00FE17B0" w:rsidRPr="00FE17B0">
        <w:rPr>
          <w:rFonts w:ascii="Book Antiqua" w:hAnsi="Book Antiqua" w:cstheme="majorBidi"/>
          <w:color w:val="0070C0"/>
          <w:sz w:val="28"/>
          <w:szCs w:val="28"/>
        </w:rPr>
        <w:t xml:space="preserve"> point) et les personnes n’ayant aucun diplôme (-0,</w:t>
      </w:r>
      <w:r w:rsidR="00FE17B0">
        <w:rPr>
          <w:rFonts w:ascii="Book Antiqua" w:hAnsi="Book Antiqua" w:cstheme="majorBidi"/>
          <w:color w:val="0070C0"/>
          <w:sz w:val="28"/>
          <w:szCs w:val="28"/>
        </w:rPr>
        <w:t>3</w:t>
      </w:r>
      <w:r w:rsidR="00FE17B0" w:rsidRPr="00FE17B0">
        <w:rPr>
          <w:rFonts w:ascii="Book Antiqua" w:hAnsi="Book Antiqua" w:cstheme="majorBidi"/>
          <w:color w:val="0070C0"/>
          <w:sz w:val="28"/>
          <w:szCs w:val="28"/>
        </w:rPr>
        <w:t xml:space="preserve"> point).</w:t>
      </w:r>
      <w:r w:rsidR="00546D44">
        <w:rPr>
          <w:rFonts w:ascii="Book Antiqua" w:hAnsi="Book Antiqua" w:cstheme="majorBidi"/>
          <w:color w:val="0070C0"/>
          <w:sz w:val="28"/>
          <w:szCs w:val="28"/>
        </w:rPr>
        <w:t xml:space="preserve"> En revanche, l</w:t>
      </w:r>
      <w:r w:rsidR="00546D44" w:rsidRPr="00546D44">
        <w:rPr>
          <w:rFonts w:ascii="Book Antiqua" w:hAnsi="Book Antiqua" w:cstheme="majorBidi"/>
          <w:color w:val="0070C0"/>
          <w:sz w:val="28"/>
          <w:szCs w:val="28"/>
        </w:rPr>
        <w:t>es hausses les plus importantes ont été enregistrées parmi les jeunes âgés de 15 à 24 ans (+0,2 point), particulièrement parmi les citadins d’entre eux (+2 points).</w:t>
      </w:r>
    </w:p>
    <w:p w:rsidR="008B21BA" w:rsidRDefault="008B21BA" w:rsidP="004E4B3F">
      <w:pPr>
        <w:autoSpaceDE w:val="0"/>
        <w:autoSpaceDN w:val="0"/>
        <w:bidi w:val="0"/>
        <w:adjustRightInd w:val="0"/>
        <w:spacing w:before="240" w:after="60" w:line="276" w:lineRule="auto"/>
        <w:jc w:val="both"/>
        <w:rPr>
          <w:rFonts w:ascii="Book Antiqua" w:hAnsi="Book Antiqua" w:cstheme="majorBidi"/>
          <w:color w:val="0070C0"/>
          <w:sz w:val="28"/>
          <w:szCs w:val="28"/>
        </w:rPr>
      </w:pPr>
      <w:r w:rsidRPr="00D46545">
        <w:rPr>
          <w:rFonts w:ascii="Book Antiqua" w:hAnsi="Book Antiqua" w:cstheme="majorBidi"/>
          <w:color w:val="0070C0"/>
          <w:sz w:val="28"/>
          <w:szCs w:val="28"/>
        </w:rPr>
        <w:t xml:space="preserve">De son côté, </w:t>
      </w:r>
      <w:r>
        <w:rPr>
          <w:rFonts w:ascii="Book Antiqua" w:hAnsi="Book Antiqua" w:cstheme="majorBidi"/>
          <w:color w:val="0070C0"/>
          <w:sz w:val="28"/>
          <w:szCs w:val="28"/>
        </w:rPr>
        <w:t>l</w:t>
      </w:r>
      <w:r w:rsidRPr="00D46545">
        <w:rPr>
          <w:rFonts w:ascii="Book Antiqua" w:hAnsi="Book Antiqua" w:cstheme="majorBidi"/>
          <w:color w:val="0070C0"/>
          <w:sz w:val="28"/>
          <w:szCs w:val="28"/>
        </w:rPr>
        <w:t>a population sous-employée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 s’est </w:t>
      </w:r>
      <w:r w:rsidR="004E4B3F">
        <w:rPr>
          <w:rFonts w:ascii="Book Antiqua" w:hAnsi="Book Antiqua" w:cstheme="majorBidi"/>
          <w:color w:val="0070C0"/>
          <w:sz w:val="28"/>
          <w:szCs w:val="28"/>
        </w:rPr>
        <w:t>accrue de 33.000 personnes, s’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établi</w:t>
      </w:r>
      <w:r w:rsidR="004E4B3F">
        <w:rPr>
          <w:rFonts w:ascii="Book Antiqua" w:hAnsi="Book Antiqua" w:cstheme="majorBidi"/>
          <w:color w:val="0070C0"/>
          <w:sz w:val="28"/>
          <w:szCs w:val="28"/>
        </w:rPr>
        <w:t xml:space="preserve">ssant 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à 1.</w:t>
      </w:r>
      <w:r w:rsidR="00FE17B0">
        <w:rPr>
          <w:rFonts w:ascii="Book Antiqua" w:hAnsi="Book Antiqua" w:cstheme="majorBidi"/>
          <w:color w:val="0070C0"/>
          <w:sz w:val="28"/>
          <w:szCs w:val="28"/>
        </w:rPr>
        <w:t>090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.000 personnes</w:t>
      </w:r>
      <w:r w:rsidR="004E4B3F">
        <w:rPr>
          <w:rFonts w:ascii="Book Antiqua" w:hAnsi="Book Antiqua" w:cstheme="majorBidi"/>
          <w:color w:val="0070C0"/>
          <w:sz w:val="28"/>
          <w:szCs w:val="28"/>
        </w:rPr>
        <w:t xml:space="preserve"> au niveau national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. Le taux de sous-emploi </w:t>
      </w:r>
      <w:r w:rsidR="00C8114E" w:rsidRPr="00C8114E">
        <w:rPr>
          <w:rFonts w:ascii="Book Antiqua" w:hAnsi="Book Antiqua" w:cstheme="majorBidi"/>
          <w:color w:val="0070C0"/>
          <w:sz w:val="28"/>
          <w:szCs w:val="28"/>
        </w:rPr>
        <w:t xml:space="preserve">a </w:t>
      </w:r>
      <w:r w:rsidR="004E4B3F">
        <w:rPr>
          <w:rFonts w:ascii="Book Antiqua" w:hAnsi="Book Antiqua" w:cstheme="majorBidi"/>
          <w:color w:val="0070C0"/>
          <w:sz w:val="28"/>
          <w:szCs w:val="28"/>
        </w:rPr>
        <w:t xml:space="preserve">ainsi </w:t>
      </w:r>
      <w:r w:rsidR="00C8114E" w:rsidRPr="00C8114E">
        <w:rPr>
          <w:rFonts w:ascii="Book Antiqua" w:hAnsi="Book Antiqua" w:cstheme="majorBidi"/>
          <w:color w:val="0070C0"/>
          <w:sz w:val="28"/>
          <w:szCs w:val="28"/>
        </w:rPr>
        <w:t xml:space="preserve">augmenté de </w:t>
      </w:r>
      <w:r w:rsidR="00C8114E">
        <w:rPr>
          <w:rFonts w:ascii="Book Antiqua" w:hAnsi="Book Antiqua" w:cstheme="majorBidi"/>
          <w:color w:val="0070C0"/>
          <w:sz w:val="28"/>
          <w:szCs w:val="28"/>
        </w:rPr>
        <w:t xml:space="preserve">0,2 point, par rapport au premier trimestre de 2017, passant de 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9,</w:t>
      </w:r>
      <w:r>
        <w:rPr>
          <w:rFonts w:ascii="Book Antiqua" w:hAnsi="Book Antiqua" w:cstheme="majorBidi"/>
          <w:color w:val="0070C0"/>
          <w:sz w:val="28"/>
          <w:szCs w:val="28"/>
        </w:rPr>
        <w:t>8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% à </w:t>
      </w:r>
      <w:r w:rsidR="00FE17B0">
        <w:rPr>
          <w:rFonts w:ascii="Book Antiqua" w:hAnsi="Book Antiqua" w:cstheme="majorBidi"/>
          <w:color w:val="0070C0"/>
          <w:sz w:val="28"/>
          <w:szCs w:val="28"/>
        </w:rPr>
        <w:t>10,0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%</w:t>
      </w:r>
      <w:r w:rsidR="00C8114E">
        <w:rPr>
          <w:rFonts w:ascii="Book Antiqua" w:hAnsi="Book Antiqua" w:cstheme="majorBidi"/>
          <w:color w:val="0070C0"/>
          <w:sz w:val="28"/>
          <w:szCs w:val="28"/>
        </w:rPr>
        <w:t xml:space="preserve">. Il a augmenté 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de </w:t>
      </w:r>
      <w:r w:rsidR="00FE17B0">
        <w:rPr>
          <w:rFonts w:ascii="Book Antiqua" w:hAnsi="Book Antiqua" w:cstheme="majorBidi"/>
          <w:color w:val="0070C0"/>
          <w:sz w:val="28"/>
          <w:szCs w:val="28"/>
        </w:rPr>
        <w:t>10,3%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 xml:space="preserve"> à </w:t>
      </w:r>
      <w:r w:rsidR="00FE17B0">
        <w:rPr>
          <w:rFonts w:ascii="Book Antiqua" w:hAnsi="Book Antiqua" w:cstheme="majorBidi"/>
          <w:color w:val="0070C0"/>
          <w:sz w:val="28"/>
          <w:szCs w:val="28"/>
        </w:rPr>
        <w:t>10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,</w:t>
      </w:r>
      <w:r w:rsidR="00FE17B0">
        <w:rPr>
          <w:rFonts w:ascii="Book Antiqua" w:hAnsi="Book Antiqua" w:cstheme="majorBidi"/>
          <w:color w:val="0070C0"/>
          <w:sz w:val="28"/>
          <w:szCs w:val="28"/>
        </w:rPr>
        <w:t>7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% en milieu</w:t>
      </w:r>
      <w:r w:rsidR="00C8114E">
        <w:rPr>
          <w:rFonts w:ascii="Book Antiqua" w:hAnsi="Book Antiqua" w:cstheme="majorBidi"/>
          <w:color w:val="0070C0"/>
          <w:sz w:val="28"/>
          <w:szCs w:val="28"/>
        </w:rPr>
        <w:t xml:space="preserve"> rural et a stagné </w:t>
      </w:r>
      <w:r w:rsidR="00C8114E" w:rsidRPr="00C8114E">
        <w:rPr>
          <w:rFonts w:ascii="Book Antiqua" w:hAnsi="Book Antiqua" w:cstheme="majorBidi"/>
          <w:color w:val="0070C0"/>
          <w:sz w:val="28"/>
          <w:szCs w:val="28"/>
        </w:rPr>
        <w:t xml:space="preserve">à </w:t>
      </w:r>
      <w:r w:rsidR="00C8114E">
        <w:rPr>
          <w:rFonts w:ascii="Book Antiqua" w:hAnsi="Book Antiqua" w:cstheme="majorBidi"/>
          <w:color w:val="0070C0"/>
          <w:sz w:val="28"/>
          <w:szCs w:val="28"/>
        </w:rPr>
        <w:t>9</w:t>
      </w:r>
      <w:r w:rsidR="00C8114E" w:rsidRPr="00C8114E">
        <w:rPr>
          <w:rFonts w:ascii="Book Antiqua" w:hAnsi="Book Antiqua" w:cstheme="majorBidi"/>
          <w:color w:val="0070C0"/>
          <w:sz w:val="28"/>
          <w:szCs w:val="28"/>
        </w:rPr>
        <w:t>,</w:t>
      </w:r>
      <w:r w:rsidR="00C8114E">
        <w:rPr>
          <w:rFonts w:ascii="Book Antiqua" w:hAnsi="Book Antiqua" w:cstheme="majorBidi"/>
          <w:color w:val="0070C0"/>
          <w:sz w:val="28"/>
          <w:szCs w:val="28"/>
        </w:rPr>
        <w:t>4</w:t>
      </w:r>
      <w:r w:rsidR="00C8114E" w:rsidRPr="00C8114E">
        <w:rPr>
          <w:rFonts w:ascii="Book Antiqua" w:hAnsi="Book Antiqua" w:cstheme="majorBidi"/>
          <w:color w:val="0070C0"/>
          <w:sz w:val="28"/>
          <w:szCs w:val="28"/>
        </w:rPr>
        <w:t xml:space="preserve">% en milieu </w:t>
      </w:r>
      <w:r w:rsidR="00C8114E">
        <w:rPr>
          <w:rFonts w:ascii="Book Antiqua" w:hAnsi="Book Antiqua" w:cstheme="majorBidi"/>
          <w:color w:val="0070C0"/>
          <w:sz w:val="28"/>
          <w:szCs w:val="28"/>
        </w:rPr>
        <w:t>urbain</w:t>
      </w:r>
      <w:r w:rsidRPr="00391E0C">
        <w:rPr>
          <w:rFonts w:ascii="Book Antiqua" w:hAnsi="Book Antiqua" w:cstheme="majorBidi"/>
          <w:color w:val="0070C0"/>
          <w:sz w:val="28"/>
          <w:szCs w:val="28"/>
        </w:rPr>
        <w:t>.</w:t>
      </w:r>
    </w:p>
    <w:p w:rsidR="009B7BDC" w:rsidRPr="00306463" w:rsidRDefault="009B7BDC" w:rsidP="00587F1E">
      <w:pPr>
        <w:autoSpaceDE w:val="0"/>
        <w:autoSpaceDN w:val="0"/>
        <w:bidi w:val="0"/>
        <w:adjustRightInd w:val="0"/>
        <w:spacing w:before="120" w:line="360" w:lineRule="auto"/>
        <w:jc w:val="both"/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</w:pPr>
      <w:r w:rsidRPr="00306463"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  <w:lastRenderedPageBreak/>
        <w:t>Situation et évolution du marché du travail</w:t>
      </w:r>
    </w:p>
    <w:p w:rsidR="0087218B" w:rsidRPr="00FB46B7" w:rsidRDefault="0087218B" w:rsidP="0087218B">
      <w:pPr>
        <w:bidi w:val="0"/>
        <w:rPr>
          <w:rFonts w:ascii="Book Antiqua" w:hAnsi="Book Antiqua" w:cs="Times New Roman"/>
          <w:noProof w:val="0"/>
          <w:color w:val="0070C0"/>
          <w:sz w:val="28"/>
          <w:szCs w:val="28"/>
        </w:rPr>
      </w:pPr>
      <w:r w:rsidRPr="00FB46B7">
        <w:rPr>
          <w:rFonts w:ascii="Book Antiqua" w:hAnsi="Book Antiqua" w:cs="Times New Roman"/>
          <w:noProof w:val="0"/>
          <w:color w:val="0070C0"/>
          <w:sz w:val="28"/>
          <w:szCs w:val="28"/>
        </w:rPr>
        <w:t>Légère baisse des taux d’activité et d’emploi</w:t>
      </w:r>
    </w:p>
    <w:p w:rsidR="0087218B" w:rsidRPr="00FB46B7" w:rsidRDefault="0087218B" w:rsidP="00014CF6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12"/>
          <w:szCs w:val="12"/>
        </w:rPr>
      </w:pPr>
    </w:p>
    <w:p w:rsidR="009B7BDC" w:rsidRPr="00694793" w:rsidRDefault="001D6147" w:rsidP="00036D21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Avec </w:t>
      </w:r>
      <w:r w:rsidR="003624E5">
        <w:rPr>
          <w:rFonts w:ascii="Book Antiqua" w:hAnsi="Book Antiqua" w:cs="Times New Roman"/>
          <w:noProof w:val="0"/>
          <w:sz w:val="26"/>
          <w:szCs w:val="26"/>
        </w:rPr>
        <w:t>12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>.</w:t>
      </w:r>
      <w:r w:rsidR="003624E5">
        <w:rPr>
          <w:rFonts w:ascii="Book Antiqua" w:hAnsi="Book Antiqua" w:cs="Times New Roman"/>
          <w:noProof w:val="0"/>
          <w:sz w:val="26"/>
          <w:szCs w:val="26"/>
        </w:rPr>
        <w:t>154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>.000 personnes, l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a population active âgée de 15 ans et plus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5C1E3E" w:rsidRPr="00694793">
        <w:rPr>
          <w:rFonts w:ascii="Book Antiqua" w:hAnsi="Book Antiqua" w:cs="Times New Roman"/>
          <w:noProof w:val="0"/>
          <w:sz w:val="26"/>
          <w:szCs w:val="26"/>
        </w:rPr>
        <w:t xml:space="preserve">a </w:t>
      </w:r>
      <w:r w:rsidR="003624E5">
        <w:rPr>
          <w:rFonts w:ascii="Book Antiqua" w:hAnsi="Book Antiqua" w:cs="Times New Roman"/>
          <w:noProof w:val="0"/>
          <w:sz w:val="26"/>
          <w:szCs w:val="26"/>
        </w:rPr>
        <w:t>augmenté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>, entre le</w:t>
      </w:r>
      <w:r w:rsidR="006E461B" w:rsidRPr="00694793">
        <w:rPr>
          <w:rFonts w:ascii="Book Antiqua" w:hAnsi="Book Antiqua" w:cs="Times New Roman"/>
          <w:noProof w:val="0"/>
          <w:sz w:val="26"/>
          <w:szCs w:val="26"/>
        </w:rPr>
        <w:t>s</w:t>
      </w:r>
      <w:r w:rsidR="00464B5F" w:rsidRPr="00694793">
        <w:rPr>
          <w:rFonts w:ascii="Book Antiqua" w:hAnsi="Book Antiqua" w:cs="Times New Roman"/>
          <w:noProof w:val="0"/>
          <w:sz w:val="26"/>
          <w:szCs w:val="26"/>
        </w:rPr>
        <w:t xml:space="preserve"> premier</w:t>
      </w:r>
      <w:r w:rsidR="006E461B" w:rsidRPr="00694793">
        <w:rPr>
          <w:rFonts w:ascii="Book Antiqua" w:hAnsi="Book Antiqua" w:cs="Times New Roman"/>
          <w:noProof w:val="0"/>
          <w:sz w:val="26"/>
          <w:szCs w:val="26"/>
        </w:rPr>
        <w:t>s</w:t>
      </w:r>
      <w:r w:rsidR="00464B5F" w:rsidRPr="00694793">
        <w:rPr>
          <w:rFonts w:ascii="Book Antiqua" w:hAnsi="Book Antiqua" w:cs="Times New Roman"/>
          <w:noProof w:val="0"/>
          <w:sz w:val="26"/>
          <w:szCs w:val="26"/>
        </w:rPr>
        <w:t xml:space="preserve"> trimestre</w:t>
      </w:r>
      <w:r w:rsidR="006E461B" w:rsidRPr="00694793">
        <w:rPr>
          <w:rFonts w:ascii="Book Antiqua" w:hAnsi="Book Antiqua" w:cs="Times New Roman"/>
          <w:noProof w:val="0"/>
          <w:sz w:val="26"/>
          <w:szCs w:val="26"/>
        </w:rPr>
        <w:t>s</w:t>
      </w:r>
      <w:r w:rsidR="00464B5F" w:rsidRPr="00694793">
        <w:rPr>
          <w:rFonts w:ascii="Book Antiqua" w:hAnsi="Book Antiqua" w:cs="Times New Roman"/>
          <w:noProof w:val="0"/>
          <w:sz w:val="26"/>
          <w:szCs w:val="26"/>
        </w:rPr>
        <w:t xml:space="preserve"> de </w:t>
      </w:r>
      <w:r w:rsidR="003624E5">
        <w:rPr>
          <w:rFonts w:ascii="Book Antiqua" w:hAnsi="Book Antiqua" w:cs="Times New Roman"/>
          <w:noProof w:val="0"/>
          <w:sz w:val="26"/>
          <w:szCs w:val="26"/>
        </w:rPr>
        <w:t>2017</w:t>
      </w:r>
      <w:r w:rsidR="00464B5F" w:rsidRPr="00694793">
        <w:rPr>
          <w:rFonts w:ascii="Book Antiqua" w:hAnsi="Book Antiqua" w:cs="Times New Roman"/>
          <w:noProof w:val="0"/>
          <w:sz w:val="26"/>
          <w:szCs w:val="26"/>
        </w:rPr>
        <w:t xml:space="preserve"> et </w:t>
      </w:r>
      <w:r w:rsidR="003624E5">
        <w:rPr>
          <w:rFonts w:ascii="Book Antiqua" w:hAnsi="Book Antiqua" w:cs="Times New Roman"/>
          <w:noProof w:val="0"/>
          <w:sz w:val="26"/>
          <w:szCs w:val="26"/>
        </w:rPr>
        <w:t>2018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4E6FB0" w:rsidRPr="00694793">
        <w:rPr>
          <w:rFonts w:ascii="Book Antiqua" w:hAnsi="Book Antiqua" w:cs="Times New Roman"/>
          <w:noProof w:val="0"/>
          <w:sz w:val="26"/>
          <w:szCs w:val="26"/>
        </w:rPr>
        <w:t>0,</w:t>
      </w:r>
      <w:r w:rsidR="003624E5">
        <w:rPr>
          <w:rFonts w:ascii="Book Antiqua" w:hAnsi="Book Antiqua" w:cs="Times New Roman"/>
          <w:noProof w:val="0"/>
          <w:sz w:val="26"/>
          <w:szCs w:val="26"/>
        </w:rPr>
        <w:t>8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>% au niveau national (</w:t>
      </w:r>
      <w:r w:rsidR="003624E5">
        <w:rPr>
          <w:rFonts w:ascii="Book Antiqua" w:hAnsi="Book Antiqua" w:cs="Times New Roman"/>
          <w:noProof w:val="0"/>
          <w:sz w:val="26"/>
          <w:szCs w:val="26"/>
        </w:rPr>
        <w:t>+1</w:t>
      </w:r>
      <w:r w:rsidR="009D2A50" w:rsidRPr="00694793">
        <w:rPr>
          <w:rFonts w:ascii="Book Antiqua" w:hAnsi="Book Antiqua" w:cs="Times New Roman"/>
          <w:noProof w:val="0"/>
          <w:sz w:val="26"/>
          <w:szCs w:val="26"/>
        </w:rPr>
        <w:t>,</w:t>
      </w:r>
      <w:r w:rsidR="003624E5">
        <w:rPr>
          <w:rFonts w:ascii="Book Antiqua" w:hAnsi="Book Antiqua" w:cs="Times New Roman"/>
          <w:noProof w:val="0"/>
          <w:sz w:val="26"/>
          <w:szCs w:val="26"/>
        </w:rPr>
        <w:t>2</w:t>
      </w:r>
      <w:r w:rsidR="009D2A50" w:rsidRPr="00694793">
        <w:rPr>
          <w:rFonts w:ascii="Book Antiqua" w:hAnsi="Book Antiqua" w:cs="Times New Roman"/>
          <w:noProof w:val="0"/>
          <w:sz w:val="26"/>
          <w:szCs w:val="26"/>
        </w:rPr>
        <w:t xml:space="preserve">% en milieu </w:t>
      </w:r>
      <w:r w:rsidR="003624E5">
        <w:rPr>
          <w:rFonts w:ascii="Book Antiqua" w:hAnsi="Book Antiqua" w:cs="Times New Roman"/>
          <w:noProof w:val="0"/>
          <w:sz w:val="26"/>
          <w:szCs w:val="26"/>
        </w:rPr>
        <w:t>urbain</w:t>
      </w:r>
      <w:r w:rsidR="009D2A50" w:rsidRPr="00694793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D2A50"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>+</w:t>
      </w:r>
      <w:r w:rsidR="00464B5F" w:rsidRPr="00694793">
        <w:rPr>
          <w:rFonts w:ascii="Book Antiqua" w:hAnsi="Book Antiqua" w:cs="Times New Roman"/>
          <w:noProof w:val="0"/>
          <w:sz w:val="26"/>
          <w:szCs w:val="26"/>
        </w:rPr>
        <w:t>0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>,</w:t>
      </w:r>
      <w:r w:rsidR="003624E5">
        <w:rPr>
          <w:rFonts w:ascii="Book Antiqua" w:hAnsi="Book Antiqua" w:cs="Times New Roman"/>
          <w:noProof w:val="0"/>
          <w:sz w:val="26"/>
          <w:szCs w:val="26"/>
        </w:rPr>
        <w:t>2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 xml:space="preserve">% en milieu </w:t>
      </w:r>
      <w:r w:rsidR="003624E5">
        <w:rPr>
          <w:rFonts w:ascii="Book Antiqua" w:hAnsi="Book Antiqua" w:cs="Times New Roman"/>
          <w:noProof w:val="0"/>
          <w:sz w:val="26"/>
          <w:szCs w:val="26"/>
        </w:rPr>
        <w:t>rural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>)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D41611" w:rsidRPr="00694793">
        <w:rPr>
          <w:rFonts w:ascii="Book Antiqua" w:hAnsi="Book Antiqua" w:cs="Times New Roman"/>
          <w:noProof w:val="0"/>
          <w:sz w:val="26"/>
          <w:szCs w:val="26"/>
        </w:rPr>
        <w:t>La population en âge d’activité</w:t>
      </w:r>
      <w:r w:rsidR="009D2A50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D41611" w:rsidRPr="00694793">
        <w:rPr>
          <w:rFonts w:ascii="Book Antiqua" w:hAnsi="Book Antiqua" w:cs="Times New Roman"/>
          <w:noProof w:val="0"/>
          <w:sz w:val="26"/>
          <w:szCs w:val="26"/>
        </w:rPr>
        <w:t>s’est accrue</w:t>
      </w:r>
      <w:r w:rsidR="009D2A50">
        <w:rPr>
          <w:rFonts w:ascii="Book Antiqua" w:hAnsi="Book Antiqua" w:cs="Times New Roman"/>
          <w:noProof w:val="0"/>
          <w:sz w:val="26"/>
          <w:szCs w:val="26"/>
        </w:rPr>
        <w:t>,</w:t>
      </w:r>
      <w:r w:rsidR="009D2A50" w:rsidRPr="009D2A50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D2A50" w:rsidRPr="00694793">
        <w:rPr>
          <w:rFonts w:ascii="Book Antiqua" w:hAnsi="Book Antiqua" w:cs="Times New Roman"/>
          <w:noProof w:val="0"/>
          <w:sz w:val="26"/>
          <w:szCs w:val="26"/>
        </w:rPr>
        <w:t xml:space="preserve">quant à elle, </w:t>
      </w:r>
      <w:r w:rsidR="00D41611" w:rsidRPr="00694793">
        <w:rPr>
          <w:rFonts w:ascii="Book Antiqua" w:hAnsi="Book Antiqua" w:cs="Times New Roman"/>
          <w:noProof w:val="0"/>
          <w:sz w:val="26"/>
          <w:szCs w:val="26"/>
        </w:rPr>
        <w:t xml:space="preserve"> de 1,</w:t>
      </w:r>
      <w:r w:rsidR="003624E5">
        <w:rPr>
          <w:rFonts w:ascii="Book Antiqua" w:hAnsi="Book Antiqua" w:cs="Times New Roman"/>
          <w:noProof w:val="0"/>
          <w:sz w:val="26"/>
          <w:szCs w:val="26"/>
        </w:rPr>
        <w:t>7</w:t>
      </w:r>
      <w:r w:rsidR="00D41611" w:rsidRPr="00694793">
        <w:rPr>
          <w:rFonts w:ascii="Book Antiqua" w:hAnsi="Book Antiqua" w:cs="Times New Roman"/>
          <w:noProof w:val="0"/>
          <w:sz w:val="26"/>
          <w:szCs w:val="26"/>
        </w:rPr>
        <w:t xml:space="preserve">%. </w:t>
      </w:r>
      <w:r w:rsidR="00DB580E" w:rsidRPr="00694793">
        <w:rPr>
          <w:rFonts w:ascii="Book Antiqua" w:hAnsi="Book Antiqua" w:cs="Times New Roman"/>
          <w:noProof w:val="0"/>
          <w:sz w:val="26"/>
          <w:szCs w:val="26"/>
        </w:rPr>
        <w:t>Ainsi, l</w:t>
      </w:r>
      <w:r w:rsidR="00D41611" w:rsidRPr="00694793">
        <w:rPr>
          <w:rFonts w:ascii="Book Antiqua" w:hAnsi="Book Antiqua" w:cs="Times New Roman"/>
          <w:noProof w:val="0"/>
          <w:sz w:val="26"/>
          <w:szCs w:val="26"/>
        </w:rPr>
        <w:t>e taux d’activité</w:t>
      </w:r>
      <w:r w:rsidR="00E375D2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>est passé</w:t>
      </w:r>
      <w:r w:rsidR="00014CF6" w:rsidRPr="00694793">
        <w:rPr>
          <w:rFonts w:ascii="Book Antiqua" w:hAnsi="Book Antiqua" w:cs="Times New Roman"/>
          <w:noProof w:val="0"/>
          <w:sz w:val="26"/>
          <w:szCs w:val="26"/>
        </w:rPr>
        <w:t>, entre les deux périodes,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de 4</w:t>
      </w:r>
      <w:r w:rsidR="006E461B" w:rsidRPr="00694793">
        <w:rPr>
          <w:rFonts w:ascii="Book Antiqua" w:hAnsi="Book Antiqua" w:cs="Times New Roman"/>
          <w:noProof w:val="0"/>
          <w:sz w:val="26"/>
          <w:szCs w:val="26"/>
        </w:rPr>
        <w:t>7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,</w:t>
      </w:r>
      <w:r w:rsidR="00844BDF">
        <w:rPr>
          <w:rFonts w:ascii="Book Antiqua" w:hAnsi="Book Antiqua" w:cs="Times New Roman"/>
          <w:noProof w:val="0"/>
          <w:sz w:val="26"/>
          <w:szCs w:val="26"/>
        </w:rPr>
        <w:t>5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% à 4</w:t>
      </w:r>
      <w:r w:rsidR="006E461B" w:rsidRPr="00694793">
        <w:rPr>
          <w:rFonts w:ascii="Book Antiqua" w:hAnsi="Book Antiqua" w:cs="Times New Roman"/>
          <w:noProof w:val="0"/>
          <w:sz w:val="26"/>
          <w:szCs w:val="26"/>
        </w:rPr>
        <w:t>7</w:t>
      </w:r>
      <w:r w:rsidR="00844BDF">
        <w:rPr>
          <w:rFonts w:ascii="Book Antiqua" w:hAnsi="Book Antiqua" w:cs="Times New Roman"/>
          <w:noProof w:val="0"/>
          <w:sz w:val="26"/>
          <w:szCs w:val="26"/>
        </w:rPr>
        <w:t>,1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%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>, enregistrant une diminution de 0,</w:t>
      </w:r>
      <w:r w:rsidR="00844BDF">
        <w:rPr>
          <w:rFonts w:ascii="Book Antiqua" w:hAnsi="Book Antiqua" w:cs="Times New Roman"/>
          <w:noProof w:val="0"/>
          <w:sz w:val="26"/>
          <w:szCs w:val="26"/>
        </w:rPr>
        <w:t>4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.</w:t>
      </w:r>
      <w:r w:rsidR="00036D21">
        <w:rPr>
          <w:rFonts w:ascii="Book Antiqua" w:hAnsi="Book Antiqua" w:cs="Times New Roman"/>
          <w:noProof w:val="0"/>
          <w:sz w:val="26"/>
          <w:szCs w:val="26"/>
        </w:rPr>
        <w:t xml:space="preserve"> Ce taux a baissé 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>en milieu urbain</w:t>
      </w:r>
      <w:r w:rsidR="00036D21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>de</w:t>
      </w:r>
      <w:r w:rsidR="00036D21">
        <w:rPr>
          <w:rFonts w:ascii="Book Antiqua" w:hAnsi="Book Antiqua" w:cs="Times New Roman"/>
          <w:noProof w:val="0"/>
          <w:sz w:val="26"/>
          <w:szCs w:val="26"/>
        </w:rPr>
        <w:t xml:space="preserve"> 43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036D21">
        <w:rPr>
          <w:rFonts w:ascii="Book Antiqua" w:hAnsi="Book Antiqua" w:cs="Times New Roman"/>
          <w:noProof w:val="0"/>
          <w:sz w:val="26"/>
          <w:szCs w:val="26"/>
        </w:rPr>
        <w:t>1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036D21">
        <w:rPr>
          <w:rFonts w:ascii="Book Antiqua" w:hAnsi="Book Antiqua" w:cs="Times New Roman"/>
          <w:noProof w:val="0"/>
          <w:sz w:val="26"/>
          <w:szCs w:val="26"/>
        </w:rPr>
        <w:t>42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036D21">
        <w:rPr>
          <w:rFonts w:ascii="Book Antiqua" w:hAnsi="Book Antiqua" w:cs="Times New Roman"/>
          <w:noProof w:val="0"/>
          <w:sz w:val="26"/>
          <w:szCs w:val="26"/>
        </w:rPr>
        <w:t>4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>%</w:t>
      </w:r>
      <w:r w:rsidR="00036D21">
        <w:rPr>
          <w:rFonts w:ascii="Book Antiqua" w:hAnsi="Book Antiqua" w:cs="Times New Roman"/>
          <w:noProof w:val="0"/>
          <w:sz w:val="26"/>
          <w:szCs w:val="26"/>
        </w:rPr>
        <w:t xml:space="preserve"> (-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>0,</w:t>
      </w:r>
      <w:r w:rsidR="00036D21">
        <w:rPr>
          <w:rFonts w:ascii="Book Antiqua" w:hAnsi="Book Antiqua" w:cs="Times New Roman"/>
          <w:noProof w:val="0"/>
          <w:sz w:val="26"/>
          <w:szCs w:val="26"/>
        </w:rPr>
        <w:t>7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 w:rsidR="00036D21">
        <w:rPr>
          <w:rFonts w:ascii="Book Antiqua" w:hAnsi="Book Antiqua" w:cs="Times New Roman"/>
          <w:noProof w:val="0"/>
          <w:sz w:val="26"/>
          <w:szCs w:val="26"/>
        </w:rPr>
        <w:t xml:space="preserve">) et a augmenté 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>e</w:t>
      </w:r>
      <w:r w:rsidR="00036D21">
        <w:rPr>
          <w:rFonts w:ascii="Book Antiqua" w:hAnsi="Book Antiqua" w:cs="Times New Roman"/>
          <w:noProof w:val="0"/>
          <w:sz w:val="26"/>
          <w:szCs w:val="26"/>
        </w:rPr>
        <w:t xml:space="preserve">n milieu rural 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>de</w:t>
      </w:r>
      <w:r w:rsidR="00036D21">
        <w:rPr>
          <w:rFonts w:ascii="Book Antiqua" w:hAnsi="Book Antiqua" w:cs="Times New Roman"/>
          <w:noProof w:val="0"/>
          <w:sz w:val="26"/>
          <w:szCs w:val="26"/>
        </w:rPr>
        <w:t xml:space="preserve"> 54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036D21">
        <w:rPr>
          <w:rFonts w:ascii="Book Antiqua" w:hAnsi="Book Antiqua" w:cs="Times New Roman"/>
          <w:noProof w:val="0"/>
          <w:sz w:val="26"/>
          <w:szCs w:val="26"/>
        </w:rPr>
        <w:t>9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036D21">
        <w:rPr>
          <w:rFonts w:ascii="Book Antiqua" w:hAnsi="Book Antiqua" w:cs="Times New Roman"/>
          <w:noProof w:val="0"/>
          <w:sz w:val="26"/>
          <w:szCs w:val="26"/>
        </w:rPr>
        <w:t>55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036D21">
        <w:rPr>
          <w:rFonts w:ascii="Book Antiqua" w:hAnsi="Book Antiqua" w:cs="Times New Roman"/>
          <w:noProof w:val="0"/>
          <w:sz w:val="26"/>
          <w:szCs w:val="26"/>
        </w:rPr>
        <w:t>4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>%</w:t>
      </w:r>
      <w:r w:rsidR="00036D21">
        <w:rPr>
          <w:rFonts w:ascii="Book Antiqua" w:hAnsi="Book Antiqua" w:cs="Times New Roman"/>
          <w:noProof w:val="0"/>
          <w:sz w:val="26"/>
          <w:szCs w:val="26"/>
        </w:rPr>
        <w:t xml:space="preserve"> (+0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036D21">
        <w:rPr>
          <w:rFonts w:ascii="Book Antiqua" w:hAnsi="Book Antiqua" w:cs="Times New Roman"/>
          <w:noProof w:val="0"/>
          <w:sz w:val="26"/>
          <w:szCs w:val="26"/>
        </w:rPr>
        <w:t>5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 w:rsidR="00036D21">
        <w:rPr>
          <w:rFonts w:ascii="Book Antiqua" w:hAnsi="Book Antiqua" w:cs="Times New Roman"/>
          <w:noProof w:val="0"/>
          <w:sz w:val="26"/>
          <w:szCs w:val="26"/>
        </w:rPr>
        <w:t>)</w:t>
      </w:r>
      <w:r w:rsidR="00036D21" w:rsidRPr="00DA6A9A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9B7BDC" w:rsidRPr="00694793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12"/>
          <w:szCs w:val="12"/>
        </w:rPr>
      </w:pPr>
    </w:p>
    <w:p w:rsidR="00E032BB" w:rsidRPr="00694793" w:rsidRDefault="009D2A50" w:rsidP="004E4874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En matière d’emploi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966444">
        <w:rPr>
          <w:rFonts w:ascii="Book Antiqua" w:hAnsi="Book Antiqua" w:cs="Times New Roman"/>
          <w:noProof w:val="0"/>
          <w:sz w:val="26"/>
          <w:szCs w:val="26"/>
        </w:rPr>
        <w:t>142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 xml:space="preserve">.000 postes d’emploi rémunérés ont été créés au cours de la période, </w:t>
      </w:r>
      <w:r w:rsidR="004E4874">
        <w:rPr>
          <w:rFonts w:ascii="Book Antiqua" w:hAnsi="Book Antiqua" w:cs="Times New Roman"/>
          <w:noProof w:val="0"/>
          <w:sz w:val="26"/>
          <w:szCs w:val="26"/>
        </w:rPr>
        <w:t>79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 xml:space="preserve">.000 postes en milieu urbain et </w:t>
      </w:r>
      <w:r w:rsidR="004E4874">
        <w:rPr>
          <w:rFonts w:ascii="Book Antiqua" w:hAnsi="Book Antiqua" w:cs="Times New Roman"/>
          <w:noProof w:val="0"/>
          <w:sz w:val="26"/>
          <w:szCs w:val="26"/>
        </w:rPr>
        <w:t>63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>.000 en milieu rural. L’emploi non rémunéré, composé d</w:t>
      </w:r>
      <w:r w:rsidR="005A2F48" w:rsidRPr="00694793">
        <w:rPr>
          <w:rFonts w:ascii="Book Antiqua" w:hAnsi="Book Antiqua" w:cs="Times New Roman"/>
          <w:noProof w:val="0"/>
          <w:sz w:val="26"/>
          <w:szCs w:val="26"/>
        </w:rPr>
        <w:t>’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>e</w:t>
      </w:r>
      <w:r w:rsidR="005A2F48" w:rsidRPr="00694793">
        <w:rPr>
          <w:rFonts w:ascii="Book Antiqua" w:hAnsi="Book Antiqua" w:cs="Times New Roman"/>
          <w:noProof w:val="0"/>
          <w:sz w:val="26"/>
          <w:szCs w:val="26"/>
        </w:rPr>
        <w:t>nviron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 xml:space="preserve"> 98% d’aides familiales, a </w:t>
      </w:r>
      <w:r w:rsidR="005F14B1">
        <w:rPr>
          <w:rFonts w:ascii="Book Antiqua" w:hAnsi="Book Antiqua" w:cs="Times New Roman"/>
          <w:noProof w:val="0"/>
          <w:sz w:val="26"/>
          <w:szCs w:val="26"/>
        </w:rPr>
        <w:t xml:space="preserve">en revanche 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 xml:space="preserve">enregistré une baisse de </w:t>
      </w:r>
      <w:r w:rsidR="004E4874">
        <w:rPr>
          <w:rFonts w:ascii="Book Antiqua" w:hAnsi="Book Antiqua" w:cs="Times New Roman"/>
          <w:noProof w:val="0"/>
          <w:sz w:val="26"/>
          <w:szCs w:val="26"/>
        </w:rPr>
        <w:t>26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 xml:space="preserve">.000 postes, </w:t>
      </w:r>
      <w:r w:rsidR="004E4874">
        <w:rPr>
          <w:rFonts w:ascii="Book Antiqua" w:hAnsi="Book Antiqua" w:cs="Times New Roman"/>
          <w:noProof w:val="0"/>
          <w:sz w:val="26"/>
          <w:szCs w:val="26"/>
        </w:rPr>
        <w:t>2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 xml:space="preserve">.000 en zones urbaines et </w:t>
      </w:r>
      <w:r w:rsidR="004E4874">
        <w:rPr>
          <w:rFonts w:ascii="Book Antiqua" w:hAnsi="Book Antiqua" w:cs="Times New Roman"/>
          <w:noProof w:val="0"/>
          <w:sz w:val="26"/>
          <w:szCs w:val="26"/>
        </w:rPr>
        <w:t>24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 xml:space="preserve">.000 en zones rurales. </w:t>
      </w:r>
    </w:p>
    <w:p w:rsidR="009B7BDC" w:rsidRPr="009D2A50" w:rsidRDefault="009B7BDC" w:rsidP="00E032BB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12"/>
          <w:szCs w:val="12"/>
        </w:rPr>
      </w:pPr>
    </w:p>
    <w:p w:rsidR="009B7BDC" w:rsidRPr="00754D0C" w:rsidRDefault="009B7BDC" w:rsidP="00213BBB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Figure 1 : Créations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nettes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d’emploi entre les </w:t>
      </w:r>
      <w:r w:rsidR="005A2F48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premiers trimestres de </w:t>
      </w:r>
      <w:r w:rsidR="00213BBB">
        <w:rPr>
          <w:rFonts w:ascii="Book Antiqua" w:hAnsi="Book Antiqua" w:cs="Times New Roman"/>
          <w:b/>
          <w:bCs/>
          <w:noProof w:val="0"/>
          <w:sz w:val="24"/>
          <w:szCs w:val="24"/>
        </w:rPr>
        <w:t>2017</w:t>
      </w: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213BBB">
        <w:rPr>
          <w:rFonts w:ascii="Book Antiqua" w:hAnsi="Book Antiqua" w:cs="Times New Roman"/>
          <w:b/>
          <w:bCs/>
          <w:noProof w:val="0"/>
          <w:sz w:val="24"/>
          <w:szCs w:val="24"/>
        </w:rPr>
        <w:t>2018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</w:p>
    <w:p w:rsidR="009B7BDC" w:rsidRDefault="009B7BDC" w:rsidP="009B7BDC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selon le milieu de résidence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 </w:t>
      </w:r>
    </w:p>
    <w:p w:rsidR="009B7BDC" w:rsidRPr="00FD0F34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noProof w:val="0"/>
          <w:sz w:val="8"/>
          <w:szCs w:val="8"/>
          <w:highlight w:val="yellow"/>
        </w:rPr>
      </w:pPr>
    </w:p>
    <w:p w:rsidR="009B7BDC" w:rsidRPr="00754D0C" w:rsidRDefault="00213BBB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  <w:highlight w:val="yellow"/>
        </w:rPr>
      </w:pPr>
      <w:r w:rsidRPr="00213BBB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967076" cy="2886501"/>
            <wp:effectExtent l="19050" t="0" r="14624" b="9099"/>
            <wp:docPr id="7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7BDC" w:rsidRDefault="009B7BDC" w:rsidP="009B7BDC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4"/>
          <w:szCs w:val="24"/>
        </w:rPr>
      </w:pPr>
    </w:p>
    <w:p w:rsidR="00E0457E" w:rsidRDefault="00871AAB" w:rsidP="00416DFD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Au total, avec la 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création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>77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.000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emplois 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en milieu urbain et 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>39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>.000 en milieu rural</w:t>
      </w:r>
      <w:r>
        <w:rPr>
          <w:rFonts w:ascii="Book Antiqua" w:hAnsi="Book Antiqua" w:cs="Times New Roman"/>
          <w:noProof w:val="0"/>
          <w:sz w:val="26"/>
          <w:szCs w:val="26"/>
        </w:rPr>
        <w:t>, l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 xml:space="preserve">’économie marocaine a </w:t>
      </w:r>
      <w:r w:rsidR="006C142E">
        <w:rPr>
          <w:rFonts w:ascii="Book Antiqua" w:hAnsi="Book Antiqua" w:cs="Times New Roman"/>
          <w:noProof w:val="0"/>
          <w:sz w:val="26"/>
          <w:szCs w:val="26"/>
        </w:rPr>
        <w:t xml:space="preserve">créé 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>116</w:t>
      </w:r>
      <w:r w:rsidR="006C142E" w:rsidRPr="00694793">
        <w:rPr>
          <w:rFonts w:ascii="Book Antiqua" w:hAnsi="Book Antiqua" w:cs="Times New Roman"/>
          <w:noProof w:val="0"/>
          <w:sz w:val="26"/>
          <w:szCs w:val="26"/>
        </w:rPr>
        <w:t xml:space="preserve">.000 postes </w:t>
      </w:r>
      <w:r w:rsidR="006C142E">
        <w:rPr>
          <w:rFonts w:ascii="Book Antiqua" w:hAnsi="Book Antiqua" w:cs="Times New Roman"/>
          <w:noProof w:val="0"/>
          <w:sz w:val="26"/>
          <w:szCs w:val="26"/>
        </w:rPr>
        <w:t xml:space="preserve">nets 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 xml:space="preserve">d’emploi. </w:t>
      </w:r>
      <w:r w:rsidR="00ED2D75" w:rsidRPr="00694793">
        <w:rPr>
          <w:rFonts w:ascii="Book Antiqua" w:hAnsi="Book Antiqua" w:cs="Times New Roman"/>
          <w:noProof w:val="0"/>
          <w:sz w:val="26"/>
          <w:szCs w:val="26"/>
        </w:rPr>
        <w:t>Le volume global de l’emploi est ainsi passé, entre les deux périodes, de 10.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>766</w:t>
      </w:r>
      <w:r w:rsidR="00ED2D75" w:rsidRPr="00694793">
        <w:rPr>
          <w:rFonts w:ascii="Book Antiqua" w:hAnsi="Book Antiqua" w:cs="Times New Roman"/>
          <w:noProof w:val="0"/>
          <w:sz w:val="26"/>
          <w:szCs w:val="26"/>
        </w:rPr>
        <w:t>.000 à 10.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>882</w:t>
      </w:r>
      <w:r w:rsidR="00ED2D75" w:rsidRPr="00694793">
        <w:rPr>
          <w:rFonts w:ascii="Book Antiqua" w:hAnsi="Book Antiqua" w:cs="Times New Roman"/>
          <w:noProof w:val="0"/>
          <w:sz w:val="26"/>
          <w:szCs w:val="26"/>
        </w:rPr>
        <w:t>.000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personnes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Le taux d’emploi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 xml:space="preserve"> a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, quant à lui, reculé de 0,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 xml:space="preserve">2 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point au niveau national, passant de 4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>2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>4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% à 4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>2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>2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%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 xml:space="preserve">. Ce taux a baissé 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en milieu urbain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de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3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>6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>3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% à 3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>5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>8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%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 xml:space="preserve"> (-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0,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>5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 xml:space="preserve">) et a augmenté 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e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 xml:space="preserve">n milieu rural 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de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5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>2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416DFD">
        <w:rPr>
          <w:rFonts w:ascii="Book Antiqua" w:hAnsi="Book Antiqua" w:cs="Times New Roman"/>
          <w:noProof w:val="0"/>
          <w:sz w:val="26"/>
          <w:szCs w:val="26"/>
        </w:rPr>
        <w:t>7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% à 5</w:t>
      </w:r>
      <w:r w:rsidR="00416DFD">
        <w:rPr>
          <w:rFonts w:ascii="Book Antiqua" w:hAnsi="Book Antiqua" w:cs="Times New Roman"/>
          <w:noProof w:val="0"/>
          <w:sz w:val="26"/>
          <w:szCs w:val="26"/>
        </w:rPr>
        <w:t>3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416DFD">
        <w:rPr>
          <w:rFonts w:ascii="Book Antiqua" w:hAnsi="Book Antiqua" w:cs="Times New Roman"/>
          <w:noProof w:val="0"/>
          <w:sz w:val="26"/>
          <w:szCs w:val="26"/>
        </w:rPr>
        <w:t>5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%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 xml:space="preserve"> (+0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416DFD">
        <w:rPr>
          <w:rFonts w:ascii="Book Antiqua" w:hAnsi="Book Antiqua" w:cs="Times New Roman"/>
          <w:noProof w:val="0"/>
          <w:sz w:val="26"/>
          <w:szCs w:val="26"/>
        </w:rPr>
        <w:t>8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 w:rsidR="001D0332">
        <w:rPr>
          <w:rFonts w:ascii="Book Antiqua" w:hAnsi="Book Antiqua" w:cs="Times New Roman"/>
          <w:noProof w:val="0"/>
          <w:sz w:val="26"/>
          <w:szCs w:val="26"/>
        </w:rPr>
        <w:t>)</w:t>
      </w:r>
      <w:r w:rsidR="001D0332" w:rsidRPr="00DA6A9A">
        <w:rPr>
          <w:rFonts w:ascii="Book Antiqua" w:hAnsi="Book Antiqua" w:cs="Times New Roman"/>
          <w:noProof w:val="0"/>
          <w:sz w:val="26"/>
          <w:szCs w:val="26"/>
        </w:rPr>
        <w:t>.</w:t>
      </w:r>
      <w:r w:rsidR="00ED2D75" w:rsidRPr="00694793">
        <w:rPr>
          <w:rFonts w:ascii="Book Antiqua" w:hAnsi="Book Antiqua" w:cs="Times New Roman"/>
          <w:noProof w:val="0"/>
          <w:sz w:val="26"/>
          <w:szCs w:val="26"/>
        </w:rPr>
        <w:t xml:space="preserve"> </w:t>
      </w:r>
    </w:p>
    <w:p w:rsidR="00DB2E54" w:rsidRDefault="00DB2E54" w:rsidP="00DB2E54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693EDE" w:rsidRPr="00FB46B7" w:rsidRDefault="00693EDE" w:rsidP="00693EDE">
      <w:pPr>
        <w:bidi w:val="0"/>
        <w:rPr>
          <w:rFonts w:ascii="Book Antiqua" w:hAnsi="Book Antiqua" w:cs="Times New Roman"/>
          <w:noProof w:val="0"/>
          <w:color w:val="0070C0"/>
          <w:sz w:val="28"/>
          <w:szCs w:val="28"/>
        </w:rPr>
      </w:pPr>
      <w:r w:rsidRPr="00FB46B7">
        <w:rPr>
          <w:rFonts w:ascii="Book Antiqua" w:hAnsi="Book Antiqua" w:cs="Times New Roman"/>
          <w:noProof w:val="0"/>
          <w:color w:val="0070C0"/>
          <w:sz w:val="28"/>
          <w:szCs w:val="28"/>
        </w:rPr>
        <w:lastRenderedPageBreak/>
        <w:t>Contribution sectorielle à la création nette d’emplois</w:t>
      </w:r>
    </w:p>
    <w:p w:rsidR="009B7BDC" w:rsidRPr="00694793" w:rsidRDefault="009B7BDC" w:rsidP="009B7BDC">
      <w:p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12"/>
          <w:szCs w:val="12"/>
        </w:rPr>
      </w:pPr>
    </w:p>
    <w:p w:rsidR="00DF490D" w:rsidRDefault="00DF490D" w:rsidP="000833C7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L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>e volume d’emploi dans le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secteur de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>s "</w:t>
      </w:r>
      <w:r w:rsidRPr="00AF152B">
        <w:rPr>
          <w:rFonts w:ascii="Book Antiqua" w:hAnsi="Book Antiqua" w:cs="Times New Roman"/>
          <w:b/>
          <w:bCs/>
          <w:noProof w:val="0"/>
          <w:sz w:val="26"/>
          <w:szCs w:val="26"/>
        </w:rPr>
        <w:t>services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>"</w:t>
      </w:r>
      <w:r w:rsidR="006079F9">
        <w:rPr>
          <w:rFonts w:ascii="Book Antiqua" w:hAnsi="Book Antiqua" w:cs="Times New Roman"/>
          <w:noProof w:val="0"/>
          <w:sz w:val="26"/>
          <w:szCs w:val="26"/>
        </w:rPr>
        <w:t xml:space="preserve">, après une progression de 45.000 postes d’emploi l’année dernière, 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>s’est accru</w:t>
      </w:r>
      <w:r>
        <w:rPr>
          <w:rFonts w:ascii="Book Antiqua" w:hAnsi="Book Antiqua" w:cs="Times New Roman"/>
          <w:noProof w:val="0"/>
          <w:sz w:val="26"/>
          <w:szCs w:val="26"/>
        </w:rPr>
        <w:t>, entre le 1</w:t>
      </w:r>
      <w:r w:rsidRPr="006A7A6F">
        <w:rPr>
          <w:rFonts w:ascii="Book Antiqua" w:hAnsi="Book Antiqua" w:cs="Times New Roman"/>
          <w:noProof w:val="0"/>
          <w:sz w:val="26"/>
          <w:szCs w:val="26"/>
          <w:vertAlign w:val="superscript"/>
        </w:rPr>
        <w:t>er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trimestre de 2017 et la même période de 2018, 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>
        <w:rPr>
          <w:rFonts w:ascii="Book Antiqua" w:hAnsi="Book Antiqua" w:cs="Times New Roman"/>
          <w:noProof w:val="0"/>
          <w:sz w:val="26"/>
          <w:szCs w:val="26"/>
        </w:rPr>
        <w:t>50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>.000 postes au niveau national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(un 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 xml:space="preserve">accroissement de </w:t>
      </w:r>
      <w:r>
        <w:rPr>
          <w:rFonts w:ascii="Book Antiqua" w:hAnsi="Book Antiqua" w:cs="Times New Roman"/>
          <w:noProof w:val="0"/>
          <w:sz w:val="26"/>
          <w:szCs w:val="26"/>
        </w:rPr>
        <w:t>1,1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>%</w:t>
      </w:r>
      <w:r>
        <w:rPr>
          <w:rFonts w:ascii="Book Antiqua" w:hAnsi="Book Antiqua" w:cs="Times New Roman"/>
          <w:noProof w:val="0"/>
          <w:sz w:val="26"/>
          <w:szCs w:val="26"/>
        </w:rPr>
        <w:t>)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Pr="006F3A59">
        <w:rPr>
          <w:rFonts w:ascii="Book Antiqua" w:hAnsi="Book Antiqua" w:cs="Times New Roman"/>
          <w:noProof w:val="0"/>
          <w:sz w:val="26"/>
          <w:szCs w:val="26"/>
        </w:rPr>
        <w:t xml:space="preserve">dont </w:t>
      </w:r>
      <w:r>
        <w:rPr>
          <w:rFonts w:ascii="Book Antiqua" w:hAnsi="Book Antiqua" w:cs="Times New Roman"/>
          <w:noProof w:val="0"/>
          <w:sz w:val="26"/>
          <w:szCs w:val="26"/>
        </w:rPr>
        <w:t>2</w:t>
      </w:r>
      <w:r w:rsidR="000833C7">
        <w:rPr>
          <w:rFonts w:ascii="Book Antiqua" w:hAnsi="Book Antiqua" w:cs="Times New Roman"/>
          <w:noProof w:val="0"/>
          <w:sz w:val="26"/>
          <w:szCs w:val="26"/>
        </w:rPr>
        <w:t>7</w:t>
      </w:r>
      <w:r w:rsidRPr="006F3A59">
        <w:rPr>
          <w:rFonts w:ascii="Book Antiqua" w:hAnsi="Book Antiqua" w:cs="Times New Roman"/>
          <w:noProof w:val="0"/>
          <w:sz w:val="26"/>
          <w:szCs w:val="26"/>
        </w:rPr>
        <w:t xml:space="preserve">.000 dans la branche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du </w:t>
      </w:r>
      <w:r w:rsidRPr="006F3A59">
        <w:rPr>
          <w:rFonts w:ascii="Book Antiqua" w:hAnsi="Book Antiqua" w:cs="Times New Roman"/>
          <w:noProof w:val="0"/>
          <w:sz w:val="26"/>
          <w:szCs w:val="26"/>
        </w:rPr>
        <w:t>"commerce de détail"</w:t>
      </w:r>
      <w:r w:rsidR="00BC131F">
        <w:rPr>
          <w:rFonts w:ascii="Book Antiqua" w:hAnsi="Book Antiqua" w:cs="Times New Roman"/>
          <w:noProof w:val="0"/>
          <w:sz w:val="26"/>
          <w:szCs w:val="26"/>
        </w:rPr>
        <w:t xml:space="preserve"> et 19.000 dans les </w:t>
      </w:r>
      <w:r w:rsidRPr="006F3A59">
        <w:rPr>
          <w:rFonts w:ascii="Book Antiqua" w:hAnsi="Book Antiqua" w:cs="Times New Roman"/>
          <w:noProof w:val="0"/>
          <w:sz w:val="26"/>
          <w:szCs w:val="26"/>
        </w:rPr>
        <w:t>"services personnels et domestiques"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Selon le milieu de résidence, </w:t>
      </w:r>
      <w:r w:rsidR="000362AC">
        <w:rPr>
          <w:rFonts w:ascii="Book Antiqua" w:hAnsi="Book Antiqua" w:cs="Times New Roman"/>
          <w:noProof w:val="0"/>
          <w:sz w:val="26"/>
          <w:szCs w:val="26"/>
        </w:rPr>
        <w:t>46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.000 postes sont créés en milieu urbain et </w:t>
      </w:r>
      <w:r w:rsidR="000362AC">
        <w:rPr>
          <w:rFonts w:ascii="Book Antiqua" w:hAnsi="Book Antiqua" w:cs="Times New Roman"/>
          <w:noProof w:val="0"/>
          <w:sz w:val="26"/>
          <w:szCs w:val="26"/>
        </w:rPr>
        <w:t>4</w:t>
      </w:r>
      <w:r>
        <w:rPr>
          <w:rFonts w:ascii="Book Antiqua" w:hAnsi="Book Antiqua" w:cs="Times New Roman"/>
          <w:noProof w:val="0"/>
          <w:sz w:val="26"/>
          <w:szCs w:val="26"/>
        </w:rPr>
        <w:t>.000 en milieu rural.</w:t>
      </w:r>
    </w:p>
    <w:p w:rsidR="006079F9" w:rsidRDefault="00F05310" w:rsidP="00F05310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Après</w:t>
      </w:r>
      <w:r w:rsidR="006079F9">
        <w:rPr>
          <w:rFonts w:ascii="Book Antiqua" w:hAnsi="Book Antiqua" w:cs="Times New Roman"/>
          <w:noProof w:val="0"/>
          <w:sz w:val="26"/>
          <w:szCs w:val="26"/>
        </w:rPr>
        <w:t xml:space="preserve"> 28.000 postes d’emploi </w:t>
      </w:r>
      <w:r w:rsidR="007E6DC8">
        <w:rPr>
          <w:rFonts w:ascii="Book Antiqua" w:hAnsi="Book Antiqua" w:cs="Times New Roman"/>
          <w:noProof w:val="0"/>
          <w:sz w:val="26"/>
          <w:szCs w:val="26"/>
        </w:rPr>
        <w:t>créé</w:t>
      </w:r>
      <w:r w:rsidR="00E76902">
        <w:rPr>
          <w:rFonts w:ascii="Book Antiqua" w:hAnsi="Book Antiqua" w:cs="Times New Roman"/>
          <w:noProof w:val="0"/>
          <w:sz w:val="26"/>
          <w:szCs w:val="26"/>
        </w:rPr>
        <w:t>s</w:t>
      </w:r>
      <w:r w:rsidR="007E6DC8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6079F9">
        <w:rPr>
          <w:rFonts w:ascii="Book Antiqua" w:hAnsi="Book Antiqua" w:cs="Times New Roman"/>
          <w:noProof w:val="0"/>
          <w:sz w:val="26"/>
          <w:szCs w:val="26"/>
        </w:rPr>
        <w:t xml:space="preserve">l’année dernière, le </w:t>
      </w:r>
      <w:r w:rsidR="006079F9" w:rsidRPr="00DA6A9A">
        <w:rPr>
          <w:rFonts w:ascii="Book Antiqua" w:hAnsi="Book Antiqua" w:cs="Times New Roman"/>
          <w:noProof w:val="0"/>
          <w:sz w:val="26"/>
          <w:szCs w:val="26"/>
        </w:rPr>
        <w:t xml:space="preserve">secteur </w:t>
      </w:r>
      <w:r w:rsidR="006079F9" w:rsidRPr="0020642E">
        <w:rPr>
          <w:rFonts w:ascii="Book Antiqua" w:hAnsi="Book Antiqua" w:cs="Times New Roman"/>
          <w:noProof w:val="0"/>
          <w:sz w:val="26"/>
          <w:szCs w:val="26"/>
        </w:rPr>
        <w:t>de l’"</w:t>
      </w:r>
      <w:r w:rsidR="006079F9" w:rsidRPr="003D7C3C">
        <w:rPr>
          <w:rFonts w:ascii="Book Antiqua" w:hAnsi="Book Antiqua" w:cs="Times New Roman"/>
          <w:b/>
          <w:bCs/>
          <w:noProof w:val="0"/>
          <w:sz w:val="26"/>
          <w:szCs w:val="26"/>
        </w:rPr>
        <w:t>agriculture, forêt et pêche</w:t>
      </w:r>
      <w:r w:rsidR="006079F9" w:rsidRPr="0020642E">
        <w:rPr>
          <w:rFonts w:ascii="Book Antiqua" w:hAnsi="Book Antiqua" w:cs="Times New Roman"/>
          <w:noProof w:val="0"/>
          <w:sz w:val="26"/>
          <w:szCs w:val="26"/>
        </w:rPr>
        <w:t>"</w:t>
      </w:r>
      <w:r w:rsidR="006079F9">
        <w:rPr>
          <w:rFonts w:ascii="Book Antiqua" w:hAnsi="Book Antiqua" w:cs="Times New Roman"/>
          <w:noProof w:val="0"/>
          <w:sz w:val="26"/>
          <w:szCs w:val="26"/>
        </w:rPr>
        <w:t xml:space="preserve"> a créé 43.000 cette année (11.000 postes en zones urbaines et 32.000 en zones rurales)</w:t>
      </w:r>
      <w:r w:rsidR="006079F9" w:rsidRPr="00DA6A9A">
        <w:rPr>
          <w:rFonts w:ascii="Book Antiqua" w:hAnsi="Book Antiqua" w:cs="Times New Roman"/>
          <w:noProof w:val="0"/>
          <w:sz w:val="26"/>
          <w:szCs w:val="26"/>
        </w:rPr>
        <w:t xml:space="preserve">, ce qui correspond à une hausse de </w:t>
      </w:r>
      <w:r w:rsidR="006079F9">
        <w:rPr>
          <w:rFonts w:ascii="Book Antiqua" w:hAnsi="Book Antiqua" w:cs="Times New Roman"/>
          <w:noProof w:val="0"/>
          <w:sz w:val="26"/>
          <w:szCs w:val="26"/>
        </w:rPr>
        <w:t>1</w:t>
      </w:r>
      <w:r w:rsidR="006079F9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6079F9">
        <w:rPr>
          <w:rFonts w:ascii="Book Antiqua" w:hAnsi="Book Antiqua" w:cs="Times New Roman"/>
          <w:noProof w:val="0"/>
          <w:sz w:val="26"/>
          <w:szCs w:val="26"/>
        </w:rPr>
        <w:t>1</w:t>
      </w:r>
      <w:r w:rsidR="006079F9" w:rsidRPr="00DA6A9A">
        <w:rPr>
          <w:rFonts w:ascii="Book Antiqua" w:hAnsi="Book Antiqua" w:cs="Times New Roman"/>
          <w:noProof w:val="0"/>
          <w:sz w:val="26"/>
          <w:szCs w:val="26"/>
        </w:rPr>
        <w:t>% du volume d’emploi d</w:t>
      </w:r>
      <w:r w:rsidR="006079F9">
        <w:rPr>
          <w:rFonts w:ascii="Book Antiqua" w:hAnsi="Book Antiqua" w:cs="Times New Roman"/>
          <w:noProof w:val="0"/>
          <w:sz w:val="26"/>
          <w:szCs w:val="26"/>
        </w:rPr>
        <w:t xml:space="preserve">ans ce </w:t>
      </w:r>
      <w:r w:rsidR="006079F9" w:rsidRPr="00DA6A9A">
        <w:rPr>
          <w:rFonts w:ascii="Book Antiqua" w:hAnsi="Book Antiqua" w:cs="Times New Roman"/>
          <w:noProof w:val="0"/>
          <w:sz w:val="26"/>
          <w:szCs w:val="26"/>
        </w:rPr>
        <w:t>secteur</w:t>
      </w:r>
      <w:r w:rsidR="006079F9" w:rsidRPr="009F4CE2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DF490D" w:rsidRPr="00DA6A9A" w:rsidRDefault="00DF490D" w:rsidP="000833C7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L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e secteur des </w:t>
      </w:r>
      <w:r w:rsidRPr="003D7C3C">
        <w:rPr>
          <w:rFonts w:ascii="Book Antiqua" w:hAnsi="Book Antiqua" w:cs="Times New Roman"/>
          <w:b/>
          <w:bCs/>
          <w:noProof w:val="0"/>
          <w:sz w:val="26"/>
          <w:szCs w:val="26"/>
        </w:rPr>
        <w:t>BTP</w:t>
      </w:r>
      <w:r>
        <w:rPr>
          <w:rFonts w:ascii="Book Antiqua" w:hAnsi="Book Antiqua" w:cs="Times New Roman"/>
          <w:b/>
          <w:bCs/>
          <w:noProof w:val="0"/>
          <w:sz w:val="26"/>
          <w:szCs w:val="26"/>
        </w:rPr>
        <w:t xml:space="preserve">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a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enregistré une création nette de </w:t>
      </w:r>
      <w:r w:rsidR="00F05310">
        <w:rPr>
          <w:rFonts w:ascii="Book Antiqua" w:hAnsi="Book Antiqua" w:cs="Times New Roman"/>
          <w:noProof w:val="0"/>
          <w:sz w:val="26"/>
          <w:szCs w:val="26"/>
        </w:rPr>
        <w:t>32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.000 </w:t>
      </w:r>
      <w:r>
        <w:rPr>
          <w:rFonts w:ascii="Book Antiqua" w:hAnsi="Book Antiqua" w:cs="Times New Roman"/>
          <w:noProof w:val="0"/>
          <w:sz w:val="26"/>
          <w:szCs w:val="26"/>
        </w:rPr>
        <w:t>emplois (</w:t>
      </w:r>
      <w:r w:rsidR="00F05310">
        <w:rPr>
          <w:rFonts w:ascii="Book Antiqua" w:hAnsi="Book Antiqua" w:cs="Times New Roman"/>
          <w:noProof w:val="0"/>
          <w:sz w:val="26"/>
          <w:szCs w:val="26"/>
        </w:rPr>
        <w:t>26</w:t>
      </w:r>
      <w:r>
        <w:rPr>
          <w:rFonts w:ascii="Book Antiqua" w:hAnsi="Book Antiqua" w:cs="Times New Roman"/>
          <w:noProof w:val="0"/>
          <w:sz w:val="26"/>
          <w:szCs w:val="26"/>
        </w:rPr>
        <w:t>.000 en milieu urbain et 6.000 en milieu rural)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, ce qui correspond à une hausse de </w:t>
      </w:r>
      <w:r w:rsidR="00F05310">
        <w:rPr>
          <w:rFonts w:ascii="Book Antiqua" w:hAnsi="Book Antiqua" w:cs="Times New Roman"/>
          <w:noProof w:val="0"/>
          <w:sz w:val="26"/>
          <w:szCs w:val="26"/>
        </w:rPr>
        <w:t>2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F05310">
        <w:rPr>
          <w:rFonts w:ascii="Book Antiqua" w:hAnsi="Book Antiqua" w:cs="Times New Roman"/>
          <w:noProof w:val="0"/>
          <w:sz w:val="26"/>
          <w:szCs w:val="26"/>
        </w:rPr>
        <w:t>9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% du volume d’emploi d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ans ce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secteur.</w:t>
      </w:r>
      <w:r w:rsidR="00F05310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833C7">
        <w:rPr>
          <w:rFonts w:ascii="Book Antiqua" w:hAnsi="Book Antiqua" w:cs="Times New Roman"/>
          <w:noProof w:val="0"/>
          <w:sz w:val="26"/>
          <w:szCs w:val="26"/>
        </w:rPr>
        <w:t xml:space="preserve">L’année dernière, le dit </w:t>
      </w:r>
      <w:r w:rsidR="00F05310">
        <w:rPr>
          <w:rFonts w:ascii="Book Antiqua" w:hAnsi="Book Antiqua" w:cs="Times New Roman"/>
          <w:noProof w:val="0"/>
          <w:sz w:val="26"/>
          <w:szCs w:val="26"/>
        </w:rPr>
        <w:t xml:space="preserve">secteur a </w:t>
      </w:r>
      <w:r w:rsidR="00274657">
        <w:rPr>
          <w:rFonts w:ascii="Book Antiqua" w:hAnsi="Book Antiqua" w:cs="Times New Roman"/>
          <w:noProof w:val="0"/>
          <w:sz w:val="26"/>
          <w:szCs w:val="26"/>
        </w:rPr>
        <w:t xml:space="preserve">connu </w:t>
      </w:r>
      <w:r w:rsidR="000833C7">
        <w:rPr>
          <w:rFonts w:ascii="Book Antiqua" w:hAnsi="Book Antiqua" w:cs="Times New Roman"/>
          <w:noProof w:val="0"/>
          <w:sz w:val="26"/>
          <w:szCs w:val="26"/>
        </w:rPr>
        <w:t xml:space="preserve">une </w:t>
      </w:r>
      <w:r w:rsidR="00274657">
        <w:rPr>
          <w:rFonts w:ascii="Book Antiqua" w:hAnsi="Book Antiqua" w:cs="Times New Roman"/>
          <w:noProof w:val="0"/>
          <w:sz w:val="26"/>
          <w:szCs w:val="26"/>
        </w:rPr>
        <w:t xml:space="preserve"> création de </w:t>
      </w:r>
      <w:r w:rsidR="00F05310">
        <w:rPr>
          <w:rFonts w:ascii="Book Antiqua" w:hAnsi="Book Antiqua" w:cs="Times New Roman"/>
          <w:noProof w:val="0"/>
          <w:sz w:val="26"/>
          <w:szCs w:val="26"/>
        </w:rPr>
        <w:t>20.000 postes.</w:t>
      </w:r>
    </w:p>
    <w:p w:rsidR="00DF490D" w:rsidRDefault="007E6DC8" w:rsidP="000833C7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En revanche, l</w:t>
      </w:r>
      <w:r w:rsidR="00DF490D" w:rsidRPr="00284DFF">
        <w:rPr>
          <w:rFonts w:ascii="Book Antiqua" w:hAnsi="Book Antiqua" w:cs="Times New Roman"/>
          <w:noProof w:val="0"/>
          <w:sz w:val="26"/>
          <w:szCs w:val="26"/>
        </w:rPr>
        <w:t>e secteur de l’"</w:t>
      </w:r>
      <w:r w:rsidR="00DF490D" w:rsidRPr="00AF152B">
        <w:rPr>
          <w:rFonts w:ascii="Book Antiqua" w:hAnsi="Book Antiqua" w:cs="Times New Roman"/>
          <w:b/>
          <w:bCs/>
          <w:noProof w:val="0"/>
          <w:sz w:val="26"/>
          <w:szCs w:val="26"/>
        </w:rPr>
        <w:t>industrie</w:t>
      </w:r>
      <w:r w:rsidR="00DF490D">
        <w:rPr>
          <w:rFonts w:ascii="Book Antiqua" w:hAnsi="Book Antiqua" w:cs="Times New Roman"/>
          <w:b/>
          <w:bCs/>
          <w:noProof w:val="0"/>
          <w:sz w:val="26"/>
          <w:szCs w:val="26"/>
        </w:rPr>
        <w:t xml:space="preserve"> y compris l’artisanat</w:t>
      </w:r>
      <w:r w:rsidR="00DF490D" w:rsidRPr="00284DFF">
        <w:rPr>
          <w:rFonts w:ascii="Book Antiqua" w:hAnsi="Book Antiqua" w:cs="Times New Roman"/>
          <w:noProof w:val="0"/>
          <w:sz w:val="26"/>
          <w:szCs w:val="26"/>
        </w:rPr>
        <w:t>"</w:t>
      </w:r>
      <w:r w:rsidR="008474D7">
        <w:rPr>
          <w:rFonts w:ascii="Book Antiqua" w:hAnsi="Book Antiqua" w:cs="Times New Roman"/>
          <w:noProof w:val="0"/>
          <w:sz w:val="26"/>
          <w:szCs w:val="26"/>
        </w:rPr>
        <w:t xml:space="preserve">, après une création de  16.000 postes d’emploi l’année dernière, </w:t>
      </w:r>
      <w:r w:rsidR="00DF490D" w:rsidRPr="00284DFF">
        <w:rPr>
          <w:rFonts w:ascii="Book Antiqua" w:hAnsi="Book Antiqua" w:cs="Times New Roman"/>
          <w:noProof w:val="0"/>
          <w:sz w:val="26"/>
          <w:szCs w:val="26"/>
        </w:rPr>
        <w:t xml:space="preserve">a </w:t>
      </w:r>
      <w:r w:rsidR="008474D7">
        <w:rPr>
          <w:rFonts w:ascii="Book Antiqua" w:hAnsi="Book Antiqua" w:cs="Times New Roman"/>
          <w:noProof w:val="0"/>
          <w:sz w:val="26"/>
          <w:szCs w:val="26"/>
        </w:rPr>
        <w:t>perdu 9</w:t>
      </w:r>
      <w:r w:rsidR="00DF490D" w:rsidRPr="00284DFF">
        <w:rPr>
          <w:rFonts w:ascii="Book Antiqua" w:hAnsi="Book Antiqua" w:cs="Times New Roman"/>
          <w:noProof w:val="0"/>
          <w:sz w:val="26"/>
          <w:szCs w:val="26"/>
        </w:rPr>
        <w:t>.000 postes</w:t>
      </w:r>
      <w:r w:rsidR="00DF490D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8474D7">
        <w:rPr>
          <w:rFonts w:ascii="Book Antiqua" w:hAnsi="Book Antiqua" w:cs="Times New Roman"/>
          <w:noProof w:val="0"/>
          <w:sz w:val="26"/>
          <w:szCs w:val="26"/>
        </w:rPr>
        <w:t xml:space="preserve">cette année </w:t>
      </w:r>
      <w:r w:rsidR="00DF490D">
        <w:rPr>
          <w:rFonts w:ascii="Book Antiqua" w:hAnsi="Book Antiqua" w:cs="Times New Roman"/>
          <w:noProof w:val="0"/>
          <w:sz w:val="26"/>
          <w:szCs w:val="26"/>
        </w:rPr>
        <w:t>(</w:t>
      </w:r>
      <w:r w:rsidR="008474D7">
        <w:rPr>
          <w:rFonts w:ascii="Book Antiqua" w:hAnsi="Book Antiqua" w:cs="Times New Roman"/>
          <w:noProof w:val="0"/>
          <w:sz w:val="26"/>
          <w:szCs w:val="26"/>
        </w:rPr>
        <w:t>6</w:t>
      </w:r>
      <w:r w:rsidR="00DF490D">
        <w:rPr>
          <w:rFonts w:ascii="Book Antiqua" w:hAnsi="Book Antiqua" w:cs="Times New Roman"/>
          <w:noProof w:val="0"/>
          <w:sz w:val="26"/>
          <w:szCs w:val="26"/>
        </w:rPr>
        <w:t xml:space="preserve">.000 emplois en milieu urbain et </w:t>
      </w:r>
      <w:r w:rsidR="008474D7">
        <w:rPr>
          <w:rFonts w:ascii="Book Antiqua" w:hAnsi="Book Antiqua" w:cs="Times New Roman"/>
          <w:noProof w:val="0"/>
          <w:sz w:val="26"/>
          <w:szCs w:val="26"/>
        </w:rPr>
        <w:t>3</w:t>
      </w:r>
      <w:r w:rsidR="00DF490D">
        <w:rPr>
          <w:rFonts w:ascii="Book Antiqua" w:hAnsi="Book Antiqua" w:cs="Times New Roman"/>
          <w:noProof w:val="0"/>
          <w:sz w:val="26"/>
          <w:szCs w:val="26"/>
        </w:rPr>
        <w:t>.000 en milieu rural)</w:t>
      </w:r>
      <w:r w:rsidR="008474D7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8474D7" w:rsidRPr="00DA6A9A">
        <w:rPr>
          <w:rFonts w:ascii="Book Antiqua" w:hAnsi="Book Antiqua" w:cs="Times New Roman"/>
          <w:noProof w:val="0"/>
          <w:sz w:val="26"/>
          <w:szCs w:val="26"/>
        </w:rPr>
        <w:t xml:space="preserve">ce qui correspond à une </w:t>
      </w:r>
      <w:r w:rsidR="008474D7">
        <w:rPr>
          <w:rFonts w:ascii="Book Antiqua" w:hAnsi="Book Antiqua" w:cs="Times New Roman"/>
          <w:noProof w:val="0"/>
          <w:sz w:val="26"/>
          <w:szCs w:val="26"/>
        </w:rPr>
        <w:t>baisse</w:t>
      </w:r>
      <w:r w:rsidR="008474D7" w:rsidRPr="00DA6A9A">
        <w:rPr>
          <w:rFonts w:ascii="Book Antiqua" w:hAnsi="Book Antiqua" w:cs="Times New Roman"/>
          <w:noProof w:val="0"/>
          <w:sz w:val="26"/>
          <w:szCs w:val="26"/>
        </w:rPr>
        <w:t xml:space="preserve"> de </w:t>
      </w:r>
      <w:r w:rsidR="008474D7">
        <w:rPr>
          <w:rFonts w:ascii="Book Antiqua" w:hAnsi="Book Antiqua" w:cs="Times New Roman"/>
          <w:noProof w:val="0"/>
          <w:sz w:val="26"/>
          <w:szCs w:val="26"/>
        </w:rPr>
        <w:t>0</w:t>
      </w:r>
      <w:r w:rsidR="008474D7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8474D7">
        <w:rPr>
          <w:rFonts w:ascii="Book Antiqua" w:hAnsi="Book Antiqua" w:cs="Times New Roman"/>
          <w:noProof w:val="0"/>
          <w:sz w:val="26"/>
          <w:szCs w:val="26"/>
        </w:rPr>
        <w:t>6</w:t>
      </w:r>
      <w:r w:rsidR="008474D7" w:rsidRPr="00DA6A9A">
        <w:rPr>
          <w:rFonts w:ascii="Book Antiqua" w:hAnsi="Book Antiqua" w:cs="Times New Roman"/>
          <w:noProof w:val="0"/>
          <w:sz w:val="26"/>
          <w:szCs w:val="26"/>
        </w:rPr>
        <w:t>% du volume d’emploi d</w:t>
      </w:r>
      <w:r w:rsidR="008474D7">
        <w:rPr>
          <w:rFonts w:ascii="Book Antiqua" w:hAnsi="Book Antiqua" w:cs="Times New Roman"/>
          <w:noProof w:val="0"/>
          <w:sz w:val="26"/>
          <w:szCs w:val="26"/>
        </w:rPr>
        <w:t xml:space="preserve">ans ce </w:t>
      </w:r>
      <w:r w:rsidR="008474D7" w:rsidRPr="00DA6A9A">
        <w:rPr>
          <w:rFonts w:ascii="Book Antiqua" w:hAnsi="Book Antiqua" w:cs="Times New Roman"/>
          <w:noProof w:val="0"/>
          <w:sz w:val="26"/>
          <w:szCs w:val="26"/>
        </w:rPr>
        <w:t>secteur</w:t>
      </w:r>
      <w:r w:rsidR="00DF490D" w:rsidRPr="00284DFF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</w:p>
    <w:p w:rsidR="00732456" w:rsidRDefault="009B7BDC" w:rsidP="0075120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2"/>
          <w:szCs w:val="22"/>
        </w:rPr>
      </w:pPr>
      <w:r w:rsidRPr="00754D0C">
        <w:rPr>
          <w:rFonts w:ascii="Book Antiqua" w:hAnsi="Book Antiqua" w:cs="Times New Roman"/>
          <w:b/>
          <w:bCs/>
          <w:noProof w:val="0"/>
          <w:sz w:val="23"/>
          <w:szCs w:val="23"/>
        </w:rPr>
        <w:t>F</w:t>
      </w:r>
      <w:r w:rsidRPr="00B20553">
        <w:rPr>
          <w:rFonts w:ascii="Book Antiqua" w:hAnsi="Book Antiqua" w:cs="Times New Roman"/>
          <w:b/>
          <w:bCs/>
          <w:noProof w:val="0"/>
          <w:sz w:val="22"/>
          <w:szCs w:val="22"/>
        </w:rPr>
        <w:t>igure 2. Créations nettes d’emploi par secteur d’activité économique et milieu de résidence</w:t>
      </w:r>
    </w:p>
    <w:p w:rsidR="009B7BDC" w:rsidRPr="00732456" w:rsidRDefault="009B7BDC" w:rsidP="00732456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9B7BDC" w:rsidRPr="00754D0C" w:rsidRDefault="00322E6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</w:rPr>
      </w:pPr>
      <w:r w:rsidRPr="00322E6C">
        <w:rPr>
          <w:rFonts w:ascii="Book Antiqua" w:hAnsi="Book Antiqua"/>
        </w:rPr>
        <w:drawing>
          <wp:inline distT="0" distB="0" distL="0" distR="0">
            <wp:extent cx="5964536" cy="2852382"/>
            <wp:effectExtent l="19050" t="0" r="17164" b="5118"/>
            <wp:docPr id="8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2069C" w:rsidRDefault="0072069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</w:p>
    <w:p w:rsidR="00A12D94" w:rsidRDefault="00A12D94" w:rsidP="00A12D94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</w:p>
    <w:p w:rsidR="00A12D94" w:rsidRDefault="00A12D94" w:rsidP="00A12D94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</w:p>
    <w:p w:rsidR="007F7C47" w:rsidRPr="00FB46B7" w:rsidRDefault="007C7CC5" w:rsidP="00844F19">
      <w:pPr>
        <w:bidi w:val="0"/>
        <w:rPr>
          <w:rFonts w:ascii="Book Antiqua" w:hAnsi="Book Antiqua" w:cs="Times New Roman"/>
          <w:noProof w:val="0"/>
          <w:color w:val="0070C0"/>
          <w:sz w:val="28"/>
          <w:szCs w:val="28"/>
        </w:rPr>
      </w:pPr>
      <w:r w:rsidRPr="00FB46B7">
        <w:rPr>
          <w:rFonts w:ascii="Book Antiqua" w:hAnsi="Book Antiqua" w:cs="Times New Roman"/>
          <w:noProof w:val="0"/>
          <w:color w:val="0070C0"/>
          <w:sz w:val="28"/>
          <w:szCs w:val="28"/>
        </w:rPr>
        <w:lastRenderedPageBreak/>
        <w:t xml:space="preserve">Légère baisse du volume </w:t>
      </w:r>
      <w:r w:rsidR="00844F19">
        <w:rPr>
          <w:rFonts w:ascii="Book Antiqua" w:hAnsi="Book Antiqua" w:cs="Times New Roman"/>
          <w:noProof w:val="0"/>
          <w:color w:val="0070C0"/>
          <w:sz w:val="28"/>
          <w:szCs w:val="28"/>
        </w:rPr>
        <w:t>et</w:t>
      </w:r>
      <w:r w:rsidR="00844F19" w:rsidRPr="00FB46B7">
        <w:rPr>
          <w:rFonts w:ascii="Book Antiqua" w:hAnsi="Book Antiqua" w:cs="Times New Roman"/>
          <w:noProof w:val="0"/>
          <w:color w:val="0070C0"/>
          <w:sz w:val="28"/>
          <w:szCs w:val="28"/>
        </w:rPr>
        <w:t xml:space="preserve"> </w:t>
      </w:r>
      <w:r w:rsidR="00844F19">
        <w:rPr>
          <w:rFonts w:ascii="Book Antiqua" w:hAnsi="Book Antiqua" w:cs="Times New Roman"/>
          <w:noProof w:val="0"/>
          <w:color w:val="0070C0"/>
          <w:sz w:val="28"/>
          <w:szCs w:val="28"/>
        </w:rPr>
        <w:t xml:space="preserve">du </w:t>
      </w:r>
      <w:r w:rsidR="00844F19" w:rsidRPr="00FB46B7">
        <w:rPr>
          <w:rFonts w:ascii="Book Antiqua" w:hAnsi="Book Antiqua" w:cs="Times New Roman"/>
          <w:noProof w:val="0"/>
          <w:color w:val="0070C0"/>
          <w:sz w:val="28"/>
          <w:szCs w:val="28"/>
        </w:rPr>
        <w:t xml:space="preserve">taux </w:t>
      </w:r>
      <w:r w:rsidRPr="00FB46B7">
        <w:rPr>
          <w:rFonts w:ascii="Book Antiqua" w:hAnsi="Book Antiqua" w:cs="Times New Roman"/>
          <w:noProof w:val="0"/>
          <w:color w:val="0070C0"/>
          <w:sz w:val="28"/>
          <w:szCs w:val="28"/>
        </w:rPr>
        <w:t>d</w:t>
      </w:r>
      <w:r w:rsidR="00844F19">
        <w:rPr>
          <w:rFonts w:ascii="Book Antiqua" w:hAnsi="Book Antiqua" w:cs="Times New Roman"/>
          <w:noProof w:val="0"/>
          <w:color w:val="0070C0"/>
          <w:sz w:val="28"/>
          <w:szCs w:val="28"/>
        </w:rPr>
        <w:t>e</w:t>
      </w:r>
      <w:r w:rsidRPr="00FB46B7">
        <w:rPr>
          <w:rFonts w:ascii="Book Antiqua" w:hAnsi="Book Antiqua" w:cs="Times New Roman"/>
          <w:noProof w:val="0"/>
          <w:color w:val="0070C0"/>
          <w:sz w:val="28"/>
          <w:szCs w:val="28"/>
        </w:rPr>
        <w:t xml:space="preserve"> chômage</w:t>
      </w:r>
    </w:p>
    <w:p w:rsidR="009B7BDC" w:rsidRPr="005E24F2" w:rsidRDefault="009B7BDC" w:rsidP="007F7C47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14"/>
          <w:szCs w:val="14"/>
        </w:rPr>
      </w:pPr>
      <w:r w:rsidRPr="00CA7892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</w:t>
      </w:r>
    </w:p>
    <w:p w:rsidR="009B7BDC" w:rsidRDefault="003D37FE" w:rsidP="004A086F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4B3621">
        <w:rPr>
          <w:rFonts w:ascii="Book Antiqua" w:hAnsi="Book Antiqua" w:cs="Times New Roman"/>
          <w:noProof w:val="0"/>
          <w:sz w:val="26"/>
          <w:szCs w:val="26"/>
        </w:rPr>
        <w:t>Avec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une baisse de </w:t>
      </w:r>
      <w:r w:rsidR="004B3621">
        <w:rPr>
          <w:rFonts w:ascii="Book Antiqua" w:hAnsi="Book Antiqua" w:cs="Times New Roman"/>
          <w:noProof w:val="0"/>
          <w:sz w:val="26"/>
          <w:szCs w:val="26"/>
        </w:rPr>
        <w:t>24</w:t>
      </w:r>
      <w:r w:rsidRPr="00D95E34">
        <w:rPr>
          <w:rFonts w:ascii="Book Antiqua" w:hAnsi="Book Antiqua" w:cs="Times New Roman"/>
          <w:noProof w:val="0"/>
          <w:sz w:val="26"/>
          <w:szCs w:val="26"/>
        </w:rPr>
        <w:t xml:space="preserve">.000 chômeurs, </w:t>
      </w:r>
      <w:r w:rsidR="004B3621">
        <w:rPr>
          <w:rFonts w:ascii="Book Antiqua" w:hAnsi="Book Antiqua" w:cs="Times New Roman"/>
          <w:noProof w:val="0"/>
          <w:sz w:val="26"/>
          <w:szCs w:val="26"/>
        </w:rPr>
        <w:t>résultant d’une hausse de 6</w:t>
      </w:r>
      <w:r w:rsidRPr="00D95E34">
        <w:rPr>
          <w:rFonts w:ascii="Book Antiqua" w:hAnsi="Book Antiqua" w:cs="Times New Roman"/>
          <w:noProof w:val="0"/>
          <w:sz w:val="26"/>
          <w:szCs w:val="26"/>
        </w:rPr>
        <w:t xml:space="preserve">.000 en milieu urbain et </w:t>
      </w:r>
      <w:r w:rsidR="004B3621">
        <w:rPr>
          <w:rFonts w:ascii="Book Antiqua" w:hAnsi="Book Antiqua" w:cs="Times New Roman"/>
          <w:noProof w:val="0"/>
          <w:sz w:val="26"/>
          <w:szCs w:val="26"/>
        </w:rPr>
        <w:t>d’une baisse de 30.</w:t>
      </w:r>
      <w:r w:rsidRPr="00D95E34">
        <w:rPr>
          <w:rFonts w:ascii="Book Antiqua" w:hAnsi="Book Antiqua" w:cs="Times New Roman"/>
          <w:noProof w:val="0"/>
          <w:sz w:val="26"/>
          <w:szCs w:val="26"/>
        </w:rPr>
        <w:t>000 en milieu rural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F317A4" w:rsidRPr="00D95E34">
        <w:rPr>
          <w:rFonts w:ascii="Book Antiqua" w:hAnsi="Book Antiqua" w:cs="Times New Roman"/>
          <w:noProof w:val="0"/>
          <w:sz w:val="26"/>
          <w:szCs w:val="26"/>
        </w:rPr>
        <w:t>l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 xml:space="preserve">a population active en chômage </w:t>
      </w:r>
      <w:r>
        <w:rPr>
          <w:rFonts w:ascii="Book Antiqua" w:hAnsi="Book Antiqua" w:cs="Times New Roman"/>
          <w:noProof w:val="0"/>
          <w:sz w:val="26"/>
          <w:szCs w:val="26"/>
        </w:rPr>
        <w:t>est passée</w:t>
      </w:r>
      <w:r w:rsidRPr="003D37FE">
        <w:rPr>
          <w:rFonts w:ascii="Book Antiqua" w:hAnsi="Book Antiqua" w:cs="Times New Roman"/>
          <w:noProof w:val="0"/>
          <w:sz w:val="26"/>
          <w:szCs w:val="26"/>
        </w:rPr>
        <w:t xml:space="preserve">, entre le premier trimestre de l’année </w:t>
      </w:r>
      <w:r w:rsidR="004B3621">
        <w:rPr>
          <w:rFonts w:ascii="Book Antiqua" w:hAnsi="Book Antiqua" w:cs="Times New Roman"/>
          <w:noProof w:val="0"/>
          <w:sz w:val="26"/>
          <w:szCs w:val="26"/>
        </w:rPr>
        <w:t>2017</w:t>
      </w:r>
      <w:r w:rsidRPr="003D37FE">
        <w:rPr>
          <w:rFonts w:ascii="Book Antiqua" w:hAnsi="Book Antiqua" w:cs="Times New Roman"/>
          <w:noProof w:val="0"/>
          <w:sz w:val="26"/>
          <w:szCs w:val="26"/>
        </w:rPr>
        <w:t xml:space="preserve"> et celui de </w:t>
      </w:r>
      <w:r w:rsidR="004B3621">
        <w:rPr>
          <w:rFonts w:ascii="Book Antiqua" w:hAnsi="Book Antiqua" w:cs="Times New Roman"/>
          <w:noProof w:val="0"/>
          <w:sz w:val="26"/>
          <w:szCs w:val="26"/>
        </w:rPr>
        <w:t>2018</w:t>
      </w:r>
      <w:r w:rsidRPr="003D37FE">
        <w:rPr>
          <w:rFonts w:ascii="Book Antiqua" w:hAnsi="Book Antiqua" w:cs="Times New Roman"/>
          <w:noProof w:val="0"/>
          <w:sz w:val="26"/>
          <w:szCs w:val="26"/>
        </w:rPr>
        <w:t>, de 1.</w:t>
      </w:r>
      <w:r w:rsidR="004B3621">
        <w:rPr>
          <w:rFonts w:ascii="Book Antiqua" w:hAnsi="Book Antiqua" w:cs="Times New Roman"/>
          <w:noProof w:val="0"/>
          <w:sz w:val="26"/>
          <w:szCs w:val="26"/>
        </w:rPr>
        <w:t>296</w:t>
      </w:r>
      <w:r w:rsidRPr="003D37FE">
        <w:rPr>
          <w:rFonts w:ascii="Book Antiqua" w:hAnsi="Book Antiqua" w:cs="Times New Roman"/>
          <w:noProof w:val="0"/>
          <w:sz w:val="26"/>
          <w:szCs w:val="26"/>
        </w:rPr>
        <w:t>.000 à 1.</w:t>
      </w:r>
      <w:r w:rsidR="004B3621">
        <w:rPr>
          <w:rFonts w:ascii="Book Antiqua" w:hAnsi="Book Antiqua" w:cs="Times New Roman"/>
          <w:noProof w:val="0"/>
          <w:sz w:val="26"/>
          <w:szCs w:val="26"/>
        </w:rPr>
        <w:t>272</w:t>
      </w:r>
      <w:r w:rsidRPr="003D37FE">
        <w:rPr>
          <w:rFonts w:ascii="Book Antiqua" w:hAnsi="Book Antiqua" w:cs="Times New Roman"/>
          <w:noProof w:val="0"/>
          <w:sz w:val="26"/>
          <w:szCs w:val="26"/>
        </w:rPr>
        <w:t>.000 chômeurs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, enregistrant une baisse de </w:t>
      </w:r>
      <w:r w:rsidR="004B3621">
        <w:rPr>
          <w:rFonts w:ascii="Book Antiqua" w:hAnsi="Book Antiqua" w:cs="Times New Roman"/>
          <w:noProof w:val="0"/>
          <w:sz w:val="26"/>
          <w:szCs w:val="26"/>
        </w:rPr>
        <w:t>1</w:t>
      </w:r>
      <w:r w:rsidR="00F317A4" w:rsidRPr="00D95E34">
        <w:rPr>
          <w:rFonts w:ascii="Book Antiqua" w:hAnsi="Book Antiqua" w:cs="Times New Roman"/>
          <w:noProof w:val="0"/>
          <w:sz w:val="26"/>
          <w:szCs w:val="26"/>
        </w:rPr>
        <w:t>,9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>%</w:t>
      </w:r>
      <w:r w:rsidR="009B7BDC" w:rsidRPr="00D95E34">
        <w:rPr>
          <w:rFonts w:ascii="Book Antiqua" w:hAnsi="Book Antiqua" w:cs="Times New Roman"/>
          <w:noProof w:val="0"/>
          <w:color w:val="0000FF"/>
          <w:sz w:val="26"/>
          <w:szCs w:val="26"/>
        </w:rPr>
        <w:t xml:space="preserve"> </w:t>
      </w:r>
      <w:r w:rsidR="0077129F" w:rsidRPr="0077129F">
        <w:rPr>
          <w:rFonts w:ascii="Book Antiqua" w:hAnsi="Book Antiqua" w:cs="Times New Roman"/>
          <w:noProof w:val="0"/>
          <w:sz w:val="26"/>
          <w:szCs w:val="26"/>
        </w:rPr>
        <w:t>dans le</w:t>
      </w:r>
      <w:r w:rsidR="0077129F">
        <w:rPr>
          <w:rFonts w:ascii="Book Antiqua" w:hAnsi="Book Antiqua" w:cs="Times New Roman"/>
          <w:noProof w:val="0"/>
          <w:color w:val="0000FF"/>
          <w:sz w:val="26"/>
          <w:szCs w:val="26"/>
        </w:rPr>
        <w:t xml:space="preserve"> </w:t>
      </w:r>
      <w:r w:rsidR="004B3621" w:rsidRPr="004B3621">
        <w:rPr>
          <w:rFonts w:ascii="Book Antiqua" w:hAnsi="Book Antiqua" w:cs="Times New Roman"/>
          <w:noProof w:val="0"/>
          <w:sz w:val="26"/>
          <w:szCs w:val="26"/>
        </w:rPr>
        <w:t xml:space="preserve">volume global du chômage </w:t>
      </w:r>
      <w:r w:rsidR="009B7BDC" w:rsidRPr="004B3621">
        <w:rPr>
          <w:rFonts w:ascii="Book Antiqua" w:hAnsi="Book Antiqua" w:cs="Times New Roman"/>
          <w:noProof w:val="0"/>
          <w:sz w:val="26"/>
          <w:szCs w:val="26"/>
        </w:rPr>
        <w:t xml:space="preserve">au niveau national. </w:t>
      </w:r>
      <w:r w:rsidR="007277B9" w:rsidRPr="004B3621">
        <w:rPr>
          <w:rFonts w:ascii="Book Antiqua" w:hAnsi="Book Antiqua" w:cs="Times New Roman"/>
          <w:noProof w:val="0"/>
          <w:sz w:val="26"/>
          <w:szCs w:val="26"/>
        </w:rPr>
        <w:t>L</w:t>
      </w:r>
      <w:r w:rsidR="009B7BDC" w:rsidRPr="004B3621">
        <w:rPr>
          <w:rFonts w:ascii="Book Antiqua" w:hAnsi="Book Antiqua" w:cs="Times New Roman"/>
          <w:noProof w:val="0"/>
          <w:sz w:val="26"/>
          <w:szCs w:val="26"/>
        </w:rPr>
        <w:t xml:space="preserve">e taux de chômage est </w:t>
      </w:r>
      <w:r w:rsidR="007277B9" w:rsidRPr="004B3621">
        <w:rPr>
          <w:rFonts w:ascii="Book Antiqua" w:hAnsi="Book Antiqua" w:cs="Times New Roman"/>
          <w:noProof w:val="0"/>
          <w:sz w:val="26"/>
          <w:szCs w:val="26"/>
        </w:rPr>
        <w:t xml:space="preserve">ainsi 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>passé</w:t>
      </w:r>
      <w:r w:rsidR="007277B9" w:rsidRPr="00D95E34">
        <w:rPr>
          <w:rFonts w:ascii="Book Antiqua" w:hAnsi="Book Antiqua" w:cs="Times New Roman"/>
          <w:noProof w:val="0"/>
          <w:sz w:val="26"/>
          <w:szCs w:val="26"/>
        </w:rPr>
        <w:t>, entre les deux périodes,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 xml:space="preserve"> de </w:t>
      </w:r>
      <w:r w:rsidR="00F317A4" w:rsidRPr="00D95E34">
        <w:rPr>
          <w:rFonts w:ascii="Book Antiqua" w:hAnsi="Book Antiqua" w:cs="Times New Roman"/>
          <w:noProof w:val="0"/>
          <w:sz w:val="26"/>
          <w:szCs w:val="26"/>
        </w:rPr>
        <w:t>10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>,</w:t>
      </w:r>
      <w:r w:rsidR="004B3621">
        <w:rPr>
          <w:rFonts w:ascii="Book Antiqua" w:hAnsi="Book Antiqua" w:cs="Times New Roman"/>
          <w:noProof w:val="0"/>
          <w:sz w:val="26"/>
          <w:szCs w:val="26"/>
        </w:rPr>
        <w:t>7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4B3621">
        <w:rPr>
          <w:rFonts w:ascii="Book Antiqua" w:hAnsi="Book Antiqua" w:cs="Times New Roman"/>
          <w:noProof w:val="0"/>
          <w:sz w:val="26"/>
          <w:szCs w:val="26"/>
        </w:rPr>
        <w:t>10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>,</w:t>
      </w:r>
      <w:r w:rsidR="004B3621">
        <w:rPr>
          <w:rFonts w:ascii="Book Antiqua" w:hAnsi="Book Antiqua" w:cs="Times New Roman"/>
          <w:noProof w:val="0"/>
          <w:sz w:val="26"/>
          <w:szCs w:val="26"/>
        </w:rPr>
        <w:t>5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>%</w:t>
      </w:r>
      <w:r w:rsidR="007277B9" w:rsidRPr="00D95E34">
        <w:rPr>
          <w:rFonts w:ascii="Book Antiqua" w:hAnsi="Book Antiqua" w:cs="Times New Roman"/>
          <w:noProof w:val="0"/>
          <w:sz w:val="26"/>
          <w:szCs w:val="26"/>
        </w:rPr>
        <w:t xml:space="preserve"> au niveau national, 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430790">
        <w:rPr>
          <w:rFonts w:ascii="Book Antiqua" w:hAnsi="Book Antiqua" w:cs="Times New Roman"/>
          <w:noProof w:val="0"/>
          <w:sz w:val="26"/>
          <w:szCs w:val="26"/>
        </w:rPr>
        <w:t>15</w:t>
      </w:r>
      <w:r w:rsidR="00F317A4" w:rsidRPr="00D95E34">
        <w:rPr>
          <w:rFonts w:ascii="Book Antiqua" w:hAnsi="Book Antiqua" w:cs="Times New Roman"/>
          <w:noProof w:val="0"/>
          <w:sz w:val="26"/>
          <w:szCs w:val="26"/>
        </w:rPr>
        <w:t>,</w:t>
      </w:r>
      <w:r w:rsidR="00430790">
        <w:rPr>
          <w:rFonts w:ascii="Book Antiqua" w:hAnsi="Book Antiqua" w:cs="Times New Roman"/>
          <w:noProof w:val="0"/>
          <w:sz w:val="26"/>
          <w:szCs w:val="26"/>
        </w:rPr>
        <w:t>7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430790">
        <w:rPr>
          <w:rFonts w:ascii="Book Antiqua" w:hAnsi="Book Antiqua" w:cs="Times New Roman"/>
          <w:noProof w:val="0"/>
          <w:sz w:val="26"/>
          <w:szCs w:val="26"/>
        </w:rPr>
        <w:t>15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>,</w:t>
      </w:r>
      <w:r w:rsidR="00430790">
        <w:rPr>
          <w:rFonts w:ascii="Book Antiqua" w:hAnsi="Book Antiqua" w:cs="Times New Roman"/>
          <w:noProof w:val="0"/>
          <w:sz w:val="26"/>
          <w:szCs w:val="26"/>
        </w:rPr>
        <w:t>6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 xml:space="preserve">% en milieu urbain et de </w:t>
      </w:r>
      <w:r w:rsidR="00430790">
        <w:rPr>
          <w:rFonts w:ascii="Book Antiqua" w:hAnsi="Book Antiqua" w:cs="Times New Roman"/>
          <w:noProof w:val="0"/>
          <w:sz w:val="26"/>
          <w:szCs w:val="26"/>
        </w:rPr>
        <w:t>4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>,</w:t>
      </w:r>
      <w:r w:rsidR="004A086F">
        <w:rPr>
          <w:rFonts w:ascii="Book Antiqua" w:hAnsi="Book Antiqua" w:cs="Times New Roman"/>
          <w:noProof w:val="0"/>
          <w:sz w:val="26"/>
          <w:szCs w:val="26"/>
        </w:rPr>
        <w:t>1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4A086F">
        <w:rPr>
          <w:rFonts w:ascii="Book Antiqua" w:hAnsi="Book Antiqua" w:cs="Times New Roman"/>
          <w:noProof w:val="0"/>
          <w:sz w:val="26"/>
          <w:szCs w:val="26"/>
        </w:rPr>
        <w:t>3,5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>% en milieu  rural.</w:t>
      </w:r>
    </w:p>
    <w:p w:rsidR="00AB105A" w:rsidRPr="00AB105A" w:rsidRDefault="00AB105A" w:rsidP="00AB105A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Default="009B7BDC" w:rsidP="00592B59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95E34">
        <w:rPr>
          <w:rFonts w:ascii="Book Antiqua" w:hAnsi="Book Antiqua" w:cs="Times New Roman"/>
          <w:noProof w:val="0"/>
          <w:sz w:val="26"/>
          <w:szCs w:val="26"/>
        </w:rPr>
        <w:t xml:space="preserve">Les </w:t>
      </w:r>
      <w:r w:rsidR="00A97464" w:rsidRPr="00D95E34">
        <w:rPr>
          <w:rFonts w:ascii="Book Antiqua" w:hAnsi="Book Antiqua" w:cs="Times New Roman"/>
          <w:noProof w:val="0"/>
          <w:sz w:val="26"/>
          <w:szCs w:val="26"/>
        </w:rPr>
        <w:t>baisses</w:t>
      </w:r>
      <w:r w:rsidRPr="00D95E34">
        <w:rPr>
          <w:rFonts w:ascii="Book Antiqua" w:hAnsi="Book Antiqua" w:cs="Times New Roman"/>
          <w:noProof w:val="0"/>
          <w:sz w:val="26"/>
          <w:szCs w:val="26"/>
        </w:rPr>
        <w:t xml:space="preserve"> les plus importantes du taux de chômage ont été relevées</w:t>
      </w:r>
      <w:r w:rsidR="00A97464" w:rsidRPr="00D95E34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D95E34">
        <w:rPr>
          <w:rFonts w:ascii="Book Antiqua" w:hAnsi="Book Antiqua" w:cs="Times New Roman"/>
          <w:noProof w:val="0"/>
          <w:sz w:val="26"/>
          <w:szCs w:val="26"/>
        </w:rPr>
        <w:t xml:space="preserve">parmi les </w:t>
      </w:r>
      <w:r w:rsidR="00305CAE" w:rsidRPr="00D95E34">
        <w:rPr>
          <w:rFonts w:ascii="Book Antiqua" w:hAnsi="Book Antiqua" w:cs="Times New Roman"/>
          <w:noProof w:val="0"/>
          <w:sz w:val="26"/>
          <w:szCs w:val="26"/>
        </w:rPr>
        <w:t>adultes âgés de 35 à 44 ans (-</w:t>
      </w:r>
      <w:r w:rsidR="00430790">
        <w:rPr>
          <w:rFonts w:ascii="Book Antiqua" w:hAnsi="Book Antiqua" w:cs="Times New Roman"/>
          <w:noProof w:val="0"/>
          <w:sz w:val="26"/>
          <w:szCs w:val="26"/>
        </w:rPr>
        <w:t>0,8</w:t>
      </w:r>
      <w:r w:rsidR="00305CAE" w:rsidRPr="00D95E34">
        <w:rPr>
          <w:rFonts w:ascii="Book Antiqua" w:hAnsi="Book Antiqua" w:cs="Times New Roman"/>
          <w:noProof w:val="0"/>
          <w:sz w:val="26"/>
          <w:szCs w:val="26"/>
        </w:rPr>
        <w:t xml:space="preserve"> point)</w:t>
      </w:r>
      <w:r w:rsidR="007456F0" w:rsidRPr="00D95E34">
        <w:rPr>
          <w:rFonts w:ascii="Book Antiqua" w:hAnsi="Book Antiqua" w:cs="Times New Roman"/>
          <w:noProof w:val="0"/>
          <w:sz w:val="26"/>
          <w:szCs w:val="26"/>
        </w:rPr>
        <w:t xml:space="preserve"> et </w:t>
      </w:r>
      <w:r w:rsidR="00305CAE" w:rsidRPr="00D95E34">
        <w:rPr>
          <w:rFonts w:ascii="Book Antiqua" w:hAnsi="Book Antiqua" w:cs="Times New Roman"/>
          <w:noProof w:val="0"/>
          <w:sz w:val="26"/>
          <w:szCs w:val="26"/>
        </w:rPr>
        <w:t xml:space="preserve">les </w:t>
      </w:r>
      <w:r w:rsidR="00A97464" w:rsidRPr="00D95E34">
        <w:rPr>
          <w:rFonts w:ascii="Book Antiqua" w:hAnsi="Book Antiqua" w:cs="Times New Roman"/>
          <w:noProof w:val="0"/>
          <w:sz w:val="26"/>
          <w:szCs w:val="26"/>
        </w:rPr>
        <w:t>personnes n’ayant aucun diplôme</w:t>
      </w:r>
      <w:r w:rsidR="007456F0" w:rsidRPr="00D95E34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C052CA" w:rsidRPr="00D95E34">
        <w:rPr>
          <w:rFonts w:ascii="Book Antiqua" w:hAnsi="Book Antiqua" w:cs="Times New Roman"/>
          <w:noProof w:val="0"/>
          <w:sz w:val="26"/>
          <w:szCs w:val="26"/>
        </w:rPr>
        <w:t>(</w:t>
      </w:r>
      <w:r w:rsidR="00A97464" w:rsidRPr="00D95E34">
        <w:rPr>
          <w:rFonts w:ascii="Book Antiqua" w:hAnsi="Book Antiqua" w:cs="Times New Roman"/>
          <w:noProof w:val="0"/>
          <w:sz w:val="26"/>
          <w:szCs w:val="26"/>
        </w:rPr>
        <w:t>-0</w:t>
      </w:r>
      <w:r w:rsidR="00C052CA" w:rsidRPr="00D95E34">
        <w:rPr>
          <w:rFonts w:ascii="Book Antiqua" w:hAnsi="Book Antiqua" w:cs="Times New Roman"/>
          <w:noProof w:val="0"/>
          <w:sz w:val="26"/>
          <w:szCs w:val="26"/>
        </w:rPr>
        <w:t>,</w:t>
      </w:r>
      <w:r w:rsidR="00402265">
        <w:rPr>
          <w:rFonts w:ascii="Book Antiqua" w:hAnsi="Book Antiqua" w:cs="Times New Roman"/>
          <w:noProof w:val="0"/>
          <w:sz w:val="26"/>
          <w:szCs w:val="26"/>
        </w:rPr>
        <w:t>3</w:t>
      </w:r>
      <w:r w:rsidR="00C052CA" w:rsidRPr="00D95E34">
        <w:rPr>
          <w:rFonts w:ascii="Book Antiqua" w:hAnsi="Book Antiqua" w:cs="Times New Roman"/>
          <w:noProof w:val="0"/>
          <w:sz w:val="26"/>
          <w:szCs w:val="26"/>
        </w:rPr>
        <w:t xml:space="preserve"> point).</w:t>
      </w:r>
      <w:r w:rsidR="00B342E2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592B59">
        <w:rPr>
          <w:rFonts w:ascii="Book Antiqua" w:hAnsi="Book Antiqua" w:cs="Times New Roman"/>
          <w:noProof w:val="0"/>
          <w:sz w:val="26"/>
          <w:szCs w:val="26"/>
        </w:rPr>
        <w:t>En revanche, l</w:t>
      </w:r>
      <w:r w:rsidR="00EF3922">
        <w:rPr>
          <w:rFonts w:ascii="Book Antiqua" w:hAnsi="Book Antiqua" w:cs="Times New Roman"/>
          <w:noProof w:val="0"/>
          <w:sz w:val="26"/>
          <w:szCs w:val="26"/>
        </w:rPr>
        <w:t xml:space="preserve">es hausses les plus importantes </w:t>
      </w:r>
      <w:r w:rsidR="00AB105A">
        <w:rPr>
          <w:rFonts w:ascii="Book Antiqua" w:hAnsi="Book Antiqua" w:cs="Times New Roman"/>
          <w:noProof w:val="0"/>
          <w:sz w:val="26"/>
          <w:szCs w:val="26"/>
        </w:rPr>
        <w:t>ont été enregistrées parmi les jeunes âgés de 15 à 24 ans (+0,2 point)</w:t>
      </w:r>
      <w:r w:rsidR="00592B59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AB105A">
        <w:rPr>
          <w:rFonts w:ascii="Book Antiqua" w:hAnsi="Book Antiqua" w:cs="Times New Roman"/>
          <w:noProof w:val="0"/>
          <w:sz w:val="26"/>
          <w:szCs w:val="26"/>
        </w:rPr>
        <w:t>principalement parmi les citadins d’entre eux (+2 points).</w:t>
      </w:r>
    </w:p>
    <w:p w:rsidR="004F377E" w:rsidRPr="004A086F" w:rsidRDefault="004F377E" w:rsidP="008C44D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9B7BDC" w:rsidRDefault="0077129F" w:rsidP="00373B0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3 : Evolution du taux de chômage 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les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premiers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trimestres de </w:t>
      </w:r>
      <w:r w:rsidR="00E13B21">
        <w:rPr>
          <w:rFonts w:ascii="Book Antiqua" w:hAnsi="Book Antiqua" w:cs="Times New Roman"/>
          <w:b/>
          <w:bCs/>
          <w:noProof w:val="0"/>
          <w:sz w:val="24"/>
          <w:szCs w:val="24"/>
        </w:rPr>
        <w:t>2017</w:t>
      </w: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E13B21">
        <w:rPr>
          <w:rFonts w:ascii="Book Antiqua" w:hAnsi="Book Antiqua" w:cs="Times New Roman"/>
          <w:b/>
          <w:bCs/>
          <w:noProof w:val="0"/>
          <w:sz w:val="24"/>
          <w:szCs w:val="24"/>
        </w:rPr>
        <w:t>2018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par</w:t>
      </w:r>
      <w:r w:rsidR="00373B0C">
        <w:rPr>
          <w:rFonts w:ascii="Book Antiqua" w:hAnsi="Book Antiqua" w:cs="Times New Roman"/>
          <w:b/>
          <w:bCs/>
          <w:noProof w:val="0"/>
          <w:sz w:val="24"/>
          <w:szCs w:val="24"/>
        </w:rPr>
        <w:t>mi certaines catégories de la population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(en %).</w:t>
      </w:r>
    </w:p>
    <w:p w:rsidR="00373B0C" w:rsidRPr="00373B0C" w:rsidRDefault="00373B0C" w:rsidP="00373B0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sz w:val="8"/>
          <w:szCs w:val="8"/>
        </w:rPr>
      </w:pPr>
    </w:p>
    <w:p w:rsidR="0077129F" w:rsidRDefault="00373B0C" w:rsidP="0077129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</w:rPr>
      </w:pPr>
      <w:r w:rsidRPr="00373B0C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626100" cy="2914650"/>
            <wp:effectExtent l="19050" t="0" r="12700" b="0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0969" w:rsidRDefault="00080969" w:rsidP="00080969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8"/>
          <w:szCs w:val="8"/>
        </w:rPr>
      </w:pPr>
    </w:p>
    <w:p w:rsidR="007C7CC5" w:rsidRPr="00B818E2" w:rsidRDefault="007C7CC5" w:rsidP="00546D44">
      <w:pPr>
        <w:bidi w:val="0"/>
        <w:rPr>
          <w:rFonts w:ascii="Book Antiqua" w:hAnsi="Book Antiqua" w:cs="Times New Roman"/>
          <w:noProof w:val="0"/>
          <w:color w:val="0070C0"/>
          <w:sz w:val="28"/>
          <w:szCs w:val="28"/>
        </w:rPr>
      </w:pPr>
      <w:r w:rsidRPr="00B818E2">
        <w:rPr>
          <w:rFonts w:ascii="Book Antiqua" w:hAnsi="Book Antiqua" w:cs="Times New Roman"/>
          <w:noProof w:val="0"/>
          <w:color w:val="0070C0"/>
          <w:sz w:val="28"/>
          <w:szCs w:val="28"/>
        </w:rPr>
        <w:t>Le chômage reste encore élevé parmi les diplômés</w:t>
      </w:r>
      <w:r w:rsidR="00546D44">
        <w:rPr>
          <w:rFonts w:ascii="Book Antiqua" w:hAnsi="Book Antiqua" w:cs="Times New Roman"/>
          <w:noProof w:val="0"/>
          <w:color w:val="0070C0"/>
          <w:sz w:val="28"/>
          <w:szCs w:val="28"/>
        </w:rPr>
        <w:t xml:space="preserve"> et </w:t>
      </w:r>
      <w:r w:rsidR="00546D44" w:rsidRPr="00B818E2">
        <w:rPr>
          <w:rFonts w:ascii="Book Antiqua" w:hAnsi="Book Antiqua" w:cs="Times New Roman"/>
          <w:noProof w:val="0"/>
          <w:color w:val="0070C0"/>
          <w:sz w:val="28"/>
          <w:szCs w:val="28"/>
        </w:rPr>
        <w:t xml:space="preserve">les jeunes </w:t>
      </w:r>
    </w:p>
    <w:p w:rsidR="00AB105A" w:rsidRPr="00AB105A" w:rsidRDefault="00AB105A" w:rsidP="00AB105A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8"/>
          <w:szCs w:val="8"/>
        </w:rPr>
      </w:pPr>
    </w:p>
    <w:p w:rsidR="009B7BDC" w:rsidRPr="00667A70" w:rsidRDefault="00B86EC4" w:rsidP="00546D44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Si l</w:t>
      </w:r>
      <w:r w:rsidR="009B7BDC" w:rsidRPr="00667A70">
        <w:rPr>
          <w:rFonts w:ascii="Book Antiqua" w:hAnsi="Book Antiqua" w:cs="Times New Roman"/>
          <w:noProof w:val="0"/>
          <w:sz w:val="26"/>
          <w:szCs w:val="26"/>
        </w:rPr>
        <w:t xml:space="preserve">e taux de chômage </w:t>
      </w:r>
      <w:r w:rsidR="007C7CC5">
        <w:rPr>
          <w:rFonts w:ascii="Book Antiqua" w:hAnsi="Book Antiqua" w:cs="Times New Roman"/>
          <w:noProof w:val="0"/>
          <w:sz w:val="26"/>
          <w:szCs w:val="26"/>
        </w:rPr>
        <w:t xml:space="preserve">enregistre </w:t>
      </w:r>
      <w:r w:rsidR="009B7BDC" w:rsidRPr="00667A70">
        <w:rPr>
          <w:rFonts w:ascii="Book Antiqua" w:hAnsi="Book Antiqua" w:cs="Times New Roman"/>
          <w:noProof w:val="0"/>
          <w:sz w:val="26"/>
          <w:szCs w:val="26"/>
        </w:rPr>
        <w:t>4%</w:t>
      </w:r>
      <w:r w:rsidR="00587F1E" w:rsidRPr="00667A70">
        <w:rPr>
          <w:rFonts w:ascii="Book Antiqua" w:hAnsi="Book Antiqua" w:cs="Times New Roman"/>
          <w:noProof w:val="0"/>
          <w:sz w:val="26"/>
          <w:szCs w:val="26"/>
        </w:rPr>
        <w:t xml:space="preserve"> parmi les personnes </w:t>
      </w:r>
      <w:r w:rsidR="00546D44">
        <w:rPr>
          <w:rFonts w:ascii="Book Antiqua" w:hAnsi="Book Antiqua" w:cs="Times New Roman"/>
          <w:noProof w:val="0"/>
          <w:sz w:val="26"/>
          <w:szCs w:val="26"/>
        </w:rPr>
        <w:t xml:space="preserve">n’ayant aucun </w:t>
      </w:r>
      <w:r w:rsidR="00587F1E" w:rsidRPr="00667A70">
        <w:rPr>
          <w:rFonts w:ascii="Book Antiqua" w:hAnsi="Book Antiqua" w:cs="Times New Roman"/>
          <w:noProof w:val="0"/>
          <w:sz w:val="26"/>
          <w:szCs w:val="26"/>
        </w:rPr>
        <w:t>diplôme</w:t>
      </w:r>
      <w:r w:rsidR="009B7BDC" w:rsidRPr="00667A70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il passe à </w:t>
      </w:r>
      <w:r w:rsidR="00B342E2">
        <w:rPr>
          <w:rFonts w:ascii="Book Antiqua" w:hAnsi="Book Antiqua" w:cs="Times New Roman"/>
          <w:sz w:val="26"/>
          <w:szCs w:val="26"/>
        </w:rPr>
        <w:t>14,5</w:t>
      </w:r>
      <w:r w:rsidR="00587F1E" w:rsidRPr="00667A70">
        <w:rPr>
          <w:rFonts w:ascii="Book Antiqua" w:hAnsi="Book Antiqua" w:cs="Times New Roman"/>
          <w:sz w:val="26"/>
          <w:szCs w:val="26"/>
        </w:rPr>
        <w:t xml:space="preserve">% parmi </w:t>
      </w:r>
      <w:r w:rsidR="00205B08" w:rsidRPr="00667A70">
        <w:rPr>
          <w:rFonts w:ascii="Book Antiqua" w:hAnsi="Book Antiqua" w:cs="Times New Roman"/>
          <w:sz w:val="26"/>
          <w:szCs w:val="26"/>
        </w:rPr>
        <w:t xml:space="preserve">ceux ayant un </w:t>
      </w:r>
      <w:r w:rsidR="00587F1E" w:rsidRPr="00667A70">
        <w:rPr>
          <w:rFonts w:ascii="Book Antiqua" w:hAnsi="Book Antiqua" w:cs="Times New Roman"/>
          <w:sz w:val="26"/>
          <w:szCs w:val="26"/>
        </w:rPr>
        <w:t>diplôm</w:t>
      </w:r>
      <w:r w:rsidR="00205B08" w:rsidRPr="00667A70">
        <w:rPr>
          <w:rFonts w:ascii="Book Antiqua" w:hAnsi="Book Antiqua" w:cs="Times New Roman"/>
          <w:sz w:val="26"/>
          <w:szCs w:val="26"/>
        </w:rPr>
        <w:t xml:space="preserve">e </w:t>
      </w:r>
      <w:r w:rsidR="009B7BDC" w:rsidRPr="00667A70">
        <w:rPr>
          <w:rFonts w:ascii="Book Antiqua" w:hAnsi="Book Antiqua" w:cs="Times New Roman"/>
          <w:sz w:val="26"/>
          <w:szCs w:val="26"/>
        </w:rPr>
        <w:t>de niveau moyen</w:t>
      </w:r>
      <w:r w:rsidR="00892C5F" w:rsidRPr="00667A70">
        <w:rPr>
          <w:rStyle w:val="Appelnotedebasdep"/>
          <w:rFonts w:ascii="Book Antiqua" w:hAnsi="Book Antiqua" w:cs="Times New Roman"/>
          <w:b/>
          <w:bCs/>
          <w:sz w:val="26"/>
          <w:szCs w:val="26"/>
        </w:rPr>
        <w:footnoteReference w:id="2"/>
      </w:r>
      <w:r w:rsidR="00546D44">
        <w:rPr>
          <w:rFonts w:ascii="Book Antiqua" w:hAnsi="Book Antiqua" w:cs="Times New Roman"/>
          <w:sz w:val="26"/>
          <w:szCs w:val="26"/>
        </w:rPr>
        <w:t>,</w:t>
      </w:r>
      <w:r w:rsidR="00FD25BA" w:rsidRPr="00667A70">
        <w:rPr>
          <w:rFonts w:ascii="Book Antiqua" w:hAnsi="Book Antiqua" w:cs="Times New Roman"/>
          <w:sz w:val="26"/>
          <w:szCs w:val="26"/>
        </w:rPr>
        <w:t xml:space="preserve"> </w:t>
      </w:r>
      <w:r w:rsidR="005A57E6" w:rsidRPr="00667A70">
        <w:rPr>
          <w:rFonts w:ascii="Book Antiqua" w:hAnsi="Book Antiqua" w:cs="Times New Roman"/>
          <w:sz w:val="26"/>
          <w:szCs w:val="26"/>
        </w:rPr>
        <w:t xml:space="preserve">au niveau desquels il </w:t>
      </w:r>
      <w:r w:rsidR="00FD25BA" w:rsidRPr="00667A70">
        <w:rPr>
          <w:rFonts w:ascii="Book Antiqua" w:hAnsi="Book Antiqua" w:cs="Times New Roman"/>
          <w:sz w:val="26"/>
          <w:szCs w:val="26"/>
        </w:rPr>
        <w:t>e</w:t>
      </w:r>
      <w:r w:rsidR="005A57E6" w:rsidRPr="00667A70">
        <w:rPr>
          <w:rFonts w:ascii="Book Antiqua" w:hAnsi="Book Antiqua" w:cs="Times New Roman"/>
          <w:sz w:val="26"/>
          <w:szCs w:val="26"/>
        </w:rPr>
        <w:t>nre</w:t>
      </w:r>
      <w:r w:rsidR="00FD25BA" w:rsidRPr="00667A70">
        <w:rPr>
          <w:rFonts w:ascii="Book Antiqua" w:hAnsi="Book Antiqua" w:cs="Times New Roman"/>
          <w:sz w:val="26"/>
          <w:szCs w:val="26"/>
        </w:rPr>
        <w:t xml:space="preserve">gistre </w:t>
      </w:r>
      <w:r w:rsidR="00B342E2">
        <w:rPr>
          <w:rFonts w:ascii="Book Antiqua" w:hAnsi="Book Antiqua" w:cs="Times New Roman"/>
          <w:sz w:val="26"/>
          <w:szCs w:val="26"/>
        </w:rPr>
        <w:t>22</w:t>
      </w:r>
      <w:r w:rsidR="00FD25BA" w:rsidRPr="00667A70">
        <w:rPr>
          <w:rFonts w:ascii="Book Antiqua" w:hAnsi="Book Antiqua" w:cs="Times New Roman"/>
          <w:sz w:val="26"/>
          <w:szCs w:val="26"/>
        </w:rPr>
        <w:t>,</w:t>
      </w:r>
      <w:r w:rsidR="00B342E2">
        <w:rPr>
          <w:rFonts w:ascii="Book Antiqua" w:hAnsi="Book Antiqua" w:cs="Times New Roman"/>
          <w:sz w:val="26"/>
          <w:szCs w:val="26"/>
        </w:rPr>
        <w:t>7</w:t>
      </w:r>
      <w:r w:rsidR="00FD25BA" w:rsidRPr="00667A70">
        <w:rPr>
          <w:rFonts w:ascii="Book Antiqua" w:hAnsi="Book Antiqua" w:cs="Times New Roman"/>
          <w:sz w:val="26"/>
          <w:szCs w:val="26"/>
        </w:rPr>
        <w:t xml:space="preserve">% </w:t>
      </w:r>
      <w:r w:rsidR="00205B08" w:rsidRPr="00667A70">
        <w:rPr>
          <w:rFonts w:ascii="Book Antiqua" w:hAnsi="Book Antiqua" w:cs="Times New Roman"/>
          <w:sz w:val="26"/>
          <w:szCs w:val="26"/>
        </w:rPr>
        <w:t xml:space="preserve">parmi les </w:t>
      </w:r>
      <w:r w:rsidR="002D2075">
        <w:rPr>
          <w:rFonts w:ascii="Book Antiqua" w:hAnsi="Book Antiqua" w:cs="Times New Roman"/>
          <w:sz w:val="26"/>
          <w:szCs w:val="26"/>
        </w:rPr>
        <w:t xml:space="preserve">actifs ayant un certificat </w:t>
      </w:r>
      <w:r w:rsidR="009B7BDC" w:rsidRPr="00667A70">
        <w:rPr>
          <w:rFonts w:ascii="Book Antiqua" w:hAnsi="Book Antiqua" w:cs="Times New Roman"/>
          <w:sz w:val="26"/>
          <w:szCs w:val="26"/>
        </w:rPr>
        <w:t xml:space="preserve">de </w:t>
      </w:r>
      <w:r w:rsidR="00614BAE" w:rsidRPr="00667A70">
        <w:rPr>
          <w:rFonts w:ascii="Book Antiqua" w:hAnsi="Book Antiqua" w:cs="Times New Roman"/>
          <w:sz w:val="26"/>
          <w:szCs w:val="26"/>
        </w:rPr>
        <w:t>spécialisation</w:t>
      </w:r>
      <w:r w:rsidR="009B7BDC" w:rsidRPr="00667A70">
        <w:rPr>
          <w:rFonts w:ascii="Book Antiqua" w:hAnsi="Book Antiqua" w:cs="Times New Roman"/>
          <w:sz w:val="26"/>
          <w:szCs w:val="26"/>
        </w:rPr>
        <w:t xml:space="preserve"> professionnelle</w:t>
      </w:r>
      <w:r w:rsidR="00205B08" w:rsidRPr="00667A70">
        <w:rPr>
          <w:rFonts w:ascii="Book Antiqua" w:hAnsi="Book Antiqua" w:cs="Times New Roman"/>
          <w:sz w:val="26"/>
          <w:szCs w:val="26"/>
        </w:rPr>
        <w:t xml:space="preserve">, et </w:t>
      </w:r>
      <w:r>
        <w:rPr>
          <w:rFonts w:ascii="Book Antiqua" w:hAnsi="Book Antiqua" w:cs="Times New Roman"/>
          <w:sz w:val="26"/>
          <w:szCs w:val="26"/>
        </w:rPr>
        <w:t xml:space="preserve">à </w:t>
      </w:r>
      <w:r w:rsidR="00B342E2">
        <w:rPr>
          <w:rFonts w:ascii="Book Antiqua" w:hAnsi="Book Antiqua" w:cs="Times New Roman"/>
          <w:sz w:val="26"/>
          <w:szCs w:val="26"/>
        </w:rPr>
        <w:t>25</w:t>
      </w:r>
      <w:r w:rsidR="00614BAE" w:rsidRPr="00667A70">
        <w:rPr>
          <w:rFonts w:ascii="Book Antiqua" w:hAnsi="Book Antiqua" w:cs="Times New Roman"/>
          <w:sz w:val="26"/>
          <w:szCs w:val="26"/>
        </w:rPr>
        <w:t>,</w:t>
      </w:r>
      <w:r w:rsidR="00B342E2">
        <w:rPr>
          <w:rFonts w:ascii="Book Antiqua" w:hAnsi="Book Antiqua" w:cs="Times New Roman"/>
          <w:sz w:val="26"/>
          <w:szCs w:val="26"/>
        </w:rPr>
        <w:t>4</w:t>
      </w:r>
      <w:r w:rsidR="00FD25BA" w:rsidRPr="00667A70">
        <w:rPr>
          <w:rFonts w:ascii="Book Antiqua" w:hAnsi="Book Antiqua" w:cs="Times New Roman"/>
          <w:sz w:val="26"/>
          <w:szCs w:val="26"/>
        </w:rPr>
        <w:t xml:space="preserve">% parmi les detenteurs d’un diplôme </w:t>
      </w:r>
      <w:r w:rsidR="009B7BDC" w:rsidRPr="00667A70">
        <w:rPr>
          <w:rFonts w:ascii="Book Antiqua" w:hAnsi="Book Antiqua" w:cs="Times New Roman"/>
          <w:sz w:val="26"/>
          <w:szCs w:val="26"/>
        </w:rPr>
        <w:t>de niveau supérieur</w:t>
      </w:r>
      <w:r w:rsidR="00892C5F" w:rsidRPr="00667A70">
        <w:rPr>
          <w:rStyle w:val="Appelnotedebasdep"/>
          <w:rFonts w:ascii="Book Antiqua" w:hAnsi="Book Antiqua" w:cs="Times New Roman"/>
          <w:b/>
          <w:bCs/>
          <w:sz w:val="26"/>
          <w:szCs w:val="26"/>
        </w:rPr>
        <w:footnoteReference w:id="3"/>
      </w:r>
      <w:r w:rsidR="00546D44">
        <w:rPr>
          <w:rFonts w:ascii="Book Antiqua" w:hAnsi="Book Antiqua" w:cs="Times New Roman"/>
          <w:sz w:val="26"/>
          <w:szCs w:val="26"/>
        </w:rPr>
        <w:t>,</w:t>
      </w:r>
      <w:r w:rsidR="009B7BDC" w:rsidRPr="00667A70">
        <w:rPr>
          <w:rFonts w:ascii="Book Antiqua" w:hAnsi="Book Antiqua" w:cs="Times New Roman"/>
          <w:sz w:val="26"/>
          <w:szCs w:val="26"/>
        </w:rPr>
        <w:t xml:space="preserve"> avec</w:t>
      </w:r>
      <w:r w:rsidR="00FD25BA" w:rsidRPr="00667A70">
        <w:rPr>
          <w:rFonts w:ascii="Book Antiqua" w:hAnsi="Book Antiqua" w:cs="Times New Roman"/>
          <w:sz w:val="26"/>
          <w:szCs w:val="26"/>
        </w:rPr>
        <w:t xml:space="preserve"> en particulier un taux de </w:t>
      </w:r>
      <w:r w:rsidR="00205B08" w:rsidRPr="00667A70">
        <w:rPr>
          <w:rFonts w:ascii="Book Antiqua" w:hAnsi="Book Antiqua" w:cs="Times New Roman"/>
          <w:sz w:val="26"/>
          <w:szCs w:val="26"/>
        </w:rPr>
        <w:t>2</w:t>
      </w:r>
      <w:r w:rsidR="00B342E2">
        <w:rPr>
          <w:rFonts w:ascii="Book Antiqua" w:hAnsi="Book Antiqua" w:cs="Times New Roman"/>
          <w:sz w:val="26"/>
          <w:szCs w:val="26"/>
        </w:rPr>
        <w:t>7</w:t>
      </w:r>
      <w:r w:rsidR="00205B08" w:rsidRPr="00667A70">
        <w:rPr>
          <w:rFonts w:ascii="Book Antiqua" w:hAnsi="Book Antiqua" w:cs="Times New Roman"/>
          <w:sz w:val="26"/>
          <w:szCs w:val="26"/>
        </w:rPr>
        <w:t>,</w:t>
      </w:r>
      <w:r w:rsidR="00B342E2">
        <w:rPr>
          <w:rFonts w:ascii="Book Antiqua" w:hAnsi="Book Antiqua" w:cs="Times New Roman"/>
          <w:sz w:val="26"/>
          <w:szCs w:val="26"/>
        </w:rPr>
        <w:t>8</w:t>
      </w:r>
      <w:r w:rsidR="00205B08" w:rsidRPr="00667A70">
        <w:rPr>
          <w:rFonts w:ascii="Book Antiqua" w:hAnsi="Book Antiqua" w:cs="Times New Roman"/>
          <w:sz w:val="26"/>
          <w:szCs w:val="26"/>
        </w:rPr>
        <w:t>% pour les lauréats d</w:t>
      </w:r>
      <w:r w:rsidR="005A57E6" w:rsidRPr="00667A70">
        <w:rPr>
          <w:rFonts w:ascii="Book Antiqua" w:hAnsi="Book Antiqua" w:cs="Times New Roman"/>
          <w:sz w:val="26"/>
          <w:szCs w:val="26"/>
        </w:rPr>
        <w:t>es</w:t>
      </w:r>
      <w:r w:rsidR="00205B08" w:rsidRPr="00667A70">
        <w:rPr>
          <w:rFonts w:ascii="Book Antiqua" w:hAnsi="Book Antiqua" w:cs="Times New Roman"/>
          <w:sz w:val="26"/>
          <w:szCs w:val="26"/>
        </w:rPr>
        <w:t xml:space="preserve"> </w:t>
      </w:r>
      <w:r w:rsidR="009B7BDC" w:rsidRPr="00667A70">
        <w:rPr>
          <w:rFonts w:ascii="Book Antiqua" w:hAnsi="Book Antiqua" w:cs="Times New Roman"/>
          <w:sz w:val="26"/>
          <w:szCs w:val="26"/>
        </w:rPr>
        <w:t>facult</w:t>
      </w:r>
      <w:r w:rsidR="00205B08" w:rsidRPr="00667A70">
        <w:rPr>
          <w:rFonts w:ascii="Book Antiqua" w:hAnsi="Book Antiqua" w:cs="Times New Roman"/>
          <w:sz w:val="26"/>
          <w:szCs w:val="26"/>
        </w:rPr>
        <w:t>é</w:t>
      </w:r>
      <w:r w:rsidR="005A57E6" w:rsidRPr="00667A70">
        <w:rPr>
          <w:rFonts w:ascii="Book Antiqua" w:hAnsi="Book Antiqua" w:cs="Times New Roman"/>
          <w:sz w:val="26"/>
          <w:szCs w:val="26"/>
        </w:rPr>
        <w:t>s</w:t>
      </w:r>
      <w:r w:rsidR="009B7BDC" w:rsidRPr="00667A70">
        <w:rPr>
          <w:rFonts w:ascii="Book Antiqua" w:hAnsi="Book Antiqua" w:cs="Times New Roman"/>
          <w:sz w:val="26"/>
          <w:szCs w:val="26"/>
        </w:rPr>
        <w:t>.</w:t>
      </w:r>
    </w:p>
    <w:p w:rsidR="00205B08" w:rsidRPr="00C770A9" w:rsidRDefault="00205B08" w:rsidP="00FD25BA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12"/>
          <w:szCs w:val="12"/>
        </w:rPr>
      </w:pPr>
    </w:p>
    <w:p w:rsidR="006158A0" w:rsidRPr="00667A70" w:rsidRDefault="007424CD" w:rsidP="00AB105A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I</w:t>
      </w:r>
      <w:r w:rsidR="006158A0" w:rsidRPr="00667A70">
        <w:rPr>
          <w:rFonts w:ascii="Book Antiqua" w:hAnsi="Book Antiqua" w:cs="Times New Roman"/>
          <w:noProof w:val="0"/>
          <w:sz w:val="26"/>
          <w:szCs w:val="26"/>
        </w:rPr>
        <w:t xml:space="preserve">l est de </w:t>
      </w:r>
      <w:r w:rsidR="00B342E2">
        <w:rPr>
          <w:rFonts w:ascii="Book Antiqua" w:hAnsi="Book Antiqua" w:cs="Times New Roman"/>
          <w:noProof w:val="0"/>
          <w:sz w:val="26"/>
          <w:szCs w:val="26"/>
        </w:rPr>
        <w:t>25</w:t>
      </w:r>
      <w:r w:rsidR="007D5A6D" w:rsidRPr="00667A70">
        <w:rPr>
          <w:rFonts w:ascii="Book Antiqua" w:hAnsi="Book Antiqua" w:cs="Times New Roman"/>
          <w:noProof w:val="0"/>
          <w:sz w:val="26"/>
          <w:szCs w:val="26"/>
        </w:rPr>
        <w:t>,</w:t>
      </w:r>
      <w:r w:rsidR="00B342E2">
        <w:rPr>
          <w:rFonts w:ascii="Book Antiqua" w:hAnsi="Book Antiqua" w:cs="Times New Roman"/>
          <w:noProof w:val="0"/>
          <w:sz w:val="26"/>
          <w:szCs w:val="26"/>
        </w:rPr>
        <w:t>7</w:t>
      </w:r>
      <w:r w:rsidR="007D5A6D" w:rsidRPr="00667A70">
        <w:rPr>
          <w:rFonts w:ascii="Book Antiqua" w:hAnsi="Book Antiqua" w:cs="Times New Roman"/>
          <w:noProof w:val="0"/>
          <w:sz w:val="26"/>
          <w:szCs w:val="26"/>
        </w:rPr>
        <w:t xml:space="preserve">% parmi les jeunes âgés de 15 à 24 </w:t>
      </w:r>
      <w:r w:rsidR="00EF3922">
        <w:rPr>
          <w:rFonts w:ascii="Book Antiqua" w:hAnsi="Book Antiqua" w:cs="Times New Roman"/>
          <w:noProof w:val="0"/>
          <w:sz w:val="26"/>
          <w:szCs w:val="26"/>
        </w:rPr>
        <w:t xml:space="preserve">ans </w:t>
      </w:r>
      <w:r w:rsidR="007D5A6D" w:rsidRPr="00667A70">
        <w:rPr>
          <w:rFonts w:ascii="Book Antiqua" w:hAnsi="Book Antiqua" w:cs="Times New Roman"/>
          <w:noProof w:val="0"/>
          <w:sz w:val="26"/>
          <w:szCs w:val="26"/>
        </w:rPr>
        <w:t xml:space="preserve">et de </w:t>
      </w:r>
      <w:r w:rsidR="00B342E2">
        <w:rPr>
          <w:rFonts w:ascii="Book Antiqua" w:hAnsi="Book Antiqua" w:cs="Times New Roman"/>
          <w:noProof w:val="0"/>
          <w:sz w:val="26"/>
          <w:szCs w:val="26"/>
        </w:rPr>
        <w:t>43</w:t>
      </w:r>
      <w:r w:rsidR="007D5A6D" w:rsidRPr="00667A70">
        <w:rPr>
          <w:rFonts w:ascii="Book Antiqua" w:hAnsi="Book Antiqua" w:cs="Times New Roman"/>
          <w:noProof w:val="0"/>
          <w:sz w:val="26"/>
          <w:szCs w:val="26"/>
        </w:rPr>
        <w:t>,</w:t>
      </w:r>
      <w:r w:rsidR="00B342E2">
        <w:rPr>
          <w:rFonts w:ascii="Book Antiqua" w:hAnsi="Book Antiqua" w:cs="Times New Roman"/>
          <w:noProof w:val="0"/>
          <w:sz w:val="26"/>
          <w:szCs w:val="26"/>
        </w:rPr>
        <w:t>5</w:t>
      </w:r>
      <w:r w:rsidR="007D5A6D" w:rsidRPr="00667A70">
        <w:rPr>
          <w:rFonts w:ascii="Book Antiqua" w:hAnsi="Book Antiqua" w:cs="Times New Roman"/>
          <w:noProof w:val="0"/>
          <w:sz w:val="26"/>
          <w:szCs w:val="26"/>
        </w:rPr>
        <w:t xml:space="preserve">% parmi les citadins d’entre eux, contre </w:t>
      </w:r>
      <w:r w:rsidR="00B342E2">
        <w:rPr>
          <w:rFonts w:ascii="Book Antiqua" w:hAnsi="Book Antiqua" w:cs="Times New Roman"/>
          <w:noProof w:val="0"/>
          <w:sz w:val="26"/>
          <w:szCs w:val="26"/>
        </w:rPr>
        <w:t>10</w:t>
      </w:r>
      <w:r w:rsidR="006158A0" w:rsidRPr="00667A70">
        <w:rPr>
          <w:rFonts w:ascii="Book Antiqua" w:hAnsi="Book Antiqua" w:cs="Times New Roman"/>
          <w:noProof w:val="0"/>
          <w:sz w:val="26"/>
          <w:szCs w:val="26"/>
        </w:rPr>
        <w:t>,</w:t>
      </w:r>
      <w:r w:rsidR="00B342E2">
        <w:rPr>
          <w:rFonts w:ascii="Book Antiqua" w:hAnsi="Book Antiqua" w:cs="Times New Roman"/>
          <w:noProof w:val="0"/>
          <w:sz w:val="26"/>
          <w:szCs w:val="26"/>
        </w:rPr>
        <w:t>5</w:t>
      </w:r>
      <w:r w:rsidR="006158A0" w:rsidRPr="00667A70">
        <w:rPr>
          <w:rFonts w:ascii="Book Antiqua" w:hAnsi="Book Antiqua" w:cs="Times New Roman"/>
          <w:noProof w:val="0"/>
          <w:sz w:val="26"/>
          <w:szCs w:val="26"/>
        </w:rPr>
        <w:t>% pour l</w:t>
      </w:r>
      <w:r w:rsidR="001C477B" w:rsidRPr="00667A70">
        <w:rPr>
          <w:rFonts w:ascii="Book Antiqua" w:hAnsi="Book Antiqua" w:cs="Times New Roman"/>
          <w:noProof w:val="0"/>
          <w:sz w:val="26"/>
          <w:szCs w:val="26"/>
        </w:rPr>
        <w:t>’ensemble d</w:t>
      </w:r>
      <w:r w:rsidR="006158A0" w:rsidRPr="00667A70">
        <w:rPr>
          <w:rFonts w:ascii="Book Antiqua" w:hAnsi="Book Antiqua" w:cs="Times New Roman"/>
          <w:noProof w:val="0"/>
          <w:sz w:val="26"/>
          <w:szCs w:val="26"/>
        </w:rPr>
        <w:t>es personnes âgé</w:t>
      </w:r>
      <w:r w:rsidR="0075120C">
        <w:rPr>
          <w:rFonts w:ascii="Book Antiqua" w:hAnsi="Book Antiqua" w:cs="Times New Roman"/>
          <w:noProof w:val="0"/>
          <w:sz w:val="26"/>
          <w:szCs w:val="26"/>
        </w:rPr>
        <w:t>e</w:t>
      </w:r>
      <w:r w:rsidR="006158A0" w:rsidRPr="00667A70">
        <w:rPr>
          <w:rFonts w:ascii="Book Antiqua" w:hAnsi="Book Antiqua" w:cs="Times New Roman"/>
          <w:noProof w:val="0"/>
          <w:sz w:val="26"/>
          <w:szCs w:val="26"/>
        </w:rPr>
        <w:t xml:space="preserve">s </w:t>
      </w:r>
      <w:r w:rsidR="00ED4A11" w:rsidRPr="00667A70">
        <w:rPr>
          <w:rFonts w:ascii="Book Antiqua" w:hAnsi="Book Antiqua" w:cs="Times New Roman"/>
          <w:noProof w:val="0"/>
          <w:sz w:val="26"/>
          <w:szCs w:val="26"/>
        </w:rPr>
        <w:t>de 15 ans et plus</w:t>
      </w:r>
      <w:r w:rsidR="006158A0" w:rsidRPr="00667A70">
        <w:rPr>
          <w:rFonts w:ascii="Book Antiqua" w:hAnsi="Book Antiqua" w:cs="Times New Roman"/>
          <w:noProof w:val="0"/>
          <w:sz w:val="26"/>
          <w:szCs w:val="26"/>
        </w:rPr>
        <w:t>.</w:t>
      </w:r>
      <w:r w:rsidR="007C7CC5">
        <w:rPr>
          <w:rFonts w:ascii="Book Antiqua" w:hAnsi="Book Antiqua" w:cs="Times New Roman"/>
          <w:noProof w:val="0"/>
          <w:sz w:val="26"/>
          <w:szCs w:val="26"/>
        </w:rPr>
        <w:t xml:space="preserve"> </w:t>
      </w:r>
    </w:p>
    <w:p w:rsidR="009B7BDC" w:rsidRPr="000715D1" w:rsidRDefault="009B7BDC" w:rsidP="006158A0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8"/>
          <w:szCs w:val="8"/>
        </w:rPr>
      </w:pPr>
      <w:r w:rsidRPr="008B415B">
        <w:rPr>
          <w:rFonts w:ascii="Book Antiqua" w:hAnsi="Book Antiqua" w:cs="Times New Roman"/>
          <w:noProof w:val="0"/>
          <w:sz w:val="24"/>
          <w:szCs w:val="24"/>
        </w:rPr>
        <w:t xml:space="preserve"> </w:t>
      </w:r>
    </w:p>
    <w:p w:rsidR="00E13B21" w:rsidRDefault="00E13B21" w:rsidP="00AB105A">
      <w:pPr>
        <w:autoSpaceDE w:val="0"/>
        <w:autoSpaceDN w:val="0"/>
        <w:bidi w:val="0"/>
        <w:adjustRightInd w:val="0"/>
        <w:spacing w:before="120" w:line="276" w:lineRule="auto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4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 : Evolution du taux de chômage 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les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premiers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trimestres de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2017</w:t>
      </w: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2018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selon le diplôme 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(en %).</w:t>
      </w:r>
    </w:p>
    <w:p w:rsidR="006F3794" w:rsidRDefault="00E13B21" w:rsidP="00E13B21">
      <w:pPr>
        <w:autoSpaceDE w:val="0"/>
        <w:autoSpaceDN w:val="0"/>
        <w:bidi w:val="0"/>
        <w:adjustRightInd w:val="0"/>
        <w:spacing w:before="240" w:line="276" w:lineRule="auto"/>
        <w:ind w:hanging="567"/>
        <w:jc w:val="center"/>
        <w:rPr>
          <w:rFonts w:ascii="Book Antiqua" w:hAnsi="Book Antiqua" w:cs="Times New Roman"/>
          <w:sz w:val="24"/>
          <w:szCs w:val="24"/>
        </w:rPr>
      </w:pPr>
      <w:r w:rsidRPr="00E13B21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6913880" cy="2324100"/>
            <wp:effectExtent l="19050" t="0" r="20320" b="0"/>
            <wp:docPr id="10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70F71" w:rsidRPr="00705B2E" w:rsidRDefault="00370F71" w:rsidP="00D95E34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12"/>
          <w:szCs w:val="12"/>
        </w:rPr>
      </w:pPr>
    </w:p>
    <w:p w:rsidR="00AB105A" w:rsidRPr="00B818E2" w:rsidRDefault="00AB105A" w:rsidP="00136BE9">
      <w:pPr>
        <w:bidi w:val="0"/>
        <w:rPr>
          <w:rFonts w:ascii="Book Antiqua" w:hAnsi="Book Antiqua" w:cs="Times New Roman"/>
          <w:noProof w:val="0"/>
          <w:color w:val="0070C0"/>
          <w:sz w:val="28"/>
          <w:szCs w:val="28"/>
        </w:rPr>
      </w:pPr>
      <w:r w:rsidRPr="00B818E2">
        <w:rPr>
          <w:rFonts w:ascii="Book Antiqua" w:hAnsi="Book Antiqua" w:cs="Times New Roman"/>
          <w:noProof w:val="0"/>
          <w:color w:val="0070C0"/>
          <w:sz w:val="28"/>
          <w:szCs w:val="28"/>
        </w:rPr>
        <w:t>Profil des chômeurs</w:t>
      </w:r>
    </w:p>
    <w:p w:rsidR="00136BE9" w:rsidRPr="00136BE9" w:rsidRDefault="00136BE9" w:rsidP="00136BE9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12"/>
          <w:szCs w:val="12"/>
        </w:rPr>
      </w:pPr>
    </w:p>
    <w:p w:rsidR="00AB105A" w:rsidRDefault="00AB105A" w:rsidP="00DF3461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theme="majorBidi"/>
          <w:noProof w:val="0"/>
          <w:sz w:val="26"/>
          <w:szCs w:val="26"/>
        </w:rPr>
        <w:t>L</w:t>
      </w:r>
      <w:r w:rsidRPr="00844ABD">
        <w:rPr>
          <w:rFonts w:ascii="Book Antiqua" w:hAnsi="Book Antiqua" w:cstheme="majorBidi"/>
          <w:noProof w:val="0"/>
          <w:sz w:val="26"/>
          <w:szCs w:val="26"/>
        </w:rPr>
        <w:t xml:space="preserve">es chômeurs sont </w:t>
      </w:r>
      <w:r>
        <w:rPr>
          <w:rFonts w:ascii="Book Antiqua" w:hAnsi="Book Antiqua" w:cstheme="majorBidi"/>
          <w:noProof w:val="0"/>
          <w:sz w:val="26"/>
          <w:szCs w:val="26"/>
        </w:rPr>
        <w:t xml:space="preserve">en majorité </w:t>
      </w:r>
      <w:r w:rsidRPr="00844ABD">
        <w:rPr>
          <w:rFonts w:ascii="Book Antiqua" w:hAnsi="Book Antiqua" w:cstheme="majorBidi"/>
          <w:noProof w:val="0"/>
          <w:sz w:val="26"/>
          <w:szCs w:val="26"/>
        </w:rPr>
        <w:t>(</w:t>
      </w:r>
      <w:r w:rsidR="00DF3461">
        <w:rPr>
          <w:rFonts w:ascii="Book Antiqua" w:hAnsi="Book Antiqua" w:cs="Times New Roman"/>
          <w:noProof w:val="0"/>
          <w:sz w:val="26"/>
          <w:szCs w:val="26"/>
        </w:rPr>
        <w:t>85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,</w:t>
      </w:r>
      <w:r w:rsidR="00DF3461">
        <w:rPr>
          <w:rFonts w:ascii="Book Antiqua" w:hAnsi="Book Antiqua" w:cs="Times New Roman"/>
          <w:noProof w:val="0"/>
          <w:sz w:val="26"/>
          <w:szCs w:val="26"/>
        </w:rPr>
        <w:t>6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%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) des 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citadins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(</w:t>
      </w:r>
      <w:r w:rsidR="00DF3461">
        <w:rPr>
          <w:rFonts w:ascii="Book Antiqua" w:hAnsi="Book Antiqua" w:cs="Times New Roman"/>
          <w:noProof w:val="0"/>
          <w:sz w:val="26"/>
          <w:szCs w:val="26"/>
        </w:rPr>
        <w:t>81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,</w:t>
      </w:r>
      <w:r w:rsidR="00DF3461">
        <w:rPr>
          <w:rFonts w:ascii="Book Antiqua" w:hAnsi="Book Antiqua" w:cs="Times New Roman"/>
          <w:noProof w:val="0"/>
          <w:sz w:val="26"/>
          <w:szCs w:val="26"/>
        </w:rPr>
        <w:t>7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%p</w:t>
      </w:r>
      <w:r>
        <w:rPr>
          <w:rFonts w:ascii="Book Antiqua" w:hAnsi="Book Antiqua" w:cs="Times New Roman"/>
          <w:noProof w:val="0"/>
          <w:sz w:val="26"/>
          <w:szCs w:val="26"/>
        </w:rPr>
        <w:t>armi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 les hommes </w:t>
      </w:r>
      <w:r>
        <w:rPr>
          <w:rFonts w:ascii="Book Antiqua" w:hAnsi="Book Antiqua" w:cs="Times New Roman"/>
          <w:noProof w:val="0"/>
          <w:sz w:val="26"/>
          <w:szCs w:val="26"/>
        </w:rPr>
        <w:t>et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DF3461">
        <w:rPr>
          <w:rFonts w:ascii="Book Antiqua" w:hAnsi="Book Antiqua" w:cs="Times New Roman"/>
          <w:noProof w:val="0"/>
          <w:sz w:val="26"/>
          <w:szCs w:val="26"/>
        </w:rPr>
        <w:t>92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,6% p</w:t>
      </w:r>
      <w:r>
        <w:rPr>
          <w:rFonts w:ascii="Book Antiqua" w:hAnsi="Book Antiqua" w:cs="Times New Roman"/>
          <w:noProof w:val="0"/>
          <w:sz w:val="26"/>
          <w:szCs w:val="26"/>
        </w:rPr>
        <w:t>armi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 les femmes),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jeunes (</w:t>
      </w:r>
      <w:r w:rsidR="00DF3461">
        <w:rPr>
          <w:rFonts w:ascii="Book Antiqua" w:hAnsi="Book Antiqua" w:cs="Times New Roman"/>
          <w:noProof w:val="0"/>
          <w:sz w:val="26"/>
          <w:szCs w:val="26"/>
        </w:rPr>
        <w:t>63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,</w:t>
      </w:r>
      <w:r w:rsidR="00DF3461">
        <w:rPr>
          <w:rFonts w:ascii="Book Antiqua" w:hAnsi="Book Antiqua" w:cs="Times New Roman"/>
          <w:noProof w:val="0"/>
          <w:sz w:val="26"/>
          <w:szCs w:val="26"/>
        </w:rPr>
        <w:t>7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% sont âgés de 15 à 29 ans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DF3461">
        <w:rPr>
          <w:rFonts w:ascii="Book Antiqua" w:hAnsi="Book Antiqua" w:cs="Times New Roman"/>
          <w:noProof w:val="0"/>
          <w:sz w:val="26"/>
          <w:szCs w:val="26"/>
        </w:rPr>
        <w:t>62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,</w:t>
      </w:r>
      <w:r w:rsidR="00DF3461">
        <w:rPr>
          <w:rFonts w:ascii="Book Antiqua" w:hAnsi="Book Antiqua" w:cs="Times New Roman"/>
          <w:noProof w:val="0"/>
          <w:sz w:val="26"/>
          <w:szCs w:val="26"/>
        </w:rPr>
        <w:t>6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%p</w:t>
      </w:r>
      <w:r>
        <w:rPr>
          <w:rFonts w:ascii="Book Antiqua" w:hAnsi="Book Antiqua" w:cs="Times New Roman"/>
          <w:noProof w:val="0"/>
          <w:sz w:val="26"/>
          <w:szCs w:val="26"/>
        </w:rPr>
        <w:t>armi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 les hommes </w:t>
      </w:r>
      <w:r>
        <w:rPr>
          <w:rFonts w:ascii="Book Antiqua" w:hAnsi="Book Antiqua" w:cs="Times New Roman"/>
          <w:noProof w:val="0"/>
          <w:sz w:val="26"/>
          <w:szCs w:val="26"/>
        </w:rPr>
        <w:t>et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DF3461">
        <w:rPr>
          <w:rFonts w:ascii="Book Antiqua" w:hAnsi="Book Antiqua" w:cs="Times New Roman"/>
          <w:noProof w:val="0"/>
          <w:sz w:val="26"/>
          <w:szCs w:val="26"/>
        </w:rPr>
        <w:t>65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,</w:t>
      </w:r>
      <w:r w:rsidR="00DF3461">
        <w:rPr>
          <w:rFonts w:ascii="Book Antiqua" w:hAnsi="Book Antiqua" w:cs="Times New Roman"/>
          <w:noProof w:val="0"/>
          <w:sz w:val="26"/>
          <w:szCs w:val="26"/>
        </w:rPr>
        <w:t>6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% p</w:t>
      </w:r>
      <w:r>
        <w:rPr>
          <w:rFonts w:ascii="Book Antiqua" w:hAnsi="Book Antiqua" w:cs="Times New Roman"/>
          <w:noProof w:val="0"/>
          <w:sz w:val="26"/>
          <w:szCs w:val="26"/>
        </w:rPr>
        <w:t>armi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 les femmes)</w:t>
      </w:r>
      <w:r>
        <w:rPr>
          <w:rFonts w:ascii="Book Antiqua" w:hAnsi="Book Antiqua" w:cs="Times New Roman"/>
          <w:noProof w:val="0"/>
          <w:sz w:val="26"/>
          <w:szCs w:val="26"/>
        </w:rPr>
        <w:t>. Près d</w:t>
      </w:r>
      <w:r w:rsidR="00DF3461">
        <w:rPr>
          <w:rFonts w:ascii="Book Antiqua" w:hAnsi="Book Antiqua" w:cs="Times New Roman"/>
          <w:noProof w:val="0"/>
          <w:sz w:val="26"/>
          <w:szCs w:val="26"/>
        </w:rPr>
        <w:t xml:space="preserve">e quatre sur dix </w:t>
      </w:r>
      <w:r>
        <w:rPr>
          <w:rFonts w:ascii="Book Antiqua" w:hAnsi="Book Antiqua" w:cs="Times New Roman"/>
          <w:noProof w:val="0"/>
          <w:sz w:val="26"/>
          <w:szCs w:val="26"/>
        </w:rPr>
        <w:t>(</w:t>
      </w:r>
      <w:r w:rsidR="00DF3461">
        <w:rPr>
          <w:rFonts w:ascii="Book Antiqua" w:hAnsi="Book Antiqua" w:cs="Times New Roman"/>
          <w:noProof w:val="0"/>
          <w:sz w:val="26"/>
          <w:szCs w:val="26"/>
        </w:rPr>
        <w:t>38</w:t>
      </w:r>
      <w:r>
        <w:rPr>
          <w:rFonts w:ascii="Book Antiqua" w:hAnsi="Book Antiqua" w:cs="Times New Roman"/>
          <w:noProof w:val="0"/>
          <w:sz w:val="26"/>
          <w:szCs w:val="26"/>
        </w:rPr>
        <w:t>,</w:t>
      </w:r>
      <w:r w:rsidR="00DF3461">
        <w:rPr>
          <w:rFonts w:ascii="Book Antiqua" w:hAnsi="Book Antiqua" w:cs="Times New Roman"/>
          <w:noProof w:val="0"/>
          <w:sz w:val="26"/>
          <w:szCs w:val="26"/>
        </w:rPr>
        <w:t>1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%) des chômeurs 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détiennent un diplôme de niveau supérieur (</w:t>
      </w:r>
      <w:r w:rsidR="00DF3461">
        <w:rPr>
          <w:rFonts w:ascii="Book Antiqua" w:hAnsi="Book Antiqua" w:cs="Times New Roman"/>
          <w:noProof w:val="0"/>
          <w:sz w:val="26"/>
          <w:szCs w:val="26"/>
        </w:rPr>
        <w:t>29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,</w:t>
      </w:r>
      <w:r w:rsidR="00DF3461">
        <w:rPr>
          <w:rFonts w:ascii="Book Antiqua" w:hAnsi="Book Antiqua" w:cs="Times New Roman"/>
          <w:noProof w:val="0"/>
          <w:sz w:val="26"/>
          <w:szCs w:val="26"/>
        </w:rPr>
        <w:t>2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%</w:t>
      </w:r>
      <w:r w:rsidR="007B2185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p</w:t>
      </w:r>
      <w:r>
        <w:rPr>
          <w:rFonts w:ascii="Book Antiqua" w:hAnsi="Book Antiqua" w:cs="Times New Roman"/>
          <w:noProof w:val="0"/>
          <w:sz w:val="26"/>
          <w:szCs w:val="26"/>
        </w:rPr>
        <w:t>armi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 les hommes </w:t>
      </w:r>
      <w:r>
        <w:rPr>
          <w:rFonts w:ascii="Book Antiqua" w:hAnsi="Book Antiqua" w:cs="Times New Roman"/>
          <w:noProof w:val="0"/>
          <w:sz w:val="26"/>
          <w:szCs w:val="26"/>
        </w:rPr>
        <w:t>et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DF3461">
        <w:rPr>
          <w:rFonts w:ascii="Book Antiqua" w:hAnsi="Book Antiqua" w:cs="Times New Roman"/>
          <w:noProof w:val="0"/>
          <w:sz w:val="26"/>
          <w:szCs w:val="26"/>
        </w:rPr>
        <w:t>53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,</w:t>
      </w:r>
      <w:r w:rsidR="00DF3461">
        <w:rPr>
          <w:rFonts w:ascii="Book Antiqua" w:hAnsi="Book Antiqua" w:cs="Times New Roman"/>
          <w:noProof w:val="0"/>
          <w:sz w:val="26"/>
          <w:szCs w:val="26"/>
        </w:rPr>
        <w:t>6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% p</w:t>
      </w:r>
      <w:r>
        <w:rPr>
          <w:rFonts w:ascii="Book Antiqua" w:hAnsi="Book Antiqua" w:cs="Times New Roman"/>
          <w:noProof w:val="0"/>
          <w:sz w:val="26"/>
          <w:szCs w:val="26"/>
        </w:rPr>
        <w:t>armi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 les femmes)</w:t>
      </w:r>
      <w:r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AB105A" w:rsidRPr="00844ABD" w:rsidRDefault="00AB105A" w:rsidP="004A3CAE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En outre, un peu plus de la moitié 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(</w:t>
      </w:r>
      <w:r w:rsidR="000A081F">
        <w:rPr>
          <w:rFonts w:ascii="Book Antiqua" w:hAnsi="Book Antiqua" w:cs="Times New Roman"/>
          <w:noProof w:val="0"/>
          <w:sz w:val="26"/>
          <w:szCs w:val="26"/>
        </w:rPr>
        <w:t>56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,</w:t>
      </w:r>
      <w:r w:rsidR="000A081F">
        <w:rPr>
          <w:rFonts w:ascii="Book Antiqua" w:hAnsi="Book Antiqua" w:cs="Times New Roman"/>
          <w:noProof w:val="0"/>
          <w:sz w:val="26"/>
          <w:szCs w:val="26"/>
        </w:rPr>
        <w:t>4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%</w:t>
      </w:r>
      <w:r>
        <w:rPr>
          <w:rFonts w:ascii="Book Antiqua" w:hAnsi="Book Antiqua" w:cs="Times New Roman"/>
          <w:noProof w:val="0"/>
          <w:sz w:val="26"/>
          <w:szCs w:val="26"/>
        </w:rPr>
        <w:t>)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des chômeurs 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sont à la recherche de leur premier emploi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(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49</w:t>
      </w:r>
      <w:r w:rsidR="000A081F">
        <w:rPr>
          <w:rFonts w:ascii="Book Antiqua" w:hAnsi="Book Antiqua" w:cs="Times New Roman"/>
          <w:noProof w:val="0"/>
          <w:sz w:val="26"/>
          <w:szCs w:val="26"/>
        </w:rPr>
        <w:t>,3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%p</w:t>
      </w:r>
      <w:r>
        <w:rPr>
          <w:rFonts w:ascii="Book Antiqua" w:hAnsi="Book Antiqua" w:cs="Times New Roman"/>
          <w:noProof w:val="0"/>
          <w:sz w:val="26"/>
          <w:szCs w:val="26"/>
        </w:rPr>
        <w:t>armi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 les hommes </w:t>
      </w:r>
      <w:r>
        <w:rPr>
          <w:rFonts w:ascii="Book Antiqua" w:hAnsi="Book Antiqua" w:cs="Times New Roman"/>
          <w:noProof w:val="0"/>
          <w:sz w:val="26"/>
          <w:szCs w:val="26"/>
        </w:rPr>
        <w:t>et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 6</w:t>
      </w:r>
      <w:r w:rsidR="000A081F">
        <w:rPr>
          <w:rFonts w:ascii="Book Antiqua" w:hAnsi="Book Antiqua" w:cs="Times New Roman"/>
          <w:noProof w:val="0"/>
          <w:sz w:val="26"/>
          <w:szCs w:val="26"/>
        </w:rPr>
        <w:t>8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,</w:t>
      </w:r>
      <w:r w:rsidR="000A081F">
        <w:rPr>
          <w:rFonts w:ascii="Book Antiqua" w:hAnsi="Book Antiqua" w:cs="Times New Roman"/>
          <w:noProof w:val="0"/>
          <w:sz w:val="26"/>
          <w:szCs w:val="26"/>
        </w:rPr>
        <w:t>8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% p</w:t>
      </w:r>
      <w:r>
        <w:rPr>
          <w:rFonts w:ascii="Book Antiqua" w:hAnsi="Book Antiqua" w:cs="Times New Roman"/>
          <w:noProof w:val="0"/>
          <w:sz w:val="26"/>
          <w:szCs w:val="26"/>
        </w:rPr>
        <w:t>armi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 les femmes), </w:t>
      </w:r>
      <w:r>
        <w:rPr>
          <w:rFonts w:ascii="Book Antiqua" w:hAnsi="Book Antiqua" w:cs="Times New Roman"/>
          <w:noProof w:val="0"/>
          <w:sz w:val="26"/>
          <w:szCs w:val="26"/>
        </w:rPr>
        <w:t>près des deux-tiers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 (6</w:t>
      </w:r>
      <w:r w:rsidR="000A081F">
        <w:rPr>
          <w:rFonts w:ascii="Book Antiqua" w:hAnsi="Book Antiqua" w:cs="Times New Roman"/>
          <w:noProof w:val="0"/>
          <w:sz w:val="26"/>
          <w:szCs w:val="26"/>
        </w:rPr>
        <w:t>6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,</w:t>
      </w:r>
      <w:r w:rsidR="000A081F">
        <w:rPr>
          <w:rFonts w:ascii="Book Antiqua" w:hAnsi="Book Antiqua" w:cs="Times New Roman"/>
          <w:noProof w:val="0"/>
          <w:sz w:val="26"/>
          <w:szCs w:val="26"/>
        </w:rPr>
        <w:t>4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%) chôment depuis une année ou plus (6</w:t>
      </w:r>
      <w:r w:rsidR="000A081F">
        <w:rPr>
          <w:rFonts w:ascii="Book Antiqua" w:hAnsi="Book Antiqua" w:cs="Times New Roman"/>
          <w:noProof w:val="0"/>
          <w:sz w:val="26"/>
          <w:szCs w:val="26"/>
        </w:rPr>
        <w:t>1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,</w:t>
      </w:r>
      <w:r w:rsidR="000A081F">
        <w:rPr>
          <w:rFonts w:ascii="Book Antiqua" w:hAnsi="Book Antiqua" w:cs="Times New Roman"/>
          <w:noProof w:val="0"/>
          <w:sz w:val="26"/>
          <w:szCs w:val="26"/>
        </w:rPr>
        <w:t>6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%p</w:t>
      </w:r>
      <w:r>
        <w:rPr>
          <w:rFonts w:ascii="Book Antiqua" w:hAnsi="Book Antiqua" w:cs="Times New Roman"/>
          <w:noProof w:val="0"/>
          <w:sz w:val="26"/>
          <w:szCs w:val="26"/>
        </w:rPr>
        <w:t>armi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 les hommes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7</w:t>
      </w:r>
      <w:r w:rsidR="000A081F">
        <w:rPr>
          <w:rFonts w:ascii="Book Antiqua" w:hAnsi="Book Antiqua" w:cs="Times New Roman"/>
          <w:noProof w:val="0"/>
          <w:sz w:val="26"/>
          <w:szCs w:val="26"/>
        </w:rPr>
        <w:t>4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,8% </w:t>
      </w:r>
      <w:r>
        <w:rPr>
          <w:rFonts w:ascii="Book Antiqua" w:hAnsi="Book Antiqua" w:cs="Times New Roman"/>
          <w:noProof w:val="0"/>
          <w:sz w:val="26"/>
          <w:szCs w:val="26"/>
        </w:rPr>
        <w:t>parmi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 pour les femmes), et enfin,  2</w:t>
      </w:r>
      <w:r w:rsidR="004A3CAE">
        <w:rPr>
          <w:rFonts w:ascii="Book Antiqua" w:hAnsi="Book Antiqua" w:cs="Times New Roman"/>
          <w:noProof w:val="0"/>
          <w:sz w:val="26"/>
          <w:szCs w:val="26"/>
        </w:rPr>
        <w:t>5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,</w:t>
      </w:r>
      <w:r w:rsidR="004A3CAE">
        <w:rPr>
          <w:rFonts w:ascii="Book Antiqua" w:hAnsi="Book Antiqua" w:cs="Times New Roman"/>
          <w:noProof w:val="0"/>
          <w:sz w:val="26"/>
          <w:szCs w:val="26"/>
        </w:rPr>
        <w:t>2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%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des chômeurs 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se sont retrouvés </w:t>
      </w:r>
      <w:r>
        <w:rPr>
          <w:rFonts w:ascii="Book Antiqua" w:hAnsi="Book Antiqua" w:cs="Times New Roman"/>
          <w:noProof w:val="0"/>
          <w:sz w:val="26"/>
          <w:szCs w:val="26"/>
        </w:rPr>
        <w:t>en chômage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 suite au licenciement (2</w:t>
      </w:r>
      <w:r w:rsidR="004A3CAE">
        <w:rPr>
          <w:rFonts w:ascii="Book Antiqua" w:hAnsi="Book Antiqua" w:cs="Times New Roman"/>
          <w:noProof w:val="0"/>
          <w:sz w:val="26"/>
          <w:szCs w:val="26"/>
        </w:rPr>
        <w:t>0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,</w:t>
      </w:r>
      <w:r w:rsidR="004A3CAE">
        <w:rPr>
          <w:rFonts w:ascii="Book Antiqua" w:hAnsi="Book Antiqua" w:cs="Times New Roman"/>
          <w:noProof w:val="0"/>
          <w:sz w:val="26"/>
          <w:szCs w:val="26"/>
        </w:rPr>
        <w:t>1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%) ou à l’arrêt de l’activité de l’établissement employeur (5,</w:t>
      </w:r>
      <w:r w:rsidR="004A3CAE">
        <w:rPr>
          <w:rFonts w:ascii="Book Antiqua" w:hAnsi="Book Antiqua" w:cs="Times New Roman"/>
          <w:noProof w:val="0"/>
          <w:sz w:val="26"/>
          <w:szCs w:val="26"/>
        </w:rPr>
        <w:t>1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%). </w:t>
      </w:r>
    </w:p>
    <w:p w:rsidR="00AB105A" w:rsidRDefault="00CC5BF5" w:rsidP="00CC5BF5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Par ailleurs, 7,1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% </w:t>
      </w:r>
      <w:r>
        <w:rPr>
          <w:rFonts w:ascii="Book Antiqua" w:hAnsi="Book Antiqua" w:cs="Times New Roman"/>
          <w:noProof w:val="0"/>
          <w:sz w:val="26"/>
          <w:szCs w:val="26"/>
        </w:rPr>
        <w:t>des chômeurs,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totalisant </w:t>
      </w:r>
      <w:r w:rsidR="0082320C">
        <w:rPr>
          <w:rFonts w:ascii="Book Antiqua" w:hAnsi="Book Antiqua" w:cs="Times New Roman"/>
          <w:noProof w:val="0"/>
          <w:sz w:val="26"/>
          <w:szCs w:val="26"/>
        </w:rPr>
        <w:t>89</w:t>
      </w:r>
      <w:r w:rsidR="00AB105A" w:rsidRPr="00844ABD">
        <w:rPr>
          <w:rFonts w:ascii="Book Antiqua" w:hAnsi="Book Antiqua" w:cs="Times New Roman"/>
          <w:noProof w:val="0"/>
          <w:sz w:val="26"/>
          <w:szCs w:val="26"/>
        </w:rPr>
        <w:t xml:space="preserve">.000 personnes </w:t>
      </w:r>
      <w:r w:rsidR="0082320C">
        <w:rPr>
          <w:rFonts w:ascii="Book Antiqua" w:hAnsi="Book Antiqua" w:cs="Times New Roman"/>
          <w:noProof w:val="0"/>
          <w:sz w:val="26"/>
          <w:szCs w:val="26"/>
        </w:rPr>
        <w:t>au premier trimestre de 2018</w:t>
      </w:r>
      <w:r w:rsidR="00AB105A">
        <w:rPr>
          <w:rFonts w:ascii="Book Antiqua" w:hAnsi="Book Antiqua" w:cs="Times New Roman"/>
          <w:noProof w:val="0"/>
          <w:sz w:val="26"/>
          <w:szCs w:val="26"/>
        </w:rPr>
        <w:t>, sont</w:t>
      </w:r>
      <w:r w:rsidR="00AB105A" w:rsidRPr="00844ABD">
        <w:rPr>
          <w:rFonts w:ascii="Book Antiqua" w:hAnsi="Book Antiqua" w:cs="Times New Roman"/>
          <w:noProof w:val="0"/>
          <w:sz w:val="26"/>
          <w:szCs w:val="26"/>
        </w:rPr>
        <w:t xml:space="preserve"> découragés par la recherche active d’</w:t>
      </w:r>
      <w:r w:rsidR="00AB105A">
        <w:rPr>
          <w:rFonts w:ascii="Book Antiqua" w:hAnsi="Book Antiqua" w:cs="Times New Roman"/>
          <w:noProof w:val="0"/>
          <w:sz w:val="26"/>
          <w:szCs w:val="26"/>
        </w:rPr>
        <w:t xml:space="preserve">un </w:t>
      </w:r>
      <w:r w:rsidR="00AB105A" w:rsidRPr="00844ABD">
        <w:rPr>
          <w:rFonts w:ascii="Book Antiqua" w:hAnsi="Book Antiqua" w:cs="Times New Roman"/>
          <w:noProof w:val="0"/>
          <w:sz w:val="26"/>
          <w:szCs w:val="26"/>
        </w:rPr>
        <w:t xml:space="preserve">emploi, contre </w:t>
      </w:r>
      <w:r w:rsidR="0082320C">
        <w:rPr>
          <w:rFonts w:ascii="Book Antiqua" w:hAnsi="Book Antiqua" w:cs="Times New Roman"/>
          <w:noProof w:val="0"/>
          <w:sz w:val="26"/>
          <w:szCs w:val="26"/>
        </w:rPr>
        <w:t>7%</w:t>
      </w:r>
      <w:r w:rsidR="00AB105A" w:rsidRPr="00844ABD">
        <w:rPr>
          <w:rFonts w:ascii="Book Antiqua" w:hAnsi="Book Antiqua" w:cs="Times New Roman"/>
          <w:noProof w:val="0"/>
          <w:sz w:val="26"/>
          <w:szCs w:val="26"/>
        </w:rPr>
        <w:t xml:space="preserve"> une année auparavant. Ils sont à </w:t>
      </w:r>
      <w:r w:rsidR="0082320C">
        <w:rPr>
          <w:rFonts w:ascii="Book Antiqua" w:hAnsi="Book Antiqua" w:cs="Times New Roman"/>
          <w:noProof w:val="0"/>
          <w:sz w:val="26"/>
          <w:szCs w:val="26"/>
        </w:rPr>
        <w:t>environ 90</w:t>
      </w:r>
      <w:r w:rsidR="00AB105A" w:rsidRPr="00844ABD">
        <w:rPr>
          <w:rFonts w:ascii="Book Antiqua" w:hAnsi="Book Antiqua" w:cs="Times New Roman"/>
          <w:noProof w:val="0"/>
          <w:sz w:val="26"/>
          <w:szCs w:val="26"/>
        </w:rPr>
        <w:t xml:space="preserve">% citadins, </w:t>
      </w:r>
      <w:r w:rsidR="0082320C">
        <w:rPr>
          <w:rFonts w:ascii="Book Antiqua" w:hAnsi="Book Antiqua" w:cs="Times New Roman"/>
          <w:noProof w:val="0"/>
          <w:sz w:val="26"/>
          <w:szCs w:val="26"/>
        </w:rPr>
        <w:t>51</w:t>
      </w:r>
      <w:r w:rsidR="00AB105A" w:rsidRPr="00844ABD">
        <w:rPr>
          <w:rFonts w:ascii="Book Antiqua" w:hAnsi="Book Antiqua" w:cs="Times New Roman"/>
          <w:noProof w:val="0"/>
          <w:sz w:val="26"/>
          <w:szCs w:val="26"/>
        </w:rPr>
        <w:t xml:space="preserve">% </w:t>
      </w:r>
      <w:r w:rsidR="0082320C">
        <w:rPr>
          <w:rFonts w:ascii="Book Antiqua" w:hAnsi="Book Antiqua" w:cs="Times New Roman"/>
          <w:noProof w:val="0"/>
          <w:sz w:val="26"/>
          <w:szCs w:val="26"/>
        </w:rPr>
        <w:t>femmes</w:t>
      </w:r>
      <w:r w:rsidR="00AB105A" w:rsidRPr="00844ABD">
        <w:rPr>
          <w:rFonts w:ascii="Book Antiqua" w:hAnsi="Book Antiqua" w:cs="Times New Roman"/>
          <w:noProof w:val="0"/>
          <w:sz w:val="26"/>
          <w:szCs w:val="26"/>
        </w:rPr>
        <w:t>, 5</w:t>
      </w:r>
      <w:r w:rsidR="0082320C">
        <w:rPr>
          <w:rFonts w:ascii="Book Antiqua" w:hAnsi="Book Antiqua" w:cs="Times New Roman"/>
          <w:noProof w:val="0"/>
          <w:sz w:val="26"/>
          <w:szCs w:val="26"/>
        </w:rPr>
        <w:t>1</w:t>
      </w:r>
      <w:r w:rsidR="00AB105A" w:rsidRPr="00844ABD">
        <w:rPr>
          <w:rFonts w:ascii="Book Antiqua" w:hAnsi="Book Antiqua" w:cs="Times New Roman"/>
          <w:noProof w:val="0"/>
          <w:sz w:val="26"/>
          <w:szCs w:val="26"/>
        </w:rPr>
        <w:t xml:space="preserve">% jeunes âgés de 15 à 29 ans et </w:t>
      </w:r>
      <w:r w:rsidR="0082320C">
        <w:rPr>
          <w:rFonts w:ascii="Book Antiqua" w:hAnsi="Book Antiqua" w:cs="Times New Roman"/>
          <w:noProof w:val="0"/>
          <w:sz w:val="26"/>
          <w:szCs w:val="26"/>
        </w:rPr>
        <w:t>82</w:t>
      </w:r>
      <w:r w:rsidR="00AB105A" w:rsidRPr="00844ABD">
        <w:rPr>
          <w:rFonts w:ascii="Book Antiqua" w:hAnsi="Book Antiqua" w:cs="Times New Roman"/>
          <w:noProof w:val="0"/>
          <w:sz w:val="26"/>
          <w:szCs w:val="26"/>
        </w:rPr>
        <w:t>% diplômés.</w:t>
      </w:r>
      <w:r w:rsidR="00AB105A" w:rsidRPr="00844ABD">
        <w:rPr>
          <w:rFonts w:ascii="Book Antiqua" w:hAnsi="Book Antiqua" w:cstheme="majorBidi"/>
          <w:noProof w:val="0"/>
          <w:sz w:val="26"/>
          <w:szCs w:val="26"/>
        </w:rPr>
        <w:t xml:space="preserve">  </w:t>
      </w:r>
    </w:p>
    <w:p w:rsidR="007B2185" w:rsidRDefault="007B2185" w:rsidP="006E711B">
      <w:pPr>
        <w:bidi w:val="0"/>
        <w:rPr>
          <w:rFonts w:ascii="Book Antiqua" w:hAnsi="Book Antiqua" w:cs="Times New Roman"/>
          <w:noProof w:val="0"/>
          <w:color w:val="0070C0"/>
          <w:sz w:val="28"/>
          <w:szCs w:val="28"/>
        </w:rPr>
      </w:pPr>
    </w:p>
    <w:p w:rsidR="007B2185" w:rsidRDefault="007B2185" w:rsidP="007B2185">
      <w:pPr>
        <w:bidi w:val="0"/>
        <w:rPr>
          <w:rFonts w:ascii="Book Antiqua" w:hAnsi="Book Antiqua" w:cs="Times New Roman"/>
          <w:noProof w:val="0"/>
          <w:color w:val="0070C0"/>
          <w:sz w:val="28"/>
          <w:szCs w:val="28"/>
        </w:rPr>
      </w:pPr>
    </w:p>
    <w:p w:rsidR="00DF3461" w:rsidRPr="00B818E2" w:rsidRDefault="00DF3461" w:rsidP="007B2185">
      <w:pPr>
        <w:bidi w:val="0"/>
        <w:rPr>
          <w:rFonts w:ascii="Book Antiqua" w:hAnsi="Book Antiqua" w:cs="Times New Roman"/>
          <w:noProof w:val="0"/>
          <w:color w:val="0070C0"/>
          <w:sz w:val="28"/>
          <w:szCs w:val="28"/>
        </w:rPr>
      </w:pPr>
      <w:r w:rsidRPr="00B818E2">
        <w:rPr>
          <w:rFonts w:ascii="Book Antiqua" w:hAnsi="Book Antiqua" w:cs="Times New Roman"/>
          <w:noProof w:val="0"/>
          <w:color w:val="0070C0"/>
          <w:sz w:val="28"/>
          <w:szCs w:val="28"/>
        </w:rPr>
        <w:lastRenderedPageBreak/>
        <w:t xml:space="preserve">Hausse du taux et du volume de la population active occupée en situation de sous emploi </w:t>
      </w:r>
    </w:p>
    <w:p w:rsidR="006E711B" w:rsidRPr="006E711B" w:rsidRDefault="006E711B" w:rsidP="006E711B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8"/>
          <w:szCs w:val="8"/>
        </w:rPr>
      </w:pPr>
    </w:p>
    <w:p w:rsidR="00DF3461" w:rsidRDefault="00DF3461" w:rsidP="00CE1369">
      <w:pPr>
        <w:autoSpaceDE w:val="0"/>
        <w:autoSpaceDN w:val="0"/>
        <w:bidi w:val="0"/>
        <w:adjustRightInd w:val="0"/>
        <w:spacing w:after="12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E50D50">
        <w:rPr>
          <w:rFonts w:ascii="Book Antiqua" w:hAnsi="Book Antiqua" w:cs="Times New Roman"/>
          <w:noProof w:val="0"/>
          <w:sz w:val="26"/>
          <w:szCs w:val="26"/>
        </w:rPr>
        <w:t xml:space="preserve">Le taux de sous emploi est passé de </w:t>
      </w:r>
      <w:r w:rsidR="006E711B">
        <w:rPr>
          <w:rFonts w:ascii="Book Antiqua" w:hAnsi="Book Antiqua" w:cs="Times New Roman"/>
          <w:noProof w:val="0"/>
          <w:sz w:val="26"/>
          <w:szCs w:val="26"/>
        </w:rPr>
        <w:t>9</w:t>
      </w:r>
      <w:r w:rsidRPr="00E50D50">
        <w:rPr>
          <w:rFonts w:ascii="Book Antiqua" w:hAnsi="Book Antiqua" w:cs="Times New Roman"/>
          <w:noProof w:val="0"/>
          <w:sz w:val="26"/>
          <w:szCs w:val="26"/>
        </w:rPr>
        <w:t xml:space="preserve">,8%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en </w:t>
      </w:r>
      <w:r w:rsidR="006E711B">
        <w:rPr>
          <w:rFonts w:ascii="Book Antiqua" w:hAnsi="Book Antiqua" w:cs="Times New Roman"/>
          <w:noProof w:val="0"/>
          <w:sz w:val="26"/>
          <w:szCs w:val="26"/>
        </w:rPr>
        <w:t>2017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E50D50">
        <w:rPr>
          <w:rFonts w:ascii="Book Antiqua" w:hAnsi="Book Antiqua" w:cs="Times New Roman"/>
          <w:noProof w:val="0"/>
          <w:sz w:val="26"/>
          <w:szCs w:val="26"/>
        </w:rPr>
        <w:t xml:space="preserve">à </w:t>
      </w:r>
      <w:r w:rsidR="006E711B">
        <w:rPr>
          <w:rFonts w:ascii="Book Antiqua" w:hAnsi="Book Antiqua" w:cs="Times New Roman"/>
          <w:noProof w:val="0"/>
          <w:sz w:val="26"/>
          <w:szCs w:val="26"/>
        </w:rPr>
        <w:t>10</w:t>
      </w:r>
      <w:r w:rsidRPr="00E50D50">
        <w:rPr>
          <w:rFonts w:ascii="Book Antiqua" w:hAnsi="Book Antiqua" w:cs="Times New Roman"/>
          <w:noProof w:val="0"/>
          <w:sz w:val="26"/>
          <w:szCs w:val="26"/>
        </w:rPr>
        <w:t xml:space="preserve">%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en </w:t>
      </w:r>
      <w:r w:rsidR="006E711B">
        <w:rPr>
          <w:rFonts w:ascii="Book Antiqua" w:hAnsi="Book Antiqua" w:cs="Times New Roman"/>
          <w:noProof w:val="0"/>
          <w:sz w:val="26"/>
          <w:szCs w:val="26"/>
        </w:rPr>
        <w:t>2018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E50D50">
        <w:rPr>
          <w:rFonts w:ascii="Book Antiqua" w:hAnsi="Book Antiqua" w:cs="Times New Roman"/>
          <w:noProof w:val="0"/>
          <w:sz w:val="26"/>
          <w:szCs w:val="26"/>
        </w:rPr>
        <w:t>au niveau national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322853">
        <w:rPr>
          <w:rFonts w:ascii="Book Antiqua" w:hAnsi="Book Antiqua" w:cs="Times New Roman"/>
          <w:noProof w:val="0"/>
          <w:sz w:val="26"/>
          <w:szCs w:val="26"/>
        </w:rPr>
        <w:t>L</w:t>
      </w:r>
      <w:r>
        <w:rPr>
          <w:rFonts w:ascii="Book Antiqua" w:hAnsi="Book Antiqua" w:cs="Times New Roman"/>
          <w:noProof w:val="0"/>
          <w:sz w:val="26"/>
          <w:szCs w:val="26"/>
        </w:rPr>
        <w:t>e nombre</w:t>
      </w:r>
      <w:r w:rsidRPr="00E50D50">
        <w:rPr>
          <w:rFonts w:ascii="Book Antiqua" w:hAnsi="Book Antiqua" w:cs="Times New Roman"/>
          <w:noProof w:val="0"/>
          <w:sz w:val="26"/>
          <w:szCs w:val="26"/>
        </w:rPr>
        <w:t xml:space="preserve"> des actifs occupés en situation de sous emploi est passé</w:t>
      </w:r>
      <w:r w:rsidR="00322853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Pr="00E50D50">
        <w:rPr>
          <w:rFonts w:ascii="Book Antiqua" w:hAnsi="Book Antiqua" w:cs="Times New Roman"/>
          <w:noProof w:val="0"/>
          <w:sz w:val="26"/>
          <w:szCs w:val="26"/>
        </w:rPr>
        <w:t>1.</w:t>
      </w:r>
      <w:r w:rsidR="006E711B">
        <w:rPr>
          <w:rFonts w:ascii="Book Antiqua" w:hAnsi="Book Antiqua" w:cs="Times New Roman"/>
          <w:noProof w:val="0"/>
          <w:sz w:val="26"/>
          <w:szCs w:val="26"/>
        </w:rPr>
        <w:t>057</w:t>
      </w:r>
      <w:r w:rsidRPr="00E50D50">
        <w:rPr>
          <w:rFonts w:ascii="Book Antiqua" w:hAnsi="Book Antiqua" w:cs="Times New Roman"/>
          <w:noProof w:val="0"/>
          <w:sz w:val="26"/>
          <w:szCs w:val="26"/>
        </w:rPr>
        <w:t>.000 à 1.</w:t>
      </w:r>
      <w:r w:rsidR="006E711B">
        <w:rPr>
          <w:rFonts w:ascii="Book Antiqua" w:hAnsi="Book Antiqua" w:cs="Times New Roman"/>
          <w:noProof w:val="0"/>
          <w:sz w:val="26"/>
          <w:szCs w:val="26"/>
        </w:rPr>
        <w:t>090</w:t>
      </w:r>
      <w:r w:rsidRPr="00E50D50">
        <w:rPr>
          <w:rFonts w:ascii="Book Antiqua" w:hAnsi="Book Antiqua" w:cs="Times New Roman"/>
          <w:noProof w:val="0"/>
          <w:sz w:val="26"/>
          <w:szCs w:val="26"/>
        </w:rPr>
        <w:t>.000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322853">
        <w:rPr>
          <w:rFonts w:ascii="Book Antiqua" w:hAnsi="Book Antiqua" w:cs="Times New Roman"/>
          <w:noProof w:val="0"/>
          <w:sz w:val="26"/>
          <w:szCs w:val="26"/>
        </w:rPr>
        <w:t>Dans les villes, et avec une légère augmentation de la population sous employée, passant de  550</w:t>
      </w:r>
      <w:r w:rsidR="00322853" w:rsidRPr="00687EE8">
        <w:rPr>
          <w:rFonts w:ascii="Book Antiqua" w:hAnsi="Book Antiqua" w:cs="Times New Roman"/>
          <w:noProof w:val="0"/>
          <w:sz w:val="26"/>
          <w:szCs w:val="26"/>
        </w:rPr>
        <w:t xml:space="preserve">.000 à </w:t>
      </w:r>
      <w:r w:rsidR="00322853">
        <w:rPr>
          <w:rFonts w:ascii="Book Antiqua" w:hAnsi="Book Antiqua" w:cs="Times New Roman"/>
          <w:noProof w:val="0"/>
          <w:sz w:val="26"/>
          <w:szCs w:val="26"/>
        </w:rPr>
        <w:t>558.000, l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e taux </w:t>
      </w:r>
      <w:r w:rsidR="00322853">
        <w:rPr>
          <w:rFonts w:ascii="Book Antiqua" w:hAnsi="Book Antiqua" w:cs="Times New Roman"/>
          <w:noProof w:val="0"/>
          <w:sz w:val="26"/>
          <w:szCs w:val="26"/>
        </w:rPr>
        <w:t xml:space="preserve">de sous emploi </w:t>
      </w:r>
      <w:r w:rsidR="006E711B">
        <w:rPr>
          <w:rFonts w:ascii="Book Antiqua" w:hAnsi="Book Antiqua" w:cs="Times New Roman"/>
          <w:noProof w:val="0"/>
          <w:sz w:val="26"/>
          <w:szCs w:val="26"/>
        </w:rPr>
        <w:t>a stagné à 9,4%</w:t>
      </w:r>
      <w:r w:rsidR="00322853">
        <w:rPr>
          <w:rFonts w:ascii="Book Antiqua" w:hAnsi="Book Antiqua" w:cs="Times New Roman"/>
          <w:noProof w:val="0"/>
          <w:sz w:val="26"/>
          <w:szCs w:val="26"/>
        </w:rPr>
        <w:t xml:space="preserve">. Dans </w:t>
      </w:r>
      <w:r w:rsidR="006E711B">
        <w:rPr>
          <w:rFonts w:ascii="Book Antiqua" w:hAnsi="Book Antiqua" w:cs="Times New Roman"/>
          <w:noProof w:val="0"/>
          <w:sz w:val="26"/>
          <w:szCs w:val="26"/>
        </w:rPr>
        <w:t xml:space="preserve">la </w:t>
      </w:r>
      <w:r w:rsidR="006E711B" w:rsidRPr="00687EE8">
        <w:rPr>
          <w:rFonts w:ascii="Book Antiqua" w:hAnsi="Book Antiqua" w:cs="Times New Roman"/>
          <w:noProof w:val="0"/>
          <w:sz w:val="26"/>
          <w:szCs w:val="26"/>
        </w:rPr>
        <w:t xml:space="preserve">campagne, </w:t>
      </w:r>
      <w:r w:rsidR="00322853">
        <w:rPr>
          <w:rFonts w:ascii="Book Antiqua" w:hAnsi="Book Antiqua" w:cs="Times New Roman"/>
          <w:noProof w:val="0"/>
          <w:sz w:val="26"/>
          <w:szCs w:val="26"/>
        </w:rPr>
        <w:t xml:space="preserve">ce taux est passé </w:t>
      </w:r>
      <w:r w:rsidR="00322853" w:rsidRPr="00687EE8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322853">
        <w:rPr>
          <w:rFonts w:ascii="Book Antiqua" w:hAnsi="Book Antiqua" w:cs="Times New Roman"/>
          <w:noProof w:val="0"/>
          <w:sz w:val="26"/>
          <w:szCs w:val="26"/>
        </w:rPr>
        <w:t>10</w:t>
      </w:r>
      <w:r w:rsidR="00322853" w:rsidRPr="00687EE8">
        <w:rPr>
          <w:rFonts w:ascii="Book Antiqua" w:hAnsi="Book Antiqua" w:cs="Times New Roman"/>
          <w:noProof w:val="0"/>
          <w:sz w:val="26"/>
          <w:szCs w:val="26"/>
        </w:rPr>
        <w:t>,</w:t>
      </w:r>
      <w:r w:rsidR="00322853">
        <w:rPr>
          <w:rFonts w:ascii="Book Antiqua" w:hAnsi="Book Antiqua" w:cs="Times New Roman"/>
          <w:noProof w:val="0"/>
          <w:sz w:val="26"/>
          <w:szCs w:val="26"/>
        </w:rPr>
        <w:t>3</w:t>
      </w:r>
      <w:r w:rsidR="00322853" w:rsidRPr="00687EE8">
        <w:rPr>
          <w:rFonts w:ascii="Book Antiqua" w:hAnsi="Book Antiqua" w:cs="Times New Roman"/>
          <w:noProof w:val="0"/>
          <w:sz w:val="26"/>
          <w:szCs w:val="26"/>
        </w:rPr>
        <w:t>% à 10,</w:t>
      </w:r>
      <w:r w:rsidR="00322853">
        <w:rPr>
          <w:rFonts w:ascii="Book Antiqua" w:hAnsi="Book Antiqua" w:cs="Times New Roman"/>
          <w:noProof w:val="0"/>
          <w:sz w:val="26"/>
          <w:szCs w:val="26"/>
        </w:rPr>
        <w:t>7</w:t>
      </w:r>
      <w:r w:rsidR="00322853" w:rsidRPr="00687EE8">
        <w:rPr>
          <w:rFonts w:ascii="Book Antiqua" w:hAnsi="Book Antiqua" w:cs="Times New Roman"/>
          <w:noProof w:val="0"/>
          <w:sz w:val="26"/>
          <w:szCs w:val="26"/>
        </w:rPr>
        <w:t xml:space="preserve">% </w:t>
      </w:r>
      <w:r w:rsidRPr="00687EE8">
        <w:rPr>
          <w:rFonts w:ascii="Book Antiqua" w:hAnsi="Book Antiqua" w:cs="Times New Roman"/>
          <w:noProof w:val="0"/>
          <w:sz w:val="26"/>
          <w:szCs w:val="26"/>
        </w:rPr>
        <w:t xml:space="preserve">et les effectifs de </w:t>
      </w:r>
      <w:r w:rsidR="006A2DC5">
        <w:rPr>
          <w:rFonts w:ascii="Book Antiqua" w:hAnsi="Book Antiqua" w:cs="Times New Roman"/>
          <w:noProof w:val="0"/>
          <w:sz w:val="26"/>
          <w:szCs w:val="26"/>
        </w:rPr>
        <w:t>507</w:t>
      </w:r>
      <w:r w:rsidRPr="00687EE8">
        <w:rPr>
          <w:rFonts w:ascii="Book Antiqua" w:hAnsi="Book Antiqua" w:cs="Times New Roman"/>
          <w:noProof w:val="0"/>
          <w:sz w:val="26"/>
          <w:szCs w:val="26"/>
        </w:rPr>
        <w:t xml:space="preserve">.000 à </w:t>
      </w:r>
      <w:r w:rsidR="006A2DC5">
        <w:rPr>
          <w:rFonts w:ascii="Book Antiqua" w:hAnsi="Book Antiqua" w:cs="Times New Roman"/>
          <w:noProof w:val="0"/>
          <w:sz w:val="26"/>
          <w:szCs w:val="26"/>
        </w:rPr>
        <w:t>532</w:t>
      </w:r>
      <w:r w:rsidRPr="00687EE8">
        <w:rPr>
          <w:rFonts w:ascii="Book Antiqua" w:hAnsi="Book Antiqua" w:cs="Times New Roman"/>
          <w:noProof w:val="0"/>
          <w:sz w:val="26"/>
          <w:szCs w:val="26"/>
        </w:rPr>
        <w:t>.000</w:t>
      </w:r>
      <w:r w:rsidR="00CE1369">
        <w:rPr>
          <w:rFonts w:ascii="Book Antiqua" w:hAnsi="Book Antiqua" w:cs="Times New Roman"/>
          <w:noProof w:val="0"/>
          <w:sz w:val="26"/>
          <w:szCs w:val="26"/>
        </w:rPr>
        <w:t xml:space="preserve"> personnes</w:t>
      </w:r>
      <w:r w:rsidRPr="00687EE8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DF3461" w:rsidRDefault="00DF3461" w:rsidP="00051D20">
      <w:pPr>
        <w:autoSpaceDE w:val="0"/>
        <w:autoSpaceDN w:val="0"/>
        <w:bidi w:val="0"/>
        <w:adjustRightInd w:val="0"/>
        <w:spacing w:line="276" w:lineRule="auto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0C2EE5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B818E2">
        <w:rPr>
          <w:rFonts w:ascii="Book Antiqua" w:hAnsi="Book Antiqua" w:cs="Times New Roman"/>
          <w:b/>
          <w:bCs/>
          <w:noProof w:val="0"/>
          <w:sz w:val="24"/>
          <w:szCs w:val="24"/>
        </w:rPr>
        <w:t>5</w:t>
      </w:r>
      <w:r w:rsidRPr="000C2EE5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 : </w:t>
      </w:r>
      <w:r w:rsidR="00B818E2"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Evolution du taux de </w:t>
      </w:r>
      <w:r w:rsidR="00B818E2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sous-emploi </w:t>
      </w:r>
      <w:r w:rsidR="00B818E2"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les </w:t>
      </w:r>
      <w:r w:rsidR="00B818E2">
        <w:rPr>
          <w:rFonts w:ascii="Book Antiqua" w:hAnsi="Book Antiqua" w:cs="Times New Roman"/>
          <w:b/>
          <w:bCs/>
          <w:noProof w:val="0"/>
          <w:sz w:val="24"/>
          <w:szCs w:val="24"/>
        </w:rPr>
        <w:t>premiers</w:t>
      </w:r>
      <w:r w:rsidR="00B818E2"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trimestres de </w:t>
      </w:r>
      <w:r w:rsidR="00B818E2">
        <w:rPr>
          <w:rFonts w:ascii="Book Antiqua" w:hAnsi="Book Antiqua" w:cs="Times New Roman"/>
          <w:b/>
          <w:bCs/>
          <w:noProof w:val="0"/>
          <w:sz w:val="24"/>
          <w:szCs w:val="24"/>
        </w:rPr>
        <w:t>2017</w:t>
      </w:r>
      <w:r w:rsidR="00B818E2"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B818E2">
        <w:rPr>
          <w:rFonts w:ascii="Book Antiqua" w:hAnsi="Book Antiqua" w:cs="Times New Roman"/>
          <w:b/>
          <w:bCs/>
          <w:noProof w:val="0"/>
          <w:sz w:val="24"/>
          <w:szCs w:val="24"/>
        </w:rPr>
        <w:t>2018</w:t>
      </w:r>
      <w:r w:rsidR="00B818E2"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par</w:t>
      </w:r>
      <w:r w:rsidR="00051D2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mi certaines catégories de la population </w:t>
      </w:r>
      <w:r w:rsidR="00B818E2"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(en %).</w:t>
      </w:r>
    </w:p>
    <w:p w:rsidR="00DF3461" w:rsidRPr="00B818E2" w:rsidRDefault="00DF3461" w:rsidP="00DF3461">
      <w:pPr>
        <w:autoSpaceDE w:val="0"/>
        <w:autoSpaceDN w:val="0"/>
        <w:bidi w:val="0"/>
        <w:adjustRightInd w:val="0"/>
        <w:spacing w:line="264" w:lineRule="auto"/>
        <w:jc w:val="center"/>
        <w:rPr>
          <w:rFonts w:asciiTheme="majorBidi" w:hAnsiTheme="majorBidi" w:cstheme="majorBidi"/>
          <w:sz w:val="8"/>
          <w:szCs w:val="8"/>
        </w:rPr>
      </w:pPr>
    </w:p>
    <w:p w:rsidR="00DF3461" w:rsidRPr="00AA1B50" w:rsidRDefault="00B818E2" w:rsidP="00DF3461">
      <w:pPr>
        <w:autoSpaceDE w:val="0"/>
        <w:autoSpaceDN w:val="0"/>
        <w:bidi w:val="0"/>
        <w:adjustRightInd w:val="0"/>
        <w:spacing w:line="264" w:lineRule="auto"/>
        <w:jc w:val="center"/>
        <w:rPr>
          <w:rFonts w:asciiTheme="majorBidi" w:hAnsiTheme="majorBidi" w:cstheme="majorBidi"/>
        </w:rPr>
      </w:pPr>
      <w:r w:rsidRPr="00B818E2">
        <w:rPr>
          <w:rFonts w:asciiTheme="majorBidi" w:hAnsiTheme="majorBidi" w:cstheme="majorBidi"/>
        </w:rPr>
        <w:drawing>
          <wp:inline distT="0" distB="0" distL="0" distR="0">
            <wp:extent cx="6210300" cy="2197100"/>
            <wp:effectExtent l="19050" t="0" r="1905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F3461" w:rsidRDefault="00DF3461" w:rsidP="00B818E2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>
        <w:rPr>
          <w:rFonts w:ascii="Book Antiqua" w:hAnsi="Book Antiqua" w:cstheme="majorBidi"/>
          <w:noProof w:val="0"/>
          <w:sz w:val="26"/>
          <w:szCs w:val="26"/>
        </w:rPr>
        <w:t>L</w:t>
      </w:r>
      <w:r w:rsidRPr="00EE0162">
        <w:rPr>
          <w:rFonts w:ascii="Book Antiqua" w:hAnsi="Book Antiqua" w:cstheme="majorBidi"/>
          <w:noProof w:val="0"/>
          <w:sz w:val="26"/>
          <w:szCs w:val="26"/>
        </w:rPr>
        <w:t xml:space="preserve">e sous emploi demeure </w:t>
      </w:r>
      <w:r>
        <w:rPr>
          <w:rFonts w:ascii="Book Antiqua" w:hAnsi="Book Antiqua" w:cstheme="majorBidi"/>
          <w:noProof w:val="0"/>
          <w:sz w:val="26"/>
          <w:szCs w:val="26"/>
        </w:rPr>
        <w:t xml:space="preserve">plus </w:t>
      </w:r>
      <w:r w:rsidRPr="00EE0162">
        <w:rPr>
          <w:rFonts w:ascii="Book Antiqua" w:hAnsi="Book Antiqua" w:cstheme="majorBidi"/>
          <w:noProof w:val="0"/>
          <w:sz w:val="26"/>
          <w:szCs w:val="26"/>
        </w:rPr>
        <w:t>répandu dans les secteurs des BTP</w:t>
      </w:r>
      <w:r>
        <w:rPr>
          <w:rFonts w:ascii="Book Antiqua" w:hAnsi="Book Antiqua" w:cstheme="majorBidi"/>
          <w:noProof w:val="0"/>
          <w:sz w:val="26"/>
          <w:szCs w:val="26"/>
        </w:rPr>
        <w:t xml:space="preserve">, où il a atteint le niveau de </w:t>
      </w:r>
      <w:r w:rsidR="00B818E2">
        <w:rPr>
          <w:rFonts w:ascii="Book Antiqua" w:hAnsi="Book Antiqua" w:cstheme="majorBidi"/>
          <w:noProof w:val="0"/>
          <w:sz w:val="26"/>
          <w:szCs w:val="26"/>
        </w:rPr>
        <w:t>16</w:t>
      </w:r>
      <w:r>
        <w:rPr>
          <w:rFonts w:ascii="Book Antiqua" w:hAnsi="Book Antiqua" w:cstheme="majorBidi"/>
          <w:noProof w:val="0"/>
          <w:sz w:val="26"/>
          <w:szCs w:val="26"/>
        </w:rPr>
        <w:t>,</w:t>
      </w:r>
      <w:r w:rsidR="00B818E2">
        <w:rPr>
          <w:rFonts w:ascii="Book Antiqua" w:hAnsi="Book Antiqua" w:cstheme="majorBidi"/>
          <w:noProof w:val="0"/>
          <w:sz w:val="26"/>
          <w:szCs w:val="26"/>
        </w:rPr>
        <w:t>1</w:t>
      </w:r>
      <w:r>
        <w:rPr>
          <w:rFonts w:ascii="Book Antiqua" w:hAnsi="Book Antiqua" w:cstheme="majorBidi"/>
          <w:noProof w:val="0"/>
          <w:sz w:val="26"/>
          <w:szCs w:val="26"/>
        </w:rPr>
        <w:t xml:space="preserve">%, </w:t>
      </w:r>
      <w:r w:rsidRPr="00EE0162">
        <w:rPr>
          <w:rFonts w:ascii="Book Antiqua" w:hAnsi="Book Antiqua" w:cstheme="majorBidi"/>
          <w:noProof w:val="0"/>
          <w:sz w:val="26"/>
          <w:szCs w:val="26"/>
        </w:rPr>
        <w:t>et de l’agriculture</w:t>
      </w:r>
      <w:r>
        <w:rPr>
          <w:rFonts w:ascii="Book Antiqua" w:hAnsi="Book Antiqua" w:cstheme="majorBidi"/>
          <w:noProof w:val="0"/>
          <w:sz w:val="26"/>
          <w:szCs w:val="26"/>
        </w:rPr>
        <w:t xml:space="preserve"> où il touche </w:t>
      </w:r>
      <w:r w:rsidR="00B818E2">
        <w:rPr>
          <w:rFonts w:ascii="Book Antiqua" w:hAnsi="Book Antiqua" w:cstheme="majorBidi"/>
          <w:noProof w:val="0"/>
          <w:sz w:val="26"/>
          <w:szCs w:val="26"/>
        </w:rPr>
        <w:t xml:space="preserve">environ le </w:t>
      </w:r>
      <w:r>
        <w:rPr>
          <w:rFonts w:ascii="Book Antiqua" w:hAnsi="Book Antiqua" w:cstheme="majorBidi"/>
          <w:noProof w:val="0"/>
          <w:sz w:val="26"/>
          <w:szCs w:val="26"/>
        </w:rPr>
        <w:t>dixième (</w:t>
      </w:r>
      <w:r w:rsidR="00B818E2">
        <w:rPr>
          <w:rFonts w:ascii="Book Antiqua" w:hAnsi="Book Antiqua" w:cstheme="majorBidi"/>
          <w:noProof w:val="0"/>
          <w:sz w:val="26"/>
          <w:szCs w:val="26"/>
        </w:rPr>
        <w:t>9</w:t>
      </w:r>
      <w:r>
        <w:rPr>
          <w:rFonts w:ascii="Book Antiqua" w:hAnsi="Book Antiqua" w:cstheme="majorBidi"/>
          <w:noProof w:val="0"/>
          <w:sz w:val="26"/>
          <w:szCs w:val="26"/>
        </w:rPr>
        <w:t>,</w:t>
      </w:r>
      <w:r w:rsidR="00B818E2">
        <w:rPr>
          <w:rFonts w:ascii="Book Antiqua" w:hAnsi="Book Antiqua" w:cstheme="majorBidi"/>
          <w:noProof w:val="0"/>
          <w:sz w:val="26"/>
          <w:szCs w:val="26"/>
        </w:rPr>
        <w:t>8</w:t>
      </w:r>
      <w:r>
        <w:rPr>
          <w:rFonts w:ascii="Book Antiqua" w:hAnsi="Book Antiqua" w:cstheme="majorBidi"/>
          <w:noProof w:val="0"/>
          <w:sz w:val="26"/>
          <w:szCs w:val="26"/>
        </w:rPr>
        <w:t>%) de la population active employée dans ce secteur.</w:t>
      </w:r>
    </w:p>
    <w:p w:rsidR="00DF3461" w:rsidRDefault="00DF3461" w:rsidP="00B818E2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0C2EE5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B818E2">
        <w:rPr>
          <w:rFonts w:ascii="Book Antiqua" w:hAnsi="Book Antiqua" w:cs="Times New Roman"/>
          <w:b/>
          <w:bCs/>
          <w:noProof w:val="0"/>
          <w:sz w:val="24"/>
          <w:szCs w:val="24"/>
        </w:rPr>
        <w:t>6</w:t>
      </w:r>
      <w:r w:rsidRPr="000C2EE5">
        <w:rPr>
          <w:rFonts w:ascii="Book Antiqua" w:hAnsi="Book Antiqua" w:cs="Times New Roman"/>
          <w:b/>
          <w:bCs/>
          <w:noProof w:val="0"/>
          <w:sz w:val="24"/>
          <w:szCs w:val="24"/>
        </w:rPr>
        <w:t> : Evolution du taux de sous-emploi par secteur d’activité économique (en%)</w:t>
      </w:r>
    </w:p>
    <w:p w:rsidR="00B818E2" w:rsidRPr="00B818E2" w:rsidRDefault="00B818E2" w:rsidP="00B818E2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B818E2" w:rsidRDefault="00B818E2" w:rsidP="00B818E2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B818E2">
        <w:rPr>
          <w:rFonts w:ascii="Book Antiqua" w:hAnsi="Book Antiqua" w:cs="Times New Roman"/>
          <w:b/>
          <w:bCs/>
          <w:sz w:val="24"/>
          <w:szCs w:val="24"/>
        </w:rPr>
        <w:drawing>
          <wp:inline distT="0" distB="0" distL="0" distR="0">
            <wp:extent cx="6191250" cy="2057400"/>
            <wp:effectExtent l="19050" t="0" r="19050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F3461" w:rsidRPr="007E0D33" w:rsidRDefault="00DF3461" w:rsidP="00DF3461">
      <w:pPr>
        <w:autoSpaceDE w:val="0"/>
        <w:autoSpaceDN w:val="0"/>
        <w:bidi w:val="0"/>
        <w:adjustRightInd w:val="0"/>
        <w:jc w:val="center"/>
        <w:rPr>
          <w:rFonts w:ascii="Book Antiqua" w:hAnsi="Book Antiqua" w:cstheme="majorBidi"/>
          <w:b/>
          <w:bCs/>
          <w:noProof w:val="0"/>
          <w:sz w:val="8"/>
          <w:szCs w:val="8"/>
        </w:rPr>
      </w:pPr>
    </w:p>
    <w:p w:rsidR="00546D44" w:rsidRDefault="00546D44" w:rsidP="007243C5">
      <w:pPr>
        <w:bidi w:val="0"/>
        <w:rPr>
          <w:rFonts w:ascii="Book Antiqua" w:hAnsi="Book Antiqua" w:cs="Times New Roman"/>
          <w:noProof w:val="0"/>
          <w:color w:val="0070C0"/>
          <w:sz w:val="28"/>
          <w:szCs w:val="28"/>
        </w:rPr>
      </w:pPr>
    </w:p>
    <w:p w:rsidR="00546D44" w:rsidRDefault="00546D44" w:rsidP="00546D44">
      <w:pPr>
        <w:bidi w:val="0"/>
        <w:rPr>
          <w:rFonts w:ascii="Book Antiqua" w:hAnsi="Book Antiqua" w:cs="Times New Roman"/>
          <w:noProof w:val="0"/>
          <w:color w:val="0070C0"/>
          <w:sz w:val="28"/>
          <w:szCs w:val="28"/>
        </w:rPr>
      </w:pPr>
    </w:p>
    <w:p w:rsidR="00546D44" w:rsidRDefault="00546D44" w:rsidP="00546D44">
      <w:pPr>
        <w:bidi w:val="0"/>
        <w:rPr>
          <w:rFonts w:ascii="Book Antiqua" w:hAnsi="Book Antiqua" w:cs="Times New Roman"/>
          <w:noProof w:val="0"/>
          <w:color w:val="0070C0"/>
          <w:sz w:val="28"/>
          <w:szCs w:val="28"/>
        </w:rPr>
      </w:pPr>
    </w:p>
    <w:p w:rsidR="00DF3461" w:rsidRDefault="00DF3461" w:rsidP="00546D44">
      <w:pPr>
        <w:bidi w:val="0"/>
        <w:rPr>
          <w:rFonts w:ascii="Book Antiqua" w:hAnsi="Book Antiqua" w:cs="Times New Roman"/>
          <w:noProof w:val="0"/>
          <w:color w:val="0070C0"/>
          <w:sz w:val="28"/>
          <w:szCs w:val="28"/>
        </w:rPr>
      </w:pPr>
      <w:r w:rsidRPr="007243C5">
        <w:rPr>
          <w:rFonts w:ascii="Book Antiqua" w:hAnsi="Book Antiqua" w:cs="Times New Roman"/>
          <w:noProof w:val="0"/>
          <w:color w:val="0070C0"/>
          <w:sz w:val="28"/>
          <w:szCs w:val="28"/>
        </w:rPr>
        <w:lastRenderedPageBreak/>
        <w:t>Profil des actifs occupés en situation de sous emploi</w:t>
      </w:r>
    </w:p>
    <w:p w:rsidR="007243C5" w:rsidRPr="007243C5" w:rsidRDefault="007243C5" w:rsidP="007243C5">
      <w:pPr>
        <w:bidi w:val="0"/>
        <w:rPr>
          <w:rFonts w:ascii="Book Antiqua" w:hAnsi="Book Antiqua" w:cs="Times New Roman"/>
          <w:noProof w:val="0"/>
          <w:color w:val="0070C0"/>
          <w:sz w:val="12"/>
          <w:szCs w:val="12"/>
        </w:rPr>
      </w:pPr>
    </w:p>
    <w:p w:rsidR="00DF3461" w:rsidRDefault="00DF3461" w:rsidP="007243C5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theme="majorBidi"/>
          <w:noProof w:val="0"/>
          <w:sz w:val="26"/>
          <w:szCs w:val="26"/>
        </w:rPr>
        <w:t>L</w:t>
      </w:r>
      <w:r w:rsidRPr="00E5087B">
        <w:rPr>
          <w:rFonts w:ascii="Book Antiqua" w:hAnsi="Book Antiqua" w:cstheme="majorBidi"/>
          <w:noProof w:val="0"/>
          <w:sz w:val="26"/>
          <w:szCs w:val="26"/>
        </w:rPr>
        <w:t>a population active occupée sous employée est en majorité (8</w:t>
      </w:r>
      <w:r w:rsidR="007243C5">
        <w:rPr>
          <w:rFonts w:ascii="Book Antiqua" w:hAnsi="Book Antiqua" w:cstheme="majorBidi"/>
          <w:noProof w:val="0"/>
          <w:sz w:val="26"/>
          <w:szCs w:val="26"/>
        </w:rPr>
        <w:t>7</w:t>
      </w:r>
      <w:r>
        <w:rPr>
          <w:rFonts w:ascii="Book Antiqua" w:hAnsi="Book Antiqua" w:cstheme="majorBidi"/>
          <w:noProof w:val="0"/>
          <w:sz w:val="26"/>
          <w:szCs w:val="26"/>
        </w:rPr>
        <w:t>,</w:t>
      </w:r>
      <w:r w:rsidR="007243C5">
        <w:rPr>
          <w:rFonts w:ascii="Book Antiqua" w:hAnsi="Book Antiqua" w:cstheme="majorBidi"/>
          <w:noProof w:val="0"/>
          <w:sz w:val="26"/>
          <w:szCs w:val="26"/>
        </w:rPr>
        <w:t>6</w:t>
      </w:r>
      <w:r w:rsidRPr="00E5087B">
        <w:rPr>
          <w:rFonts w:ascii="Book Antiqua" w:hAnsi="Book Antiqua" w:cstheme="majorBidi"/>
          <w:noProof w:val="0"/>
          <w:sz w:val="26"/>
          <w:szCs w:val="26"/>
        </w:rPr>
        <w:t xml:space="preserve">%) masculine, rurale à </w:t>
      </w:r>
      <w:r w:rsidR="007243C5">
        <w:rPr>
          <w:rFonts w:ascii="Book Antiqua" w:hAnsi="Book Antiqua" w:cs="Times New Roman"/>
          <w:noProof w:val="0"/>
          <w:sz w:val="26"/>
          <w:szCs w:val="26"/>
        </w:rPr>
        <w:t>48</w:t>
      </w:r>
      <w:r w:rsidRPr="00E5087B">
        <w:rPr>
          <w:rFonts w:ascii="Book Antiqua" w:hAnsi="Book Antiqua" w:cs="Times New Roman"/>
          <w:noProof w:val="0"/>
          <w:sz w:val="26"/>
          <w:szCs w:val="26"/>
        </w:rPr>
        <w:t>,</w:t>
      </w:r>
      <w:r w:rsidR="007243C5">
        <w:rPr>
          <w:rFonts w:ascii="Book Antiqua" w:hAnsi="Book Antiqua" w:cs="Times New Roman"/>
          <w:noProof w:val="0"/>
          <w:sz w:val="26"/>
          <w:szCs w:val="26"/>
        </w:rPr>
        <w:t>8</w:t>
      </w:r>
      <w:r w:rsidRPr="00E5087B">
        <w:rPr>
          <w:rFonts w:ascii="Book Antiqua" w:hAnsi="Book Antiqua" w:cs="Times New Roman"/>
          <w:noProof w:val="0"/>
          <w:sz w:val="26"/>
          <w:szCs w:val="26"/>
        </w:rPr>
        <w:t>% (5</w:t>
      </w:r>
      <w:r w:rsidR="007243C5">
        <w:rPr>
          <w:rFonts w:ascii="Book Antiqua" w:hAnsi="Book Antiqua" w:cs="Times New Roman"/>
          <w:noProof w:val="0"/>
          <w:sz w:val="26"/>
          <w:szCs w:val="26"/>
        </w:rPr>
        <w:t>3</w:t>
      </w:r>
      <w:r w:rsidRPr="00E5087B">
        <w:rPr>
          <w:rFonts w:ascii="Book Antiqua" w:hAnsi="Book Antiqua" w:cs="Times New Roman"/>
          <w:noProof w:val="0"/>
          <w:sz w:val="26"/>
          <w:szCs w:val="26"/>
        </w:rPr>
        <w:t>,</w:t>
      </w:r>
      <w:r w:rsidR="007243C5">
        <w:rPr>
          <w:rFonts w:ascii="Book Antiqua" w:hAnsi="Book Antiqua" w:cs="Times New Roman"/>
          <w:noProof w:val="0"/>
          <w:sz w:val="26"/>
          <w:szCs w:val="26"/>
        </w:rPr>
        <w:t>2</w:t>
      </w:r>
      <w:r w:rsidRPr="00E5087B">
        <w:rPr>
          <w:rFonts w:ascii="Book Antiqua" w:hAnsi="Book Antiqua" w:cs="Times New Roman"/>
          <w:noProof w:val="0"/>
          <w:sz w:val="26"/>
          <w:szCs w:val="26"/>
        </w:rPr>
        <w:t>%</w:t>
      </w:r>
      <w:r w:rsidRPr="00687EE8">
        <w:rPr>
          <w:rFonts w:ascii="Book Antiqua" w:hAnsi="Book Antiqua" w:cs="Times New Roman"/>
          <w:noProof w:val="0"/>
          <w:sz w:val="26"/>
          <w:szCs w:val="26"/>
        </w:rPr>
        <w:t xml:space="preserve"> parmi </w:t>
      </w:r>
      <w:r w:rsidRPr="00E5087B">
        <w:rPr>
          <w:rFonts w:ascii="Book Antiqua" w:hAnsi="Book Antiqua" w:cs="Times New Roman"/>
          <w:noProof w:val="0"/>
          <w:sz w:val="26"/>
          <w:szCs w:val="26"/>
        </w:rPr>
        <w:t xml:space="preserve">les hommes contre </w:t>
      </w:r>
      <w:r w:rsidR="007243C5">
        <w:rPr>
          <w:rFonts w:ascii="Book Antiqua" w:hAnsi="Book Antiqua" w:cs="Times New Roman"/>
          <w:noProof w:val="0"/>
          <w:sz w:val="26"/>
          <w:szCs w:val="26"/>
        </w:rPr>
        <w:t>18</w:t>
      </w:r>
      <w:r w:rsidRPr="00E5087B">
        <w:rPr>
          <w:rFonts w:ascii="Book Antiqua" w:hAnsi="Book Antiqua" w:cs="Times New Roman"/>
          <w:noProof w:val="0"/>
          <w:sz w:val="26"/>
          <w:szCs w:val="26"/>
        </w:rPr>
        <w:t xml:space="preserve">% </w:t>
      </w:r>
      <w:r w:rsidRPr="00687EE8">
        <w:rPr>
          <w:rFonts w:ascii="Book Antiqua" w:hAnsi="Book Antiqua" w:cs="Times New Roman"/>
          <w:noProof w:val="0"/>
          <w:sz w:val="26"/>
          <w:szCs w:val="26"/>
        </w:rPr>
        <w:t xml:space="preserve">parmi </w:t>
      </w:r>
      <w:r w:rsidRPr="00E5087B">
        <w:rPr>
          <w:rFonts w:ascii="Book Antiqua" w:hAnsi="Book Antiqua" w:cs="Times New Roman"/>
          <w:noProof w:val="0"/>
          <w:sz w:val="26"/>
          <w:szCs w:val="26"/>
        </w:rPr>
        <w:t>les femmes), jeune ne dépassant pas l’âge de 30 ans (15-29 ans) à 38,</w:t>
      </w:r>
      <w:r w:rsidR="007243C5">
        <w:rPr>
          <w:rFonts w:ascii="Book Antiqua" w:hAnsi="Book Antiqua" w:cs="Times New Roman"/>
          <w:noProof w:val="0"/>
          <w:sz w:val="26"/>
          <w:szCs w:val="26"/>
        </w:rPr>
        <w:t>1</w:t>
      </w:r>
      <w:r w:rsidRPr="00E5087B">
        <w:rPr>
          <w:rFonts w:ascii="Book Antiqua" w:hAnsi="Book Antiqua" w:cs="Times New Roman"/>
          <w:noProof w:val="0"/>
          <w:sz w:val="26"/>
          <w:szCs w:val="26"/>
        </w:rPr>
        <w:t>% (39%p</w:t>
      </w:r>
      <w:r>
        <w:rPr>
          <w:rFonts w:ascii="Book Antiqua" w:hAnsi="Book Antiqua" w:cs="Times New Roman"/>
          <w:noProof w:val="0"/>
          <w:sz w:val="26"/>
          <w:szCs w:val="26"/>
        </w:rPr>
        <w:t>armi les hommes et</w:t>
      </w:r>
      <w:r w:rsidRPr="00E5087B">
        <w:rPr>
          <w:rFonts w:ascii="Book Antiqua" w:hAnsi="Book Antiqua" w:cs="Times New Roman"/>
          <w:noProof w:val="0"/>
          <w:sz w:val="26"/>
          <w:szCs w:val="26"/>
        </w:rPr>
        <w:t xml:space="preserve"> 3</w:t>
      </w:r>
      <w:r w:rsidR="007243C5">
        <w:rPr>
          <w:rFonts w:ascii="Book Antiqua" w:hAnsi="Book Antiqua" w:cs="Times New Roman"/>
          <w:noProof w:val="0"/>
          <w:sz w:val="26"/>
          <w:szCs w:val="26"/>
        </w:rPr>
        <w:t>1</w:t>
      </w:r>
      <w:r w:rsidRPr="00E5087B">
        <w:rPr>
          <w:rFonts w:ascii="Book Antiqua" w:hAnsi="Book Antiqua" w:cs="Times New Roman"/>
          <w:noProof w:val="0"/>
          <w:sz w:val="26"/>
          <w:szCs w:val="26"/>
        </w:rPr>
        <w:t>,</w:t>
      </w:r>
      <w:r w:rsidR="007243C5">
        <w:rPr>
          <w:rFonts w:ascii="Book Antiqua" w:hAnsi="Book Antiqua" w:cs="Times New Roman"/>
          <w:noProof w:val="0"/>
          <w:sz w:val="26"/>
          <w:szCs w:val="26"/>
        </w:rPr>
        <w:t>3</w:t>
      </w:r>
      <w:r w:rsidRPr="00E5087B">
        <w:rPr>
          <w:rFonts w:ascii="Book Antiqua" w:hAnsi="Book Antiqua" w:cs="Times New Roman"/>
          <w:noProof w:val="0"/>
          <w:sz w:val="26"/>
          <w:szCs w:val="26"/>
        </w:rPr>
        <w:t>% p</w:t>
      </w:r>
      <w:r>
        <w:rPr>
          <w:rFonts w:ascii="Book Antiqua" w:hAnsi="Book Antiqua" w:cs="Times New Roman"/>
          <w:noProof w:val="0"/>
          <w:sz w:val="26"/>
          <w:szCs w:val="26"/>
        </w:rPr>
        <w:t>armi</w:t>
      </w:r>
      <w:r w:rsidRPr="00E5087B">
        <w:rPr>
          <w:rFonts w:ascii="Book Antiqua" w:hAnsi="Book Antiqua" w:cs="Times New Roman"/>
          <w:noProof w:val="0"/>
          <w:sz w:val="26"/>
          <w:szCs w:val="26"/>
        </w:rPr>
        <w:t xml:space="preserve"> les femmes)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et</w:t>
      </w:r>
      <w:r w:rsidRPr="00E5087B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E5087B">
        <w:rPr>
          <w:rFonts w:ascii="Book Antiqua" w:hAnsi="Book Antiqua" w:cstheme="majorBidi"/>
          <w:noProof w:val="0"/>
          <w:sz w:val="26"/>
          <w:szCs w:val="26"/>
        </w:rPr>
        <w:t xml:space="preserve">diplômée à </w:t>
      </w:r>
      <w:r w:rsidRPr="00E5087B">
        <w:rPr>
          <w:rFonts w:ascii="Book Antiqua" w:hAnsi="Book Antiqua" w:cs="Times New Roman"/>
          <w:noProof w:val="0"/>
          <w:sz w:val="26"/>
          <w:szCs w:val="26"/>
        </w:rPr>
        <w:t>4</w:t>
      </w:r>
      <w:r>
        <w:rPr>
          <w:rFonts w:ascii="Book Antiqua" w:hAnsi="Book Antiqua" w:cs="Times New Roman"/>
          <w:noProof w:val="0"/>
          <w:sz w:val="26"/>
          <w:szCs w:val="26"/>
        </w:rPr>
        <w:t>5</w:t>
      </w:r>
      <w:r w:rsidRPr="00E5087B">
        <w:rPr>
          <w:rFonts w:ascii="Book Antiqua" w:hAnsi="Book Antiqua" w:cs="Times New Roman"/>
          <w:noProof w:val="0"/>
          <w:sz w:val="26"/>
          <w:szCs w:val="26"/>
        </w:rPr>
        <w:t xml:space="preserve">% </w:t>
      </w:r>
      <w:r>
        <w:rPr>
          <w:rFonts w:ascii="Book Antiqua" w:hAnsi="Book Antiqua" w:cs="Times New Roman"/>
          <w:noProof w:val="0"/>
          <w:sz w:val="26"/>
          <w:szCs w:val="26"/>
        </w:rPr>
        <w:t>(</w:t>
      </w:r>
      <w:r w:rsidR="007243C5">
        <w:rPr>
          <w:rFonts w:ascii="Book Antiqua" w:hAnsi="Book Antiqua" w:cs="Times New Roman"/>
          <w:noProof w:val="0"/>
          <w:sz w:val="26"/>
          <w:szCs w:val="26"/>
        </w:rPr>
        <w:t>12</w:t>
      </w:r>
      <w:r w:rsidRPr="00E5087B">
        <w:rPr>
          <w:rFonts w:ascii="Book Antiqua" w:hAnsi="Book Antiqua" w:cs="Times New Roman"/>
          <w:noProof w:val="0"/>
          <w:sz w:val="26"/>
          <w:szCs w:val="26"/>
        </w:rPr>
        <w:t>,</w:t>
      </w:r>
      <w:r w:rsidR="007243C5">
        <w:rPr>
          <w:rFonts w:ascii="Book Antiqua" w:hAnsi="Book Antiqua" w:cs="Times New Roman"/>
          <w:noProof w:val="0"/>
          <w:sz w:val="26"/>
          <w:szCs w:val="26"/>
        </w:rPr>
        <w:t>2</w:t>
      </w:r>
      <w:r w:rsidRPr="00E5087B">
        <w:rPr>
          <w:rFonts w:ascii="Book Antiqua" w:hAnsi="Book Antiqua" w:cs="Times New Roman"/>
          <w:noProof w:val="0"/>
          <w:sz w:val="26"/>
          <w:szCs w:val="26"/>
        </w:rPr>
        <w:t>% détiennent un diplôme de niveau supérieur</w:t>
      </w:r>
      <w:r>
        <w:rPr>
          <w:rFonts w:ascii="Book Antiqua" w:hAnsi="Book Antiqua" w:cs="Times New Roman"/>
          <w:noProof w:val="0"/>
          <w:sz w:val="26"/>
          <w:szCs w:val="26"/>
        </w:rPr>
        <w:t>).</w:t>
      </w:r>
    </w:p>
    <w:p w:rsidR="00DF3461" w:rsidRDefault="00DF3461" w:rsidP="005452A5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Parmi</w:t>
      </w:r>
      <w:r w:rsidRPr="00687EE8">
        <w:rPr>
          <w:rFonts w:ascii="Book Antiqua" w:hAnsi="Book Antiqua" w:cs="Times New Roman"/>
          <w:noProof w:val="0"/>
          <w:sz w:val="26"/>
          <w:szCs w:val="26"/>
        </w:rPr>
        <w:t xml:space="preserve"> les 1.</w:t>
      </w:r>
      <w:r w:rsidR="00EE68E2">
        <w:rPr>
          <w:rFonts w:ascii="Book Antiqua" w:hAnsi="Book Antiqua" w:cs="Times New Roman"/>
          <w:noProof w:val="0"/>
          <w:sz w:val="26"/>
          <w:szCs w:val="26"/>
        </w:rPr>
        <w:t>090</w:t>
      </w:r>
      <w:r w:rsidRPr="00687EE8">
        <w:rPr>
          <w:rFonts w:ascii="Book Antiqua" w:hAnsi="Book Antiqua" w:cs="Times New Roman"/>
          <w:noProof w:val="0"/>
          <w:sz w:val="26"/>
          <w:szCs w:val="26"/>
        </w:rPr>
        <w:t xml:space="preserve">.000 personnes en situation de sous emploi, </w:t>
      </w:r>
      <w:r w:rsidR="00D201FA">
        <w:rPr>
          <w:rFonts w:ascii="Book Antiqua" w:hAnsi="Book Antiqua" w:cs="Times New Roman"/>
          <w:noProof w:val="0"/>
          <w:sz w:val="26"/>
          <w:szCs w:val="26"/>
        </w:rPr>
        <w:t>888</w:t>
      </w:r>
      <w:r w:rsidRPr="00687EE8">
        <w:rPr>
          <w:rFonts w:ascii="Book Antiqua" w:hAnsi="Book Antiqua" w:cs="Times New Roman"/>
          <w:noProof w:val="0"/>
          <w:sz w:val="26"/>
          <w:szCs w:val="26"/>
        </w:rPr>
        <w:t>.000 (soit 81,</w:t>
      </w:r>
      <w:r w:rsidR="00D201FA">
        <w:rPr>
          <w:rFonts w:ascii="Book Antiqua" w:hAnsi="Book Antiqua" w:cs="Times New Roman"/>
          <w:noProof w:val="0"/>
          <w:sz w:val="26"/>
          <w:szCs w:val="26"/>
        </w:rPr>
        <w:t>5</w:t>
      </w:r>
      <w:r w:rsidRPr="00687EE8">
        <w:rPr>
          <w:rFonts w:ascii="Book Antiqua" w:hAnsi="Book Antiqua" w:cs="Times New Roman"/>
          <w:noProof w:val="0"/>
          <w:sz w:val="26"/>
          <w:szCs w:val="26"/>
        </w:rPr>
        <w:t>%) exercent un emploi rémunéré (</w:t>
      </w:r>
      <w:r w:rsidR="00D201FA">
        <w:rPr>
          <w:rFonts w:ascii="Book Antiqua" w:hAnsi="Book Antiqua" w:cs="Times New Roman"/>
          <w:noProof w:val="0"/>
          <w:sz w:val="26"/>
          <w:szCs w:val="26"/>
        </w:rPr>
        <w:t>79</w:t>
      </w:r>
      <w:r w:rsidRPr="00687EE8">
        <w:rPr>
          <w:rFonts w:ascii="Book Antiqua" w:hAnsi="Book Antiqua" w:cs="Times New Roman"/>
          <w:noProof w:val="0"/>
          <w:sz w:val="26"/>
          <w:szCs w:val="26"/>
        </w:rPr>
        <w:t>,</w:t>
      </w:r>
      <w:r w:rsidR="00D201FA">
        <w:rPr>
          <w:rFonts w:ascii="Book Antiqua" w:hAnsi="Book Antiqua" w:cs="Times New Roman"/>
          <w:noProof w:val="0"/>
          <w:sz w:val="26"/>
          <w:szCs w:val="26"/>
        </w:rPr>
        <w:t>8</w:t>
      </w:r>
      <w:r w:rsidRPr="00687EE8">
        <w:rPr>
          <w:rFonts w:ascii="Book Antiqua" w:hAnsi="Book Antiqua" w:cs="Times New Roman"/>
          <w:noProof w:val="0"/>
          <w:sz w:val="26"/>
          <w:szCs w:val="26"/>
        </w:rPr>
        <w:t xml:space="preserve">%parmi les hommes et </w:t>
      </w:r>
      <w:r w:rsidR="00D201FA">
        <w:rPr>
          <w:rFonts w:ascii="Book Antiqua" w:hAnsi="Book Antiqua" w:cs="Times New Roman"/>
          <w:noProof w:val="0"/>
          <w:sz w:val="26"/>
          <w:szCs w:val="26"/>
        </w:rPr>
        <w:t>93</w:t>
      </w:r>
      <w:r w:rsidRPr="00687EE8">
        <w:rPr>
          <w:rFonts w:ascii="Book Antiqua" w:hAnsi="Book Antiqua" w:cs="Times New Roman"/>
          <w:noProof w:val="0"/>
          <w:sz w:val="26"/>
          <w:szCs w:val="26"/>
        </w:rPr>
        <w:t>,</w:t>
      </w:r>
      <w:r w:rsidR="00D201FA">
        <w:rPr>
          <w:rFonts w:ascii="Book Antiqua" w:hAnsi="Book Antiqua" w:cs="Times New Roman"/>
          <w:noProof w:val="0"/>
          <w:sz w:val="26"/>
          <w:szCs w:val="26"/>
        </w:rPr>
        <w:t>7</w:t>
      </w:r>
      <w:r w:rsidRPr="00687EE8">
        <w:rPr>
          <w:rFonts w:ascii="Book Antiqua" w:hAnsi="Book Antiqua" w:cs="Times New Roman"/>
          <w:noProof w:val="0"/>
          <w:sz w:val="26"/>
          <w:szCs w:val="26"/>
        </w:rPr>
        <w:t xml:space="preserve">% parmi les femmes), et </w:t>
      </w:r>
      <w:r w:rsidR="00D201FA">
        <w:rPr>
          <w:rFonts w:ascii="Book Antiqua" w:hAnsi="Book Antiqua" w:cs="Times New Roman"/>
          <w:noProof w:val="0"/>
          <w:sz w:val="26"/>
          <w:szCs w:val="26"/>
        </w:rPr>
        <w:t>713</w:t>
      </w:r>
      <w:r w:rsidRPr="00687EE8">
        <w:rPr>
          <w:rFonts w:ascii="Book Antiqua" w:hAnsi="Book Antiqua" w:cs="Times New Roman"/>
          <w:noProof w:val="0"/>
          <w:sz w:val="26"/>
          <w:szCs w:val="26"/>
        </w:rPr>
        <w:t xml:space="preserve">.000 (soit </w:t>
      </w:r>
      <w:r w:rsidR="00D201FA">
        <w:rPr>
          <w:rFonts w:ascii="Book Antiqua" w:hAnsi="Book Antiqua" w:cs="Times New Roman"/>
          <w:noProof w:val="0"/>
          <w:sz w:val="26"/>
          <w:szCs w:val="26"/>
        </w:rPr>
        <w:t>65</w:t>
      </w:r>
      <w:r w:rsidRPr="00687EE8">
        <w:rPr>
          <w:rFonts w:ascii="Book Antiqua" w:hAnsi="Book Antiqua" w:cs="Times New Roman"/>
          <w:noProof w:val="0"/>
          <w:sz w:val="26"/>
          <w:szCs w:val="26"/>
        </w:rPr>
        <w:t>,</w:t>
      </w:r>
      <w:r w:rsidR="00D201FA">
        <w:rPr>
          <w:rFonts w:ascii="Book Antiqua" w:hAnsi="Book Antiqua" w:cs="Times New Roman"/>
          <w:noProof w:val="0"/>
          <w:sz w:val="26"/>
          <w:szCs w:val="26"/>
        </w:rPr>
        <w:t>4</w:t>
      </w:r>
      <w:r w:rsidRPr="00687EE8">
        <w:rPr>
          <w:rFonts w:ascii="Book Antiqua" w:hAnsi="Book Antiqua" w:cs="Times New Roman"/>
          <w:noProof w:val="0"/>
          <w:sz w:val="26"/>
          <w:szCs w:val="26"/>
        </w:rPr>
        <w:t>%) pâtissent d’un sous emploi lié à l’insuffisance du revenu tiré de leur travail ou à l’inadéquation entre la formation et l’emploi</w:t>
      </w:r>
      <w:r w:rsidRPr="00687EE8">
        <w:rPr>
          <w:rFonts w:ascii="Book Antiqua" w:hAnsi="Book Antiqua" w:cs="Times New Roman"/>
          <w:b/>
          <w:bCs/>
          <w:noProof w:val="0"/>
          <w:sz w:val="26"/>
          <w:szCs w:val="26"/>
          <w:vertAlign w:val="superscript"/>
        </w:rPr>
        <w:t>(</w:t>
      </w:r>
      <w:r w:rsidRPr="00687EE8">
        <w:rPr>
          <w:rStyle w:val="Appelnotedebasdep"/>
          <w:rFonts w:ascii="Book Antiqua" w:hAnsi="Book Antiqua" w:cs="Times New Roman"/>
          <w:b/>
          <w:bCs/>
          <w:noProof w:val="0"/>
          <w:sz w:val="26"/>
          <w:szCs w:val="26"/>
        </w:rPr>
        <w:footnoteReference w:id="4"/>
      </w:r>
      <w:r w:rsidRPr="00687EE8">
        <w:rPr>
          <w:rFonts w:ascii="Book Antiqua" w:hAnsi="Book Antiqua" w:cs="Times New Roman"/>
          <w:b/>
          <w:bCs/>
          <w:noProof w:val="0"/>
          <w:sz w:val="26"/>
          <w:szCs w:val="26"/>
          <w:vertAlign w:val="superscript"/>
        </w:rPr>
        <w:t xml:space="preserve">) </w:t>
      </w:r>
      <w:r w:rsidRPr="00687EE8">
        <w:rPr>
          <w:rFonts w:ascii="Book Antiqua" w:hAnsi="Book Antiqua" w:cs="Times New Roman"/>
          <w:noProof w:val="0"/>
          <w:sz w:val="26"/>
          <w:szCs w:val="26"/>
        </w:rPr>
        <w:t>(</w:t>
      </w:r>
      <w:r w:rsidR="00D201FA">
        <w:rPr>
          <w:rFonts w:ascii="Book Antiqua" w:hAnsi="Book Antiqua" w:cs="Times New Roman"/>
          <w:noProof w:val="0"/>
          <w:sz w:val="26"/>
          <w:szCs w:val="26"/>
        </w:rPr>
        <w:t>66</w:t>
      </w:r>
      <w:r>
        <w:rPr>
          <w:rFonts w:ascii="Book Antiqua" w:hAnsi="Book Antiqua" w:cs="Times New Roman"/>
          <w:noProof w:val="0"/>
          <w:sz w:val="26"/>
          <w:szCs w:val="26"/>
        </w:rPr>
        <w:t>,</w:t>
      </w:r>
      <w:r w:rsidR="00D201FA">
        <w:rPr>
          <w:rFonts w:ascii="Book Antiqua" w:hAnsi="Book Antiqua" w:cs="Times New Roman"/>
          <w:noProof w:val="0"/>
          <w:sz w:val="26"/>
          <w:szCs w:val="26"/>
        </w:rPr>
        <w:t>8</w:t>
      </w:r>
      <w:r w:rsidRPr="00687EE8">
        <w:rPr>
          <w:rFonts w:ascii="Book Antiqua" w:hAnsi="Book Antiqua" w:cs="Times New Roman"/>
          <w:noProof w:val="0"/>
          <w:sz w:val="26"/>
          <w:szCs w:val="26"/>
        </w:rPr>
        <w:t>%parmi les hommes et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D201FA">
        <w:rPr>
          <w:rFonts w:ascii="Book Antiqua" w:hAnsi="Book Antiqua" w:cs="Times New Roman"/>
          <w:noProof w:val="0"/>
          <w:sz w:val="26"/>
          <w:szCs w:val="26"/>
        </w:rPr>
        <w:t>55</w:t>
      </w:r>
      <w:r w:rsidRPr="00687EE8">
        <w:rPr>
          <w:rFonts w:ascii="Book Antiqua" w:hAnsi="Book Antiqua" w:cs="Times New Roman"/>
          <w:noProof w:val="0"/>
          <w:sz w:val="26"/>
          <w:szCs w:val="26"/>
        </w:rPr>
        <w:t>,</w:t>
      </w:r>
      <w:r w:rsidR="00D201FA">
        <w:rPr>
          <w:rFonts w:ascii="Book Antiqua" w:hAnsi="Book Antiqua" w:cs="Times New Roman"/>
          <w:noProof w:val="0"/>
          <w:sz w:val="26"/>
          <w:szCs w:val="26"/>
        </w:rPr>
        <w:t>6</w:t>
      </w:r>
      <w:r w:rsidRPr="00687EE8">
        <w:rPr>
          <w:rFonts w:ascii="Book Antiqua" w:hAnsi="Book Antiqua" w:cs="Times New Roman"/>
          <w:noProof w:val="0"/>
          <w:sz w:val="26"/>
          <w:szCs w:val="26"/>
        </w:rPr>
        <w:t>% parmi les femmes).</w:t>
      </w:r>
    </w:p>
    <w:p w:rsidR="008E381E" w:rsidRPr="001F4CEA" w:rsidRDefault="00111BF9" w:rsidP="007B49D5">
      <w:pPr>
        <w:bidi w:val="0"/>
        <w:rPr>
          <w:rFonts w:ascii="Book Antiqua" w:hAnsi="Book Antiqua" w:cs="Times New Roman"/>
          <w:noProof w:val="0"/>
          <w:color w:val="0070C0"/>
          <w:sz w:val="28"/>
          <w:szCs w:val="28"/>
        </w:rPr>
      </w:pPr>
      <w:r w:rsidRPr="001F4CEA">
        <w:rPr>
          <w:rFonts w:ascii="Book Antiqua" w:hAnsi="Book Antiqua" w:cs="Times New Roman"/>
          <w:noProof w:val="0"/>
          <w:color w:val="0070C0"/>
          <w:sz w:val="28"/>
          <w:szCs w:val="28"/>
        </w:rPr>
        <w:t>Disparités régionales en matière d’activité et de sous utilisation de la main d’œuvre</w:t>
      </w:r>
      <w:r w:rsidR="00523DAD" w:rsidRPr="007B49D5">
        <w:rPr>
          <w:b/>
          <w:bCs/>
          <w:color w:val="0070C0"/>
          <w:sz w:val="28"/>
          <w:szCs w:val="28"/>
          <w:vertAlign w:val="superscript"/>
        </w:rPr>
        <w:footnoteReference w:id="5"/>
      </w:r>
    </w:p>
    <w:p w:rsidR="007A12CA" w:rsidRDefault="00111BF9" w:rsidP="00E40D23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S</w:t>
      </w:r>
      <w:r w:rsidR="007A12CA" w:rsidRPr="008E381E">
        <w:rPr>
          <w:rFonts w:ascii="Book Antiqua" w:hAnsi="Book Antiqua" w:cs="Times New Roman"/>
          <w:noProof w:val="0"/>
          <w:sz w:val="26"/>
          <w:szCs w:val="26"/>
        </w:rPr>
        <w:t xml:space="preserve">ix régions du Royaume </w:t>
      </w:r>
      <w:r w:rsidR="007A12CA">
        <w:rPr>
          <w:rFonts w:ascii="Book Antiqua" w:hAnsi="Book Antiqua" w:cs="Times New Roman"/>
          <w:noProof w:val="0"/>
          <w:sz w:val="26"/>
          <w:szCs w:val="26"/>
        </w:rPr>
        <w:t xml:space="preserve">abritent </w:t>
      </w:r>
      <w:r w:rsidR="007A12CA" w:rsidRPr="008E381E">
        <w:rPr>
          <w:rFonts w:ascii="Book Antiqua" w:hAnsi="Book Antiqua" w:cs="Times New Roman"/>
          <w:noProof w:val="0"/>
          <w:sz w:val="26"/>
          <w:szCs w:val="26"/>
        </w:rPr>
        <w:t>e</w:t>
      </w:r>
      <w:r w:rsidR="007A12CA">
        <w:rPr>
          <w:rFonts w:ascii="Book Antiqua" w:hAnsi="Book Antiqua" w:cs="Times New Roman"/>
          <w:noProof w:val="0"/>
          <w:sz w:val="26"/>
          <w:szCs w:val="26"/>
        </w:rPr>
        <w:t xml:space="preserve">nviron </w:t>
      </w:r>
      <w:r w:rsidR="007B2185">
        <w:rPr>
          <w:rFonts w:ascii="Book Antiqua" w:hAnsi="Book Antiqua" w:cs="Times New Roman"/>
          <w:noProof w:val="0"/>
          <w:sz w:val="26"/>
          <w:szCs w:val="26"/>
        </w:rPr>
        <w:t>80% de</w:t>
      </w:r>
      <w:r w:rsidR="003A24E1">
        <w:rPr>
          <w:rFonts w:ascii="Book Antiqua" w:hAnsi="Book Antiqua" w:cs="Times New Roman"/>
          <w:noProof w:val="0"/>
          <w:sz w:val="26"/>
          <w:szCs w:val="26"/>
        </w:rPr>
        <w:t xml:space="preserve"> l’ensemble de</w:t>
      </w:r>
      <w:r w:rsidR="007B2185">
        <w:rPr>
          <w:rFonts w:ascii="Book Antiqua" w:hAnsi="Book Antiqua" w:cs="Times New Roman"/>
          <w:noProof w:val="0"/>
          <w:sz w:val="26"/>
          <w:szCs w:val="26"/>
        </w:rPr>
        <w:t xml:space="preserve">s </w:t>
      </w:r>
      <w:r w:rsidR="007A12CA">
        <w:rPr>
          <w:rFonts w:ascii="Book Antiqua" w:hAnsi="Book Antiqua" w:cs="Times New Roman"/>
          <w:noProof w:val="0"/>
          <w:sz w:val="26"/>
          <w:szCs w:val="26"/>
        </w:rPr>
        <w:t>actifs</w:t>
      </w:r>
      <w:r w:rsidR="007A12CA" w:rsidRPr="008E381E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7B2185">
        <w:rPr>
          <w:rFonts w:ascii="Book Antiqua" w:hAnsi="Book Antiqua" w:cs="Times New Roman"/>
          <w:noProof w:val="0"/>
          <w:sz w:val="26"/>
          <w:szCs w:val="26"/>
        </w:rPr>
        <w:t xml:space="preserve">âgés de 15 ans et plus </w:t>
      </w:r>
      <w:r w:rsidR="00233C4D">
        <w:rPr>
          <w:rFonts w:ascii="Book Antiqua" w:hAnsi="Book Antiqua" w:cs="Times New Roman"/>
          <w:noProof w:val="0"/>
          <w:sz w:val="26"/>
          <w:szCs w:val="26"/>
        </w:rPr>
        <w:t>sur le territoire national</w:t>
      </w:r>
      <w:r w:rsidR="007A12CA" w:rsidRPr="008E381E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7A12CA">
        <w:rPr>
          <w:rFonts w:ascii="Book Antiqua" w:hAnsi="Book Antiqua" w:cs="Times New Roman"/>
          <w:noProof w:val="0"/>
          <w:sz w:val="26"/>
          <w:szCs w:val="26"/>
        </w:rPr>
        <w:t>E</w:t>
      </w:r>
      <w:r w:rsidR="007A12CA" w:rsidRPr="008E381E">
        <w:rPr>
          <w:rFonts w:ascii="Book Antiqua" w:hAnsi="Book Antiqua" w:cs="Times New Roman"/>
          <w:noProof w:val="0"/>
          <w:sz w:val="26"/>
          <w:szCs w:val="26"/>
        </w:rPr>
        <w:t>n  premi</w:t>
      </w:r>
      <w:r>
        <w:rPr>
          <w:rFonts w:ascii="Book Antiqua" w:hAnsi="Book Antiqua" w:cs="Times New Roman"/>
          <w:noProof w:val="0"/>
          <w:sz w:val="26"/>
          <w:szCs w:val="26"/>
        </w:rPr>
        <w:t>e</w:t>
      </w:r>
      <w:r w:rsidR="007A12CA" w:rsidRPr="008E381E">
        <w:rPr>
          <w:rFonts w:ascii="Book Antiqua" w:hAnsi="Book Antiqua" w:cs="Times New Roman"/>
          <w:noProof w:val="0"/>
          <w:sz w:val="26"/>
          <w:szCs w:val="26"/>
        </w:rPr>
        <w:t xml:space="preserve">r  </w:t>
      </w:r>
      <w:r>
        <w:rPr>
          <w:rFonts w:ascii="Book Antiqua" w:hAnsi="Book Antiqua" w:cs="Times New Roman"/>
          <w:noProof w:val="0"/>
          <w:sz w:val="26"/>
          <w:szCs w:val="26"/>
        </w:rPr>
        <w:t>lieu</w:t>
      </w:r>
      <w:r w:rsidR="007A12CA" w:rsidRPr="008E381E">
        <w:rPr>
          <w:rFonts w:ascii="Book Antiqua" w:hAnsi="Book Antiqua" w:cs="Times New Roman"/>
          <w:noProof w:val="0"/>
          <w:sz w:val="26"/>
          <w:szCs w:val="26"/>
        </w:rPr>
        <w:t xml:space="preserve">  vient  </w:t>
      </w:r>
      <w:r w:rsidR="007A12CA">
        <w:rPr>
          <w:rFonts w:ascii="Book Antiqua" w:hAnsi="Book Antiqua" w:cs="Times New Roman"/>
          <w:noProof w:val="0"/>
          <w:sz w:val="26"/>
          <w:szCs w:val="26"/>
        </w:rPr>
        <w:t>l</w:t>
      </w:r>
      <w:r w:rsidR="007A12CA" w:rsidRPr="008E381E">
        <w:rPr>
          <w:rFonts w:ascii="Book Antiqua" w:hAnsi="Book Antiqua" w:cs="Times New Roman"/>
          <w:noProof w:val="0"/>
          <w:sz w:val="26"/>
          <w:szCs w:val="26"/>
        </w:rPr>
        <w:t xml:space="preserve">a  région  de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7A12CA" w:rsidRPr="008E381E">
        <w:rPr>
          <w:rFonts w:ascii="Book Antiqua" w:hAnsi="Book Antiqua" w:cs="Times New Roman"/>
          <w:noProof w:val="0"/>
          <w:sz w:val="26"/>
          <w:szCs w:val="26"/>
        </w:rPr>
        <w:t xml:space="preserve">Casablanca-Settat avec </w:t>
      </w:r>
      <w:r w:rsidR="007A12CA">
        <w:rPr>
          <w:rFonts w:ascii="Book Antiqua" w:hAnsi="Book Antiqua" w:cs="Times New Roman"/>
          <w:noProof w:val="0"/>
          <w:sz w:val="26"/>
          <w:szCs w:val="26"/>
        </w:rPr>
        <w:t>22</w:t>
      </w:r>
      <w:r w:rsidR="007A12CA" w:rsidRPr="008E381E">
        <w:rPr>
          <w:rFonts w:ascii="Book Antiqua" w:hAnsi="Book Antiqua" w:cs="Times New Roman"/>
          <w:noProof w:val="0"/>
          <w:sz w:val="26"/>
          <w:szCs w:val="26"/>
        </w:rPr>
        <w:t>,</w:t>
      </w:r>
      <w:r w:rsidR="007A12CA">
        <w:rPr>
          <w:rFonts w:ascii="Book Antiqua" w:hAnsi="Book Antiqua" w:cs="Times New Roman"/>
          <w:noProof w:val="0"/>
          <w:sz w:val="26"/>
          <w:szCs w:val="26"/>
        </w:rPr>
        <w:t>8</w:t>
      </w:r>
      <w:r w:rsidR="007A12CA" w:rsidRPr="008E381E">
        <w:rPr>
          <w:rFonts w:ascii="Book Antiqua" w:hAnsi="Book Antiqua" w:cs="Times New Roman"/>
          <w:noProof w:val="0"/>
          <w:sz w:val="26"/>
          <w:szCs w:val="26"/>
        </w:rPr>
        <w:t>%</w:t>
      </w:r>
      <w:r w:rsidR="00233C4D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>
        <w:rPr>
          <w:rFonts w:ascii="Book Antiqua" w:hAnsi="Book Antiqua" w:cs="Times New Roman"/>
          <w:noProof w:val="0"/>
          <w:sz w:val="26"/>
          <w:szCs w:val="26"/>
        </w:rPr>
        <w:t>d</w:t>
      </w:r>
      <w:r w:rsidR="00E40D23">
        <w:rPr>
          <w:rFonts w:ascii="Book Antiqua" w:hAnsi="Book Antiqua" w:cs="Times New Roman"/>
          <w:noProof w:val="0"/>
          <w:sz w:val="26"/>
          <w:szCs w:val="26"/>
        </w:rPr>
        <w:t>’</w:t>
      </w:r>
      <w:r>
        <w:rPr>
          <w:rFonts w:ascii="Book Antiqua" w:hAnsi="Book Antiqua" w:cs="Times New Roman"/>
          <w:noProof w:val="0"/>
          <w:sz w:val="26"/>
          <w:szCs w:val="26"/>
        </w:rPr>
        <w:t>a</w:t>
      </w:r>
      <w:r w:rsidR="00233C4D">
        <w:rPr>
          <w:rFonts w:ascii="Book Antiqua" w:hAnsi="Book Antiqua" w:cs="Times New Roman"/>
          <w:noProof w:val="0"/>
          <w:sz w:val="26"/>
          <w:szCs w:val="26"/>
        </w:rPr>
        <w:t>ctifs</w:t>
      </w:r>
      <w:r w:rsidR="007A12CA" w:rsidRPr="008E381E">
        <w:rPr>
          <w:rFonts w:ascii="Book Antiqua" w:hAnsi="Book Antiqua" w:cs="Times New Roman"/>
          <w:noProof w:val="0"/>
          <w:sz w:val="26"/>
          <w:szCs w:val="26"/>
        </w:rPr>
        <w:t>, suivie de Rabat-Salé-Kénitra (</w:t>
      </w:r>
      <w:r w:rsidR="007A12CA">
        <w:rPr>
          <w:rFonts w:ascii="Book Antiqua" w:hAnsi="Book Antiqua" w:cs="Times New Roman"/>
          <w:noProof w:val="0"/>
          <w:sz w:val="26"/>
          <w:szCs w:val="26"/>
        </w:rPr>
        <w:t>13,7</w:t>
      </w:r>
      <w:r w:rsidR="007A12CA" w:rsidRPr="008E381E">
        <w:rPr>
          <w:rFonts w:ascii="Book Antiqua" w:hAnsi="Book Antiqua" w:cs="Times New Roman"/>
          <w:noProof w:val="0"/>
          <w:sz w:val="26"/>
          <w:szCs w:val="26"/>
        </w:rPr>
        <w:t>%), Marrakech-Safi (</w:t>
      </w:r>
      <w:r w:rsidR="007A12CA">
        <w:rPr>
          <w:rFonts w:ascii="Book Antiqua" w:hAnsi="Book Antiqua" w:cs="Times New Roman"/>
          <w:noProof w:val="0"/>
          <w:sz w:val="26"/>
          <w:szCs w:val="26"/>
        </w:rPr>
        <w:t>13</w:t>
      </w:r>
      <w:r w:rsidR="007A12CA" w:rsidRPr="008E381E">
        <w:rPr>
          <w:rFonts w:ascii="Book Antiqua" w:hAnsi="Book Antiqua" w:cs="Times New Roman"/>
          <w:noProof w:val="0"/>
          <w:sz w:val="26"/>
          <w:szCs w:val="26"/>
        </w:rPr>
        <w:t>,</w:t>
      </w:r>
      <w:r w:rsidR="007A12CA">
        <w:rPr>
          <w:rFonts w:ascii="Book Antiqua" w:hAnsi="Book Antiqua" w:cs="Times New Roman"/>
          <w:noProof w:val="0"/>
          <w:sz w:val="26"/>
          <w:szCs w:val="26"/>
        </w:rPr>
        <w:t>4</w:t>
      </w:r>
      <w:r w:rsidR="007A12CA" w:rsidRPr="008E381E">
        <w:rPr>
          <w:rFonts w:ascii="Book Antiqua" w:hAnsi="Book Antiqua" w:cs="Times New Roman"/>
          <w:noProof w:val="0"/>
          <w:sz w:val="26"/>
          <w:szCs w:val="26"/>
        </w:rPr>
        <w:t>%), Fès-Meknès (1</w:t>
      </w:r>
      <w:r w:rsidR="007A12CA">
        <w:rPr>
          <w:rFonts w:ascii="Book Antiqua" w:hAnsi="Book Antiqua" w:cs="Times New Roman"/>
          <w:noProof w:val="0"/>
          <w:sz w:val="26"/>
          <w:szCs w:val="26"/>
        </w:rPr>
        <w:t>1</w:t>
      </w:r>
      <w:r w:rsidR="007A12CA" w:rsidRPr="008E381E">
        <w:rPr>
          <w:rFonts w:ascii="Book Antiqua" w:hAnsi="Book Antiqua" w:cs="Times New Roman"/>
          <w:noProof w:val="0"/>
          <w:sz w:val="26"/>
          <w:szCs w:val="26"/>
        </w:rPr>
        <w:t>,</w:t>
      </w:r>
      <w:r w:rsidR="007A12CA">
        <w:rPr>
          <w:rFonts w:ascii="Book Antiqua" w:hAnsi="Book Antiqua" w:cs="Times New Roman"/>
          <w:noProof w:val="0"/>
          <w:sz w:val="26"/>
          <w:szCs w:val="26"/>
        </w:rPr>
        <w:t>3</w:t>
      </w:r>
      <w:r w:rsidR="007A12CA" w:rsidRPr="008E381E">
        <w:rPr>
          <w:rFonts w:ascii="Book Antiqua" w:hAnsi="Book Antiqua" w:cs="Times New Roman"/>
          <w:noProof w:val="0"/>
          <w:sz w:val="26"/>
          <w:szCs w:val="26"/>
        </w:rPr>
        <w:t>%), Tanger-Tétouan-Al Hoceima (1</w:t>
      </w:r>
      <w:r w:rsidR="007A12CA">
        <w:rPr>
          <w:rFonts w:ascii="Book Antiqua" w:hAnsi="Book Antiqua" w:cs="Times New Roman"/>
          <w:noProof w:val="0"/>
          <w:sz w:val="26"/>
          <w:szCs w:val="26"/>
        </w:rPr>
        <w:t>1</w:t>
      </w:r>
      <w:r w:rsidR="007A12CA" w:rsidRPr="008E381E">
        <w:rPr>
          <w:rFonts w:ascii="Book Antiqua" w:hAnsi="Book Antiqua" w:cs="Times New Roman"/>
          <w:noProof w:val="0"/>
          <w:sz w:val="26"/>
          <w:szCs w:val="26"/>
        </w:rPr>
        <w:t>%)</w:t>
      </w:r>
      <w:r w:rsidR="007A12CA">
        <w:rPr>
          <w:rFonts w:ascii="Book Antiqua" w:hAnsi="Book Antiqua" w:cs="Times New Roman"/>
          <w:noProof w:val="0"/>
          <w:sz w:val="26"/>
          <w:szCs w:val="26"/>
        </w:rPr>
        <w:t xml:space="preserve">  </w:t>
      </w:r>
      <w:r w:rsidR="007A12CA" w:rsidRPr="008E381E">
        <w:rPr>
          <w:rFonts w:ascii="Book Antiqua" w:hAnsi="Book Antiqua" w:cs="Times New Roman"/>
          <w:noProof w:val="0"/>
          <w:sz w:val="26"/>
          <w:szCs w:val="26"/>
        </w:rPr>
        <w:t xml:space="preserve">et, enfin, </w:t>
      </w:r>
      <w:r w:rsidR="007A12CA" w:rsidRPr="007A12CA">
        <w:rPr>
          <w:rFonts w:ascii="Book Antiqua" w:hAnsi="Book Antiqua" w:cs="Times New Roman"/>
          <w:noProof w:val="0"/>
          <w:sz w:val="26"/>
          <w:szCs w:val="26"/>
        </w:rPr>
        <w:t xml:space="preserve">Souss-Massa </w:t>
      </w:r>
      <w:r w:rsidR="007A12CA" w:rsidRPr="008E381E">
        <w:rPr>
          <w:rFonts w:ascii="Book Antiqua" w:hAnsi="Book Antiqua" w:cs="Times New Roman"/>
          <w:noProof w:val="0"/>
          <w:sz w:val="26"/>
          <w:szCs w:val="26"/>
        </w:rPr>
        <w:t>(</w:t>
      </w:r>
      <w:r w:rsidR="007A12CA">
        <w:rPr>
          <w:rFonts w:ascii="Book Antiqua" w:hAnsi="Book Antiqua" w:cs="Times New Roman"/>
          <w:noProof w:val="0"/>
          <w:sz w:val="26"/>
          <w:szCs w:val="26"/>
        </w:rPr>
        <w:t>7</w:t>
      </w:r>
      <w:r w:rsidR="007A12CA" w:rsidRPr="008E381E">
        <w:rPr>
          <w:rFonts w:ascii="Book Antiqua" w:hAnsi="Book Antiqua" w:cs="Times New Roman"/>
          <w:noProof w:val="0"/>
          <w:sz w:val="26"/>
          <w:szCs w:val="26"/>
        </w:rPr>
        <w:t>,</w:t>
      </w:r>
      <w:r w:rsidR="007A12CA">
        <w:rPr>
          <w:rFonts w:ascii="Book Antiqua" w:hAnsi="Book Antiqua" w:cs="Times New Roman"/>
          <w:noProof w:val="0"/>
          <w:sz w:val="26"/>
          <w:szCs w:val="26"/>
        </w:rPr>
        <w:t>4</w:t>
      </w:r>
      <w:r w:rsidR="007A12CA" w:rsidRPr="008E381E">
        <w:rPr>
          <w:rFonts w:ascii="Book Antiqua" w:hAnsi="Book Antiqua" w:cs="Times New Roman"/>
          <w:noProof w:val="0"/>
          <w:sz w:val="26"/>
          <w:szCs w:val="26"/>
        </w:rPr>
        <w:t>%).</w:t>
      </w:r>
    </w:p>
    <w:p w:rsidR="008E381E" w:rsidRPr="008E381E" w:rsidRDefault="00111BF9" w:rsidP="003A24E1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Q</w:t>
      </w:r>
      <w:r w:rsidR="00C84580">
        <w:rPr>
          <w:rFonts w:ascii="Book Antiqua" w:hAnsi="Book Antiqua" w:cs="Times New Roman"/>
          <w:noProof w:val="0"/>
          <w:sz w:val="26"/>
          <w:szCs w:val="26"/>
        </w:rPr>
        <w:t>uatre régions</w:t>
      </w:r>
      <w:r w:rsidR="009B7D06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C84580">
        <w:rPr>
          <w:rFonts w:ascii="Book Antiqua" w:hAnsi="Book Antiqua" w:cs="Times New Roman"/>
          <w:noProof w:val="0"/>
          <w:sz w:val="26"/>
          <w:szCs w:val="26"/>
        </w:rPr>
        <w:t xml:space="preserve">affichent des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taux </w:t>
      </w:r>
      <w:r w:rsidR="00C74E39">
        <w:rPr>
          <w:rFonts w:ascii="Book Antiqua" w:hAnsi="Book Antiqua" w:cs="Times New Roman"/>
          <w:noProof w:val="0"/>
          <w:sz w:val="26"/>
          <w:szCs w:val="26"/>
        </w:rPr>
        <w:t xml:space="preserve">d’activité </w:t>
      </w:r>
      <w:r w:rsidR="009B7D06">
        <w:rPr>
          <w:rFonts w:ascii="Book Antiqua" w:hAnsi="Book Antiqua" w:cs="Times New Roman"/>
          <w:noProof w:val="0"/>
          <w:sz w:val="26"/>
          <w:szCs w:val="26"/>
        </w:rPr>
        <w:t xml:space="preserve">plus </w:t>
      </w:r>
      <w:r w:rsidR="00721B43">
        <w:rPr>
          <w:rFonts w:ascii="Book Antiqua" w:hAnsi="Book Antiqua" w:cs="Times New Roman"/>
          <w:noProof w:val="0"/>
          <w:sz w:val="26"/>
          <w:szCs w:val="26"/>
        </w:rPr>
        <w:t>élevés</w:t>
      </w:r>
      <w:r w:rsidR="00C84580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B7D06">
        <w:rPr>
          <w:rFonts w:ascii="Book Antiqua" w:hAnsi="Book Antiqua" w:cs="Times New Roman"/>
          <w:noProof w:val="0"/>
          <w:sz w:val="26"/>
          <w:szCs w:val="26"/>
        </w:rPr>
        <w:t>que</w:t>
      </w:r>
      <w:r w:rsidR="00C84580" w:rsidRPr="008E381E">
        <w:rPr>
          <w:rFonts w:ascii="Book Antiqua" w:hAnsi="Book Antiqua" w:cs="Times New Roman"/>
          <w:noProof w:val="0"/>
          <w:sz w:val="26"/>
          <w:szCs w:val="26"/>
        </w:rPr>
        <w:t xml:space="preserve">  la  moyenne  nationale</w:t>
      </w:r>
      <w:r w:rsidR="00C84580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C84580" w:rsidRPr="008E381E">
        <w:rPr>
          <w:rFonts w:ascii="Book Antiqua" w:hAnsi="Book Antiqua" w:cs="Times New Roman"/>
          <w:noProof w:val="0"/>
          <w:sz w:val="26"/>
          <w:szCs w:val="26"/>
        </w:rPr>
        <w:t>(4</w:t>
      </w:r>
      <w:r w:rsidR="00C84580">
        <w:rPr>
          <w:rFonts w:ascii="Book Antiqua" w:hAnsi="Book Antiqua" w:cs="Times New Roman"/>
          <w:noProof w:val="0"/>
          <w:sz w:val="26"/>
          <w:szCs w:val="26"/>
        </w:rPr>
        <w:t>7</w:t>
      </w:r>
      <w:r w:rsidR="00C84580" w:rsidRPr="008E381E">
        <w:rPr>
          <w:rFonts w:ascii="Book Antiqua" w:hAnsi="Book Antiqua" w:cs="Times New Roman"/>
          <w:noProof w:val="0"/>
          <w:sz w:val="26"/>
          <w:szCs w:val="26"/>
        </w:rPr>
        <w:t>,</w:t>
      </w:r>
      <w:r w:rsidR="00C84580">
        <w:rPr>
          <w:rFonts w:ascii="Book Antiqua" w:hAnsi="Book Antiqua" w:cs="Times New Roman"/>
          <w:noProof w:val="0"/>
          <w:sz w:val="26"/>
          <w:szCs w:val="26"/>
        </w:rPr>
        <w:t>1</w:t>
      </w:r>
      <w:r w:rsidR="00C84580" w:rsidRPr="008E381E">
        <w:rPr>
          <w:rFonts w:ascii="Book Antiqua" w:hAnsi="Book Antiqua" w:cs="Times New Roman"/>
          <w:noProof w:val="0"/>
          <w:sz w:val="26"/>
          <w:szCs w:val="26"/>
        </w:rPr>
        <w:t>%)</w:t>
      </w:r>
      <w:r w:rsidR="003A24E1">
        <w:rPr>
          <w:rFonts w:ascii="Book Antiqua" w:hAnsi="Book Antiqua" w:cs="Times New Roman"/>
          <w:noProof w:val="0"/>
          <w:sz w:val="26"/>
          <w:szCs w:val="26"/>
        </w:rPr>
        <w:t xml:space="preserve"> ; 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>Eddakhla-Oued Eddahab (</w:t>
      </w:r>
      <w:r w:rsidR="00CF2A07">
        <w:rPr>
          <w:rFonts w:ascii="Book Antiqua" w:hAnsi="Book Antiqua" w:cs="Times New Roman"/>
          <w:noProof w:val="0"/>
          <w:sz w:val="26"/>
          <w:szCs w:val="26"/>
        </w:rPr>
        <w:t>70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>%), Casablanca-Settat (50,</w:t>
      </w:r>
      <w:r w:rsidR="00CF2A07">
        <w:rPr>
          <w:rFonts w:ascii="Book Antiqua" w:hAnsi="Book Antiqua" w:cs="Times New Roman"/>
          <w:noProof w:val="0"/>
          <w:sz w:val="26"/>
          <w:szCs w:val="26"/>
        </w:rPr>
        <w:t>8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>%), Marrakech-Safi (4</w:t>
      </w:r>
      <w:r w:rsidR="00CF2A07">
        <w:rPr>
          <w:rFonts w:ascii="Book Antiqua" w:hAnsi="Book Antiqua" w:cs="Times New Roman"/>
          <w:noProof w:val="0"/>
          <w:sz w:val="26"/>
          <w:szCs w:val="26"/>
        </w:rPr>
        <w:t>9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>,</w:t>
      </w:r>
      <w:r w:rsidR="00CF2A07">
        <w:rPr>
          <w:rFonts w:ascii="Book Antiqua" w:hAnsi="Book Antiqua" w:cs="Times New Roman"/>
          <w:noProof w:val="0"/>
          <w:sz w:val="26"/>
          <w:szCs w:val="26"/>
        </w:rPr>
        <w:t>3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 xml:space="preserve">%) et </w:t>
      </w:r>
      <w:r w:rsidR="00CF2A07" w:rsidRPr="00CF2A07">
        <w:rPr>
          <w:rFonts w:ascii="Book Antiqua" w:hAnsi="Book Antiqua" w:cs="Times New Roman"/>
          <w:noProof w:val="0"/>
          <w:sz w:val="26"/>
          <w:szCs w:val="26"/>
        </w:rPr>
        <w:t xml:space="preserve">Tanger-Tétouan-Al Hoceima 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>(47,</w:t>
      </w:r>
      <w:r w:rsidR="00CF2A07">
        <w:rPr>
          <w:rFonts w:ascii="Book Antiqua" w:hAnsi="Book Antiqua" w:cs="Times New Roman"/>
          <w:noProof w:val="0"/>
          <w:sz w:val="26"/>
          <w:szCs w:val="26"/>
        </w:rPr>
        <w:t>4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 xml:space="preserve">%).  </w:t>
      </w:r>
      <w:r w:rsidR="00C74E39">
        <w:rPr>
          <w:rFonts w:ascii="Book Antiqua" w:hAnsi="Book Antiqua" w:cs="Times New Roman"/>
          <w:noProof w:val="0"/>
          <w:sz w:val="26"/>
          <w:szCs w:val="26"/>
        </w:rPr>
        <w:t xml:space="preserve">En revanche, les taux les plus faibles </w:t>
      </w:r>
      <w:r w:rsidR="00721B43">
        <w:rPr>
          <w:rFonts w:ascii="Book Antiqua" w:hAnsi="Book Antiqua" w:cs="Times New Roman"/>
          <w:noProof w:val="0"/>
          <w:sz w:val="26"/>
          <w:szCs w:val="26"/>
        </w:rPr>
        <w:t xml:space="preserve">sont </w:t>
      </w:r>
      <w:r w:rsidR="00C74E39">
        <w:rPr>
          <w:rFonts w:ascii="Book Antiqua" w:hAnsi="Book Antiqua" w:cs="Times New Roman"/>
          <w:noProof w:val="0"/>
          <w:sz w:val="26"/>
          <w:szCs w:val="26"/>
        </w:rPr>
        <w:t xml:space="preserve">enregistrés au niveau des régions 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>de Laayoune-Sakia El Hamra (</w:t>
      </w:r>
      <w:r w:rsidR="00CF2A07">
        <w:rPr>
          <w:rFonts w:ascii="Book Antiqua" w:hAnsi="Book Antiqua" w:cs="Times New Roman"/>
          <w:noProof w:val="0"/>
          <w:sz w:val="26"/>
          <w:szCs w:val="26"/>
        </w:rPr>
        <w:t>40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>,</w:t>
      </w:r>
      <w:r w:rsidR="00CF2A07">
        <w:rPr>
          <w:rFonts w:ascii="Book Antiqua" w:hAnsi="Book Antiqua" w:cs="Times New Roman"/>
          <w:noProof w:val="0"/>
          <w:sz w:val="26"/>
          <w:szCs w:val="26"/>
        </w:rPr>
        <w:t>3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>%)</w:t>
      </w:r>
      <w:r w:rsidR="00C74E39">
        <w:rPr>
          <w:rFonts w:ascii="Book Antiqua" w:hAnsi="Book Antiqua" w:cs="Times New Roman"/>
          <w:noProof w:val="0"/>
          <w:sz w:val="26"/>
          <w:szCs w:val="26"/>
        </w:rPr>
        <w:t xml:space="preserve"> et de </w:t>
      </w:r>
      <w:r w:rsidR="00CF2A07" w:rsidRPr="00CF2A07">
        <w:rPr>
          <w:rFonts w:ascii="Book Antiqua" w:hAnsi="Book Antiqua" w:cs="Times New Roman"/>
          <w:noProof w:val="0"/>
          <w:sz w:val="26"/>
          <w:szCs w:val="26"/>
        </w:rPr>
        <w:t xml:space="preserve">Guelmim-Oued Noun 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>(4</w:t>
      </w:r>
      <w:r w:rsidR="00CF2A07">
        <w:rPr>
          <w:rFonts w:ascii="Book Antiqua" w:hAnsi="Book Antiqua" w:cs="Times New Roman"/>
          <w:noProof w:val="0"/>
          <w:sz w:val="26"/>
          <w:szCs w:val="26"/>
        </w:rPr>
        <w:t>3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>,</w:t>
      </w:r>
      <w:r w:rsidR="00CF2A07">
        <w:rPr>
          <w:rFonts w:ascii="Book Antiqua" w:hAnsi="Book Antiqua" w:cs="Times New Roman"/>
          <w:noProof w:val="0"/>
          <w:sz w:val="26"/>
          <w:szCs w:val="26"/>
        </w:rPr>
        <w:t>4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>%).</w:t>
      </w:r>
    </w:p>
    <w:p w:rsidR="00587D68" w:rsidRDefault="00587D68" w:rsidP="0066390C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473D8C">
        <w:rPr>
          <w:rFonts w:ascii="Book Antiqua" w:hAnsi="Book Antiqua" w:cs="Times New Roman"/>
          <w:noProof w:val="0"/>
          <w:sz w:val="26"/>
          <w:szCs w:val="26"/>
        </w:rPr>
        <w:t>En milieu urbain, le taux d’activité le plus élevé est relevé dans la région d’Eddakhla-Oued Eddahab (</w:t>
      </w:r>
      <w:r w:rsidRPr="006205C6">
        <w:rPr>
          <w:rFonts w:ascii="Book Antiqua" w:hAnsi="Book Antiqua" w:cs="Times New Roman"/>
          <w:noProof w:val="0"/>
          <w:sz w:val="26"/>
          <w:szCs w:val="26"/>
        </w:rPr>
        <w:t>55</w:t>
      </w:r>
      <w:r w:rsidRPr="00473D8C">
        <w:rPr>
          <w:rFonts w:ascii="Book Antiqua" w:hAnsi="Book Antiqua" w:cs="Times New Roman"/>
          <w:noProof w:val="0"/>
          <w:sz w:val="26"/>
          <w:szCs w:val="26"/>
        </w:rPr>
        <w:t>,</w:t>
      </w:r>
      <w:r w:rsidRPr="006205C6">
        <w:rPr>
          <w:rFonts w:ascii="Book Antiqua" w:hAnsi="Book Antiqua" w:cs="Times New Roman"/>
          <w:noProof w:val="0"/>
          <w:sz w:val="26"/>
          <w:szCs w:val="26"/>
        </w:rPr>
        <w:t>9</w:t>
      </w:r>
      <w:r w:rsidRPr="00473D8C">
        <w:rPr>
          <w:rFonts w:ascii="Book Antiqua" w:hAnsi="Book Antiqua" w:cs="Times New Roman"/>
          <w:noProof w:val="0"/>
          <w:sz w:val="26"/>
          <w:szCs w:val="26"/>
        </w:rPr>
        <w:t xml:space="preserve">%), dépassant la moyenne urbaine de </w:t>
      </w:r>
      <w:r w:rsidRPr="006205C6">
        <w:rPr>
          <w:rFonts w:ascii="Book Antiqua" w:hAnsi="Book Antiqua" w:cs="Times New Roman"/>
          <w:noProof w:val="0"/>
          <w:sz w:val="26"/>
          <w:szCs w:val="26"/>
        </w:rPr>
        <w:t>13,5</w:t>
      </w:r>
      <w:r w:rsidRPr="00473D8C">
        <w:rPr>
          <w:rFonts w:ascii="Book Antiqua" w:hAnsi="Book Antiqua" w:cs="Times New Roman"/>
          <w:noProof w:val="0"/>
          <w:sz w:val="26"/>
          <w:szCs w:val="26"/>
        </w:rPr>
        <w:t xml:space="preserve"> points, suivie de la région de Casablanca-Settat (4</w:t>
      </w:r>
      <w:r w:rsidRPr="006205C6">
        <w:rPr>
          <w:rFonts w:ascii="Book Antiqua" w:hAnsi="Book Antiqua" w:cs="Times New Roman"/>
          <w:noProof w:val="0"/>
          <w:sz w:val="26"/>
          <w:szCs w:val="26"/>
        </w:rPr>
        <w:t>6</w:t>
      </w:r>
      <w:r w:rsidRPr="00473D8C">
        <w:rPr>
          <w:rFonts w:ascii="Book Antiqua" w:hAnsi="Book Antiqua" w:cs="Times New Roman"/>
          <w:noProof w:val="0"/>
          <w:sz w:val="26"/>
          <w:szCs w:val="26"/>
        </w:rPr>
        <w:t>,</w:t>
      </w:r>
      <w:r w:rsidRPr="006205C6">
        <w:rPr>
          <w:rFonts w:ascii="Book Antiqua" w:hAnsi="Book Antiqua" w:cs="Times New Roman"/>
          <w:noProof w:val="0"/>
          <w:sz w:val="26"/>
          <w:szCs w:val="26"/>
        </w:rPr>
        <w:t>2</w:t>
      </w:r>
      <w:r w:rsidRPr="00473D8C">
        <w:rPr>
          <w:rFonts w:ascii="Book Antiqua" w:hAnsi="Book Antiqua" w:cs="Times New Roman"/>
          <w:noProof w:val="0"/>
          <w:sz w:val="26"/>
          <w:szCs w:val="26"/>
        </w:rPr>
        <w:t xml:space="preserve">%). La région de </w:t>
      </w:r>
      <w:r w:rsidRPr="006205C6">
        <w:rPr>
          <w:rFonts w:ascii="Book Antiqua" w:hAnsi="Book Antiqua" w:cs="Times New Roman"/>
          <w:noProof w:val="0"/>
          <w:sz w:val="26"/>
          <w:szCs w:val="26"/>
        </w:rPr>
        <w:t>Béni Mellal-Khénifra</w:t>
      </w:r>
      <w:r w:rsidRPr="00473D8C">
        <w:rPr>
          <w:rFonts w:ascii="Book Antiqua" w:hAnsi="Book Antiqua" w:cs="Times New Roman"/>
          <w:noProof w:val="0"/>
          <w:sz w:val="26"/>
          <w:szCs w:val="26"/>
        </w:rPr>
        <w:t xml:space="preserve"> affiche, par</w:t>
      </w:r>
      <w:r w:rsidRPr="006205C6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473D8C">
        <w:rPr>
          <w:rFonts w:ascii="Book Antiqua" w:hAnsi="Book Antiqua" w:cs="Times New Roman"/>
          <w:noProof w:val="0"/>
          <w:sz w:val="26"/>
          <w:szCs w:val="26"/>
        </w:rPr>
        <w:t xml:space="preserve"> contre,</w:t>
      </w:r>
      <w:r w:rsidRPr="006205C6">
        <w:rPr>
          <w:rFonts w:ascii="Book Antiqua" w:hAnsi="Book Antiqua" w:cs="Times New Roman"/>
          <w:noProof w:val="0"/>
          <w:sz w:val="26"/>
          <w:szCs w:val="26"/>
        </w:rPr>
        <w:t xml:space="preserve"> l</w:t>
      </w:r>
      <w:r w:rsidRPr="00473D8C">
        <w:rPr>
          <w:rFonts w:ascii="Book Antiqua" w:hAnsi="Book Antiqua" w:cs="Times New Roman"/>
          <w:noProof w:val="0"/>
          <w:sz w:val="26"/>
          <w:szCs w:val="26"/>
        </w:rPr>
        <w:t>e</w:t>
      </w:r>
      <w:r w:rsidRPr="006205C6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>
        <w:rPr>
          <w:rFonts w:ascii="Book Antiqua" w:hAnsi="Book Antiqua" w:cs="Times New Roman"/>
          <w:noProof w:val="0"/>
          <w:sz w:val="26"/>
          <w:szCs w:val="26"/>
        </w:rPr>
        <w:t>c</w:t>
      </w:r>
      <w:r w:rsidRPr="006205C6">
        <w:rPr>
          <w:rFonts w:ascii="Book Antiqua" w:hAnsi="Book Antiqua" w:cs="Times New Roman"/>
          <w:noProof w:val="0"/>
          <w:sz w:val="26"/>
          <w:szCs w:val="26"/>
        </w:rPr>
        <w:t>on</w:t>
      </w:r>
      <w:r w:rsidRPr="00473D8C">
        <w:rPr>
          <w:rFonts w:ascii="Book Antiqua" w:hAnsi="Book Antiqua" w:cs="Times New Roman"/>
          <w:noProof w:val="0"/>
          <w:sz w:val="26"/>
          <w:szCs w:val="26"/>
        </w:rPr>
        <w:t>cours  le  plus  faible  à  l’activité avec  un  taux  de  35,</w:t>
      </w:r>
      <w:r>
        <w:rPr>
          <w:rFonts w:ascii="Book Antiqua" w:hAnsi="Book Antiqua" w:cs="Times New Roman"/>
          <w:noProof w:val="0"/>
          <w:sz w:val="26"/>
          <w:szCs w:val="26"/>
        </w:rPr>
        <w:t>7%,  inférieur  à  la m</w:t>
      </w:r>
      <w:r w:rsidRPr="00473D8C">
        <w:rPr>
          <w:rFonts w:ascii="Book Antiqua" w:hAnsi="Book Antiqua" w:cs="Times New Roman"/>
          <w:noProof w:val="0"/>
          <w:sz w:val="26"/>
          <w:szCs w:val="26"/>
        </w:rPr>
        <w:t>o</w:t>
      </w:r>
      <w:r>
        <w:rPr>
          <w:rFonts w:ascii="Book Antiqua" w:hAnsi="Book Antiqua" w:cs="Times New Roman"/>
          <w:noProof w:val="0"/>
          <w:sz w:val="26"/>
          <w:szCs w:val="26"/>
        </w:rPr>
        <w:t>y</w:t>
      </w:r>
      <w:r w:rsidRPr="00473D8C">
        <w:rPr>
          <w:rFonts w:ascii="Book Antiqua" w:hAnsi="Book Antiqua" w:cs="Times New Roman"/>
          <w:noProof w:val="0"/>
          <w:sz w:val="26"/>
          <w:szCs w:val="26"/>
        </w:rPr>
        <w:t>enne enregistrée en milieu urbain de 6,</w:t>
      </w:r>
      <w:r>
        <w:rPr>
          <w:rFonts w:ascii="Book Antiqua" w:hAnsi="Book Antiqua" w:cs="Times New Roman"/>
          <w:noProof w:val="0"/>
          <w:sz w:val="26"/>
          <w:szCs w:val="26"/>
        </w:rPr>
        <w:t>7</w:t>
      </w:r>
      <w:r w:rsidRPr="00473D8C">
        <w:rPr>
          <w:rFonts w:ascii="Book Antiqua" w:hAnsi="Book Antiqua" w:cs="Times New Roman"/>
          <w:noProof w:val="0"/>
          <w:sz w:val="26"/>
          <w:szCs w:val="26"/>
        </w:rPr>
        <w:t xml:space="preserve"> points.</w:t>
      </w:r>
    </w:p>
    <w:p w:rsidR="006205C6" w:rsidRDefault="006205C6" w:rsidP="00E40D23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473D8C">
        <w:rPr>
          <w:rFonts w:ascii="Book Antiqua" w:hAnsi="Book Antiqua" w:cs="Times New Roman"/>
          <w:noProof w:val="0"/>
          <w:sz w:val="26"/>
          <w:szCs w:val="26"/>
        </w:rPr>
        <w:lastRenderedPageBreak/>
        <w:t>En milieu rural, le taux d'activité le plus élevé est enregistré dans la région de  Casablanca-Settat avec un taux de 66,</w:t>
      </w:r>
      <w:r w:rsidR="00587D68">
        <w:rPr>
          <w:rFonts w:ascii="Book Antiqua" w:hAnsi="Book Antiqua" w:cs="Times New Roman"/>
          <w:noProof w:val="0"/>
          <w:sz w:val="26"/>
          <w:szCs w:val="26"/>
        </w:rPr>
        <w:t>1</w:t>
      </w:r>
      <w:r w:rsidRPr="00473D8C">
        <w:rPr>
          <w:rFonts w:ascii="Book Antiqua" w:hAnsi="Book Antiqua" w:cs="Times New Roman"/>
          <w:noProof w:val="0"/>
          <w:sz w:val="26"/>
          <w:szCs w:val="26"/>
        </w:rPr>
        <w:t>%, dépassant la moyenne nationale relevée en milieu rural d</w:t>
      </w:r>
      <w:r w:rsidR="00587D68">
        <w:rPr>
          <w:rFonts w:ascii="Book Antiqua" w:hAnsi="Book Antiqua" w:cs="Times New Roman"/>
          <w:noProof w:val="0"/>
          <w:sz w:val="26"/>
          <w:szCs w:val="26"/>
        </w:rPr>
        <w:t>e 10,7</w:t>
      </w:r>
      <w:r w:rsidRPr="00473D8C">
        <w:rPr>
          <w:rFonts w:ascii="Book Antiqua" w:hAnsi="Book Antiqua" w:cs="Times New Roman"/>
          <w:noProof w:val="0"/>
          <w:sz w:val="26"/>
          <w:szCs w:val="26"/>
        </w:rPr>
        <w:t xml:space="preserve"> points. En revanche, le taux le plus </w:t>
      </w:r>
      <w:r w:rsidR="00E40D23">
        <w:rPr>
          <w:rFonts w:ascii="Book Antiqua" w:hAnsi="Book Antiqua" w:cs="Times New Roman"/>
          <w:noProof w:val="0"/>
          <w:sz w:val="26"/>
          <w:szCs w:val="26"/>
        </w:rPr>
        <w:t>faible</w:t>
      </w:r>
      <w:r w:rsidRPr="00473D8C">
        <w:rPr>
          <w:rFonts w:ascii="Book Antiqua" w:hAnsi="Book Antiqua" w:cs="Times New Roman"/>
          <w:noProof w:val="0"/>
          <w:sz w:val="26"/>
          <w:szCs w:val="26"/>
        </w:rPr>
        <w:t xml:space="preserve"> revient à </w:t>
      </w:r>
      <w:r w:rsidR="00587D68" w:rsidRPr="00587D68">
        <w:rPr>
          <w:rFonts w:ascii="Book Antiqua" w:hAnsi="Book Antiqua" w:cs="Times New Roman"/>
          <w:noProof w:val="0"/>
          <w:sz w:val="26"/>
          <w:szCs w:val="26"/>
        </w:rPr>
        <w:t xml:space="preserve">Guelmim-Oued Noun </w:t>
      </w:r>
      <w:r w:rsidRPr="00473D8C">
        <w:rPr>
          <w:rFonts w:ascii="Book Antiqua" w:hAnsi="Book Antiqua" w:cs="Times New Roman"/>
          <w:noProof w:val="0"/>
          <w:sz w:val="26"/>
          <w:szCs w:val="26"/>
        </w:rPr>
        <w:t>(4</w:t>
      </w:r>
      <w:r w:rsidR="00587D68">
        <w:rPr>
          <w:rFonts w:ascii="Book Antiqua" w:hAnsi="Book Antiqua" w:cs="Times New Roman"/>
          <w:noProof w:val="0"/>
          <w:sz w:val="26"/>
          <w:szCs w:val="26"/>
        </w:rPr>
        <w:t>7</w:t>
      </w:r>
      <w:r w:rsidRPr="00473D8C">
        <w:rPr>
          <w:rFonts w:ascii="Book Antiqua" w:hAnsi="Book Antiqua" w:cs="Times New Roman"/>
          <w:noProof w:val="0"/>
          <w:sz w:val="26"/>
          <w:szCs w:val="26"/>
        </w:rPr>
        <w:t>,</w:t>
      </w:r>
      <w:r w:rsidR="00587D68">
        <w:rPr>
          <w:rFonts w:ascii="Book Antiqua" w:hAnsi="Book Antiqua" w:cs="Times New Roman"/>
          <w:noProof w:val="0"/>
          <w:sz w:val="26"/>
          <w:szCs w:val="26"/>
        </w:rPr>
        <w:t>2</w:t>
      </w:r>
      <w:r w:rsidRPr="00473D8C">
        <w:rPr>
          <w:rFonts w:ascii="Book Antiqua" w:hAnsi="Book Antiqua" w:cs="Times New Roman"/>
          <w:noProof w:val="0"/>
          <w:sz w:val="26"/>
          <w:szCs w:val="26"/>
        </w:rPr>
        <w:t xml:space="preserve">%), plus bas que la moyenne rurale de </w:t>
      </w:r>
      <w:r w:rsidR="00587D68">
        <w:rPr>
          <w:rFonts w:ascii="Book Antiqua" w:hAnsi="Book Antiqua" w:cs="Times New Roman"/>
          <w:noProof w:val="0"/>
          <w:sz w:val="26"/>
          <w:szCs w:val="26"/>
        </w:rPr>
        <w:t>8,2</w:t>
      </w:r>
      <w:r w:rsidRPr="00473D8C">
        <w:rPr>
          <w:rFonts w:ascii="Book Antiqua" w:hAnsi="Book Antiqua" w:cs="Times New Roman"/>
          <w:noProof w:val="0"/>
          <w:sz w:val="26"/>
          <w:szCs w:val="26"/>
        </w:rPr>
        <w:t xml:space="preserve"> points.</w:t>
      </w:r>
    </w:p>
    <w:p w:rsidR="008E381E" w:rsidRDefault="008E381E" w:rsidP="00EA2710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E94782">
        <w:rPr>
          <w:rFonts w:ascii="Book Antiqua" w:hAnsi="Book Antiqua" w:cs="Times New Roman"/>
          <w:b/>
          <w:bCs/>
          <w:noProof w:val="0"/>
          <w:sz w:val="24"/>
          <w:szCs w:val="24"/>
        </w:rPr>
        <w:t>Figure 7 : Taux d’activité selon les régions et le milieu de résidence (en%)</w:t>
      </w:r>
    </w:p>
    <w:p w:rsidR="00EA2710" w:rsidRPr="00EA2710" w:rsidRDefault="00EA2710" w:rsidP="00EA2710">
      <w:pPr>
        <w:autoSpaceDE w:val="0"/>
        <w:autoSpaceDN w:val="0"/>
        <w:bidi w:val="0"/>
        <w:adjustRightInd w:val="0"/>
        <w:jc w:val="center"/>
        <w:rPr>
          <w:sz w:val="8"/>
          <w:szCs w:val="8"/>
        </w:rPr>
      </w:pPr>
    </w:p>
    <w:p w:rsidR="008E381E" w:rsidRDefault="00090FA3" w:rsidP="008E381E">
      <w:pPr>
        <w:jc w:val="right"/>
      </w:pPr>
      <w:r w:rsidRPr="00090FA3">
        <w:rPr>
          <w:rtl/>
        </w:rPr>
        <w:drawing>
          <wp:inline distT="0" distB="0" distL="0" distR="0">
            <wp:extent cx="5972810" cy="2694305"/>
            <wp:effectExtent l="19050" t="0" r="27940" b="0"/>
            <wp:docPr id="6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E381E" w:rsidRPr="005B3E54" w:rsidRDefault="00FF5E2C" w:rsidP="008E381E">
      <w:pPr>
        <w:jc w:val="right"/>
        <w:rPr>
          <w:sz w:val="16"/>
          <w:szCs w:val="16"/>
        </w:rPr>
      </w:pPr>
      <w:r w:rsidRPr="005B3E54">
        <w:rPr>
          <w:sz w:val="16"/>
          <w:szCs w:val="16"/>
        </w:rPr>
        <w:t xml:space="preserve">* </w:t>
      </w:r>
      <w:r w:rsidR="005B3E54" w:rsidRPr="005B3E54">
        <w:rPr>
          <w:sz w:val="16"/>
          <w:szCs w:val="16"/>
        </w:rPr>
        <w:t xml:space="preserve"> information non disponible pour le milieu rural</w:t>
      </w:r>
    </w:p>
    <w:p w:rsidR="005B3E54" w:rsidRPr="005B3E54" w:rsidRDefault="00FF5E2C" w:rsidP="005B3E54">
      <w:pPr>
        <w:jc w:val="right"/>
        <w:rPr>
          <w:sz w:val="16"/>
          <w:szCs w:val="16"/>
        </w:rPr>
      </w:pPr>
      <w:r w:rsidRPr="005B3E54">
        <w:rPr>
          <w:sz w:val="16"/>
          <w:szCs w:val="16"/>
        </w:rPr>
        <w:t>**</w:t>
      </w:r>
      <w:r w:rsidR="005B3E54" w:rsidRPr="005B3E54">
        <w:rPr>
          <w:sz w:val="16"/>
          <w:szCs w:val="16"/>
        </w:rPr>
        <w:t xml:space="preserve">  information non significative pour le milieu rural</w:t>
      </w:r>
    </w:p>
    <w:p w:rsidR="008E381E" w:rsidRPr="005B3E54" w:rsidRDefault="008E381E" w:rsidP="008E381E">
      <w:pPr>
        <w:jc w:val="right"/>
      </w:pPr>
    </w:p>
    <w:p w:rsidR="008E381E" w:rsidRPr="008E381E" w:rsidRDefault="00421D22" w:rsidP="00E40D23">
      <w:pPr>
        <w:bidi w:val="0"/>
        <w:ind w:left="116" w:right="76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D’un autre côté</w:t>
      </w:r>
      <w:r w:rsidR="003A24E1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3A24E1" w:rsidRPr="008E381E">
        <w:rPr>
          <w:rFonts w:ascii="Book Antiqua" w:hAnsi="Book Antiqua" w:cs="Times New Roman"/>
          <w:noProof w:val="0"/>
          <w:sz w:val="26"/>
          <w:szCs w:val="26"/>
        </w:rPr>
        <w:t>six régions du Royaume</w:t>
      </w:r>
      <w:r w:rsidR="003A24E1">
        <w:rPr>
          <w:rFonts w:ascii="Book Antiqua" w:hAnsi="Book Antiqua" w:cs="Times New Roman"/>
          <w:noProof w:val="0"/>
          <w:sz w:val="26"/>
          <w:szCs w:val="26"/>
        </w:rPr>
        <w:t xml:space="preserve"> concentrent environ 82% de l’ensemble des chômeurs ; 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 xml:space="preserve">Casablanca-Settat  vient  en  première  position  avec </w:t>
      </w:r>
      <w:r w:rsidR="00FF5E2C">
        <w:rPr>
          <w:rFonts w:ascii="Book Antiqua" w:hAnsi="Book Antiqua" w:cs="Times New Roman"/>
          <w:noProof w:val="0"/>
          <w:sz w:val="26"/>
          <w:szCs w:val="26"/>
        </w:rPr>
        <w:t>24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>,</w:t>
      </w:r>
      <w:r w:rsidR="00FF5E2C">
        <w:rPr>
          <w:rFonts w:ascii="Book Antiqua" w:hAnsi="Book Antiqua" w:cs="Times New Roman"/>
          <w:noProof w:val="0"/>
          <w:sz w:val="26"/>
          <w:szCs w:val="26"/>
        </w:rPr>
        <w:t>5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>%</w:t>
      </w:r>
      <w:r w:rsidR="00031F2F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111BF9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031F2F">
        <w:rPr>
          <w:rFonts w:ascii="Book Antiqua" w:hAnsi="Book Antiqua" w:cs="Times New Roman"/>
          <w:noProof w:val="0"/>
          <w:sz w:val="26"/>
          <w:szCs w:val="26"/>
        </w:rPr>
        <w:t>chômeurs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 xml:space="preserve">, suivie de Rabat-Salé-Kénitra (17%), l’Oriental </w:t>
      </w:r>
      <w:r w:rsidR="00FF5E2C"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>Fès-Meknès (1</w:t>
      </w:r>
      <w:r w:rsidR="00FF5E2C">
        <w:rPr>
          <w:rFonts w:ascii="Book Antiqua" w:hAnsi="Book Antiqua" w:cs="Times New Roman"/>
          <w:noProof w:val="0"/>
          <w:sz w:val="26"/>
          <w:szCs w:val="26"/>
        </w:rPr>
        <w:t>1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>,</w:t>
      </w:r>
      <w:r w:rsidR="00FF5E2C">
        <w:rPr>
          <w:rFonts w:ascii="Book Antiqua" w:hAnsi="Book Antiqua" w:cs="Times New Roman"/>
          <w:noProof w:val="0"/>
          <w:sz w:val="26"/>
          <w:szCs w:val="26"/>
        </w:rPr>
        <w:t>2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>%), Marrakech-Safi (9,</w:t>
      </w:r>
      <w:r w:rsidR="00FF5E2C">
        <w:rPr>
          <w:rFonts w:ascii="Book Antiqua" w:hAnsi="Book Antiqua" w:cs="Times New Roman"/>
          <w:noProof w:val="0"/>
          <w:sz w:val="26"/>
          <w:szCs w:val="26"/>
        </w:rPr>
        <w:t>7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>%) et, enfin, Tanger-Tétouan-Al Hoceima (8,</w:t>
      </w:r>
      <w:r w:rsidR="00FF5E2C">
        <w:rPr>
          <w:rFonts w:ascii="Book Antiqua" w:hAnsi="Book Antiqua" w:cs="Times New Roman"/>
          <w:noProof w:val="0"/>
          <w:sz w:val="26"/>
          <w:szCs w:val="26"/>
        </w:rPr>
        <w:t>3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>%).</w:t>
      </w:r>
    </w:p>
    <w:p w:rsidR="008E381E" w:rsidRPr="00E6510E" w:rsidRDefault="008E381E" w:rsidP="008E381E">
      <w:pPr>
        <w:bidi w:val="0"/>
        <w:ind w:left="116" w:right="76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8E381E" w:rsidRPr="008E381E" w:rsidRDefault="008E381E" w:rsidP="000B6D30">
      <w:pPr>
        <w:bidi w:val="0"/>
        <w:ind w:left="116" w:right="76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8E381E">
        <w:rPr>
          <w:rFonts w:ascii="Book Antiqua" w:hAnsi="Book Antiqua" w:cs="Times New Roman"/>
          <w:noProof w:val="0"/>
          <w:sz w:val="26"/>
          <w:szCs w:val="26"/>
        </w:rPr>
        <w:t>Les niveaux de chômage les plus élevés sont observés dans les régions de Guelmim-Oued Noun (1</w:t>
      </w:r>
      <w:r w:rsidR="00E06D29">
        <w:rPr>
          <w:rFonts w:ascii="Book Antiqua" w:hAnsi="Book Antiqua" w:cs="Times New Roman"/>
          <w:noProof w:val="0"/>
          <w:sz w:val="26"/>
          <w:szCs w:val="26"/>
        </w:rPr>
        <w:t>9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,</w:t>
      </w:r>
      <w:r w:rsidR="00E06D29">
        <w:rPr>
          <w:rFonts w:ascii="Book Antiqua" w:hAnsi="Book Antiqua" w:cs="Times New Roman"/>
          <w:noProof w:val="0"/>
          <w:sz w:val="26"/>
          <w:szCs w:val="26"/>
        </w:rPr>
        <w:t>8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%) et de l’Oriental (17,</w:t>
      </w:r>
      <w:r w:rsidR="00E06D29">
        <w:rPr>
          <w:rFonts w:ascii="Book Antiqua" w:hAnsi="Book Antiqua" w:cs="Times New Roman"/>
          <w:noProof w:val="0"/>
          <w:sz w:val="26"/>
          <w:szCs w:val="26"/>
        </w:rPr>
        <w:t>6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%). </w:t>
      </w:r>
      <w:r w:rsidR="00E06D29">
        <w:rPr>
          <w:rFonts w:ascii="Book Antiqua" w:hAnsi="Book Antiqua" w:cs="Times New Roman"/>
          <w:noProof w:val="0"/>
          <w:sz w:val="26"/>
          <w:szCs w:val="26"/>
        </w:rPr>
        <w:t xml:space="preserve">Avec </w:t>
      </w:r>
      <w:r w:rsidR="000B6D30">
        <w:rPr>
          <w:rFonts w:ascii="Book Antiqua" w:hAnsi="Book Antiqua" w:cs="Times New Roman"/>
          <w:noProof w:val="0"/>
          <w:sz w:val="26"/>
          <w:szCs w:val="26"/>
        </w:rPr>
        <w:t>moins d’</w:t>
      </w:r>
      <w:r w:rsidR="00E1507A">
        <w:rPr>
          <w:rFonts w:ascii="Book Antiqua" w:hAnsi="Book Antiqua" w:cs="Times New Roman"/>
          <w:noProof w:val="0"/>
          <w:sz w:val="26"/>
          <w:szCs w:val="26"/>
        </w:rPr>
        <w:t>acuité</w:t>
      </w:r>
      <w:r w:rsidR="00E06D29">
        <w:rPr>
          <w:rFonts w:ascii="Book Antiqua" w:hAnsi="Book Antiqua" w:cs="Times New Roman"/>
          <w:noProof w:val="0"/>
          <w:sz w:val="26"/>
          <w:szCs w:val="26"/>
        </w:rPr>
        <w:t xml:space="preserve">, quatre 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autres régions </w:t>
      </w:r>
      <w:r w:rsidR="00E06D29">
        <w:rPr>
          <w:rFonts w:ascii="Book Antiqua" w:hAnsi="Book Antiqua" w:cs="Times New Roman"/>
          <w:noProof w:val="0"/>
          <w:sz w:val="26"/>
          <w:szCs w:val="26"/>
        </w:rPr>
        <w:t xml:space="preserve">dépassent la moyenne nationale (11,5%) 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à savoir Rabat-Salé-Kenitra (</w:t>
      </w:r>
      <w:r w:rsidR="00E06D29">
        <w:rPr>
          <w:rFonts w:ascii="Book Antiqua" w:hAnsi="Book Antiqua" w:cs="Times New Roman"/>
          <w:noProof w:val="0"/>
          <w:sz w:val="26"/>
          <w:szCs w:val="26"/>
        </w:rPr>
        <w:t>13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%), Laayoune- Sakia El Hamra (</w:t>
      </w:r>
      <w:r w:rsidR="00E06D29">
        <w:rPr>
          <w:rFonts w:ascii="Book Antiqua" w:hAnsi="Book Antiqua" w:cs="Times New Roman"/>
          <w:noProof w:val="0"/>
          <w:sz w:val="26"/>
          <w:szCs w:val="26"/>
        </w:rPr>
        <w:t>11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,</w:t>
      </w:r>
      <w:r w:rsidR="00E06D29">
        <w:rPr>
          <w:rFonts w:ascii="Book Antiqua" w:hAnsi="Book Antiqua" w:cs="Times New Roman"/>
          <w:noProof w:val="0"/>
          <w:sz w:val="26"/>
          <w:szCs w:val="26"/>
        </w:rPr>
        <w:t>9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%)</w:t>
      </w:r>
      <w:r w:rsidR="00E06D29" w:rsidRPr="008E381E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Casablanca-Settat (11,</w:t>
      </w:r>
      <w:r w:rsidR="00E06D29">
        <w:rPr>
          <w:rFonts w:ascii="Book Antiqua" w:hAnsi="Book Antiqua" w:cs="Times New Roman"/>
          <w:noProof w:val="0"/>
          <w:sz w:val="26"/>
          <w:szCs w:val="26"/>
        </w:rPr>
        <w:t>2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%)</w:t>
      </w:r>
      <w:r w:rsidR="00E06D29">
        <w:rPr>
          <w:rFonts w:ascii="Book Antiqua" w:hAnsi="Book Antiqua" w:cs="Times New Roman"/>
          <w:noProof w:val="0"/>
          <w:sz w:val="26"/>
          <w:szCs w:val="26"/>
        </w:rPr>
        <w:t xml:space="preserve"> et </w:t>
      </w:r>
      <w:r w:rsidR="00E06D29" w:rsidRPr="00E06D29">
        <w:rPr>
          <w:rFonts w:ascii="Book Antiqua" w:hAnsi="Book Antiqua" w:cs="Times New Roman"/>
          <w:noProof w:val="0"/>
          <w:sz w:val="26"/>
          <w:szCs w:val="26"/>
        </w:rPr>
        <w:t>Souss-Massa</w:t>
      </w:r>
      <w:r w:rsidR="00E06D29" w:rsidRPr="008E381E">
        <w:rPr>
          <w:rFonts w:ascii="Book Antiqua" w:hAnsi="Book Antiqua" w:cs="Times New Roman"/>
          <w:noProof w:val="0"/>
          <w:sz w:val="26"/>
          <w:szCs w:val="26"/>
        </w:rPr>
        <w:t xml:space="preserve"> (1</w:t>
      </w:r>
      <w:r w:rsidR="00E06D29">
        <w:rPr>
          <w:rFonts w:ascii="Book Antiqua" w:hAnsi="Book Antiqua" w:cs="Times New Roman"/>
          <w:noProof w:val="0"/>
          <w:sz w:val="26"/>
          <w:szCs w:val="26"/>
        </w:rPr>
        <w:t>0</w:t>
      </w:r>
      <w:r w:rsidR="00E06D29" w:rsidRPr="008E381E">
        <w:rPr>
          <w:rFonts w:ascii="Book Antiqua" w:hAnsi="Book Antiqua" w:cs="Times New Roman"/>
          <w:noProof w:val="0"/>
          <w:sz w:val="26"/>
          <w:szCs w:val="26"/>
        </w:rPr>
        <w:t>,</w:t>
      </w:r>
      <w:r w:rsidR="00E06D29">
        <w:rPr>
          <w:rFonts w:ascii="Book Antiqua" w:hAnsi="Book Antiqua" w:cs="Times New Roman"/>
          <w:noProof w:val="0"/>
          <w:sz w:val="26"/>
          <w:szCs w:val="26"/>
        </w:rPr>
        <w:t>7</w:t>
      </w:r>
      <w:r w:rsidR="00E06D29" w:rsidRPr="008E381E">
        <w:rPr>
          <w:rFonts w:ascii="Book Antiqua" w:hAnsi="Book Antiqua" w:cs="Times New Roman"/>
          <w:noProof w:val="0"/>
          <w:sz w:val="26"/>
          <w:szCs w:val="26"/>
        </w:rPr>
        <w:t>%)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.</w:t>
      </w:r>
      <w:r w:rsidR="00CD7920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En revanche, </w:t>
      </w:r>
      <w:r w:rsidR="000B6D30">
        <w:rPr>
          <w:rFonts w:ascii="Book Antiqua" w:hAnsi="Book Antiqua" w:cs="Times New Roman"/>
          <w:noProof w:val="0"/>
          <w:sz w:val="26"/>
          <w:szCs w:val="26"/>
        </w:rPr>
        <w:t xml:space="preserve">les 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région</w:t>
      </w:r>
      <w:r w:rsidR="000B6D30">
        <w:rPr>
          <w:rFonts w:ascii="Book Antiqua" w:hAnsi="Book Antiqua" w:cs="Times New Roman"/>
          <w:noProof w:val="0"/>
          <w:sz w:val="26"/>
          <w:szCs w:val="26"/>
        </w:rPr>
        <w:t>s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 de Drâa-Tafilalet </w:t>
      </w:r>
      <w:r w:rsidR="000B6D30"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="000B6D30" w:rsidRPr="008E381E">
        <w:rPr>
          <w:rFonts w:ascii="Book Antiqua" w:hAnsi="Book Antiqua" w:cs="Times New Roman"/>
          <w:noProof w:val="0"/>
          <w:sz w:val="26"/>
          <w:szCs w:val="26"/>
        </w:rPr>
        <w:t xml:space="preserve">de Béni Mellal- Khénifra </w:t>
      </w:r>
      <w:r w:rsidR="000B6D30">
        <w:rPr>
          <w:rFonts w:ascii="Book Antiqua" w:hAnsi="Book Antiqua" w:cs="Times New Roman"/>
          <w:noProof w:val="0"/>
          <w:sz w:val="26"/>
          <w:szCs w:val="26"/>
        </w:rPr>
        <w:t>enregistrent les niveaux les plus bas avec respectivement 5,3% et 7,3%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</w:p>
    <w:p w:rsidR="00E94782" w:rsidRDefault="00E94782" w:rsidP="00E94782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CD7920" w:rsidRDefault="00CD7920" w:rsidP="00E53E54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CD7920" w:rsidRDefault="00CD7920" w:rsidP="00CD7920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CD7920" w:rsidRDefault="00CD7920" w:rsidP="00CD7920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CD7920" w:rsidRDefault="00CD7920" w:rsidP="00CD7920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CD7920" w:rsidRDefault="00CD7920" w:rsidP="00CD7920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CD7920" w:rsidRDefault="00CD7920" w:rsidP="00CD7920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CD7920" w:rsidRDefault="00CD7920" w:rsidP="00CD7920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0E735D" w:rsidRDefault="000E735D" w:rsidP="000E735D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0E735D" w:rsidRDefault="000E735D" w:rsidP="000E735D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CD7920" w:rsidRDefault="00CD7920" w:rsidP="00CD7920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8E381E" w:rsidRPr="00E94782" w:rsidRDefault="008E381E" w:rsidP="00CD7920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E94782">
        <w:rPr>
          <w:rFonts w:ascii="Book Antiqua" w:hAnsi="Book Antiqua" w:cs="Times New Roman"/>
          <w:b/>
          <w:bCs/>
          <w:noProof w:val="0"/>
          <w:sz w:val="24"/>
          <w:szCs w:val="24"/>
        </w:rPr>
        <w:lastRenderedPageBreak/>
        <w:t>Figure 8 : Taux de chômage selon les régions et le milieu de résidence (en%)</w:t>
      </w:r>
    </w:p>
    <w:p w:rsidR="008E381E" w:rsidRPr="006448E0" w:rsidRDefault="008E381E" w:rsidP="008E381E">
      <w:pPr>
        <w:bidi w:val="0"/>
        <w:ind w:left="116" w:right="76"/>
        <w:jc w:val="both"/>
        <w:rPr>
          <w:rFonts w:ascii="Book Antiqua" w:hAnsi="Book Antiqua" w:cs="Times New Roman"/>
          <w:sz w:val="12"/>
          <w:szCs w:val="12"/>
        </w:rPr>
      </w:pPr>
    </w:p>
    <w:p w:rsidR="008E381E" w:rsidRPr="004852AF" w:rsidRDefault="006448E0" w:rsidP="008E381E">
      <w:pPr>
        <w:bidi w:val="0"/>
        <w:ind w:left="116" w:right="76"/>
        <w:jc w:val="both"/>
        <w:rPr>
          <w:rFonts w:ascii="Book Antiqua" w:hAnsi="Book Antiqua" w:cs="Times New Roman"/>
          <w:sz w:val="24"/>
          <w:szCs w:val="24"/>
        </w:rPr>
      </w:pPr>
      <w:r w:rsidRPr="006448E0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973420" cy="2706624"/>
            <wp:effectExtent l="19050" t="0" r="27330" b="0"/>
            <wp:docPr id="11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B6D30" w:rsidRPr="005B3E54" w:rsidRDefault="000B6D30" w:rsidP="000B6D30">
      <w:pPr>
        <w:jc w:val="right"/>
        <w:rPr>
          <w:sz w:val="16"/>
          <w:szCs w:val="16"/>
        </w:rPr>
      </w:pPr>
      <w:r w:rsidRPr="005B3E54">
        <w:rPr>
          <w:sz w:val="16"/>
          <w:szCs w:val="16"/>
        </w:rPr>
        <w:t>*  information non disponible pour le milieu rural</w:t>
      </w:r>
      <w:r>
        <w:rPr>
          <w:sz w:val="16"/>
          <w:szCs w:val="16"/>
        </w:rPr>
        <w:t xml:space="preserve">  </w:t>
      </w:r>
    </w:p>
    <w:p w:rsidR="000B6D30" w:rsidRPr="005B3E54" w:rsidRDefault="000B6D30" w:rsidP="000B6D30">
      <w:pPr>
        <w:jc w:val="right"/>
        <w:rPr>
          <w:sz w:val="16"/>
          <w:szCs w:val="16"/>
        </w:rPr>
      </w:pPr>
      <w:r w:rsidRPr="005B3E54">
        <w:rPr>
          <w:sz w:val="16"/>
          <w:szCs w:val="16"/>
        </w:rPr>
        <w:t>**  information non significative pour le milieu rural</w:t>
      </w:r>
    </w:p>
    <w:p w:rsidR="008E381E" w:rsidRPr="000B6D30" w:rsidRDefault="008E381E" w:rsidP="008E381E">
      <w:pPr>
        <w:jc w:val="right"/>
      </w:pPr>
    </w:p>
    <w:p w:rsidR="008E381E" w:rsidRPr="008E381E" w:rsidRDefault="00421D22" w:rsidP="00185B83">
      <w:pPr>
        <w:bidi w:val="0"/>
        <w:ind w:left="116" w:right="76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Par ailleurs, l’incidence de 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>sous- emploi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dépasse la moyenne nationale (9,8%)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F47042">
        <w:rPr>
          <w:rFonts w:ascii="Book Antiqua" w:hAnsi="Book Antiqua" w:cs="Times New Roman"/>
          <w:noProof w:val="0"/>
          <w:sz w:val="26"/>
          <w:szCs w:val="26"/>
        </w:rPr>
        <w:t xml:space="preserve">au </w:t>
      </w:r>
      <w:r w:rsidR="00F47042" w:rsidRPr="008E381E">
        <w:rPr>
          <w:rFonts w:ascii="Book Antiqua" w:hAnsi="Book Antiqua" w:cs="Times New Roman"/>
          <w:noProof w:val="0"/>
          <w:sz w:val="26"/>
          <w:szCs w:val="26"/>
        </w:rPr>
        <w:t>niveau de</w:t>
      </w:r>
      <w:r w:rsidR="00F47042">
        <w:rPr>
          <w:rFonts w:ascii="Book Antiqua" w:hAnsi="Book Antiqua" w:cs="Times New Roman"/>
          <w:noProof w:val="0"/>
          <w:sz w:val="26"/>
          <w:szCs w:val="26"/>
        </w:rPr>
        <w:t xml:space="preserve"> quatre régions. </w:t>
      </w:r>
      <w:r>
        <w:rPr>
          <w:rFonts w:ascii="Book Antiqua" w:hAnsi="Book Antiqua" w:cs="Times New Roman"/>
          <w:noProof w:val="0"/>
          <w:sz w:val="26"/>
          <w:szCs w:val="26"/>
        </w:rPr>
        <w:t>Avec 15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>,</w:t>
      </w:r>
      <w:r>
        <w:rPr>
          <w:rFonts w:ascii="Book Antiqua" w:hAnsi="Book Antiqua" w:cs="Times New Roman"/>
          <w:noProof w:val="0"/>
          <w:sz w:val="26"/>
          <w:szCs w:val="26"/>
        </w:rPr>
        <w:t>8</w:t>
      </w:r>
      <w:r w:rsidRPr="008E381E">
        <w:rPr>
          <w:rFonts w:ascii="Book Antiqua" w:hAnsi="Book Antiqua" w:cs="Times New Roman"/>
          <w:noProof w:val="0"/>
          <w:sz w:val="26"/>
          <w:szCs w:val="26"/>
        </w:rPr>
        <w:t xml:space="preserve">%, </w:t>
      </w:r>
      <w:r w:rsidR="00185B83">
        <w:rPr>
          <w:rFonts w:ascii="Book Antiqua" w:hAnsi="Book Antiqua" w:cs="Times New Roman"/>
          <w:noProof w:val="0"/>
          <w:sz w:val="26"/>
          <w:szCs w:val="26"/>
        </w:rPr>
        <w:t xml:space="preserve">la région de </w:t>
      </w:r>
      <w:r w:rsidR="00F47042" w:rsidRPr="00F47042">
        <w:rPr>
          <w:rFonts w:ascii="Book Antiqua" w:hAnsi="Book Antiqua" w:cs="Times New Roman"/>
          <w:noProof w:val="0"/>
          <w:sz w:val="26"/>
          <w:szCs w:val="26"/>
        </w:rPr>
        <w:t xml:space="preserve">Béni Mellal-Khénifra </w:t>
      </w:r>
      <w:r w:rsidR="00F47042">
        <w:rPr>
          <w:rFonts w:ascii="Book Antiqua" w:hAnsi="Book Antiqua" w:cs="Times New Roman"/>
          <w:noProof w:val="0"/>
          <w:sz w:val="26"/>
          <w:szCs w:val="26"/>
        </w:rPr>
        <w:t>vient en premier lieu</w:t>
      </w:r>
      <w:r>
        <w:rPr>
          <w:rFonts w:ascii="Book Antiqua" w:hAnsi="Book Antiqua" w:cs="Times New Roman"/>
          <w:noProof w:val="0"/>
          <w:sz w:val="26"/>
          <w:szCs w:val="26"/>
        </w:rPr>
        <w:t>,</w:t>
      </w:r>
      <w:r w:rsidR="00F47042">
        <w:rPr>
          <w:rFonts w:ascii="Book Antiqua" w:hAnsi="Book Antiqua" w:cs="Times New Roman"/>
          <w:noProof w:val="0"/>
          <w:sz w:val="26"/>
          <w:szCs w:val="26"/>
        </w:rPr>
        <w:t xml:space="preserve"> suivie de </w:t>
      </w:r>
      <w:r w:rsidR="00F47042" w:rsidRPr="00F47042">
        <w:rPr>
          <w:rFonts w:ascii="Book Antiqua" w:hAnsi="Book Antiqua" w:cs="Times New Roman"/>
          <w:noProof w:val="0"/>
          <w:sz w:val="26"/>
          <w:szCs w:val="26"/>
        </w:rPr>
        <w:t xml:space="preserve">Fès-Meknès 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>(15,</w:t>
      </w:r>
      <w:r w:rsidR="00B91AAD">
        <w:rPr>
          <w:rFonts w:ascii="Book Antiqua" w:hAnsi="Book Antiqua" w:cs="Times New Roman"/>
          <w:noProof w:val="0"/>
          <w:sz w:val="26"/>
          <w:szCs w:val="26"/>
        </w:rPr>
        <w:t>7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>%), Tanger-Tétouan-Al Hoceima (</w:t>
      </w:r>
      <w:r w:rsidR="00B91AAD">
        <w:rPr>
          <w:rFonts w:ascii="Book Antiqua" w:hAnsi="Book Antiqua" w:cs="Times New Roman"/>
          <w:noProof w:val="0"/>
          <w:sz w:val="26"/>
          <w:szCs w:val="26"/>
        </w:rPr>
        <w:t>15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>%)</w:t>
      </w:r>
      <w:r w:rsidR="00B91AAD">
        <w:rPr>
          <w:rFonts w:ascii="Book Antiqua" w:hAnsi="Book Antiqua" w:cs="Times New Roman"/>
          <w:noProof w:val="0"/>
          <w:sz w:val="26"/>
          <w:szCs w:val="26"/>
        </w:rPr>
        <w:t xml:space="preserve"> et </w:t>
      </w:r>
      <w:r w:rsidR="00B91AAD" w:rsidRPr="008E381E">
        <w:rPr>
          <w:rFonts w:ascii="Book Antiqua" w:hAnsi="Book Antiqua" w:cs="Times New Roman"/>
          <w:noProof w:val="0"/>
          <w:sz w:val="26"/>
          <w:szCs w:val="26"/>
        </w:rPr>
        <w:t>l’Oriental (1</w:t>
      </w:r>
      <w:r w:rsidR="00B91AAD">
        <w:rPr>
          <w:rFonts w:ascii="Book Antiqua" w:hAnsi="Book Antiqua" w:cs="Times New Roman"/>
          <w:noProof w:val="0"/>
          <w:sz w:val="26"/>
          <w:szCs w:val="26"/>
        </w:rPr>
        <w:t>3</w:t>
      </w:r>
      <w:r w:rsidR="00B91AAD" w:rsidRPr="008E381E">
        <w:rPr>
          <w:rFonts w:ascii="Book Antiqua" w:hAnsi="Book Antiqua" w:cs="Times New Roman"/>
          <w:noProof w:val="0"/>
          <w:sz w:val="26"/>
          <w:szCs w:val="26"/>
        </w:rPr>
        <w:t>,7%)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3E5AD3">
        <w:rPr>
          <w:rFonts w:ascii="Book Antiqua" w:hAnsi="Book Antiqua" w:cs="Times New Roman"/>
          <w:noProof w:val="0"/>
          <w:sz w:val="26"/>
          <w:szCs w:val="26"/>
        </w:rPr>
        <w:t>Les niveaux les plus faibles sont enregistrés, en revanche</w:t>
      </w:r>
      <w:r>
        <w:rPr>
          <w:rFonts w:ascii="Book Antiqua" w:hAnsi="Book Antiqua" w:cs="Times New Roman"/>
          <w:noProof w:val="0"/>
          <w:sz w:val="26"/>
          <w:szCs w:val="26"/>
        </w:rPr>
        <w:t>,</w:t>
      </w:r>
      <w:r w:rsidR="00B91AAD">
        <w:rPr>
          <w:rFonts w:ascii="Book Antiqua" w:hAnsi="Book Antiqua" w:cs="Times New Roman"/>
          <w:noProof w:val="0"/>
          <w:sz w:val="26"/>
          <w:szCs w:val="26"/>
        </w:rPr>
        <w:t xml:space="preserve"> dans les 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>région</w:t>
      </w:r>
      <w:r w:rsidR="00B91AAD">
        <w:rPr>
          <w:rFonts w:ascii="Book Antiqua" w:hAnsi="Book Antiqua" w:cs="Times New Roman"/>
          <w:noProof w:val="0"/>
          <w:sz w:val="26"/>
          <w:szCs w:val="26"/>
        </w:rPr>
        <w:t>s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 xml:space="preserve"> de Guelmim-Oued Noun (3,4%) </w:t>
      </w:r>
      <w:r w:rsidR="003E5AD3"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="008E381E" w:rsidRPr="008E381E">
        <w:rPr>
          <w:rFonts w:ascii="Book Antiqua" w:hAnsi="Book Antiqua" w:cs="Times New Roman"/>
          <w:noProof w:val="0"/>
          <w:sz w:val="26"/>
          <w:szCs w:val="26"/>
        </w:rPr>
        <w:t xml:space="preserve">Drâa-Tafilalet (4,5%). </w:t>
      </w:r>
    </w:p>
    <w:p w:rsidR="008E381E" w:rsidRDefault="008E381E" w:rsidP="008E381E">
      <w:pPr>
        <w:bidi w:val="0"/>
        <w:rPr>
          <w:rFonts w:ascii="Book Antiqua" w:hAnsi="Book Antiqua" w:cs="Times New Roman"/>
          <w:sz w:val="24"/>
          <w:szCs w:val="24"/>
        </w:rPr>
      </w:pPr>
    </w:p>
    <w:p w:rsidR="008E381E" w:rsidRPr="00E94782" w:rsidRDefault="008E381E" w:rsidP="008E381E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E94782">
        <w:rPr>
          <w:rFonts w:ascii="Book Antiqua" w:hAnsi="Book Antiqua" w:cs="Times New Roman"/>
          <w:b/>
          <w:bCs/>
          <w:noProof w:val="0"/>
          <w:sz w:val="24"/>
          <w:szCs w:val="24"/>
        </w:rPr>
        <w:t>Figure 9 : Taux de sous-emploi selon les régions et le milieu de résidence (en%)</w:t>
      </w:r>
    </w:p>
    <w:p w:rsidR="008E381E" w:rsidRPr="009C447E" w:rsidRDefault="008E381E" w:rsidP="008E381E">
      <w:pPr>
        <w:bidi w:val="0"/>
        <w:rPr>
          <w:rFonts w:ascii="Book Antiqua" w:hAnsi="Book Antiqua" w:cs="Times New Roman"/>
          <w:sz w:val="12"/>
          <w:szCs w:val="12"/>
        </w:rPr>
      </w:pPr>
    </w:p>
    <w:p w:rsidR="00AC7468" w:rsidRDefault="00AC7468">
      <w:pPr>
        <w:bidi w:val="0"/>
        <w:rPr>
          <w:rFonts w:ascii="Book Antiqua" w:hAnsi="Book Antiqua" w:cs="Times New Roman"/>
          <w:sz w:val="24"/>
          <w:szCs w:val="24"/>
        </w:rPr>
      </w:pPr>
      <w:r w:rsidRPr="00AC7468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972810" cy="2724150"/>
            <wp:effectExtent l="19050" t="0" r="27940" b="0"/>
            <wp:docPr id="1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1507A" w:rsidRPr="005B3E54" w:rsidRDefault="00E1507A" w:rsidP="00E1507A">
      <w:pPr>
        <w:jc w:val="right"/>
        <w:rPr>
          <w:sz w:val="16"/>
          <w:szCs w:val="16"/>
        </w:rPr>
      </w:pPr>
      <w:r w:rsidRPr="005B3E54">
        <w:rPr>
          <w:sz w:val="16"/>
          <w:szCs w:val="16"/>
        </w:rPr>
        <w:t>*  information non disponible pour le milieu rural</w:t>
      </w:r>
      <w:r>
        <w:rPr>
          <w:sz w:val="16"/>
          <w:szCs w:val="16"/>
        </w:rPr>
        <w:t xml:space="preserve">  </w:t>
      </w:r>
    </w:p>
    <w:p w:rsidR="009C447E" w:rsidRDefault="00E1507A" w:rsidP="00E1507A">
      <w:pPr>
        <w:bidi w:val="0"/>
        <w:rPr>
          <w:sz w:val="16"/>
          <w:szCs w:val="16"/>
        </w:rPr>
      </w:pPr>
      <w:r w:rsidRPr="005B3E54">
        <w:rPr>
          <w:sz w:val="16"/>
          <w:szCs w:val="16"/>
        </w:rPr>
        <w:t>**  information non significative pour le milieu rural</w:t>
      </w:r>
    </w:p>
    <w:p w:rsidR="00E1507A" w:rsidRDefault="00E1507A" w:rsidP="00E1507A">
      <w:pPr>
        <w:bidi w:val="0"/>
        <w:rPr>
          <w:sz w:val="16"/>
          <w:szCs w:val="16"/>
        </w:rPr>
      </w:pPr>
    </w:p>
    <w:p w:rsidR="00E1507A" w:rsidRDefault="00E1507A" w:rsidP="00E1507A">
      <w:pPr>
        <w:bidi w:val="0"/>
        <w:rPr>
          <w:sz w:val="16"/>
          <w:szCs w:val="16"/>
        </w:rPr>
      </w:pPr>
    </w:p>
    <w:p w:rsidR="00E1507A" w:rsidRDefault="00E1507A" w:rsidP="00E1507A">
      <w:pPr>
        <w:bidi w:val="0"/>
        <w:rPr>
          <w:sz w:val="16"/>
          <w:szCs w:val="16"/>
        </w:rPr>
      </w:pPr>
    </w:p>
    <w:p w:rsidR="00185B83" w:rsidRDefault="00185B83">
      <w:pPr>
        <w:bidi w:val="0"/>
        <w:rPr>
          <w:rFonts w:ascii="Book Antiqua" w:hAnsi="Book Antiqua" w:cs="Times New Roman"/>
          <w:sz w:val="24"/>
          <w:szCs w:val="24"/>
        </w:rPr>
      </w:pPr>
    </w:p>
    <w:p w:rsidR="00185B83" w:rsidRDefault="00185B83">
      <w:pPr>
        <w:bidi w:val="0"/>
        <w:rPr>
          <w:rFonts w:ascii="Book Antiqua" w:hAnsi="Book Antiqua" w:cs="Times New Roman"/>
          <w:b/>
          <w:bCs/>
          <w:color w:val="0070C0"/>
          <w:kern w:val="32"/>
          <w:sz w:val="24"/>
          <w:szCs w:val="24"/>
        </w:rPr>
      </w:pPr>
      <w:r>
        <w:rPr>
          <w:rFonts w:ascii="Book Antiqua" w:hAnsi="Book Antiqua" w:cs="Times New Roman"/>
          <w:color w:val="0070C0"/>
          <w:sz w:val="24"/>
          <w:szCs w:val="24"/>
        </w:rPr>
        <w:br w:type="page"/>
      </w:r>
    </w:p>
    <w:p w:rsidR="009B7BDC" w:rsidRPr="00754D0C" w:rsidRDefault="009B7BDC" w:rsidP="006F2D9D">
      <w:pPr>
        <w:pStyle w:val="Titre1"/>
        <w:spacing w:after="0"/>
        <w:jc w:val="center"/>
        <w:rPr>
          <w:rFonts w:ascii="Book Antiqua" w:hAnsi="Book Antiqua"/>
        </w:rPr>
      </w:pPr>
      <w:r>
        <w:rPr>
          <w:rFonts w:ascii="Book Antiqua" w:hAnsi="Book Antiqua" w:cs="Times New Roman"/>
          <w:color w:val="0070C0"/>
          <w:sz w:val="24"/>
          <w:szCs w:val="24"/>
        </w:rPr>
        <w:lastRenderedPageBreak/>
        <w:t>I</w:t>
      </w:r>
      <w:r w:rsidRPr="00754D0C">
        <w:rPr>
          <w:rFonts w:ascii="Book Antiqua" w:hAnsi="Book Antiqua" w:cs="Times New Roman"/>
          <w:color w:val="0070C0"/>
          <w:sz w:val="24"/>
          <w:szCs w:val="24"/>
        </w:rPr>
        <w:t xml:space="preserve">ndicateurs </w:t>
      </w:r>
      <w:r w:rsidR="001228F8">
        <w:rPr>
          <w:rFonts w:ascii="Book Antiqua" w:hAnsi="Book Antiqua" w:cs="Times New Roman"/>
          <w:color w:val="0070C0"/>
          <w:sz w:val="24"/>
          <w:szCs w:val="24"/>
        </w:rPr>
        <w:t>trimestriels</w:t>
      </w:r>
      <w:r w:rsidR="006F2D9D">
        <w:rPr>
          <w:rFonts w:ascii="Book Antiqua" w:hAnsi="Book Antiqua" w:cs="Times New Roman"/>
          <w:color w:val="0070C0"/>
          <w:sz w:val="24"/>
          <w:szCs w:val="24"/>
        </w:rPr>
        <w:t xml:space="preserve"> </w:t>
      </w:r>
      <w:r w:rsidRPr="00754D0C">
        <w:rPr>
          <w:rFonts w:ascii="Book Antiqua" w:hAnsi="Book Antiqua" w:cs="Times New Roman"/>
          <w:color w:val="0070C0"/>
          <w:sz w:val="24"/>
          <w:szCs w:val="24"/>
        </w:rPr>
        <w:t xml:space="preserve">d'activité, d’emploi et de chômage par milieu de résidence </w:t>
      </w:r>
      <w:r w:rsidRPr="00754D0C">
        <w:rPr>
          <w:rFonts w:ascii="Book Antiqua" w:hAnsi="Book Antiqua" w:cs="Times New Roman"/>
          <w:color w:val="0070C0"/>
          <w:sz w:val="24"/>
          <w:szCs w:val="24"/>
          <w:vertAlign w:val="superscript"/>
        </w:rPr>
        <w:t>(1)</w:t>
      </w:r>
    </w:p>
    <w:p w:rsidR="009B7BDC" w:rsidRPr="00BE751A" w:rsidRDefault="009B7BDC" w:rsidP="00F71AEA">
      <w:pPr>
        <w:pStyle w:val="Corpsdetexte2"/>
        <w:jc w:val="both"/>
        <w:rPr>
          <w:rFonts w:ascii="Book Antiqua" w:hAnsi="Book Antiqua" w:cs="Times New Roman"/>
          <w:sz w:val="20"/>
        </w:rPr>
      </w:pPr>
      <w:r w:rsidRPr="00754D0C"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                               </w:t>
      </w:r>
      <w:r w:rsidRPr="00BE751A">
        <w:rPr>
          <w:rFonts w:ascii="Book Antiqua" w:hAnsi="Book Antiqua" w:cs="Times New Roman"/>
          <w:sz w:val="20"/>
        </w:rPr>
        <w:t>(</w:t>
      </w:r>
      <w:r w:rsidR="00F71AEA">
        <w:rPr>
          <w:rFonts w:ascii="Book Antiqua" w:hAnsi="Book Antiqua" w:cs="Times New Roman"/>
          <w:sz w:val="20"/>
        </w:rPr>
        <w:t>Effectifs en milliers, t</w:t>
      </w:r>
      <w:r w:rsidRPr="00BE751A">
        <w:rPr>
          <w:rFonts w:ascii="Book Antiqua" w:hAnsi="Book Antiqua" w:cs="Times New Roman"/>
          <w:sz w:val="20"/>
        </w:rPr>
        <w:t xml:space="preserve">aux </w:t>
      </w:r>
      <w:r w:rsidR="006F2D9D">
        <w:rPr>
          <w:rFonts w:ascii="Book Antiqua" w:hAnsi="Book Antiqua" w:cs="Times New Roman"/>
          <w:sz w:val="20"/>
        </w:rPr>
        <w:t xml:space="preserve">et structures </w:t>
      </w:r>
      <w:r w:rsidRPr="00BE751A">
        <w:rPr>
          <w:rFonts w:ascii="Book Antiqua" w:hAnsi="Book Antiqua" w:cs="Times New Roman"/>
          <w:sz w:val="20"/>
        </w:rPr>
        <w:t xml:space="preserve">en %) </w:t>
      </w:r>
    </w:p>
    <w:tbl>
      <w:tblPr>
        <w:tblW w:w="106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8"/>
        <w:gridCol w:w="849"/>
        <w:gridCol w:w="952"/>
        <w:gridCol w:w="1123"/>
        <w:gridCol w:w="1124"/>
        <w:gridCol w:w="1122"/>
        <w:gridCol w:w="1123"/>
      </w:tblGrid>
      <w:tr w:rsidR="002334EC" w:rsidRPr="00645857" w:rsidTr="000B6D30">
        <w:trPr>
          <w:jc w:val="center"/>
        </w:trPr>
        <w:tc>
          <w:tcPr>
            <w:tcW w:w="4348" w:type="dxa"/>
            <w:vMerge w:val="restart"/>
            <w:vAlign w:val="center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Indicateurs</w:t>
            </w:r>
          </w:p>
        </w:tc>
        <w:tc>
          <w:tcPr>
            <w:tcW w:w="2924" w:type="dxa"/>
            <w:gridSpan w:val="3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/>
                <w:b/>
                <w:spacing w:val="-2"/>
              </w:rPr>
            </w:pPr>
            <w:r w:rsidRPr="00645857">
              <w:rPr>
                <w:rFonts w:ascii="Garamond" w:hAnsi="Garamond"/>
                <w:b/>
                <w:spacing w:val="-2"/>
              </w:rPr>
              <w:t>1</w:t>
            </w:r>
            <w:r w:rsidRPr="00645857">
              <w:rPr>
                <w:rFonts w:ascii="Garamond" w:hAnsi="Garamond"/>
                <w:b/>
                <w:spacing w:val="-2"/>
                <w:vertAlign w:val="superscript"/>
              </w:rPr>
              <w:t>er</w:t>
            </w:r>
            <w:r w:rsidRPr="00645857">
              <w:rPr>
                <w:rFonts w:ascii="Garamond" w:hAnsi="Garamond"/>
                <w:b/>
                <w:spacing w:val="-2"/>
              </w:rPr>
              <w:t xml:space="preserve">  trimestre 2017</w:t>
            </w:r>
          </w:p>
        </w:tc>
        <w:tc>
          <w:tcPr>
            <w:tcW w:w="3369" w:type="dxa"/>
            <w:gridSpan w:val="3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/>
                <w:b/>
                <w:spacing w:val="-2"/>
              </w:rPr>
            </w:pPr>
            <w:r w:rsidRPr="00645857">
              <w:rPr>
                <w:rFonts w:ascii="Garamond" w:hAnsi="Garamond"/>
                <w:b/>
                <w:spacing w:val="-2"/>
              </w:rPr>
              <w:t>1</w:t>
            </w:r>
            <w:r w:rsidRPr="00645857">
              <w:rPr>
                <w:rFonts w:ascii="Garamond" w:hAnsi="Garamond"/>
                <w:b/>
                <w:spacing w:val="-2"/>
                <w:vertAlign w:val="superscript"/>
              </w:rPr>
              <w:t>er</w:t>
            </w:r>
            <w:r w:rsidRPr="00645857">
              <w:rPr>
                <w:rFonts w:ascii="Garamond" w:hAnsi="Garamond"/>
                <w:b/>
                <w:spacing w:val="-2"/>
              </w:rPr>
              <w:t xml:space="preserve">  trimestre 201</w:t>
            </w:r>
            <w:r>
              <w:rPr>
                <w:rFonts w:ascii="Garamond" w:hAnsi="Garamond"/>
                <w:b/>
                <w:spacing w:val="-2"/>
              </w:rPr>
              <w:t>8</w:t>
            </w:r>
          </w:p>
        </w:tc>
      </w:tr>
      <w:tr w:rsidR="002334EC" w:rsidRPr="00645857" w:rsidTr="000B6D30">
        <w:trPr>
          <w:trHeight w:val="235"/>
          <w:jc w:val="center"/>
        </w:trPr>
        <w:tc>
          <w:tcPr>
            <w:tcW w:w="4348" w:type="dxa"/>
            <w:vMerge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849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645857">
              <w:rPr>
                <w:rFonts w:ascii="Garamond" w:hAnsi="Garamond" w:cs="Times New Roman"/>
                <w:b/>
                <w:spacing w:val="-2"/>
                <w:lang w:val="en-GB"/>
              </w:rPr>
              <w:t>Urbain</w:t>
            </w:r>
          </w:p>
        </w:tc>
        <w:tc>
          <w:tcPr>
            <w:tcW w:w="952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645857">
              <w:rPr>
                <w:rFonts w:ascii="Garamond" w:hAnsi="Garamond" w:cs="Times New Roman"/>
                <w:b/>
                <w:spacing w:val="-2"/>
                <w:lang w:val="en-GB"/>
              </w:rPr>
              <w:t>Rural</w:t>
            </w:r>
          </w:p>
        </w:tc>
        <w:tc>
          <w:tcPr>
            <w:tcW w:w="1123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645857">
              <w:rPr>
                <w:rFonts w:ascii="Garamond" w:hAnsi="Garamond" w:cs="Times New Roman"/>
                <w:b/>
                <w:spacing w:val="-2"/>
                <w:lang w:val="en-GB"/>
              </w:rPr>
              <w:t>National</w:t>
            </w:r>
          </w:p>
        </w:tc>
        <w:tc>
          <w:tcPr>
            <w:tcW w:w="1124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645857">
              <w:rPr>
                <w:rFonts w:ascii="Garamond" w:hAnsi="Garamond" w:cs="Times New Roman"/>
                <w:b/>
                <w:spacing w:val="-2"/>
                <w:lang w:val="en-GB"/>
              </w:rPr>
              <w:t>Urbain</w:t>
            </w:r>
          </w:p>
        </w:tc>
        <w:tc>
          <w:tcPr>
            <w:tcW w:w="1122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645857">
              <w:rPr>
                <w:rFonts w:ascii="Garamond" w:hAnsi="Garamond" w:cs="Times New Roman"/>
                <w:b/>
                <w:spacing w:val="-2"/>
                <w:lang w:val="en-GB"/>
              </w:rPr>
              <w:t>Rural</w:t>
            </w:r>
          </w:p>
        </w:tc>
        <w:tc>
          <w:tcPr>
            <w:tcW w:w="1123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National</w:t>
            </w:r>
          </w:p>
        </w:tc>
      </w:tr>
      <w:tr w:rsidR="002334EC" w:rsidRPr="00645857" w:rsidTr="000B6D30">
        <w:trPr>
          <w:trHeight w:val="170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i/>
                <w:spacing w:val="-2"/>
              </w:rPr>
              <w:t xml:space="preserve"> Activité et emploi ( 15 ans et plus )</w:t>
            </w:r>
          </w:p>
        </w:tc>
        <w:tc>
          <w:tcPr>
            <w:tcW w:w="849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952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1123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1124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1122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1123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Population active (en milliers)</w:t>
            </w:r>
          </w:p>
        </w:tc>
        <w:tc>
          <w:tcPr>
            <w:tcW w:w="849" w:type="dxa"/>
            <w:vAlign w:val="bottom"/>
          </w:tcPr>
          <w:p w:rsidR="002334EC" w:rsidRPr="00645857" w:rsidRDefault="002334EC" w:rsidP="000B6D30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645857">
              <w:rPr>
                <w:rFonts w:ascii="Garamond" w:hAnsi="Garamond" w:cs="Calibri"/>
                <w:b/>
                <w:bCs/>
                <w:color w:val="000000"/>
              </w:rPr>
              <w:t>6911</w:t>
            </w:r>
          </w:p>
        </w:tc>
        <w:tc>
          <w:tcPr>
            <w:tcW w:w="952" w:type="dxa"/>
            <w:vAlign w:val="bottom"/>
          </w:tcPr>
          <w:p w:rsidR="002334EC" w:rsidRPr="00645857" w:rsidRDefault="002334EC" w:rsidP="000B6D30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645857">
              <w:rPr>
                <w:rFonts w:ascii="Garamond" w:hAnsi="Garamond" w:cs="Calibri"/>
                <w:b/>
                <w:bCs/>
                <w:color w:val="000000"/>
              </w:rPr>
              <w:t>5151</w:t>
            </w:r>
          </w:p>
        </w:tc>
        <w:tc>
          <w:tcPr>
            <w:tcW w:w="1123" w:type="dxa"/>
            <w:vAlign w:val="bottom"/>
          </w:tcPr>
          <w:p w:rsidR="002334EC" w:rsidRPr="00645857" w:rsidRDefault="002334EC" w:rsidP="000B6D30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645857">
              <w:rPr>
                <w:rFonts w:ascii="Garamond" w:hAnsi="Garamond" w:cs="Calibri"/>
                <w:b/>
                <w:bCs/>
                <w:color w:val="000000"/>
              </w:rPr>
              <w:t>12062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6994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5160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12154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Taux de féminisation de la population active</w:t>
            </w:r>
          </w:p>
        </w:tc>
        <w:tc>
          <w:tcPr>
            <w:tcW w:w="849" w:type="dxa"/>
            <w:vAlign w:val="center"/>
          </w:tcPr>
          <w:p w:rsidR="002334EC" w:rsidRPr="00AC7709" w:rsidRDefault="002334EC" w:rsidP="000B6D30">
            <w:pPr>
              <w:jc w:val="center"/>
              <w:rPr>
                <w:rFonts w:ascii="Garamond" w:hAnsi="Garamond"/>
              </w:rPr>
            </w:pPr>
            <w:r w:rsidRPr="00AC7709">
              <w:rPr>
                <w:rFonts w:ascii="Garamond" w:hAnsi="Garamond"/>
                <w:rtl/>
              </w:rPr>
              <w:t>23,1</w:t>
            </w:r>
          </w:p>
        </w:tc>
        <w:tc>
          <w:tcPr>
            <w:tcW w:w="952" w:type="dxa"/>
            <w:vAlign w:val="center"/>
          </w:tcPr>
          <w:p w:rsidR="002334EC" w:rsidRPr="00AC7709" w:rsidRDefault="002334EC" w:rsidP="000B6D30">
            <w:pPr>
              <w:jc w:val="center"/>
              <w:rPr>
                <w:rFonts w:ascii="Garamond" w:hAnsi="Garamond"/>
              </w:rPr>
            </w:pPr>
            <w:r w:rsidRPr="00AC7709">
              <w:rPr>
                <w:rFonts w:ascii="Garamond" w:hAnsi="Garamond"/>
                <w:rtl/>
              </w:rPr>
              <w:t>28,3</w:t>
            </w:r>
          </w:p>
        </w:tc>
        <w:tc>
          <w:tcPr>
            <w:tcW w:w="1123" w:type="dxa"/>
            <w:vAlign w:val="center"/>
          </w:tcPr>
          <w:p w:rsidR="002334EC" w:rsidRPr="00AC7709" w:rsidRDefault="002334EC" w:rsidP="000B6D30">
            <w:pPr>
              <w:jc w:val="center"/>
              <w:rPr>
                <w:rFonts w:ascii="Garamond" w:hAnsi="Garamond"/>
              </w:rPr>
            </w:pPr>
            <w:r w:rsidRPr="00AC7709">
              <w:rPr>
                <w:rFonts w:ascii="Garamond" w:hAnsi="Garamond"/>
                <w:rtl/>
              </w:rPr>
              <w:t>25,3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22,9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28,6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25,3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Taux d'activité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43,1</w:t>
            </w: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54,9</w:t>
            </w: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47,5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42,4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55,4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47,1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. Selon le sexe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68,1</w:t>
            </w: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78,2</w:t>
            </w: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71,9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67,3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78,8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71,5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19,4</w:t>
            </w: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31,4</w:t>
            </w: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23,7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18,9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31,9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23,5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. Selon l’âge</w:t>
            </w:r>
          </w:p>
        </w:tc>
        <w:tc>
          <w:tcPr>
            <w:tcW w:w="849" w:type="dxa"/>
            <w:vAlign w:val="bottom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2" w:type="dxa"/>
            <w:vAlign w:val="bottom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3" w:type="dxa"/>
            <w:vAlign w:val="bottom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15 - 24 ans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23,1</w:t>
            </w: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36,8</w:t>
            </w: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28,7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22,1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</w:pPr>
            <w:r>
              <w:rPr>
                <w:rtl/>
              </w:rPr>
              <w:t>37,0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</w:pPr>
            <w:r>
              <w:rPr>
                <w:rtl/>
              </w:rPr>
              <w:t>28,1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25 - 34 ans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59,5</w:t>
            </w: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63,4</w:t>
            </w: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60,9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59,5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64,2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61,1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35 - 44 ans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58,3</w:t>
            </w: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68,4</w:t>
            </w: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61,9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57,9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69,5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61,9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45 ans et plus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37,1</w:t>
            </w: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56,4</w:t>
            </w: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44,0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36,0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56,6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43,2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36,9</w:t>
            </w: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56,9</w:t>
            </w: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46,8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36,6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57,8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46,9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48,1</w:t>
            </w: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49,4</w:t>
            </w: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48,3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47,1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48,9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47,4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i/>
                <w:spacing w:val="-2"/>
              </w:rPr>
              <w:t xml:space="preserve">- </w:t>
            </w:r>
            <w:r w:rsidRPr="00645857">
              <w:rPr>
                <w:rFonts w:ascii="Garamond" w:hAnsi="Garamond" w:cs="Times New Roman"/>
                <w:b/>
                <w:spacing w:val="-2"/>
              </w:rPr>
              <w:t>Population active occupée (en milliers)</w:t>
            </w:r>
          </w:p>
        </w:tc>
        <w:tc>
          <w:tcPr>
            <w:tcW w:w="849" w:type="dxa"/>
            <w:vAlign w:val="bottom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  <w:b/>
                <w:bCs/>
              </w:rPr>
            </w:pPr>
            <w:r w:rsidRPr="00645857">
              <w:rPr>
                <w:rFonts w:ascii="Garamond" w:hAnsi="Garamond"/>
                <w:b/>
                <w:bCs/>
              </w:rPr>
              <w:t>5828</w:t>
            </w:r>
          </w:p>
        </w:tc>
        <w:tc>
          <w:tcPr>
            <w:tcW w:w="952" w:type="dxa"/>
            <w:vAlign w:val="bottom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  <w:b/>
                <w:bCs/>
              </w:rPr>
            </w:pPr>
            <w:r w:rsidRPr="00645857">
              <w:rPr>
                <w:rFonts w:ascii="Garamond" w:hAnsi="Garamond"/>
                <w:b/>
                <w:bCs/>
              </w:rPr>
              <w:t>4938</w:t>
            </w:r>
          </w:p>
        </w:tc>
        <w:tc>
          <w:tcPr>
            <w:tcW w:w="1123" w:type="dxa"/>
            <w:vAlign w:val="bottom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  <w:b/>
                <w:bCs/>
              </w:rPr>
            </w:pPr>
            <w:r w:rsidRPr="00645857">
              <w:rPr>
                <w:rFonts w:ascii="Garamond" w:hAnsi="Garamond"/>
                <w:b/>
                <w:bCs/>
              </w:rPr>
              <w:t>10766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5905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4977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10882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Taux d’emploi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36,3</w:t>
            </w: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52,7</w:t>
            </w: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42,4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35,8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53,5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42,2</w:t>
            </w:r>
          </w:p>
        </w:tc>
      </w:tr>
      <w:tr w:rsidR="002334EC" w:rsidRPr="00645857" w:rsidTr="000B6D30">
        <w:trPr>
          <w:trHeight w:val="586"/>
          <w:jc w:val="center"/>
        </w:trPr>
        <w:tc>
          <w:tcPr>
            <w:tcW w:w="4348" w:type="dxa"/>
          </w:tcPr>
          <w:p w:rsidR="002334EC" w:rsidRPr="00645857" w:rsidRDefault="002334EC" w:rsidP="001A4896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Part de l’emploi  rémunéré dans l’emploi total. Dont :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96,6</w:t>
            </w: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63,1</w:t>
            </w: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81,2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96,7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63,8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81,7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- Salariés   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68,5</w:t>
            </w: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42,1</w:t>
            </w: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59,1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67,9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40,5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58,1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- Auto-employés    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31,1</w:t>
            </w: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57,8</w:t>
            </w: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40,6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32,1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59,5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41,9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pStyle w:val="ListParagraph1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Garamond" w:hAnsi="Garamond"/>
                <w:b/>
                <w:spacing w:val="-2"/>
                <w:sz w:val="20"/>
                <w:szCs w:val="20"/>
              </w:rPr>
            </w:pPr>
            <w:r w:rsidRPr="00645857">
              <w:rPr>
                <w:rFonts w:ascii="Garamond" w:hAnsi="Garamond"/>
                <w:b/>
                <w:spacing w:val="-2"/>
                <w:sz w:val="20"/>
                <w:szCs w:val="20"/>
              </w:rPr>
              <w:t>- Population active occupée sous employée (en milliers)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  <w:b/>
                <w:bCs/>
              </w:rPr>
            </w:pPr>
            <w:r w:rsidRPr="00645857">
              <w:rPr>
                <w:rFonts w:ascii="Garamond" w:hAnsi="Garamond"/>
                <w:b/>
                <w:bCs/>
              </w:rPr>
              <w:t>550</w:t>
            </w: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  <w:b/>
                <w:bCs/>
              </w:rPr>
            </w:pPr>
            <w:r w:rsidRPr="00645857">
              <w:rPr>
                <w:rFonts w:ascii="Garamond" w:hAnsi="Garamond"/>
                <w:b/>
                <w:bCs/>
              </w:rPr>
              <w:t>507</w:t>
            </w: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  <w:b/>
                <w:bCs/>
              </w:rPr>
            </w:pPr>
            <w:r w:rsidRPr="00645857">
              <w:rPr>
                <w:rFonts w:ascii="Garamond" w:hAnsi="Garamond"/>
                <w:b/>
                <w:bCs/>
              </w:rPr>
              <w:t>1057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558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532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1090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Taux de sous emploi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9,4</w:t>
            </w: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10,3</w:t>
            </w: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9,8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9,4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10,7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10,0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i/>
                <w:spacing w:val="-2"/>
              </w:rPr>
              <w:t xml:space="preserve">  Chômage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4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- Population active en chômage (en milliers)   </w:t>
            </w:r>
          </w:p>
        </w:tc>
        <w:tc>
          <w:tcPr>
            <w:tcW w:w="849" w:type="dxa"/>
            <w:vAlign w:val="bottom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  <w:b/>
                <w:bCs/>
              </w:rPr>
            </w:pPr>
            <w:r w:rsidRPr="00645857">
              <w:rPr>
                <w:rFonts w:ascii="Garamond" w:hAnsi="Garamond"/>
                <w:b/>
                <w:bCs/>
              </w:rPr>
              <w:t>1083</w:t>
            </w:r>
          </w:p>
        </w:tc>
        <w:tc>
          <w:tcPr>
            <w:tcW w:w="952" w:type="dxa"/>
            <w:vAlign w:val="bottom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  <w:b/>
                <w:bCs/>
              </w:rPr>
            </w:pPr>
            <w:r w:rsidRPr="00645857">
              <w:rPr>
                <w:rFonts w:ascii="Garamond" w:hAnsi="Garamond"/>
                <w:b/>
                <w:bCs/>
              </w:rPr>
              <w:t>213</w:t>
            </w:r>
          </w:p>
        </w:tc>
        <w:tc>
          <w:tcPr>
            <w:tcW w:w="1123" w:type="dxa"/>
            <w:vAlign w:val="bottom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  <w:b/>
                <w:bCs/>
              </w:rPr>
            </w:pPr>
            <w:r w:rsidRPr="00645857">
              <w:rPr>
                <w:rFonts w:ascii="Garamond" w:hAnsi="Garamond"/>
                <w:b/>
                <w:bCs/>
              </w:rPr>
              <w:t>1296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1089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183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1272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- Taux de féminisation de la population </w:t>
            </w:r>
          </w:p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active en chômage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37,2</w:t>
            </w: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21,3</w:t>
            </w: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34,6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39,4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</w:pPr>
            <w:r>
              <w:rPr>
                <w:rtl/>
              </w:rPr>
              <w:t>18,9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36,5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Taux de chômage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15,7</w:t>
            </w: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4,1</w:t>
            </w: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10,7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15,6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3,5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10,5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. Selon le sexe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4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12,8</w:t>
            </w: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4,5</w:t>
            </w: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9,4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12,2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4,0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8,9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25,2</w:t>
            </w: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3,1</w:t>
            </w: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14,7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26,8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2,3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15,1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. Selon l'âge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15-24 ans 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41,5</w:t>
            </w: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10,9</w:t>
            </w: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25,5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</w:pPr>
            <w:r>
              <w:rPr>
                <w:rtl/>
              </w:rPr>
              <w:t>43,5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</w:pPr>
            <w:r>
              <w:rPr>
                <w:rtl/>
              </w:rPr>
              <w:t>10,1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</w:pPr>
            <w:r>
              <w:rPr>
                <w:rtl/>
              </w:rPr>
              <w:t>25,7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25-34 ans 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23,2</w:t>
            </w: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5,6</w:t>
            </w: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16,6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</w:pPr>
            <w:r>
              <w:rPr>
                <w:rtl/>
              </w:rPr>
              <w:t>23,7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4,5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16,7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35-44 ans 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9,1</w:t>
            </w: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2,1</w:t>
            </w: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6,3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8,2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1,3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5,5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45 ans et plus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4,0</w:t>
            </w: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1,0</w:t>
            </w: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2,6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3,7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1,2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2,5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7,5</w:t>
            </w: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2,1</w:t>
            </w: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4,3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7,1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1,9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4,0</w:t>
            </w:r>
          </w:p>
        </w:tc>
      </w:tr>
      <w:tr w:rsidR="002334EC" w:rsidRPr="00645857" w:rsidTr="000B6D30">
        <w:trPr>
          <w:trHeight w:val="284"/>
          <w:jc w:val="center"/>
        </w:trPr>
        <w:tc>
          <w:tcPr>
            <w:tcW w:w="4348" w:type="dxa"/>
          </w:tcPr>
          <w:p w:rsidR="002334EC" w:rsidRPr="00645857" w:rsidRDefault="002334EC" w:rsidP="000B6D30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20,7</w:t>
            </w:r>
          </w:p>
        </w:tc>
        <w:tc>
          <w:tcPr>
            <w:tcW w:w="952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10,7</w:t>
            </w:r>
          </w:p>
        </w:tc>
        <w:tc>
          <w:tcPr>
            <w:tcW w:w="1123" w:type="dxa"/>
            <w:vAlign w:val="center"/>
          </w:tcPr>
          <w:p w:rsidR="002334EC" w:rsidRPr="00645857" w:rsidRDefault="002334EC" w:rsidP="000B6D30">
            <w:pPr>
              <w:jc w:val="center"/>
              <w:rPr>
                <w:rFonts w:ascii="Garamond" w:hAnsi="Garamond"/>
              </w:rPr>
            </w:pPr>
            <w:r w:rsidRPr="00645857">
              <w:rPr>
                <w:rFonts w:ascii="Garamond" w:hAnsi="Garamond"/>
              </w:rPr>
              <w:t>18,5</w:t>
            </w:r>
          </w:p>
        </w:tc>
        <w:tc>
          <w:tcPr>
            <w:tcW w:w="1124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20,8</w:t>
            </w:r>
          </w:p>
        </w:tc>
        <w:tc>
          <w:tcPr>
            <w:tcW w:w="1122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9,0</w:t>
            </w:r>
          </w:p>
        </w:tc>
        <w:tc>
          <w:tcPr>
            <w:tcW w:w="1123" w:type="dxa"/>
            <w:vAlign w:val="center"/>
          </w:tcPr>
          <w:p w:rsidR="002334EC" w:rsidRDefault="002334EC" w:rsidP="000B6D30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18,3</w:t>
            </w:r>
          </w:p>
        </w:tc>
      </w:tr>
    </w:tbl>
    <w:p w:rsidR="009B7BDC" w:rsidRDefault="009B7BDC" w:rsidP="00654EF2">
      <w:pPr>
        <w:tabs>
          <w:tab w:val="left" w:pos="-720"/>
        </w:tabs>
        <w:suppressAutoHyphens/>
        <w:jc w:val="right"/>
      </w:pPr>
      <w:r w:rsidRPr="00754D0C"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Source</w:t>
      </w:r>
      <w:r w:rsidRPr="00754D0C">
        <w:rPr>
          <w:rFonts w:ascii="Book Antiqua" w:hAnsi="Book Antiqua" w:cs="Times New Roman"/>
          <w:b/>
          <w:spacing w:val="-2"/>
          <w:sz w:val="16"/>
          <w:szCs w:val="16"/>
        </w:rPr>
        <w:t xml:space="preserve"> :</w:t>
      </w:r>
      <w:r w:rsidRPr="00754D0C">
        <w:rPr>
          <w:rFonts w:ascii="Book Antiqua" w:hAnsi="Book Antiqua" w:cs="Times New Roman"/>
          <w:spacing w:val="-2"/>
          <w:sz w:val="16"/>
          <w:szCs w:val="16"/>
        </w:rPr>
        <w:t xml:space="preserve"> </w:t>
      </w:r>
      <w:r w:rsidRPr="00754D0C">
        <w:rPr>
          <w:rFonts w:ascii="Book Antiqua" w:hAnsi="Book Antiqua" w:cs="Times New Roman"/>
          <w:b/>
          <w:spacing w:val="-2"/>
          <w:sz w:val="16"/>
          <w:szCs w:val="16"/>
        </w:rPr>
        <w:t>Enquête nationale sur l'emploi, Haut Commissariat au Plan</w:t>
      </w:r>
      <w:r w:rsidRPr="00754D0C">
        <w:rPr>
          <w:rFonts w:ascii="Book Antiqua" w:hAnsi="Book Antiqua" w:cs="Times New Roman"/>
          <w:spacing w:val="-2"/>
          <w:sz w:val="16"/>
          <w:szCs w:val="16"/>
        </w:rPr>
        <w:t xml:space="preserve">  (</w:t>
      </w:r>
      <w:r w:rsidRPr="00754D0C">
        <w:rPr>
          <w:rFonts w:ascii="Book Antiqua" w:hAnsi="Book Antiqua" w:cs="Times New Roman"/>
          <w:b/>
          <w:spacing w:val="-2"/>
          <w:sz w:val="16"/>
          <w:szCs w:val="16"/>
        </w:rPr>
        <w:t>Direction de la Statistique).</w:t>
      </w:r>
      <w:r>
        <w:rPr>
          <w:rFonts w:ascii="Book Antiqua" w:hAnsi="Book Antiqua" w:cs="Times New Roman"/>
          <w:b/>
          <w:spacing w:val="-2"/>
          <w:sz w:val="16"/>
          <w:szCs w:val="16"/>
        </w:rPr>
        <w:t xml:space="preserve"> </w:t>
      </w:r>
      <w:r w:rsidRPr="00754D0C">
        <w:rPr>
          <w:rFonts w:ascii="Book Antiqua" w:hAnsi="Book Antiqua" w:cs="Times New Roman"/>
          <w:b/>
          <w:sz w:val="16"/>
          <w:szCs w:val="16"/>
        </w:rPr>
        <w:t xml:space="preserve">(1) Pour les définitions des concepts et indicateurs utilisés, se référer au glossaire disponible sur le site web du HCP : </w:t>
      </w:r>
      <w:hyperlink r:id="rId17" w:history="1">
        <w:r w:rsidRPr="00754D0C">
          <w:rPr>
            <w:rStyle w:val="Lienhypertexte"/>
            <w:rFonts w:ascii="Book Antiqua" w:hAnsi="Book Antiqua"/>
            <w:b/>
            <w:sz w:val="16"/>
            <w:szCs w:val="16"/>
          </w:rPr>
          <w:t>http://www.hcp.ma</w:t>
        </w:r>
      </w:hyperlink>
    </w:p>
    <w:sectPr w:rsidR="009B7BDC" w:rsidSect="001702E4">
      <w:footerReference w:type="even" r:id="rId18"/>
      <w:footerReference w:type="default" r:id="rId19"/>
      <w:pgSz w:w="12240" w:h="15840"/>
      <w:pgMar w:top="851" w:right="1418" w:bottom="1077" w:left="1276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913" w:rsidRDefault="00D47913" w:rsidP="009B7BDC">
      <w:r>
        <w:separator/>
      </w:r>
    </w:p>
  </w:endnote>
  <w:endnote w:type="continuationSeparator" w:id="1">
    <w:p w:rsidR="00D47913" w:rsidRDefault="00D47913" w:rsidP="009B7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D30" w:rsidRDefault="00AE71B8" w:rsidP="001702E4">
    <w:pPr>
      <w:pStyle w:val="Pieddepage"/>
      <w:framePr w:wrap="around" w:vAnchor="text" w:hAnchor="margin" w:xAlign="center" w:y="1"/>
      <w:rPr>
        <w:rStyle w:val="Numrodepage"/>
        <w:rFonts w:cs="Traditional Arabic"/>
      </w:rPr>
    </w:pPr>
    <w:r>
      <w:rPr>
        <w:rStyle w:val="Numrodepage"/>
        <w:rFonts w:cs="Traditional Arabic"/>
      </w:rPr>
      <w:fldChar w:fldCharType="begin"/>
    </w:r>
    <w:r w:rsidR="000B6D30">
      <w:rPr>
        <w:rStyle w:val="Numrodepage"/>
        <w:rFonts w:cs="Traditional Arabic"/>
      </w:rPr>
      <w:instrText xml:space="preserve">PAGE  </w:instrText>
    </w:r>
    <w:r>
      <w:rPr>
        <w:rStyle w:val="Numrodepage"/>
        <w:rFonts w:cs="Traditional Arabic"/>
      </w:rPr>
      <w:fldChar w:fldCharType="end"/>
    </w:r>
  </w:p>
  <w:p w:rsidR="000B6D30" w:rsidRDefault="000B6D3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D30" w:rsidRDefault="00AE71B8">
    <w:pPr>
      <w:pStyle w:val="Pieddepage"/>
      <w:jc w:val="center"/>
    </w:pPr>
    <w:fldSimple w:instr=" PAGE   \* MERGEFORMAT ">
      <w:r w:rsidR="00585E03">
        <w:rPr>
          <w:rtl/>
        </w:rPr>
        <w:t>1</w:t>
      </w:r>
    </w:fldSimple>
  </w:p>
  <w:p w:rsidR="000B6D30" w:rsidRDefault="000B6D3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913" w:rsidRDefault="00D47913" w:rsidP="009B7BDC">
      <w:r>
        <w:separator/>
      </w:r>
    </w:p>
  </w:footnote>
  <w:footnote w:type="continuationSeparator" w:id="1">
    <w:p w:rsidR="00D47913" w:rsidRDefault="00D47913" w:rsidP="009B7BDC">
      <w:r>
        <w:continuationSeparator/>
      </w:r>
    </w:p>
  </w:footnote>
  <w:footnote w:id="2">
    <w:p w:rsidR="000B6D30" w:rsidRDefault="000B6D30" w:rsidP="00892C5F">
      <w:pPr>
        <w:pStyle w:val="Notedebasdepage"/>
        <w:rPr>
          <w:rFonts w:ascii="Book Antiqua" w:hAnsi="Book Antiqua"/>
          <w:spacing w:val="-2"/>
          <w:sz w:val="18"/>
          <w:szCs w:val="18"/>
          <w:lang w:eastAsia="en-US"/>
        </w:rPr>
      </w:pPr>
      <w:r>
        <w:rPr>
          <w:rStyle w:val="Appelnotedebasdep"/>
        </w:rPr>
        <w:footnoteRef/>
      </w:r>
      <w:r>
        <w:t xml:space="preserve"> </w:t>
      </w:r>
      <w:r w:rsidRPr="00311472">
        <w:rPr>
          <w:rFonts w:ascii="Book Antiqua" w:hAnsi="Book Antiqua"/>
          <w:sz w:val="18"/>
          <w:szCs w:val="18"/>
        </w:rPr>
        <w:t>Les diplômes de n</w:t>
      </w:r>
      <w:r w:rsidRPr="00311472">
        <w:rPr>
          <w:rFonts w:ascii="Book Antiqua" w:hAnsi="Book Antiqua"/>
          <w:spacing w:val="-2"/>
          <w:sz w:val="18"/>
          <w:szCs w:val="18"/>
          <w:lang w:eastAsia="en-US"/>
        </w:rPr>
        <w:t xml:space="preserve">iveau moyen regroupent les certificats de l'enseignement primaire, ceux du secondaire collégial et les </w:t>
      </w:r>
      <w:r>
        <w:rPr>
          <w:rFonts w:ascii="Book Antiqua" w:hAnsi="Book Antiqua"/>
          <w:spacing w:val="-2"/>
          <w:sz w:val="18"/>
          <w:szCs w:val="18"/>
          <w:lang w:eastAsia="en-US"/>
        </w:rPr>
        <w:t xml:space="preserve"> </w:t>
      </w:r>
    </w:p>
    <w:p w:rsidR="000B6D30" w:rsidRDefault="000B6D30" w:rsidP="00892C5F">
      <w:pPr>
        <w:pStyle w:val="Notedebasdepage"/>
      </w:pPr>
      <w:r w:rsidRPr="00311472">
        <w:rPr>
          <w:rFonts w:ascii="Book Antiqua" w:hAnsi="Book Antiqua"/>
          <w:spacing w:val="-2"/>
          <w:sz w:val="18"/>
          <w:szCs w:val="18"/>
          <w:lang w:eastAsia="en-US"/>
        </w:rPr>
        <w:t>diplômes de qualification ou de spécialisation professionnelle.</w:t>
      </w:r>
    </w:p>
  </w:footnote>
  <w:footnote w:id="3">
    <w:p w:rsidR="000B6D30" w:rsidRDefault="000B6D3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311472">
        <w:rPr>
          <w:rFonts w:ascii="Book Antiqua" w:hAnsi="Book Antiqua"/>
          <w:sz w:val="18"/>
          <w:szCs w:val="18"/>
        </w:rPr>
        <w:t>Les diplômes de n</w:t>
      </w:r>
      <w:r w:rsidRPr="00311472">
        <w:rPr>
          <w:rFonts w:ascii="Book Antiqua" w:hAnsi="Book Antiqua"/>
          <w:spacing w:val="-2"/>
          <w:sz w:val="18"/>
          <w:szCs w:val="18"/>
          <w:lang w:eastAsia="en-US"/>
        </w:rPr>
        <w:t>iveau</w:t>
      </w:r>
      <w:r w:rsidRPr="00311472">
        <w:rPr>
          <w:rFonts w:ascii="Book Antiqua" w:hAnsi="Book Antiqua"/>
          <w:sz w:val="18"/>
          <w:szCs w:val="18"/>
        </w:rPr>
        <w:t xml:space="preserve"> supérieur </w:t>
      </w:r>
      <w:r w:rsidRPr="00311472">
        <w:rPr>
          <w:rFonts w:ascii="Book Antiqua" w:hAnsi="Book Antiqua"/>
          <w:spacing w:val="-2"/>
          <w:sz w:val="18"/>
          <w:szCs w:val="18"/>
          <w:lang w:eastAsia="en-US"/>
        </w:rPr>
        <w:t>regroupent les b</w:t>
      </w:r>
      <w:r w:rsidRPr="00311472">
        <w:rPr>
          <w:rFonts w:ascii="Book Antiqua" w:hAnsi="Book Antiqua"/>
          <w:sz w:val="18"/>
          <w:szCs w:val="18"/>
        </w:rPr>
        <w:t>accalauréats, les diplômes de techniciens ou de techniciens</w:t>
      </w:r>
      <w:r>
        <w:rPr>
          <w:rFonts w:ascii="Book Antiqua" w:hAnsi="Book Antiqua"/>
          <w:sz w:val="18"/>
          <w:szCs w:val="18"/>
        </w:rPr>
        <w:t xml:space="preserve">   </w:t>
      </w:r>
      <w:r w:rsidRPr="00311472">
        <w:rPr>
          <w:rFonts w:ascii="Book Antiqua" w:hAnsi="Book Antiqua"/>
          <w:sz w:val="18"/>
          <w:szCs w:val="18"/>
        </w:rPr>
        <w:t>spécialisés et les diplômes d'enseignement supérieur (facultés, grandes écoles et instituts).</w:t>
      </w:r>
    </w:p>
  </w:footnote>
  <w:footnote w:id="4">
    <w:p w:rsidR="000B6D30" w:rsidRPr="00006F8E" w:rsidRDefault="000B6D30" w:rsidP="00DF3461">
      <w:pPr>
        <w:pStyle w:val="Notedebasdepage"/>
        <w:rPr>
          <w:rFonts w:ascii="Book Antiqua" w:hAnsi="Book Antiqua"/>
          <w:sz w:val="18"/>
          <w:szCs w:val="18"/>
        </w:rPr>
      </w:pPr>
      <w:r>
        <w:rPr>
          <w:rFonts w:ascii="Book Antiqua" w:hAnsi="Book Antiqua" w:cs="Traditional Arabic"/>
          <w:b/>
          <w:bCs/>
          <w:noProof/>
          <w:color w:val="222222"/>
          <w:sz w:val="18"/>
          <w:szCs w:val="18"/>
          <w:shd w:val="clear" w:color="auto" w:fill="FFFFFF"/>
        </w:rPr>
        <w:t>(</w:t>
      </w:r>
      <w:r w:rsidRPr="00006F8E">
        <w:rPr>
          <w:rFonts w:ascii="Book Antiqua" w:hAnsi="Book Antiqua" w:cs="Traditional Arabic"/>
          <w:b/>
          <w:bCs/>
          <w:noProof/>
          <w:color w:val="222222"/>
          <w:sz w:val="18"/>
          <w:szCs w:val="18"/>
          <w:shd w:val="clear" w:color="auto" w:fill="FFFFFF"/>
        </w:rPr>
        <w:footnoteRef/>
      </w:r>
      <w:r>
        <w:rPr>
          <w:rFonts w:ascii="Book Antiqua" w:hAnsi="Book Antiqua" w:cs="Traditional Arabic"/>
          <w:b/>
          <w:bCs/>
          <w:noProof/>
          <w:color w:val="222222"/>
          <w:sz w:val="18"/>
          <w:szCs w:val="18"/>
          <w:shd w:val="clear" w:color="auto" w:fill="FFFFFF"/>
        </w:rPr>
        <w:t xml:space="preserve">) </w:t>
      </w:r>
      <w:r w:rsidRPr="00006F8E">
        <w:rPr>
          <w:rFonts w:ascii="Book Antiqua" w:hAnsi="Book Antiqua" w:cs="Traditional Arabic"/>
          <w:b/>
          <w:bCs/>
          <w:noProof/>
          <w:color w:val="222222"/>
          <w:sz w:val="18"/>
          <w:szCs w:val="18"/>
          <w:shd w:val="clear" w:color="auto" w:fill="FFFFFF"/>
        </w:rPr>
        <w:t xml:space="preserve"> </w:t>
      </w:r>
      <w:r w:rsidRPr="00006F8E">
        <w:rPr>
          <w:rFonts w:ascii="Book Antiqua" w:hAnsi="Book Antiqua"/>
          <w:sz w:val="18"/>
          <w:szCs w:val="18"/>
        </w:rPr>
        <w:t>Le sous emploi est constitué d’une composante lié</w:t>
      </w:r>
      <w:r>
        <w:rPr>
          <w:rFonts w:ascii="Book Antiqua" w:hAnsi="Book Antiqua"/>
          <w:sz w:val="18"/>
          <w:szCs w:val="18"/>
        </w:rPr>
        <w:t>e</w:t>
      </w:r>
      <w:r w:rsidRPr="00006F8E">
        <w:rPr>
          <w:rFonts w:ascii="Book Antiqua" w:hAnsi="Book Antiqua"/>
          <w:sz w:val="18"/>
          <w:szCs w:val="18"/>
        </w:rPr>
        <w:t xml:space="preserve"> au nombre d’heures travaillées et d’une autre liée aux autres formes d’emploi</w:t>
      </w:r>
      <w:r>
        <w:rPr>
          <w:rFonts w:ascii="Book Antiqua" w:hAnsi="Book Antiqua"/>
          <w:sz w:val="18"/>
          <w:szCs w:val="18"/>
        </w:rPr>
        <w:t>s</w:t>
      </w:r>
      <w:r w:rsidRPr="00006F8E">
        <w:rPr>
          <w:rFonts w:ascii="Book Antiqua" w:hAnsi="Book Antiqua"/>
          <w:sz w:val="18"/>
          <w:szCs w:val="18"/>
        </w:rPr>
        <w:t xml:space="preserve"> inadéquats notamment, l’insuffisance du revenu du travail et l’inadéquation entre la formation et l’emploi.</w:t>
      </w:r>
    </w:p>
  </w:footnote>
  <w:footnote w:id="5">
    <w:p w:rsidR="00523DAD" w:rsidRPr="0050778C" w:rsidRDefault="00523DAD" w:rsidP="002E12BA">
      <w:pPr>
        <w:pStyle w:val="Notedebasdepage"/>
      </w:pPr>
      <w:r w:rsidRPr="0050778C">
        <w:rPr>
          <w:rFonts w:ascii="Book Antiqua" w:hAnsi="Book Antiqua" w:cs="Traditional Arabic"/>
          <w:noProof/>
          <w:color w:val="222222"/>
          <w:sz w:val="18"/>
          <w:szCs w:val="18"/>
          <w:shd w:val="clear" w:color="auto" w:fill="FFFFFF"/>
        </w:rPr>
        <w:t>(</w:t>
      </w:r>
      <w:r w:rsidRPr="0050778C">
        <w:rPr>
          <w:rFonts w:ascii="Book Antiqua" w:hAnsi="Book Antiqua" w:cs="Traditional Arabic"/>
          <w:noProof/>
          <w:color w:val="222222"/>
          <w:sz w:val="18"/>
          <w:szCs w:val="18"/>
          <w:shd w:val="clear" w:color="auto" w:fill="FFFFFF"/>
        </w:rPr>
        <w:footnoteRef/>
      </w:r>
      <w:r w:rsidRPr="0050778C">
        <w:rPr>
          <w:rFonts w:ascii="Book Antiqua" w:hAnsi="Book Antiqua" w:cs="Traditional Arabic"/>
          <w:noProof/>
          <w:color w:val="222222"/>
          <w:sz w:val="18"/>
          <w:szCs w:val="18"/>
          <w:shd w:val="clear" w:color="auto" w:fill="FFFFFF"/>
        </w:rPr>
        <w:t xml:space="preserve">) </w:t>
      </w:r>
      <w:r w:rsidR="002E12BA" w:rsidRPr="0050778C">
        <w:rPr>
          <w:rFonts w:ascii="Book Antiqua" w:hAnsi="Book Antiqua" w:cs="Traditional Arabic"/>
          <w:noProof/>
          <w:color w:val="222222"/>
          <w:sz w:val="18"/>
          <w:szCs w:val="18"/>
          <w:shd w:val="clear" w:color="auto" w:fill="FFFFFF"/>
        </w:rPr>
        <w:t xml:space="preserve">De plus amples informations </w:t>
      </w:r>
      <w:r w:rsidR="0050778C">
        <w:rPr>
          <w:rFonts w:ascii="Book Antiqua" w:hAnsi="Book Antiqua" w:cs="Traditional Arabic"/>
          <w:noProof/>
          <w:color w:val="222222"/>
          <w:sz w:val="18"/>
          <w:szCs w:val="18"/>
          <w:shd w:val="clear" w:color="auto" w:fill="FFFFFF"/>
        </w:rPr>
        <w:t xml:space="preserve">territoriales </w:t>
      </w:r>
      <w:r w:rsidR="002E12BA" w:rsidRPr="0050778C">
        <w:rPr>
          <w:rFonts w:ascii="Book Antiqua" w:hAnsi="Book Antiqua" w:cs="Traditional Arabic"/>
          <w:noProof/>
          <w:color w:val="222222"/>
          <w:sz w:val="18"/>
          <w:szCs w:val="18"/>
          <w:shd w:val="clear" w:color="auto" w:fill="FFFFFF"/>
        </w:rPr>
        <w:t xml:space="preserve">feront </w:t>
      </w:r>
      <w:r w:rsidRPr="0050778C">
        <w:rPr>
          <w:rFonts w:ascii="Book Antiqua" w:hAnsi="Book Antiqua" w:cs="Traditional Arabic"/>
          <w:noProof/>
          <w:color w:val="222222"/>
          <w:sz w:val="18"/>
          <w:szCs w:val="18"/>
          <w:shd w:val="clear" w:color="auto" w:fill="FFFFFF"/>
        </w:rPr>
        <w:t xml:space="preserve">l’objet d’une note dédiée spécialement à la dimension régionale </w:t>
      </w:r>
      <w:r w:rsidR="002E12BA" w:rsidRPr="0050778C">
        <w:rPr>
          <w:rFonts w:ascii="Book Antiqua" w:hAnsi="Book Antiqua" w:cs="Traditional Arabic"/>
          <w:noProof/>
          <w:color w:val="222222"/>
          <w:sz w:val="18"/>
          <w:szCs w:val="18"/>
          <w:shd w:val="clear" w:color="auto" w:fill="FFFFFF"/>
        </w:rPr>
        <w:t>dont l’intégralité des résultats sera communiquée ultérieurement.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B88"/>
    <w:multiLevelType w:val="hybridMultilevel"/>
    <w:tmpl w:val="6284B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647FB"/>
    <w:multiLevelType w:val="hybridMultilevel"/>
    <w:tmpl w:val="60EA4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3252E"/>
    <w:multiLevelType w:val="multilevel"/>
    <w:tmpl w:val="1444FC56"/>
    <w:lvl w:ilvl="0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E5028"/>
    <w:multiLevelType w:val="hybridMultilevel"/>
    <w:tmpl w:val="CA64D512"/>
    <w:lvl w:ilvl="0" w:tplc="040C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4">
    <w:nsid w:val="0C490DED"/>
    <w:multiLevelType w:val="hybridMultilevel"/>
    <w:tmpl w:val="32160778"/>
    <w:lvl w:ilvl="0" w:tplc="047C79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632423" w:themeColor="accent2" w:themeShade="8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7140B"/>
    <w:multiLevelType w:val="hybridMultilevel"/>
    <w:tmpl w:val="341C882E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F80774"/>
    <w:multiLevelType w:val="hybridMultilevel"/>
    <w:tmpl w:val="AC721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AE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A76A5"/>
    <w:multiLevelType w:val="hybridMultilevel"/>
    <w:tmpl w:val="E52A0EAA"/>
    <w:lvl w:ilvl="0" w:tplc="040C0001">
      <w:start w:val="1"/>
      <w:numFmt w:val="bullet"/>
      <w:lvlText w:val=""/>
      <w:lvlJc w:val="left"/>
      <w:pPr>
        <w:tabs>
          <w:tab w:val="num" w:pos="667"/>
        </w:tabs>
        <w:ind w:left="667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51071"/>
    <w:multiLevelType w:val="hybridMultilevel"/>
    <w:tmpl w:val="CC7C5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F3A10"/>
    <w:multiLevelType w:val="hybridMultilevel"/>
    <w:tmpl w:val="5B0E8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02E55"/>
    <w:multiLevelType w:val="hybridMultilevel"/>
    <w:tmpl w:val="57FE3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15A71"/>
    <w:multiLevelType w:val="hybridMultilevel"/>
    <w:tmpl w:val="E43C9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239D6"/>
    <w:multiLevelType w:val="hybridMultilevel"/>
    <w:tmpl w:val="27E29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F5D91"/>
    <w:multiLevelType w:val="hybridMultilevel"/>
    <w:tmpl w:val="9768D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E142B"/>
    <w:multiLevelType w:val="hybridMultilevel"/>
    <w:tmpl w:val="EDECF442"/>
    <w:lvl w:ilvl="0" w:tplc="08A4DC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F56D4"/>
    <w:multiLevelType w:val="hybridMultilevel"/>
    <w:tmpl w:val="75526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980589"/>
    <w:multiLevelType w:val="hybridMultilevel"/>
    <w:tmpl w:val="081ECB6A"/>
    <w:lvl w:ilvl="0" w:tplc="783AD4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025097"/>
    <w:multiLevelType w:val="hybridMultilevel"/>
    <w:tmpl w:val="1444FC56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2C7102"/>
    <w:multiLevelType w:val="hybridMultilevel"/>
    <w:tmpl w:val="AB72E6B6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20162C"/>
    <w:multiLevelType w:val="hybridMultilevel"/>
    <w:tmpl w:val="FC08691E"/>
    <w:lvl w:ilvl="0" w:tplc="41D27E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0"/>
  </w:num>
  <w:num w:numId="9">
    <w:abstractNumId w:val="6"/>
  </w:num>
  <w:num w:numId="10">
    <w:abstractNumId w:val="19"/>
  </w:num>
  <w:num w:numId="11">
    <w:abstractNumId w:val="14"/>
  </w:num>
  <w:num w:numId="12">
    <w:abstractNumId w:val="12"/>
  </w:num>
  <w:num w:numId="13">
    <w:abstractNumId w:val="9"/>
  </w:num>
  <w:num w:numId="14">
    <w:abstractNumId w:val="13"/>
  </w:num>
  <w:num w:numId="15">
    <w:abstractNumId w:val="1"/>
  </w:num>
  <w:num w:numId="16">
    <w:abstractNumId w:val="8"/>
  </w:num>
  <w:num w:numId="17">
    <w:abstractNumId w:val="11"/>
  </w:num>
  <w:num w:numId="18">
    <w:abstractNumId w:val="15"/>
  </w:num>
  <w:num w:numId="19">
    <w:abstractNumId w:val="16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BDC"/>
    <w:rsid w:val="000015A4"/>
    <w:rsid w:val="000029B4"/>
    <w:rsid w:val="00007A4E"/>
    <w:rsid w:val="00012209"/>
    <w:rsid w:val="00014CF6"/>
    <w:rsid w:val="0001609E"/>
    <w:rsid w:val="00023B22"/>
    <w:rsid w:val="0002457C"/>
    <w:rsid w:val="00025176"/>
    <w:rsid w:val="00027624"/>
    <w:rsid w:val="00031F2F"/>
    <w:rsid w:val="00031FF6"/>
    <w:rsid w:val="0003474C"/>
    <w:rsid w:val="000362AC"/>
    <w:rsid w:val="00036D21"/>
    <w:rsid w:val="00045ADB"/>
    <w:rsid w:val="00047EAC"/>
    <w:rsid w:val="00051D20"/>
    <w:rsid w:val="00052B08"/>
    <w:rsid w:val="00053261"/>
    <w:rsid w:val="000535DC"/>
    <w:rsid w:val="0005471B"/>
    <w:rsid w:val="0005611A"/>
    <w:rsid w:val="000715D1"/>
    <w:rsid w:val="00071E0C"/>
    <w:rsid w:val="000750BB"/>
    <w:rsid w:val="00080969"/>
    <w:rsid w:val="000833C7"/>
    <w:rsid w:val="000900D2"/>
    <w:rsid w:val="00090934"/>
    <w:rsid w:val="00090FA3"/>
    <w:rsid w:val="000A081F"/>
    <w:rsid w:val="000A0D52"/>
    <w:rsid w:val="000B0043"/>
    <w:rsid w:val="000B4017"/>
    <w:rsid w:val="000B6D30"/>
    <w:rsid w:val="000B6FCD"/>
    <w:rsid w:val="000C2E8B"/>
    <w:rsid w:val="000C6A60"/>
    <w:rsid w:val="000D1994"/>
    <w:rsid w:val="000D2029"/>
    <w:rsid w:val="000D32D4"/>
    <w:rsid w:val="000D3D51"/>
    <w:rsid w:val="000E735D"/>
    <w:rsid w:val="000F276F"/>
    <w:rsid w:val="000F5277"/>
    <w:rsid w:val="000F6ED9"/>
    <w:rsid w:val="00100B48"/>
    <w:rsid w:val="00105F5B"/>
    <w:rsid w:val="001079B3"/>
    <w:rsid w:val="00111BF9"/>
    <w:rsid w:val="001228F8"/>
    <w:rsid w:val="00125739"/>
    <w:rsid w:val="00136BE9"/>
    <w:rsid w:val="001445C3"/>
    <w:rsid w:val="001445F1"/>
    <w:rsid w:val="001473F7"/>
    <w:rsid w:val="00150CAC"/>
    <w:rsid w:val="00151855"/>
    <w:rsid w:val="00155BE8"/>
    <w:rsid w:val="00164573"/>
    <w:rsid w:val="00166584"/>
    <w:rsid w:val="00166652"/>
    <w:rsid w:val="001702E4"/>
    <w:rsid w:val="001775DE"/>
    <w:rsid w:val="001800F6"/>
    <w:rsid w:val="00182B14"/>
    <w:rsid w:val="00185B83"/>
    <w:rsid w:val="00191D38"/>
    <w:rsid w:val="00193E74"/>
    <w:rsid w:val="0019622A"/>
    <w:rsid w:val="00197961"/>
    <w:rsid w:val="00197FBA"/>
    <w:rsid w:val="001A4896"/>
    <w:rsid w:val="001A5213"/>
    <w:rsid w:val="001A5788"/>
    <w:rsid w:val="001A57B8"/>
    <w:rsid w:val="001B2C86"/>
    <w:rsid w:val="001B6226"/>
    <w:rsid w:val="001C3191"/>
    <w:rsid w:val="001C369C"/>
    <w:rsid w:val="001C477B"/>
    <w:rsid w:val="001D0332"/>
    <w:rsid w:val="001D5975"/>
    <w:rsid w:val="001D6147"/>
    <w:rsid w:val="001D6F08"/>
    <w:rsid w:val="001D719B"/>
    <w:rsid w:val="001D7675"/>
    <w:rsid w:val="001E3468"/>
    <w:rsid w:val="001E5A43"/>
    <w:rsid w:val="001F137F"/>
    <w:rsid w:val="001F4CEA"/>
    <w:rsid w:val="00200DD0"/>
    <w:rsid w:val="00201055"/>
    <w:rsid w:val="00203B9A"/>
    <w:rsid w:val="00204961"/>
    <w:rsid w:val="00204CC1"/>
    <w:rsid w:val="00205B08"/>
    <w:rsid w:val="00207BA8"/>
    <w:rsid w:val="00213BBB"/>
    <w:rsid w:val="00216395"/>
    <w:rsid w:val="00225716"/>
    <w:rsid w:val="002334EC"/>
    <w:rsid w:val="002335AD"/>
    <w:rsid w:val="00233C4D"/>
    <w:rsid w:val="00234931"/>
    <w:rsid w:val="00244452"/>
    <w:rsid w:val="00244488"/>
    <w:rsid w:val="002447AE"/>
    <w:rsid w:val="0024749E"/>
    <w:rsid w:val="00253C9D"/>
    <w:rsid w:val="002550EB"/>
    <w:rsid w:val="00256058"/>
    <w:rsid w:val="00264153"/>
    <w:rsid w:val="002642AB"/>
    <w:rsid w:val="00267DE0"/>
    <w:rsid w:val="00273D96"/>
    <w:rsid w:val="00274657"/>
    <w:rsid w:val="0027596D"/>
    <w:rsid w:val="00275F0E"/>
    <w:rsid w:val="00280596"/>
    <w:rsid w:val="00291E1C"/>
    <w:rsid w:val="00293100"/>
    <w:rsid w:val="0029702A"/>
    <w:rsid w:val="00297F0C"/>
    <w:rsid w:val="002A3437"/>
    <w:rsid w:val="002A3476"/>
    <w:rsid w:val="002A705A"/>
    <w:rsid w:val="002A7861"/>
    <w:rsid w:val="002B5783"/>
    <w:rsid w:val="002B629F"/>
    <w:rsid w:val="002B7327"/>
    <w:rsid w:val="002C0306"/>
    <w:rsid w:val="002C25FA"/>
    <w:rsid w:val="002D1103"/>
    <w:rsid w:val="002D2075"/>
    <w:rsid w:val="002E0D12"/>
    <w:rsid w:val="002E12BA"/>
    <w:rsid w:val="002E3D9E"/>
    <w:rsid w:val="002E48A8"/>
    <w:rsid w:val="002F73C3"/>
    <w:rsid w:val="003035A3"/>
    <w:rsid w:val="00303C6A"/>
    <w:rsid w:val="00303D9A"/>
    <w:rsid w:val="003046FF"/>
    <w:rsid w:val="00305CAE"/>
    <w:rsid w:val="00307038"/>
    <w:rsid w:val="00307067"/>
    <w:rsid w:val="003072C7"/>
    <w:rsid w:val="00311472"/>
    <w:rsid w:val="00311A35"/>
    <w:rsid w:val="0031382D"/>
    <w:rsid w:val="00313CE5"/>
    <w:rsid w:val="00322853"/>
    <w:rsid w:val="00322E6C"/>
    <w:rsid w:val="003243C6"/>
    <w:rsid w:val="00327BD8"/>
    <w:rsid w:val="00331BF2"/>
    <w:rsid w:val="003406FA"/>
    <w:rsid w:val="003445F5"/>
    <w:rsid w:val="00346C90"/>
    <w:rsid w:val="00351749"/>
    <w:rsid w:val="0035285B"/>
    <w:rsid w:val="00354F8F"/>
    <w:rsid w:val="0035578A"/>
    <w:rsid w:val="0035742B"/>
    <w:rsid w:val="0035750D"/>
    <w:rsid w:val="00361E6C"/>
    <w:rsid w:val="003624E5"/>
    <w:rsid w:val="00370F71"/>
    <w:rsid w:val="00373B0C"/>
    <w:rsid w:val="00377111"/>
    <w:rsid w:val="00381B61"/>
    <w:rsid w:val="0038352E"/>
    <w:rsid w:val="0038586F"/>
    <w:rsid w:val="00387079"/>
    <w:rsid w:val="00392DE5"/>
    <w:rsid w:val="003945EC"/>
    <w:rsid w:val="003A24E1"/>
    <w:rsid w:val="003A357D"/>
    <w:rsid w:val="003A41F5"/>
    <w:rsid w:val="003B2C21"/>
    <w:rsid w:val="003B35FC"/>
    <w:rsid w:val="003B400A"/>
    <w:rsid w:val="003B532C"/>
    <w:rsid w:val="003C240C"/>
    <w:rsid w:val="003C2899"/>
    <w:rsid w:val="003C7757"/>
    <w:rsid w:val="003D37FE"/>
    <w:rsid w:val="003E021C"/>
    <w:rsid w:val="003E4EB0"/>
    <w:rsid w:val="003E5AD3"/>
    <w:rsid w:val="003E663D"/>
    <w:rsid w:val="003E7018"/>
    <w:rsid w:val="003F4A7E"/>
    <w:rsid w:val="003F54E6"/>
    <w:rsid w:val="00402265"/>
    <w:rsid w:val="00411874"/>
    <w:rsid w:val="004146F6"/>
    <w:rsid w:val="00414AD2"/>
    <w:rsid w:val="00416DFD"/>
    <w:rsid w:val="004215CF"/>
    <w:rsid w:val="00421D22"/>
    <w:rsid w:val="004262C7"/>
    <w:rsid w:val="00430790"/>
    <w:rsid w:val="00431406"/>
    <w:rsid w:val="00432DAC"/>
    <w:rsid w:val="00436F02"/>
    <w:rsid w:val="00444B04"/>
    <w:rsid w:val="0044517B"/>
    <w:rsid w:val="0044729D"/>
    <w:rsid w:val="00463923"/>
    <w:rsid w:val="00464B5F"/>
    <w:rsid w:val="004726D3"/>
    <w:rsid w:val="00474154"/>
    <w:rsid w:val="00474B68"/>
    <w:rsid w:val="004775BA"/>
    <w:rsid w:val="004818D7"/>
    <w:rsid w:val="004818EB"/>
    <w:rsid w:val="00482CD8"/>
    <w:rsid w:val="004834B6"/>
    <w:rsid w:val="00492B99"/>
    <w:rsid w:val="004949BA"/>
    <w:rsid w:val="004A086F"/>
    <w:rsid w:val="004A3499"/>
    <w:rsid w:val="004A3846"/>
    <w:rsid w:val="004A3CAE"/>
    <w:rsid w:val="004A59B6"/>
    <w:rsid w:val="004A6B2B"/>
    <w:rsid w:val="004B269A"/>
    <w:rsid w:val="004B3621"/>
    <w:rsid w:val="004C23E4"/>
    <w:rsid w:val="004D4F7E"/>
    <w:rsid w:val="004E0DD1"/>
    <w:rsid w:val="004E330E"/>
    <w:rsid w:val="004E4874"/>
    <w:rsid w:val="004E4B3F"/>
    <w:rsid w:val="004E591D"/>
    <w:rsid w:val="004E6FB0"/>
    <w:rsid w:val="004F377E"/>
    <w:rsid w:val="004F7EDC"/>
    <w:rsid w:val="00502EB0"/>
    <w:rsid w:val="005049E1"/>
    <w:rsid w:val="0050778C"/>
    <w:rsid w:val="00507CA9"/>
    <w:rsid w:val="005146C1"/>
    <w:rsid w:val="00515B78"/>
    <w:rsid w:val="00516A0D"/>
    <w:rsid w:val="00523DAD"/>
    <w:rsid w:val="00530415"/>
    <w:rsid w:val="00533D58"/>
    <w:rsid w:val="005342C2"/>
    <w:rsid w:val="00535072"/>
    <w:rsid w:val="005363B1"/>
    <w:rsid w:val="005452A5"/>
    <w:rsid w:val="00546D44"/>
    <w:rsid w:val="00555EDF"/>
    <w:rsid w:val="00556660"/>
    <w:rsid w:val="005575CD"/>
    <w:rsid w:val="00560D4E"/>
    <w:rsid w:val="005642FA"/>
    <w:rsid w:val="0057235B"/>
    <w:rsid w:val="00572956"/>
    <w:rsid w:val="00583D68"/>
    <w:rsid w:val="00583F4A"/>
    <w:rsid w:val="00585E03"/>
    <w:rsid w:val="00587D68"/>
    <w:rsid w:val="00587F1E"/>
    <w:rsid w:val="00592218"/>
    <w:rsid w:val="005922C0"/>
    <w:rsid w:val="00592B59"/>
    <w:rsid w:val="005970B1"/>
    <w:rsid w:val="0059727A"/>
    <w:rsid w:val="00597A38"/>
    <w:rsid w:val="005A2F48"/>
    <w:rsid w:val="005A57E6"/>
    <w:rsid w:val="005A752C"/>
    <w:rsid w:val="005B2835"/>
    <w:rsid w:val="005B2838"/>
    <w:rsid w:val="005B3E54"/>
    <w:rsid w:val="005B7D3B"/>
    <w:rsid w:val="005C1E3E"/>
    <w:rsid w:val="005C4A2E"/>
    <w:rsid w:val="005C6E59"/>
    <w:rsid w:val="005D23A6"/>
    <w:rsid w:val="005D2D4F"/>
    <w:rsid w:val="005D6096"/>
    <w:rsid w:val="005E24F2"/>
    <w:rsid w:val="005E68BF"/>
    <w:rsid w:val="005E69FF"/>
    <w:rsid w:val="005F14B1"/>
    <w:rsid w:val="005F70F7"/>
    <w:rsid w:val="005F745D"/>
    <w:rsid w:val="006001CC"/>
    <w:rsid w:val="006022C1"/>
    <w:rsid w:val="006028B8"/>
    <w:rsid w:val="00604E42"/>
    <w:rsid w:val="006079F9"/>
    <w:rsid w:val="00607EFC"/>
    <w:rsid w:val="0061365B"/>
    <w:rsid w:val="00614BAE"/>
    <w:rsid w:val="006158A0"/>
    <w:rsid w:val="006205C6"/>
    <w:rsid w:val="006214A1"/>
    <w:rsid w:val="00621920"/>
    <w:rsid w:val="0062483C"/>
    <w:rsid w:val="00627ED3"/>
    <w:rsid w:val="00633255"/>
    <w:rsid w:val="00634C97"/>
    <w:rsid w:val="006369B4"/>
    <w:rsid w:val="00636A68"/>
    <w:rsid w:val="0064010A"/>
    <w:rsid w:val="00642C11"/>
    <w:rsid w:val="006448E0"/>
    <w:rsid w:val="00646DA7"/>
    <w:rsid w:val="00646F82"/>
    <w:rsid w:val="0065328B"/>
    <w:rsid w:val="00654EF2"/>
    <w:rsid w:val="00657783"/>
    <w:rsid w:val="0066326E"/>
    <w:rsid w:val="006634E5"/>
    <w:rsid w:val="0066390C"/>
    <w:rsid w:val="00665ACB"/>
    <w:rsid w:val="00667A70"/>
    <w:rsid w:val="00672098"/>
    <w:rsid w:val="00672B4E"/>
    <w:rsid w:val="0067620B"/>
    <w:rsid w:val="00681EB8"/>
    <w:rsid w:val="00685BA7"/>
    <w:rsid w:val="00693EDE"/>
    <w:rsid w:val="00694793"/>
    <w:rsid w:val="00694C10"/>
    <w:rsid w:val="006A0743"/>
    <w:rsid w:val="006A2722"/>
    <w:rsid w:val="006A2DC5"/>
    <w:rsid w:val="006A4DCA"/>
    <w:rsid w:val="006B076E"/>
    <w:rsid w:val="006B2DCD"/>
    <w:rsid w:val="006C142E"/>
    <w:rsid w:val="006C359E"/>
    <w:rsid w:val="006C41C1"/>
    <w:rsid w:val="006C68BB"/>
    <w:rsid w:val="006D0CFB"/>
    <w:rsid w:val="006D3CA9"/>
    <w:rsid w:val="006D689B"/>
    <w:rsid w:val="006E1D3F"/>
    <w:rsid w:val="006E2D69"/>
    <w:rsid w:val="006E461B"/>
    <w:rsid w:val="006E711B"/>
    <w:rsid w:val="006F2D9D"/>
    <w:rsid w:val="006F3794"/>
    <w:rsid w:val="00705B2E"/>
    <w:rsid w:val="00706D1C"/>
    <w:rsid w:val="00713ABE"/>
    <w:rsid w:val="00716BE5"/>
    <w:rsid w:val="0072069C"/>
    <w:rsid w:val="00721B43"/>
    <w:rsid w:val="007243C5"/>
    <w:rsid w:val="0072517B"/>
    <w:rsid w:val="007277B9"/>
    <w:rsid w:val="00730B4C"/>
    <w:rsid w:val="00732456"/>
    <w:rsid w:val="00740F5B"/>
    <w:rsid w:val="00742277"/>
    <w:rsid w:val="007424CD"/>
    <w:rsid w:val="00743217"/>
    <w:rsid w:val="007456F0"/>
    <w:rsid w:val="0074595C"/>
    <w:rsid w:val="00746423"/>
    <w:rsid w:val="0075120C"/>
    <w:rsid w:val="00751B43"/>
    <w:rsid w:val="00752217"/>
    <w:rsid w:val="00764681"/>
    <w:rsid w:val="0077129F"/>
    <w:rsid w:val="00775D0D"/>
    <w:rsid w:val="00777E3D"/>
    <w:rsid w:val="0078131E"/>
    <w:rsid w:val="00781537"/>
    <w:rsid w:val="00782432"/>
    <w:rsid w:val="00783D65"/>
    <w:rsid w:val="007857AC"/>
    <w:rsid w:val="00791326"/>
    <w:rsid w:val="00791E7E"/>
    <w:rsid w:val="007936D6"/>
    <w:rsid w:val="007A12CA"/>
    <w:rsid w:val="007B126F"/>
    <w:rsid w:val="007B2185"/>
    <w:rsid w:val="007B3A82"/>
    <w:rsid w:val="007B49D5"/>
    <w:rsid w:val="007B5C17"/>
    <w:rsid w:val="007C30FE"/>
    <w:rsid w:val="007C7CA2"/>
    <w:rsid w:val="007C7CC5"/>
    <w:rsid w:val="007D5A6D"/>
    <w:rsid w:val="007D5E7D"/>
    <w:rsid w:val="007E1DE7"/>
    <w:rsid w:val="007E6DC8"/>
    <w:rsid w:val="007F16AC"/>
    <w:rsid w:val="007F2254"/>
    <w:rsid w:val="007F7C47"/>
    <w:rsid w:val="0080168E"/>
    <w:rsid w:val="0080418B"/>
    <w:rsid w:val="00805FAC"/>
    <w:rsid w:val="0080608B"/>
    <w:rsid w:val="00806D62"/>
    <w:rsid w:val="00816005"/>
    <w:rsid w:val="008214B6"/>
    <w:rsid w:val="0082320C"/>
    <w:rsid w:val="0082726C"/>
    <w:rsid w:val="00834DCB"/>
    <w:rsid w:val="00835CB2"/>
    <w:rsid w:val="00840CB8"/>
    <w:rsid w:val="00841ED2"/>
    <w:rsid w:val="0084252C"/>
    <w:rsid w:val="0084327E"/>
    <w:rsid w:val="00844BDF"/>
    <w:rsid w:val="00844F19"/>
    <w:rsid w:val="00847328"/>
    <w:rsid w:val="008474D7"/>
    <w:rsid w:val="00852DEE"/>
    <w:rsid w:val="00855EAB"/>
    <w:rsid w:val="00861F33"/>
    <w:rsid w:val="00863346"/>
    <w:rsid w:val="008639C7"/>
    <w:rsid w:val="00864940"/>
    <w:rsid w:val="00865125"/>
    <w:rsid w:val="00866FDE"/>
    <w:rsid w:val="00871AAB"/>
    <w:rsid w:val="0087218B"/>
    <w:rsid w:val="00872CCC"/>
    <w:rsid w:val="00873FB9"/>
    <w:rsid w:val="0087452E"/>
    <w:rsid w:val="00883636"/>
    <w:rsid w:val="00886D96"/>
    <w:rsid w:val="00892C5F"/>
    <w:rsid w:val="00893381"/>
    <w:rsid w:val="008964E5"/>
    <w:rsid w:val="008A0539"/>
    <w:rsid w:val="008A20AB"/>
    <w:rsid w:val="008A43A0"/>
    <w:rsid w:val="008A4829"/>
    <w:rsid w:val="008A5D0E"/>
    <w:rsid w:val="008B0CB8"/>
    <w:rsid w:val="008B21BA"/>
    <w:rsid w:val="008B2A79"/>
    <w:rsid w:val="008B2D86"/>
    <w:rsid w:val="008B5448"/>
    <w:rsid w:val="008B7DD6"/>
    <w:rsid w:val="008C0C61"/>
    <w:rsid w:val="008C2987"/>
    <w:rsid w:val="008C428E"/>
    <w:rsid w:val="008C44D7"/>
    <w:rsid w:val="008D2488"/>
    <w:rsid w:val="008D2845"/>
    <w:rsid w:val="008D32FF"/>
    <w:rsid w:val="008D455D"/>
    <w:rsid w:val="008D6077"/>
    <w:rsid w:val="008D6162"/>
    <w:rsid w:val="008D7EAE"/>
    <w:rsid w:val="008E1CEA"/>
    <w:rsid w:val="008E381E"/>
    <w:rsid w:val="008F3EBA"/>
    <w:rsid w:val="008F428D"/>
    <w:rsid w:val="008F6BC9"/>
    <w:rsid w:val="008F7814"/>
    <w:rsid w:val="00900816"/>
    <w:rsid w:val="00900F36"/>
    <w:rsid w:val="00902541"/>
    <w:rsid w:val="00902A5B"/>
    <w:rsid w:val="009132CA"/>
    <w:rsid w:val="00915E14"/>
    <w:rsid w:val="00923A85"/>
    <w:rsid w:val="00925593"/>
    <w:rsid w:val="00927937"/>
    <w:rsid w:val="00931762"/>
    <w:rsid w:val="00934160"/>
    <w:rsid w:val="00935004"/>
    <w:rsid w:val="0094405F"/>
    <w:rsid w:val="0094638B"/>
    <w:rsid w:val="00947677"/>
    <w:rsid w:val="00952068"/>
    <w:rsid w:val="009539AD"/>
    <w:rsid w:val="00956A1E"/>
    <w:rsid w:val="009571E7"/>
    <w:rsid w:val="00960C43"/>
    <w:rsid w:val="00965C94"/>
    <w:rsid w:val="00966444"/>
    <w:rsid w:val="0096715A"/>
    <w:rsid w:val="009678FE"/>
    <w:rsid w:val="009731AB"/>
    <w:rsid w:val="00976A52"/>
    <w:rsid w:val="00981804"/>
    <w:rsid w:val="00987527"/>
    <w:rsid w:val="00992B57"/>
    <w:rsid w:val="00993485"/>
    <w:rsid w:val="009A1CD6"/>
    <w:rsid w:val="009A22DD"/>
    <w:rsid w:val="009A666E"/>
    <w:rsid w:val="009A6740"/>
    <w:rsid w:val="009B1B4B"/>
    <w:rsid w:val="009B1D56"/>
    <w:rsid w:val="009B26C4"/>
    <w:rsid w:val="009B30F8"/>
    <w:rsid w:val="009B7BDC"/>
    <w:rsid w:val="009B7D06"/>
    <w:rsid w:val="009C0B6B"/>
    <w:rsid w:val="009C3B34"/>
    <w:rsid w:val="009C3EFD"/>
    <w:rsid w:val="009C447E"/>
    <w:rsid w:val="009C4E5B"/>
    <w:rsid w:val="009C4F70"/>
    <w:rsid w:val="009C673F"/>
    <w:rsid w:val="009D0019"/>
    <w:rsid w:val="009D2A50"/>
    <w:rsid w:val="009D336C"/>
    <w:rsid w:val="009E0235"/>
    <w:rsid w:val="009E7C97"/>
    <w:rsid w:val="009F2CF0"/>
    <w:rsid w:val="009F58FE"/>
    <w:rsid w:val="009F5BFE"/>
    <w:rsid w:val="00A0226B"/>
    <w:rsid w:val="00A02809"/>
    <w:rsid w:val="00A0638C"/>
    <w:rsid w:val="00A06968"/>
    <w:rsid w:val="00A12D94"/>
    <w:rsid w:val="00A22DD2"/>
    <w:rsid w:val="00A31234"/>
    <w:rsid w:val="00A36CDC"/>
    <w:rsid w:val="00A45DD7"/>
    <w:rsid w:val="00A50E6D"/>
    <w:rsid w:val="00A52744"/>
    <w:rsid w:val="00A54037"/>
    <w:rsid w:val="00A57935"/>
    <w:rsid w:val="00A57BAB"/>
    <w:rsid w:val="00A6451A"/>
    <w:rsid w:val="00A6474A"/>
    <w:rsid w:val="00A65CE8"/>
    <w:rsid w:val="00A72BAA"/>
    <w:rsid w:val="00A77DD9"/>
    <w:rsid w:val="00A835C5"/>
    <w:rsid w:val="00A85C94"/>
    <w:rsid w:val="00A879D1"/>
    <w:rsid w:val="00A937D3"/>
    <w:rsid w:val="00A94292"/>
    <w:rsid w:val="00A97464"/>
    <w:rsid w:val="00AA4A20"/>
    <w:rsid w:val="00AA512A"/>
    <w:rsid w:val="00AA70BD"/>
    <w:rsid w:val="00AB0075"/>
    <w:rsid w:val="00AB105A"/>
    <w:rsid w:val="00AB33E6"/>
    <w:rsid w:val="00AC0F7F"/>
    <w:rsid w:val="00AC7468"/>
    <w:rsid w:val="00AD08C6"/>
    <w:rsid w:val="00AD2408"/>
    <w:rsid w:val="00AD364F"/>
    <w:rsid w:val="00AD37BE"/>
    <w:rsid w:val="00AE04B1"/>
    <w:rsid w:val="00AE077C"/>
    <w:rsid w:val="00AE5B0B"/>
    <w:rsid w:val="00AE71B8"/>
    <w:rsid w:val="00AF2B0F"/>
    <w:rsid w:val="00AF3DB7"/>
    <w:rsid w:val="00AF43AB"/>
    <w:rsid w:val="00B013CE"/>
    <w:rsid w:val="00B014CA"/>
    <w:rsid w:val="00B05494"/>
    <w:rsid w:val="00B0628E"/>
    <w:rsid w:val="00B20553"/>
    <w:rsid w:val="00B2064A"/>
    <w:rsid w:val="00B22D2B"/>
    <w:rsid w:val="00B2439C"/>
    <w:rsid w:val="00B2485D"/>
    <w:rsid w:val="00B26924"/>
    <w:rsid w:val="00B26EF2"/>
    <w:rsid w:val="00B27800"/>
    <w:rsid w:val="00B32C82"/>
    <w:rsid w:val="00B33A95"/>
    <w:rsid w:val="00B342E2"/>
    <w:rsid w:val="00B40C98"/>
    <w:rsid w:val="00B41F66"/>
    <w:rsid w:val="00B43912"/>
    <w:rsid w:val="00B4492B"/>
    <w:rsid w:val="00B46596"/>
    <w:rsid w:val="00B54326"/>
    <w:rsid w:val="00B54E55"/>
    <w:rsid w:val="00B62799"/>
    <w:rsid w:val="00B6404D"/>
    <w:rsid w:val="00B66237"/>
    <w:rsid w:val="00B674A3"/>
    <w:rsid w:val="00B678F1"/>
    <w:rsid w:val="00B707A9"/>
    <w:rsid w:val="00B73CFD"/>
    <w:rsid w:val="00B74D22"/>
    <w:rsid w:val="00B7581A"/>
    <w:rsid w:val="00B764BF"/>
    <w:rsid w:val="00B818E2"/>
    <w:rsid w:val="00B83965"/>
    <w:rsid w:val="00B86EC4"/>
    <w:rsid w:val="00B87D64"/>
    <w:rsid w:val="00B91AAD"/>
    <w:rsid w:val="00B93465"/>
    <w:rsid w:val="00BA20F0"/>
    <w:rsid w:val="00BA4E21"/>
    <w:rsid w:val="00BA5365"/>
    <w:rsid w:val="00BA59DF"/>
    <w:rsid w:val="00BA6BC7"/>
    <w:rsid w:val="00BC0EBE"/>
    <w:rsid w:val="00BC131F"/>
    <w:rsid w:val="00BC6AD1"/>
    <w:rsid w:val="00BC7ECE"/>
    <w:rsid w:val="00BD33A3"/>
    <w:rsid w:val="00BD7FC2"/>
    <w:rsid w:val="00BE272A"/>
    <w:rsid w:val="00BE3244"/>
    <w:rsid w:val="00BE3938"/>
    <w:rsid w:val="00BE5A69"/>
    <w:rsid w:val="00BF425F"/>
    <w:rsid w:val="00BF4FB3"/>
    <w:rsid w:val="00BF7C03"/>
    <w:rsid w:val="00BF7DB6"/>
    <w:rsid w:val="00C01D64"/>
    <w:rsid w:val="00C036B7"/>
    <w:rsid w:val="00C04EB8"/>
    <w:rsid w:val="00C052CA"/>
    <w:rsid w:val="00C13E1A"/>
    <w:rsid w:val="00C15FCB"/>
    <w:rsid w:val="00C21D61"/>
    <w:rsid w:val="00C21E24"/>
    <w:rsid w:val="00C26C95"/>
    <w:rsid w:val="00C30D44"/>
    <w:rsid w:val="00C32F4C"/>
    <w:rsid w:val="00C32FD0"/>
    <w:rsid w:val="00C340BE"/>
    <w:rsid w:val="00C348E2"/>
    <w:rsid w:val="00C412DC"/>
    <w:rsid w:val="00C4131A"/>
    <w:rsid w:val="00C468BB"/>
    <w:rsid w:val="00C51CD3"/>
    <w:rsid w:val="00C52E95"/>
    <w:rsid w:val="00C534A2"/>
    <w:rsid w:val="00C56D59"/>
    <w:rsid w:val="00C575B2"/>
    <w:rsid w:val="00C63ABB"/>
    <w:rsid w:val="00C64164"/>
    <w:rsid w:val="00C6785E"/>
    <w:rsid w:val="00C72658"/>
    <w:rsid w:val="00C74E39"/>
    <w:rsid w:val="00C770A9"/>
    <w:rsid w:val="00C8114E"/>
    <w:rsid w:val="00C84580"/>
    <w:rsid w:val="00C8588B"/>
    <w:rsid w:val="00C85D09"/>
    <w:rsid w:val="00C914D9"/>
    <w:rsid w:val="00CA26C7"/>
    <w:rsid w:val="00CA34D5"/>
    <w:rsid w:val="00CA7892"/>
    <w:rsid w:val="00CA7ADD"/>
    <w:rsid w:val="00CB16CC"/>
    <w:rsid w:val="00CB42CC"/>
    <w:rsid w:val="00CC2F7C"/>
    <w:rsid w:val="00CC5BF5"/>
    <w:rsid w:val="00CD7920"/>
    <w:rsid w:val="00CE004D"/>
    <w:rsid w:val="00CE0586"/>
    <w:rsid w:val="00CE1369"/>
    <w:rsid w:val="00CE16AF"/>
    <w:rsid w:val="00CE731B"/>
    <w:rsid w:val="00CF0D64"/>
    <w:rsid w:val="00CF16AB"/>
    <w:rsid w:val="00CF20CE"/>
    <w:rsid w:val="00CF2A07"/>
    <w:rsid w:val="00CF4720"/>
    <w:rsid w:val="00D06F37"/>
    <w:rsid w:val="00D1318D"/>
    <w:rsid w:val="00D15AB8"/>
    <w:rsid w:val="00D15E0E"/>
    <w:rsid w:val="00D1642D"/>
    <w:rsid w:val="00D16A36"/>
    <w:rsid w:val="00D201FA"/>
    <w:rsid w:val="00D21548"/>
    <w:rsid w:val="00D22582"/>
    <w:rsid w:val="00D22A43"/>
    <w:rsid w:val="00D25226"/>
    <w:rsid w:val="00D27792"/>
    <w:rsid w:val="00D34004"/>
    <w:rsid w:val="00D3452B"/>
    <w:rsid w:val="00D41611"/>
    <w:rsid w:val="00D41F27"/>
    <w:rsid w:val="00D42D51"/>
    <w:rsid w:val="00D43119"/>
    <w:rsid w:val="00D44710"/>
    <w:rsid w:val="00D4715F"/>
    <w:rsid w:val="00D47913"/>
    <w:rsid w:val="00D52766"/>
    <w:rsid w:val="00D529CA"/>
    <w:rsid w:val="00D61357"/>
    <w:rsid w:val="00D6390E"/>
    <w:rsid w:val="00D7002C"/>
    <w:rsid w:val="00D702F1"/>
    <w:rsid w:val="00D73EC3"/>
    <w:rsid w:val="00D75679"/>
    <w:rsid w:val="00D758AC"/>
    <w:rsid w:val="00D75E66"/>
    <w:rsid w:val="00D850B6"/>
    <w:rsid w:val="00D86869"/>
    <w:rsid w:val="00D87F73"/>
    <w:rsid w:val="00D934F7"/>
    <w:rsid w:val="00D95E34"/>
    <w:rsid w:val="00DA0CE0"/>
    <w:rsid w:val="00DA0EEF"/>
    <w:rsid w:val="00DB2E54"/>
    <w:rsid w:val="00DB4F6D"/>
    <w:rsid w:val="00DB5026"/>
    <w:rsid w:val="00DB580E"/>
    <w:rsid w:val="00DB6160"/>
    <w:rsid w:val="00DB6B54"/>
    <w:rsid w:val="00DC4FEE"/>
    <w:rsid w:val="00DC5686"/>
    <w:rsid w:val="00DC6A04"/>
    <w:rsid w:val="00DD32F8"/>
    <w:rsid w:val="00DD617E"/>
    <w:rsid w:val="00DE0504"/>
    <w:rsid w:val="00DE4026"/>
    <w:rsid w:val="00DE5373"/>
    <w:rsid w:val="00DE6548"/>
    <w:rsid w:val="00DE673C"/>
    <w:rsid w:val="00DF00DB"/>
    <w:rsid w:val="00DF3461"/>
    <w:rsid w:val="00DF44AC"/>
    <w:rsid w:val="00DF490D"/>
    <w:rsid w:val="00DF780D"/>
    <w:rsid w:val="00E02692"/>
    <w:rsid w:val="00E03282"/>
    <w:rsid w:val="00E032BB"/>
    <w:rsid w:val="00E0457E"/>
    <w:rsid w:val="00E04A33"/>
    <w:rsid w:val="00E06D29"/>
    <w:rsid w:val="00E13525"/>
    <w:rsid w:val="00E13734"/>
    <w:rsid w:val="00E13B21"/>
    <w:rsid w:val="00E1470F"/>
    <w:rsid w:val="00E1507A"/>
    <w:rsid w:val="00E15220"/>
    <w:rsid w:val="00E15EA0"/>
    <w:rsid w:val="00E207B2"/>
    <w:rsid w:val="00E238BE"/>
    <w:rsid w:val="00E24B56"/>
    <w:rsid w:val="00E254B2"/>
    <w:rsid w:val="00E36DB9"/>
    <w:rsid w:val="00E37522"/>
    <w:rsid w:val="00E375D2"/>
    <w:rsid w:val="00E40D23"/>
    <w:rsid w:val="00E5283D"/>
    <w:rsid w:val="00E53E1F"/>
    <w:rsid w:val="00E53E54"/>
    <w:rsid w:val="00E601FA"/>
    <w:rsid w:val="00E61463"/>
    <w:rsid w:val="00E6458E"/>
    <w:rsid w:val="00E6510E"/>
    <w:rsid w:val="00E66730"/>
    <w:rsid w:val="00E71773"/>
    <w:rsid w:val="00E76902"/>
    <w:rsid w:val="00E8038E"/>
    <w:rsid w:val="00E93822"/>
    <w:rsid w:val="00E93A26"/>
    <w:rsid w:val="00E94782"/>
    <w:rsid w:val="00EA0115"/>
    <w:rsid w:val="00EA124A"/>
    <w:rsid w:val="00EA1C1B"/>
    <w:rsid w:val="00EA2710"/>
    <w:rsid w:val="00EA273C"/>
    <w:rsid w:val="00EA3CEF"/>
    <w:rsid w:val="00EA607C"/>
    <w:rsid w:val="00EA65BF"/>
    <w:rsid w:val="00EB20E2"/>
    <w:rsid w:val="00EB48C5"/>
    <w:rsid w:val="00EB5B54"/>
    <w:rsid w:val="00EC49A3"/>
    <w:rsid w:val="00ED2D75"/>
    <w:rsid w:val="00ED4A11"/>
    <w:rsid w:val="00ED5807"/>
    <w:rsid w:val="00ED6F17"/>
    <w:rsid w:val="00ED7017"/>
    <w:rsid w:val="00ED7C0C"/>
    <w:rsid w:val="00EE0858"/>
    <w:rsid w:val="00EE68E2"/>
    <w:rsid w:val="00EF3922"/>
    <w:rsid w:val="00EF4231"/>
    <w:rsid w:val="00EF6481"/>
    <w:rsid w:val="00EF6821"/>
    <w:rsid w:val="00EF76C7"/>
    <w:rsid w:val="00F043B0"/>
    <w:rsid w:val="00F05310"/>
    <w:rsid w:val="00F07620"/>
    <w:rsid w:val="00F15554"/>
    <w:rsid w:val="00F158A0"/>
    <w:rsid w:val="00F17D6B"/>
    <w:rsid w:val="00F23529"/>
    <w:rsid w:val="00F26674"/>
    <w:rsid w:val="00F27146"/>
    <w:rsid w:val="00F3162B"/>
    <w:rsid w:val="00F317A4"/>
    <w:rsid w:val="00F36F1A"/>
    <w:rsid w:val="00F37EA1"/>
    <w:rsid w:val="00F40070"/>
    <w:rsid w:val="00F41952"/>
    <w:rsid w:val="00F436C6"/>
    <w:rsid w:val="00F47042"/>
    <w:rsid w:val="00F55849"/>
    <w:rsid w:val="00F61905"/>
    <w:rsid w:val="00F62BFE"/>
    <w:rsid w:val="00F64AA8"/>
    <w:rsid w:val="00F7158B"/>
    <w:rsid w:val="00F71AEA"/>
    <w:rsid w:val="00F75AF5"/>
    <w:rsid w:val="00F80228"/>
    <w:rsid w:val="00F80CEA"/>
    <w:rsid w:val="00F83AF7"/>
    <w:rsid w:val="00F860E1"/>
    <w:rsid w:val="00F90451"/>
    <w:rsid w:val="00F90B74"/>
    <w:rsid w:val="00F9300D"/>
    <w:rsid w:val="00FA0856"/>
    <w:rsid w:val="00FA11BD"/>
    <w:rsid w:val="00FA4487"/>
    <w:rsid w:val="00FA52A7"/>
    <w:rsid w:val="00FA663C"/>
    <w:rsid w:val="00FA7779"/>
    <w:rsid w:val="00FB00DD"/>
    <w:rsid w:val="00FB048E"/>
    <w:rsid w:val="00FB140D"/>
    <w:rsid w:val="00FB46B7"/>
    <w:rsid w:val="00FD25BA"/>
    <w:rsid w:val="00FD363F"/>
    <w:rsid w:val="00FE17B0"/>
    <w:rsid w:val="00FE30FC"/>
    <w:rsid w:val="00FF1960"/>
    <w:rsid w:val="00FF36C0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DC"/>
    <w:pPr>
      <w:bidi/>
    </w:pPr>
    <w:rPr>
      <w:rFonts w:ascii="Times New Roman" w:eastAsia="Times New Roman" w:hAnsi="Times New Roman" w:cs="Traditional Arabic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9B7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B7BDC"/>
    <w:rPr>
      <w:rFonts w:ascii="Arial" w:eastAsia="Times New Roman" w:hAnsi="Arial" w:cs="Arial"/>
      <w:b/>
      <w:bCs/>
      <w:noProof/>
      <w:kern w:val="32"/>
      <w:sz w:val="32"/>
      <w:szCs w:val="32"/>
      <w:lang w:eastAsia="fr-FR"/>
    </w:rPr>
  </w:style>
  <w:style w:type="paragraph" w:styleId="Corpsdetexte2">
    <w:name w:val="Body Text 2"/>
    <w:basedOn w:val="Normal"/>
    <w:link w:val="Corpsdetexte2Car"/>
    <w:uiPriority w:val="99"/>
    <w:rsid w:val="009B7BDC"/>
    <w:pPr>
      <w:jc w:val="center"/>
    </w:pPr>
    <w:rPr>
      <w:rFonts w:ascii="Univers" w:hAnsi="Univers" w:cs="Simplified Arabic"/>
      <w:noProof w:val="0"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9B7BDC"/>
    <w:rPr>
      <w:rFonts w:ascii="Univers" w:eastAsia="Times New Roman" w:hAnsi="Univers" w:cs="Simplified Arabic"/>
      <w:szCs w:val="20"/>
      <w:lang w:eastAsia="fr-FR"/>
    </w:rPr>
  </w:style>
  <w:style w:type="character" w:styleId="Lienhypertexte">
    <w:name w:val="Hyperlink"/>
    <w:basedOn w:val="Policepardfaut"/>
    <w:uiPriority w:val="99"/>
    <w:rsid w:val="009B7BD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9B7BDC"/>
    <w:pPr>
      <w:bidi w:val="0"/>
    </w:pPr>
    <w:rPr>
      <w:rFonts w:cs="Times New Roman"/>
      <w:noProof w:val="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7B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istParagraph1">
    <w:name w:val="List Paragraph1"/>
    <w:basedOn w:val="Normal"/>
    <w:uiPriority w:val="99"/>
    <w:rsid w:val="009B7BDC"/>
    <w:pPr>
      <w:bidi w:val="0"/>
      <w:ind w:left="720"/>
    </w:pPr>
    <w:rPr>
      <w:rFonts w:cs="Times New Roman"/>
      <w:noProof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B7B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rsid w:val="009B7BDC"/>
    <w:rPr>
      <w:rFonts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9B7B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B7BDC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B7BD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B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BDC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81804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  <w:lang w:val="en-US" w:eastAsia="en-US"/>
    </w:rPr>
  </w:style>
  <w:style w:type="paragraph" w:customStyle="1" w:styleId="Paragraphedeliste2">
    <w:name w:val="Paragraphe de liste2"/>
    <w:basedOn w:val="Normal"/>
    <w:rsid w:val="00EA124A"/>
    <w:pPr>
      <w:bidi w:val="0"/>
      <w:ind w:left="720"/>
    </w:pPr>
    <w:rPr>
      <w:rFonts w:cs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6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224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7012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2090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yperlink" Target="http://www.hcp.ma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1%202018\Traitement__1__trim4__2017\Grafiques%20des%20notes%20emploi%20__jamal%20-%201+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1%202018\Traitement__1__trim4__2017\Grafiques%20des%20notes%20emploi%20__jamal%20-%201+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1%202018\Grafiques%20des%20notes%20emploi%20__jamal%20-%201%20-%20Mlle_trim___4__Salima%20-%20fran&#231;ai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1%202018\Grafiques%20des%20notes%20emploi%20__jamal%20-%201+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1%202018\Grafiques%20des%20notes%20emploi%20__jamal%20-%201%20-%20Mlle_trim___4__Salima%20-%20fran&#231;ai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1%202018\Grafiques%20des%20notes%20emploi%20__jamal%20-%201%20-%20Mlle_trim___4__Salima%20-%20fran&#231;ai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1%202018\donn&#233;es%20r&#233;gionales__2018%20-%20++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1%202018\donn&#233;es%20r&#233;gionales__2018%20-%20++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1%202018\donn&#233;es%20r&#233;gionales__2018%20-%20++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Emp_rémun__non__rémun!$D$3</c:f>
              <c:strCache>
                <c:ptCount val="1"/>
                <c:pt idx="0">
                  <c:v>Emploi rémunéré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elete val="1"/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Emp_rémun__non__rémun!$E$3:$G$3</c:f>
              <c:numCache>
                <c:formatCode>General</c:formatCode>
                <c:ptCount val="3"/>
                <c:pt idx="0">
                  <c:v>79000</c:v>
                </c:pt>
                <c:pt idx="1">
                  <c:v>63000</c:v>
                </c:pt>
                <c:pt idx="2">
                  <c:v>142000</c:v>
                </c:pt>
              </c:numCache>
            </c:numRef>
          </c:val>
        </c:ser>
        <c:ser>
          <c:idx val="1"/>
          <c:order val="1"/>
          <c:tx>
            <c:strRef>
              <c:f>Emp_rémun__non__rémun!$D$4</c:f>
              <c:strCache>
                <c:ptCount val="1"/>
                <c:pt idx="0">
                  <c:v>Emploi non rémunéré</c:v>
                </c:pt>
              </c:strCache>
            </c:strRef>
          </c:tx>
          <c:dLbls>
            <c:showVal val="1"/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Emp_rémun__non__rémun!$E$4:$G$4</c:f>
              <c:numCache>
                <c:formatCode>General</c:formatCode>
                <c:ptCount val="3"/>
                <c:pt idx="0">
                  <c:v>-2000</c:v>
                </c:pt>
                <c:pt idx="1">
                  <c:v>-24000</c:v>
                </c:pt>
                <c:pt idx="2">
                  <c:v>-26000</c:v>
                </c:pt>
              </c:numCache>
            </c:numRef>
          </c:val>
        </c:ser>
        <c:ser>
          <c:idx val="2"/>
          <c:order val="2"/>
          <c:tx>
            <c:strRef>
              <c:f>Emp_rémun__non__rémun!$D$5</c:f>
              <c:strCache>
                <c:ptCount val="1"/>
                <c:pt idx="0">
                  <c:v>Emploi total</c:v>
                </c:pt>
              </c:strCache>
            </c:strRef>
          </c:tx>
          <c:dLbls>
            <c:showVal val="1"/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Emp_rémun__non__rémun!$E$5:$G$5</c:f>
              <c:numCache>
                <c:formatCode>General</c:formatCode>
                <c:ptCount val="3"/>
                <c:pt idx="0">
                  <c:v>77000</c:v>
                </c:pt>
                <c:pt idx="1">
                  <c:v>39000</c:v>
                </c:pt>
                <c:pt idx="2">
                  <c:v>116000</c:v>
                </c:pt>
              </c:numCache>
            </c:numRef>
          </c:val>
        </c:ser>
        <c:gapWidth val="190"/>
        <c:overlap val="-10"/>
        <c:axId val="116386432"/>
        <c:axId val="92549504"/>
      </c:barChart>
      <c:catAx>
        <c:axId val="116386432"/>
        <c:scaling>
          <c:orientation val="minMax"/>
        </c:scaling>
        <c:axPos val="b"/>
        <c:tickLblPos val="low"/>
        <c:crossAx val="92549504"/>
        <c:crosses val="autoZero"/>
        <c:auto val="1"/>
        <c:lblAlgn val="ctr"/>
        <c:lblOffset val="100"/>
      </c:catAx>
      <c:valAx>
        <c:axId val="92549504"/>
        <c:scaling>
          <c:orientation val="minMax"/>
        </c:scaling>
        <c:delete val="1"/>
        <c:axPos val="l"/>
        <c:numFmt formatCode="General" sourceLinked="1"/>
        <c:tickLblPos val="none"/>
        <c:crossAx val="116386432"/>
        <c:crosses val="autoZero"/>
        <c:crossBetween val="between"/>
        <c:majorUnit val="50000"/>
      </c:valAx>
    </c:plotArea>
    <c:legend>
      <c:legendPos val="b"/>
    </c:legend>
    <c:plotVisOnly val="1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1.0045849163959401E-2"/>
          <c:y val="4.3058752271350656E-2"/>
          <c:w val="0.95698924731183199"/>
          <c:h val="0.62701443569554316"/>
        </c:manualLayout>
      </c:layout>
      <c:barChart>
        <c:barDir val="col"/>
        <c:grouping val="clustered"/>
        <c:ser>
          <c:idx val="0"/>
          <c:order val="0"/>
          <c:tx>
            <c:strRef>
              <c:f>Emploi__secteur!$H$3</c:f>
              <c:strCache>
                <c:ptCount val="1"/>
                <c:pt idx="0">
                  <c:v>Urbain</c:v>
                </c:pt>
              </c:strCache>
            </c:strRef>
          </c:tx>
          <c:dLbls>
            <c:showVal val="1"/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Emploi__secteur!$I$3:$L$3</c:f>
              <c:numCache>
                <c:formatCode>General</c:formatCode>
                <c:ptCount val="4"/>
                <c:pt idx="0">
                  <c:v>11000</c:v>
                </c:pt>
                <c:pt idx="1">
                  <c:v>-6000</c:v>
                </c:pt>
                <c:pt idx="2">
                  <c:v>26000</c:v>
                </c:pt>
                <c:pt idx="3">
                  <c:v>46000</c:v>
                </c:pt>
              </c:numCache>
            </c:numRef>
          </c:val>
        </c:ser>
        <c:ser>
          <c:idx val="1"/>
          <c:order val="1"/>
          <c:tx>
            <c:strRef>
              <c:f>Emploi__secteur!$H$4</c:f>
              <c:strCache>
                <c:ptCount val="1"/>
                <c:pt idx="0">
                  <c:v>Rural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1.6783216783216783E-2"/>
                  <c:y val="-8.5470085470084698E-3"/>
                </c:manualLayout>
              </c:layout>
              <c:showVal val="1"/>
            </c:dLbl>
            <c:showVal val="1"/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Emploi__secteur!$I$4:$L$4</c:f>
              <c:numCache>
                <c:formatCode>General</c:formatCode>
                <c:ptCount val="4"/>
                <c:pt idx="0">
                  <c:v>32000</c:v>
                </c:pt>
                <c:pt idx="1">
                  <c:v>-3000</c:v>
                </c:pt>
                <c:pt idx="2">
                  <c:v>6000</c:v>
                </c:pt>
                <c:pt idx="3">
                  <c:v>4000</c:v>
                </c:pt>
              </c:numCache>
            </c:numRef>
          </c:val>
        </c:ser>
        <c:ser>
          <c:idx val="2"/>
          <c:order val="2"/>
          <c:tx>
            <c:strRef>
              <c:f>Emploi__secteur!$H$5</c:f>
              <c:strCache>
                <c:ptCount val="1"/>
                <c:pt idx="0">
                  <c:v>National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127000" h="25400"/>
            </a:sp3d>
          </c:spPr>
          <c:dPt>
            <c:idx val="0"/>
            <c:spPr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howVal val="1"/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Emploi__secteur!$I$5:$L$5</c:f>
              <c:numCache>
                <c:formatCode>General</c:formatCode>
                <c:ptCount val="4"/>
                <c:pt idx="0">
                  <c:v>43000</c:v>
                </c:pt>
                <c:pt idx="1">
                  <c:v>-9000</c:v>
                </c:pt>
                <c:pt idx="2">
                  <c:v>32000</c:v>
                </c:pt>
                <c:pt idx="3">
                  <c:v>50000</c:v>
                </c:pt>
              </c:numCache>
            </c:numRef>
          </c:val>
        </c:ser>
        <c:gapWidth val="70"/>
        <c:overlap val="-10"/>
        <c:axId val="92576384"/>
        <c:axId val="92590464"/>
      </c:barChart>
      <c:catAx>
        <c:axId val="92576384"/>
        <c:scaling>
          <c:orientation val="minMax"/>
        </c:scaling>
        <c:axPos val="b"/>
        <c:tickLblPos val="low"/>
        <c:crossAx val="92590464"/>
        <c:crosses val="autoZero"/>
        <c:auto val="1"/>
        <c:lblAlgn val="ctr"/>
        <c:lblOffset val="100"/>
      </c:catAx>
      <c:valAx>
        <c:axId val="92590464"/>
        <c:scaling>
          <c:orientation val="minMax"/>
        </c:scaling>
        <c:delete val="1"/>
        <c:axPos val="l"/>
        <c:numFmt formatCode="General" sourceLinked="1"/>
        <c:tickLblPos val="none"/>
        <c:crossAx val="92576384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hart>
    <c:plotArea>
      <c:layout/>
      <c:barChart>
        <c:barDir val="col"/>
        <c:grouping val="clustered"/>
        <c:ser>
          <c:idx val="0"/>
          <c:order val="0"/>
          <c:tx>
            <c:strRef>
              <c:f>chomage!$C$1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0"/>
              <c:layout>
                <c:manualLayout>
                  <c:x val="-2.2573363431151283E-3"/>
                  <c:y val="-1.3071895424836603E-2"/>
                </c:manualLayout>
              </c:layout>
              <c:showVal val="1"/>
            </c:dLbl>
            <c:dLbl>
              <c:idx val="5"/>
              <c:layout>
                <c:manualLayout>
                  <c:x val="-8.2768043104058178E-17"/>
                  <c:y val="-1.7429193899782154E-2"/>
                </c:manualLayout>
              </c:layout>
              <c:showVal val="1"/>
            </c:dLbl>
            <c:showVal val="1"/>
          </c:dLbls>
          <c:cat>
            <c:strRef>
              <c:f>chomage!$B$2:$B$8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chomage!$C$2:$C$8</c:f>
              <c:numCache>
                <c:formatCode>#,##0.0</c:formatCode>
                <c:ptCount val="7"/>
                <c:pt idx="0">
                  <c:v>15.674024055048402</c:v>
                </c:pt>
                <c:pt idx="1">
                  <c:v>4.1401788908904695</c:v>
                </c:pt>
                <c:pt idx="2">
                  <c:v>9.4150710249165819</c:v>
                </c:pt>
                <c:pt idx="3">
                  <c:v>14.677820029661035</c:v>
                </c:pt>
                <c:pt idx="4">
                  <c:v>25.496180003880326</c:v>
                </c:pt>
                <c:pt idx="5">
                  <c:v>18.511746460987588</c:v>
                </c:pt>
                <c:pt idx="6">
                  <c:v>10.748651002905099</c:v>
                </c:pt>
              </c:numCache>
            </c:numRef>
          </c:val>
        </c:ser>
        <c:ser>
          <c:idx val="1"/>
          <c:order val="1"/>
          <c:tx>
            <c:strRef>
              <c:f>chomage!$D$1</c:f>
              <c:strCache>
                <c:ptCount val="1"/>
                <c:pt idx="0">
                  <c:v>2018</c:v>
                </c:pt>
              </c:strCache>
            </c:strRef>
          </c:tx>
          <c:dLbls>
            <c:dLbl>
              <c:idx val="0"/>
              <c:layout>
                <c:manualLayout>
                  <c:x val="7.4476102451076333E-3"/>
                  <c:y val="-2.6637846739745816E-3"/>
                </c:manualLayout>
              </c:layout>
              <c:showVal val="1"/>
            </c:dLbl>
            <c:dLbl>
              <c:idx val="1"/>
              <c:layout>
                <c:manualLayout>
                  <c:x val="5.5555555555555558E-3"/>
                  <c:y val="-1.390373941253973E-2"/>
                </c:manualLayout>
              </c:layout>
              <c:showVal val="1"/>
            </c:dLbl>
            <c:dLbl>
              <c:idx val="2"/>
              <c:layout>
                <c:manualLayout>
                  <c:x val="1.1111111111111125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4.859494143367519E-3"/>
                  <c:y val="-1.3072581613572843E-2"/>
                </c:manualLayout>
              </c:layout>
              <c:showVal val="1"/>
            </c:dLbl>
            <c:dLbl>
              <c:idx val="5"/>
              <c:layout>
                <c:manualLayout>
                  <c:x val="6.4698458968024033E-3"/>
                  <c:y val="-3.22851800387697E-3"/>
                </c:manualLayout>
              </c:layout>
              <c:showVal val="1"/>
            </c:dLbl>
            <c:showVal val="1"/>
          </c:dLbls>
          <c:cat>
            <c:strRef>
              <c:f>chomage!$B$2:$B$8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chomage!$D$2:$D$8</c:f>
              <c:numCache>
                <c:formatCode>#,##0.0</c:formatCode>
                <c:ptCount val="7"/>
                <c:pt idx="0">
                  <c:v>15.57380904959167</c:v>
                </c:pt>
                <c:pt idx="1">
                  <c:v>3.5416320679890436</c:v>
                </c:pt>
                <c:pt idx="2">
                  <c:v>8.8995114542730853</c:v>
                </c:pt>
                <c:pt idx="3">
                  <c:v>15.087017602495898</c:v>
                </c:pt>
                <c:pt idx="4">
                  <c:v>25.737044689083866</c:v>
                </c:pt>
                <c:pt idx="5">
                  <c:v>18.268593575577338</c:v>
                </c:pt>
                <c:pt idx="6">
                  <c:v>10.465312208797156</c:v>
                </c:pt>
              </c:numCache>
            </c:numRef>
          </c:val>
        </c:ser>
        <c:axId val="92611712"/>
        <c:axId val="92613248"/>
      </c:barChart>
      <c:catAx>
        <c:axId val="92611712"/>
        <c:scaling>
          <c:orientation val="minMax"/>
        </c:scaling>
        <c:axPos val="b"/>
        <c:tickLblPos val="nextTo"/>
        <c:crossAx val="92613248"/>
        <c:crosses val="autoZero"/>
        <c:auto val="1"/>
        <c:lblAlgn val="ctr"/>
        <c:lblOffset val="100"/>
      </c:catAx>
      <c:valAx>
        <c:axId val="92613248"/>
        <c:scaling>
          <c:orientation val="minMax"/>
        </c:scaling>
        <c:delete val="1"/>
        <c:axPos val="l"/>
        <c:numFmt formatCode="#,##0.0" sourceLinked="1"/>
        <c:tickLblPos val="none"/>
        <c:crossAx val="92611712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</c:chart>
  <c:txPr>
    <a:bodyPr/>
    <a:lstStyle/>
    <a:p>
      <a:pPr>
        <a:defRPr sz="800">
          <a:latin typeface="Book Antiqua" pitchFamily="18" charset="0"/>
        </a:defRPr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0.47337871435439877"/>
          <c:y val="4.3835608873155622E-2"/>
          <c:w val="0.48893683885085504"/>
          <c:h val="0.70130450630059649"/>
        </c:manualLayout>
      </c:layout>
      <c:bar3DChart>
        <c:barDir val="bar"/>
        <c:grouping val="clustered"/>
        <c:ser>
          <c:idx val="0"/>
          <c:order val="0"/>
          <c:tx>
            <c:strRef>
              <c:f>T_chômage__dip!$C$1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5"/>
              <c:layout>
                <c:manualLayout>
                  <c:x val="0"/>
                  <c:y val="4.3835608873155222E-3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T_chômage__dip!$B$2:$B$10</c:f>
              <c:strCache>
                <c:ptCount val="9"/>
                <c:pt idx="0">
                  <c:v>Diplômes et certificats de l"enseignement fondamental</c:v>
                </c:pt>
                <c:pt idx="1">
                  <c:v>Diplômes de l'enseignement secondaire</c:v>
                </c:pt>
                <c:pt idx="2">
                  <c:v>Diplômes supérieurs délivrés par  les facultés</c:v>
                </c:pt>
                <c:pt idx="3">
                  <c:v>Diplômes supérieurs délivrés par les écoles et instituts</c:v>
                </c:pt>
                <c:pt idx="4">
                  <c:v>Diplômes de techniciens et de cadres moyens</c:v>
                </c:pt>
                <c:pt idx="5">
                  <c:v>Diplômes en qualification professionnelle</c:v>
                </c:pt>
                <c:pt idx="6">
                  <c:v>Certificats en spécialisation professionnelle</c:v>
                </c:pt>
                <c:pt idx="7">
                  <c:v>Sans diplôme</c:v>
                </c:pt>
                <c:pt idx="8">
                  <c:v>Total</c:v>
                </c:pt>
              </c:strCache>
            </c:strRef>
          </c:cat>
          <c:val>
            <c:numRef>
              <c:f>T_chômage__dip!$C$2:$C$10</c:f>
              <c:numCache>
                <c:formatCode>#,##0.0</c:formatCode>
                <c:ptCount val="9"/>
                <c:pt idx="0">
                  <c:v>14.108359626063738</c:v>
                </c:pt>
                <c:pt idx="1">
                  <c:v>22.669888532752868</c:v>
                </c:pt>
                <c:pt idx="2">
                  <c:v>25.992974705873362</c:v>
                </c:pt>
                <c:pt idx="3">
                  <c:v>7.2591650283335314</c:v>
                </c:pt>
                <c:pt idx="4">
                  <c:v>27.806153369131692</c:v>
                </c:pt>
                <c:pt idx="5">
                  <c:v>23.48104664354603</c:v>
                </c:pt>
                <c:pt idx="6">
                  <c:v>23.340595943167489</c:v>
                </c:pt>
                <c:pt idx="7">
                  <c:v>4.2929158694378309</c:v>
                </c:pt>
                <c:pt idx="8">
                  <c:v>10.748651002905092</c:v>
                </c:pt>
              </c:numCache>
            </c:numRef>
          </c:val>
        </c:ser>
        <c:ser>
          <c:idx val="1"/>
          <c:order val="1"/>
          <c:tx>
            <c:strRef>
              <c:f>T_chômage__dip!$D$1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dLbl>
              <c:idx val="0"/>
              <c:layout>
                <c:manualLayout>
                  <c:x val="0"/>
                  <c:y val="-4.3835608873155629E-3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1.3150682661946684E-2"/>
                </c:manualLayout>
              </c:layout>
              <c:showVal val="1"/>
            </c:dLbl>
            <c:dLbl>
              <c:idx val="3"/>
              <c:layout>
                <c:manualLayout>
                  <c:x val="-3.6322358356387545E-3"/>
                  <c:y val="-1.3150682661946684E-2"/>
                </c:manualLayout>
              </c:layout>
              <c:showVal val="1"/>
            </c:dLbl>
            <c:dLbl>
              <c:idx val="4"/>
              <c:layout>
                <c:manualLayout>
                  <c:x val="-1.8161179178193825E-3"/>
                  <c:y val="-2.1917804436577811E-2"/>
                </c:manualLayout>
              </c:layout>
              <c:showVal val="1"/>
            </c:dLbl>
            <c:dLbl>
              <c:idx val="6"/>
              <c:layout>
                <c:manualLayout>
                  <c:x val="-5.4483537534581652E-3"/>
                  <c:y val="-3.068492621120894E-2"/>
                </c:manualLayout>
              </c:layout>
              <c:showVal val="1"/>
            </c:dLbl>
            <c:dLbl>
              <c:idx val="7"/>
              <c:layout>
                <c:manualLayout>
                  <c:x val="-1.8161179178193883E-3"/>
                  <c:y val="-1.7534243549262255E-2"/>
                </c:manualLayout>
              </c:layout>
              <c:showVal val="1"/>
            </c:dLbl>
            <c:dLbl>
              <c:idx val="8"/>
              <c:layout>
                <c:manualLayout>
                  <c:x val="-1.8161179178193883E-3"/>
                  <c:y val="-1.3150682661946684E-2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T_chômage__dip!$B$2:$B$10</c:f>
              <c:strCache>
                <c:ptCount val="9"/>
                <c:pt idx="0">
                  <c:v>Diplômes et certificats de l"enseignement fondamental</c:v>
                </c:pt>
                <c:pt idx="1">
                  <c:v>Diplômes de l'enseignement secondaire</c:v>
                </c:pt>
                <c:pt idx="2">
                  <c:v>Diplômes supérieurs délivrés par  les facultés</c:v>
                </c:pt>
                <c:pt idx="3">
                  <c:v>Diplômes supérieurs délivrés par les écoles et instituts</c:v>
                </c:pt>
                <c:pt idx="4">
                  <c:v>Diplômes de techniciens et de cadres moyens</c:v>
                </c:pt>
                <c:pt idx="5">
                  <c:v>Diplômes en qualification professionnelle</c:v>
                </c:pt>
                <c:pt idx="6">
                  <c:v>Certificats en spécialisation professionnelle</c:v>
                </c:pt>
                <c:pt idx="7">
                  <c:v>Sans diplôme</c:v>
                </c:pt>
                <c:pt idx="8">
                  <c:v>Total</c:v>
                </c:pt>
              </c:strCache>
            </c:strRef>
          </c:cat>
          <c:val>
            <c:numRef>
              <c:f>T_chômage__dip!$D$2:$D$10</c:f>
              <c:numCache>
                <c:formatCode>#,##0.0</c:formatCode>
                <c:ptCount val="9"/>
                <c:pt idx="0">
                  <c:v>13.080463816872596</c:v>
                </c:pt>
                <c:pt idx="1">
                  <c:v>25.703737137253487</c:v>
                </c:pt>
                <c:pt idx="2">
                  <c:v>27.799293126785926</c:v>
                </c:pt>
                <c:pt idx="3">
                  <c:v>6.2317157249424007</c:v>
                </c:pt>
                <c:pt idx="4">
                  <c:v>27.219538443622593</c:v>
                </c:pt>
                <c:pt idx="5">
                  <c:v>22.433354742991753</c:v>
                </c:pt>
                <c:pt idx="6">
                  <c:v>22.719374456993915</c:v>
                </c:pt>
                <c:pt idx="7">
                  <c:v>3.9698023901211457</c:v>
                </c:pt>
                <c:pt idx="8">
                  <c:v>10.465312208797323</c:v>
                </c:pt>
              </c:numCache>
            </c:numRef>
          </c:val>
        </c:ser>
        <c:dLbls>
          <c:showVal val="1"/>
        </c:dLbls>
        <c:gapWidth val="75"/>
        <c:shape val="box"/>
        <c:axId val="92655616"/>
        <c:axId val="92657152"/>
        <c:axId val="0"/>
      </c:bar3DChart>
      <c:catAx>
        <c:axId val="92655616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92657152"/>
        <c:crosses val="autoZero"/>
        <c:auto val="1"/>
        <c:lblAlgn val="ctr"/>
        <c:lblOffset val="100"/>
      </c:catAx>
      <c:valAx>
        <c:axId val="92657152"/>
        <c:scaling>
          <c:orientation val="minMax"/>
        </c:scaling>
        <c:axPos val="b"/>
        <c:numFmt formatCode="#,##0.0" sourceLinked="1"/>
        <c:majorTickMark val="none"/>
        <c:tickLblPos val="nextTo"/>
        <c:crossAx val="92655616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plotArea>
      <c:layout/>
      <c:barChart>
        <c:barDir val="col"/>
        <c:grouping val="clustered"/>
        <c:ser>
          <c:idx val="0"/>
          <c:order val="0"/>
          <c:tx>
            <c:strRef>
              <c:f>'sous emp'!$D$2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1"/>
              <c:layout>
                <c:manualLayout>
                  <c:x val="-9.098863268981584E-3"/>
                  <c:y val="0"/>
                </c:manualLayout>
              </c:layout>
              <c:showVal val="1"/>
            </c:dLbl>
            <c:showVal val="1"/>
          </c:dLbls>
          <c:cat>
            <c:strRef>
              <c:f>'sous emp'!$C$3:$C$9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'sous emp'!$D$3:$D$9</c:f>
              <c:numCache>
                <c:formatCode>#,##0.0</c:formatCode>
                <c:ptCount val="7"/>
                <c:pt idx="0">
                  <c:v>9.4413881654999319</c:v>
                </c:pt>
                <c:pt idx="1">
                  <c:v>10.261615626054413</c:v>
                </c:pt>
                <c:pt idx="2">
                  <c:v>11.141755675717503</c:v>
                </c:pt>
                <c:pt idx="3">
                  <c:v>5.6755156631532282</c:v>
                </c:pt>
                <c:pt idx="4">
                  <c:v>15.326614303276004</c:v>
                </c:pt>
                <c:pt idx="5">
                  <c:v>10.9</c:v>
                </c:pt>
                <c:pt idx="6">
                  <c:v>9.8175902028638546</c:v>
                </c:pt>
              </c:numCache>
            </c:numRef>
          </c:val>
        </c:ser>
        <c:ser>
          <c:idx val="1"/>
          <c:order val="1"/>
          <c:tx>
            <c:strRef>
              <c:f>'sous emp'!$E$2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dLbls>
            <c:showVal val="1"/>
          </c:dLbls>
          <c:cat>
            <c:strRef>
              <c:f>'sous emp'!$C$3:$C$9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'sous emp'!$E$3:$E$9</c:f>
              <c:numCache>
                <c:formatCode>#,##0.0</c:formatCode>
                <c:ptCount val="7"/>
                <c:pt idx="0">
                  <c:v>9.4450310724680708</c:v>
                </c:pt>
                <c:pt idx="1">
                  <c:v>10.688966570234657</c:v>
                </c:pt>
                <c:pt idx="2">
                  <c:v>11.536633010213844</c:v>
                </c:pt>
                <c:pt idx="3">
                  <c:v>5.1922547504189396</c:v>
                </c:pt>
                <c:pt idx="4">
                  <c:v>16.373405824717075</c:v>
                </c:pt>
                <c:pt idx="5">
                  <c:v>10.866988269277412</c:v>
                </c:pt>
                <c:pt idx="6">
                  <c:v>10.014008929141635</c:v>
                </c:pt>
              </c:numCache>
            </c:numRef>
          </c:val>
        </c:ser>
        <c:axId val="92764416"/>
        <c:axId val="92782592"/>
      </c:barChart>
      <c:catAx>
        <c:axId val="92764416"/>
        <c:scaling>
          <c:orientation val="minMax"/>
        </c:scaling>
        <c:axPos val="b"/>
        <c:tickLblPos val="nextTo"/>
        <c:crossAx val="92782592"/>
        <c:crosses val="autoZero"/>
        <c:auto val="1"/>
        <c:lblAlgn val="ctr"/>
        <c:lblOffset val="100"/>
      </c:catAx>
      <c:valAx>
        <c:axId val="92782592"/>
        <c:scaling>
          <c:orientation val="minMax"/>
        </c:scaling>
        <c:delete val="1"/>
        <c:axPos val="l"/>
        <c:numFmt formatCode="#,##0.0" sourceLinked="1"/>
        <c:tickLblPos val="none"/>
        <c:crossAx val="92764416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800">
          <a:latin typeface="Book Antiqua" pitchFamily="18" charset="0"/>
        </a:defRPr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plotArea>
      <c:layout/>
      <c:barChart>
        <c:barDir val="col"/>
        <c:grouping val="clustered"/>
        <c:ser>
          <c:idx val="0"/>
          <c:order val="0"/>
          <c:tx>
            <c:strRef>
              <c:f>'sous emp sect'!$D$2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dLbls>
            <c:showVal val="1"/>
          </c:dLbls>
          <c:cat>
            <c:strRef>
              <c:f>'sous emp sect'!$C$3:$C$6</c:f>
              <c:strCache>
                <c:ptCount val="4"/>
                <c:pt idx="0">
                  <c:v>Agriculture</c:v>
                </c:pt>
                <c:pt idx="1">
                  <c:v>Industrie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'sous emp sect'!$D$3:$D$6</c:f>
              <c:numCache>
                <c:formatCode>#,##0.0</c:formatCode>
                <c:ptCount val="4"/>
                <c:pt idx="0">
                  <c:v>9.5562076271996528</c:v>
                </c:pt>
                <c:pt idx="1">
                  <c:v>7.761293972314907</c:v>
                </c:pt>
                <c:pt idx="2">
                  <c:v>16.625716550742979</c:v>
                </c:pt>
                <c:pt idx="3">
                  <c:v>8.9891997811895425</c:v>
                </c:pt>
              </c:numCache>
            </c:numRef>
          </c:val>
        </c:ser>
        <c:ser>
          <c:idx val="1"/>
          <c:order val="1"/>
          <c:tx>
            <c:strRef>
              <c:f>'sous emp sect'!$E$2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'sous emp sect'!$C$3:$C$6</c:f>
              <c:strCache>
                <c:ptCount val="4"/>
                <c:pt idx="0">
                  <c:v>Agriculture</c:v>
                </c:pt>
                <c:pt idx="1">
                  <c:v>Industrie</c:v>
                </c:pt>
                <c:pt idx="2">
                  <c:v>BTP</c:v>
                </c:pt>
                <c:pt idx="3">
                  <c:v>Services</c:v>
                </c:pt>
              </c:strCache>
            </c:strRef>
          </c:cat>
          <c:val>
            <c:numRef>
              <c:f>'sous emp sect'!$E$3:$E$6</c:f>
              <c:numCache>
                <c:formatCode>#,##0.0</c:formatCode>
                <c:ptCount val="4"/>
                <c:pt idx="0">
                  <c:v>9.8442560911461783</c:v>
                </c:pt>
                <c:pt idx="1">
                  <c:v>7.2307007183379639</c:v>
                </c:pt>
                <c:pt idx="2">
                  <c:v>16.073088938340067</c:v>
                </c:pt>
                <c:pt idx="3">
                  <c:v>9.4614533957505635</c:v>
                </c:pt>
              </c:numCache>
            </c:numRef>
          </c:val>
        </c:ser>
        <c:overlap val="6"/>
        <c:axId val="92422912"/>
        <c:axId val="92424448"/>
      </c:barChart>
      <c:catAx>
        <c:axId val="92422912"/>
        <c:scaling>
          <c:orientation val="minMax"/>
        </c:scaling>
        <c:axPos val="b"/>
        <c:tickLblPos val="nextTo"/>
        <c:crossAx val="92424448"/>
        <c:crosses val="autoZero"/>
        <c:auto val="1"/>
        <c:lblAlgn val="ctr"/>
        <c:lblOffset val="100"/>
      </c:catAx>
      <c:valAx>
        <c:axId val="92424448"/>
        <c:scaling>
          <c:orientation val="minMax"/>
        </c:scaling>
        <c:delete val="1"/>
        <c:axPos val="l"/>
        <c:numFmt formatCode="#,##0.0" sourceLinked="1"/>
        <c:tickLblPos val="none"/>
        <c:crossAx val="92422912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plotArea>
      <c:layout/>
      <c:barChart>
        <c:barDir val="col"/>
        <c:grouping val="clustered"/>
        <c:ser>
          <c:idx val="0"/>
          <c:order val="0"/>
          <c:tx>
            <c:strRef>
              <c:f>'graph act'!$C$1</c:f>
              <c:strCache>
                <c:ptCount val="1"/>
                <c:pt idx="0">
                  <c:v>urbain</c:v>
                </c:pt>
              </c:strCache>
            </c:strRef>
          </c:tx>
          <c:dLbls>
            <c:dLbl>
              <c:idx val="0"/>
              <c:layout>
                <c:manualLayout>
                  <c:x val="-7.7815194427696983E-3"/>
                  <c:y val="-1.976206512660584E-17"/>
                </c:manualLayout>
              </c:layout>
              <c:showVal val="1"/>
            </c:dLbl>
            <c:dLbl>
              <c:idx val="3"/>
              <c:layout>
                <c:manualLayout>
                  <c:x val="-5.8361139898975133E-3"/>
                  <c:y val="2.5175694659661751E-2"/>
                </c:manualLayout>
              </c:layout>
              <c:showVal val="1"/>
            </c:dLbl>
            <c:dLbl>
              <c:idx val="4"/>
              <c:layout>
                <c:manualLayout>
                  <c:x val="-8.5052094407824796E-3"/>
                  <c:y val="9.4272920103700246E-3"/>
                </c:manualLayout>
              </c:layout>
              <c:showVal val="1"/>
            </c:dLbl>
            <c:dLbl>
              <c:idx val="5"/>
              <c:layout>
                <c:manualLayout>
                  <c:x val="-6.3789070805868658E-3"/>
                  <c:y val="-9.4272920103700246E-3"/>
                </c:manualLayout>
              </c:layout>
              <c:showVal val="1"/>
            </c:dLbl>
            <c:dLbl>
              <c:idx val="6"/>
              <c:layout>
                <c:manualLayout>
                  <c:x val="-7.7816726222862892E-3"/>
                  <c:y val="4.3117731097458423E-3"/>
                </c:manualLayout>
              </c:layout>
              <c:showVal val="1"/>
            </c:dLbl>
            <c:dLbl>
              <c:idx val="7"/>
              <c:layout>
                <c:manualLayout>
                  <c:x val="-8.1434031887837668E-3"/>
                  <c:y val="8.6233741168873172E-3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'graph act'!$B$2:$B$13</c:f>
              <c:strCache>
                <c:ptCount val="12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 *</c:v>
                </c:pt>
                <c:pt idx="11">
                  <c:v>Eddakhla-Oued Eddahab **</c:v>
                </c:pt>
              </c:strCache>
            </c:strRef>
          </c:cat>
          <c:val>
            <c:numRef>
              <c:f>'graph act'!$C$2:$C$13</c:f>
              <c:numCache>
                <c:formatCode>General</c:formatCode>
                <c:ptCount val="12"/>
                <c:pt idx="0">
                  <c:v>43.4</c:v>
                </c:pt>
                <c:pt idx="1">
                  <c:v>42.1</c:v>
                </c:pt>
                <c:pt idx="2">
                  <c:v>37.4</c:v>
                </c:pt>
                <c:pt idx="3">
                  <c:v>43.2</c:v>
                </c:pt>
                <c:pt idx="4">
                  <c:v>35.700000000000003</c:v>
                </c:pt>
                <c:pt idx="5">
                  <c:v>46.2</c:v>
                </c:pt>
                <c:pt idx="6">
                  <c:v>42.8</c:v>
                </c:pt>
                <c:pt idx="7">
                  <c:v>36.4</c:v>
                </c:pt>
                <c:pt idx="8">
                  <c:v>41.4</c:v>
                </c:pt>
                <c:pt idx="9">
                  <c:v>41.6</c:v>
                </c:pt>
                <c:pt idx="10">
                  <c:v>40.9</c:v>
                </c:pt>
                <c:pt idx="11">
                  <c:v>55.9</c:v>
                </c:pt>
              </c:numCache>
            </c:numRef>
          </c:val>
        </c:ser>
        <c:ser>
          <c:idx val="1"/>
          <c:order val="1"/>
          <c:tx>
            <c:strRef>
              <c:f>'graph act'!$D$1</c:f>
              <c:strCache>
                <c:ptCount val="1"/>
                <c:pt idx="0">
                  <c:v>rural</c:v>
                </c:pt>
              </c:strCache>
            </c:strRef>
          </c:tx>
          <c:dLbls>
            <c:dLbl>
              <c:idx val="1"/>
              <c:layout>
                <c:manualLayout>
                  <c:x val="-3.8907597213848409E-3"/>
                  <c:y val="-1.7247092438983317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1.4140938015555044E-2"/>
                </c:manualLayout>
              </c:layout>
              <c:showVal val="1"/>
            </c:dLbl>
            <c:dLbl>
              <c:idx val="10"/>
              <c:delete val="1"/>
            </c:dLbl>
            <c:dLbl>
              <c:idx val="11"/>
              <c:delete val="1"/>
            </c:dLbl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'graph act'!$B$2:$B$13</c:f>
              <c:strCache>
                <c:ptCount val="12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 *</c:v>
                </c:pt>
                <c:pt idx="11">
                  <c:v>Eddakhla-Oued Eddahab **</c:v>
                </c:pt>
              </c:strCache>
            </c:strRef>
          </c:cat>
          <c:val>
            <c:numRef>
              <c:f>'graph act'!$D$2:$D$13</c:f>
              <c:numCache>
                <c:formatCode>General</c:formatCode>
                <c:ptCount val="12"/>
                <c:pt idx="0">
                  <c:v>53.8</c:v>
                </c:pt>
                <c:pt idx="1">
                  <c:v>50.1</c:v>
                </c:pt>
                <c:pt idx="2">
                  <c:v>54.6</c:v>
                </c:pt>
                <c:pt idx="3">
                  <c:v>57</c:v>
                </c:pt>
                <c:pt idx="4">
                  <c:v>54.4</c:v>
                </c:pt>
                <c:pt idx="5">
                  <c:v>66.099999999999994</c:v>
                </c:pt>
                <c:pt idx="6">
                  <c:v>55</c:v>
                </c:pt>
                <c:pt idx="7">
                  <c:v>51.8</c:v>
                </c:pt>
                <c:pt idx="8">
                  <c:v>47.8</c:v>
                </c:pt>
                <c:pt idx="9">
                  <c:v>47.2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2"/>
          <c:order val="2"/>
          <c:tx>
            <c:strRef>
              <c:f>'graph act'!$E$1</c:f>
              <c:strCache>
                <c:ptCount val="1"/>
                <c:pt idx="0">
                  <c:v>Total</c:v>
                </c:pt>
              </c:strCache>
            </c:strRef>
          </c:tx>
          <c:dLbls>
            <c:dLbl>
              <c:idx val="0"/>
              <c:layout>
                <c:manualLayout>
                  <c:x val="3.8907597213848409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5.8361395820772689E-3"/>
                  <c:y val="4.3117731097458561E-3"/>
                </c:manualLayout>
              </c:layout>
              <c:showVal val="1"/>
            </c:dLbl>
            <c:dLbl>
              <c:idx val="3"/>
              <c:layout>
                <c:manualLayout>
                  <c:x val="1.0269705548979461E-2"/>
                  <c:y val="4.7136460051850175E-3"/>
                </c:manualLayout>
              </c:layout>
              <c:showVal val="1"/>
            </c:dLbl>
            <c:dLbl>
              <c:idx val="4"/>
              <c:layout>
                <c:manualLayout>
                  <c:x val="7.7815194427696983E-3"/>
                  <c:y val="4.3117731097458423E-3"/>
                </c:manualLayout>
              </c:layout>
              <c:showVal val="1"/>
            </c:dLbl>
            <c:dLbl>
              <c:idx val="5"/>
              <c:layout>
                <c:manualLayout>
                  <c:x val="9.7268993034621068E-3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3.8907597213849172E-3"/>
                  <c:y val="0"/>
                </c:manualLayout>
              </c:layout>
              <c:showVal val="1"/>
            </c:dLbl>
            <c:dLbl>
              <c:idx val="7"/>
              <c:layout>
                <c:manualLayout>
                  <c:x val="3.8907597213848409E-3"/>
                  <c:y val="8.6235462194916984E-3"/>
                </c:manualLayout>
              </c:layout>
              <c:showVal val="1"/>
            </c:dLbl>
            <c:dLbl>
              <c:idx val="8"/>
              <c:layout>
                <c:manualLayout>
                  <c:x val="4.2526047203912424E-3"/>
                  <c:y val="4.7136460051850175E-3"/>
                </c:manualLayout>
              </c:layout>
              <c:showVal val="1"/>
            </c:dLbl>
            <c:dLbl>
              <c:idx val="9"/>
              <c:layout>
                <c:manualLayout>
                  <c:x val="5.8361395820772689E-3"/>
                  <c:y val="4.3117731097458171E-3"/>
                </c:manualLayout>
              </c:layout>
              <c:showVal val="1"/>
            </c:dLbl>
            <c:dLbl>
              <c:idx val="10"/>
              <c:layout>
                <c:manualLayout>
                  <c:x val="9.7268993034621068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'graph act'!$B$2:$B$13</c:f>
              <c:strCache>
                <c:ptCount val="12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 *</c:v>
                </c:pt>
                <c:pt idx="11">
                  <c:v>Eddakhla-Oued Eddahab **</c:v>
                </c:pt>
              </c:strCache>
            </c:strRef>
          </c:cat>
          <c:val>
            <c:numRef>
              <c:f>'graph act'!$E$2:$E$13</c:f>
              <c:numCache>
                <c:formatCode>General</c:formatCode>
                <c:ptCount val="12"/>
                <c:pt idx="0">
                  <c:v>47.4</c:v>
                </c:pt>
                <c:pt idx="1">
                  <c:v>44.6</c:v>
                </c:pt>
                <c:pt idx="2">
                  <c:v>43.7</c:v>
                </c:pt>
                <c:pt idx="3">
                  <c:v>46.9</c:v>
                </c:pt>
                <c:pt idx="4">
                  <c:v>44.5</c:v>
                </c:pt>
                <c:pt idx="5">
                  <c:v>50.8</c:v>
                </c:pt>
                <c:pt idx="6">
                  <c:v>49.3</c:v>
                </c:pt>
                <c:pt idx="7">
                  <c:v>46.2</c:v>
                </c:pt>
                <c:pt idx="8">
                  <c:v>44</c:v>
                </c:pt>
                <c:pt idx="9">
                  <c:v>43.4</c:v>
                </c:pt>
                <c:pt idx="10">
                  <c:v>40.9</c:v>
                </c:pt>
                <c:pt idx="11">
                  <c:v>70</c:v>
                </c:pt>
              </c:numCache>
            </c:numRef>
          </c:val>
        </c:ser>
        <c:axId val="92795264"/>
        <c:axId val="92796800"/>
      </c:barChart>
      <c:catAx>
        <c:axId val="92795264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92796800"/>
        <c:crosses val="autoZero"/>
        <c:auto val="1"/>
        <c:lblAlgn val="ctr"/>
        <c:lblOffset val="100"/>
      </c:catAx>
      <c:valAx>
        <c:axId val="92796800"/>
        <c:scaling>
          <c:orientation val="minMax"/>
        </c:scaling>
        <c:delete val="1"/>
        <c:axPos val="l"/>
        <c:numFmt formatCode="General" sourceLinked="1"/>
        <c:tickLblPos val="nextTo"/>
        <c:crossAx val="92795264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plotArea>
      <c:layout/>
      <c:barChart>
        <c:barDir val="col"/>
        <c:grouping val="clustered"/>
        <c:ser>
          <c:idx val="0"/>
          <c:order val="0"/>
          <c:tx>
            <c:strRef>
              <c:f>'graph chom'!$C$1</c:f>
              <c:strCache>
                <c:ptCount val="1"/>
                <c:pt idx="0">
                  <c:v>urbain</c:v>
                </c:pt>
              </c:strCache>
            </c:strRef>
          </c:tx>
          <c:dLbls>
            <c:showVal val="1"/>
          </c:dLbls>
          <c:cat>
            <c:strRef>
              <c:f>'graph chom'!$B$2:$B$13</c:f>
              <c:strCache>
                <c:ptCount val="12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 *</c:v>
                </c:pt>
                <c:pt idx="11">
                  <c:v>Eddakhla-Oued Eddahab **</c:v>
                </c:pt>
              </c:strCache>
            </c:strRef>
          </c:cat>
          <c:val>
            <c:numRef>
              <c:f>'graph chom'!$C$2:$C$13</c:f>
              <c:numCache>
                <c:formatCode>General</c:formatCode>
                <c:ptCount val="12"/>
                <c:pt idx="0">
                  <c:v>11.5</c:v>
                </c:pt>
                <c:pt idx="1">
                  <c:v>22.1</c:v>
                </c:pt>
                <c:pt idx="2">
                  <c:v>16.100000000000001</c:v>
                </c:pt>
                <c:pt idx="3">
                  <c:v>17.100000000000001</c:v>
                </c:pt>
                <c:pt idx="4">
                  <c:v>13.7</c:v>
                </c:pt>
                <c:pt idx="5">
                  <c:v>15</c:v>
                </c:pt>
                <c:pt idx="6">
                  <c:v>15.3</c:v>
                </c:pt>
                <c:pt idx="7">
                  <c:v>13.4</c:v>
                </c:pt>
                <c:pt idx="8">
                  <c:v>14.1</c:v>
                </c:pt>
                <c:pt idx="9">
                  <c:v>23.6</c:v>
                </c:pt>
                <c:pt idx="10">
                  <c:v>11.9</c:v>
                </c:pt>
                <c:pt idx="11">
                  <c:v>17.8</c:v>
                </c:pt>
              </c:numCache>
            </c:numRef>
          </c:val>
        </c:ser>
        <c:ser>
          <c:idx val="1"/>
          <c:order val="1"/>
          <c:tx>
            <c:strRef>
              <c:f>'graph chom'!$D$1</c:f>
              <c:strCache>
                <c:ptCount val="1"/>
                <c:pt idx="0">
                  <c:v>rural</c:v>
                </c:pt>
              </c:strCache>
            </c:strRef>
          </c:tx>
          <c:dLbls>
            <c:dLbl>
              <c:idx val="10"/>
              <c:delete val="1"/>
            </c:dLbl>
            <c:showVal val="1"/>
          </c:dLbls>
          <c:cat>
            <c:strRef>
              <c:f>'graph chom'!$B$2:$B$13</c:f>
              <c:strCache>
                <c:ptCount val="12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 *</c:v>
                </c:pt>
                <c:pt idx="11">
                  <c:v>Eddakhla-Oued Eddahab **</c:v>
                </c:pt>
              </c:strCache>
            </c:strRef>
          </c:cat>
          <c:val>
            <c:numRef>
              <c:f>'graph chom'!$D$2:$D$13</c:f>
              <c:numCache>
                <c:formatCode>General</c:formatCode>
                <c:ptCount val="12"/>
                <c:pt idx="0">
                  <c:v>3.2</c:v>
                </c:pt>
                <c:pt idx="1">
                  <c:v>9</c:v>
                </c:pt>
                <c:pt idx="2">
                  <c:v>3.5</c:v>
                </c:pt>
                <c:pt idx="3">
                  <c:v>4.4000000000000004</c:v>
                </c:pt>
                <c:pt idx="4">
                  <c:v>2.6</c:v>
                </c:pt>
                <c:pt idx="5">
                  <c:v>2.5</c:v>
                </c:pt>
                <c:pt idx="6">
                  <c:v>2.2999999999999998</c:v>
                </c:pt>
                <c:pt idx="7">
                  <c:v>2.1</c:v>
                </c:pt>
                <c:pt idx="8">
                  <c:v>6.2</c:v>
                </c:pt>
                <c:pt idx="9">
                  <c:v>12.9</c:v>
                </c:pt>
                <c:pt idx="10">
                  <c:v>0</c:v>
                </c:pt>
              </c:numCache>
            </c:numRef>
          </c:val>
        </c:ser>
        <c:ser>
          <c:idx val="2"/>
          <c:order val="2"/>
          <c:tx>
            <c:strRef>
              <c:f>'graph chom'!$E$1</c:f>
              <c:strCache>
                <c:ptCount val="1"/>
                <c:pt idx="0">
                  <c:v>Total</c:v>
                </c:pt>
              </c:strCache>
            </c:strRef>
          </c:tx>
          <c:dLbls>
            <c:showVal val="1"/>
          </c:dLbls>
          <c:cat>
            <c:strRef>
              <c:f>'graph chom'!$B$2:$B$13</c:f>
              <c:strCache>
                <c:ptCount val="12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</c:v>
                </c:pt>
                <c:pt idx="10">
                  <c:v>Laayoune-Sakia El Hamra *</c:v>
                </c:pt>
                <c:pt idx="11">
                  <c:v>Eddakhla-Oued Eddahab **</c:v>
                </c:pt>
              </c:strCache>
            </c:strRef>
          </c:cat>
          <c:val>
            <c:numRef>
              <c:f>'graph chom'!$E$2:$E$13</c:f>
              <c:numCache>
                <c:formatCode>General</c:formatCode>
                <c:ptCount val="12"/>
                <c:pt idx="0">
                  <c:v>7.9</c:v>
                </c:pt>
                <c:pt idx="1">
                  <c:v>17.600000000000001</c:v>
                </c:pt>
                <c:pt idx="2">
                  <c:v>10.3</c:v>
                </c:pt>
                <c:pt idx="3">
                  <c:v>13</c:v>
                </c:pt>
                <c:pt idx="4">
                  <c:v>7.3</c:v>
                </c:pt>
                <c:pt idx="5">
                  <c:v>11.2</c:v>
                </c:pt>
                <c:pt idx="6">
                  <c:v>7.6</c:v>
                </c:pt>
                <c:pt idx="7">
                  <c:v>5.3</c:v>
                </c:pt>
                <c:pt idx="8">
                  <c:v>10.7</c:v>
                </c:pt>
                <c:pt idx="9">
                  <c:v>19.8</c:v>
                </c:pt>
                <c:pt idx="10">
                  <c:v>11.9</c:v>
                </c:pt>
                <c:pt idx="11">
                  <c:v>9.6</c:v>
                </c:pt>
              </c:numCache>
            </c:numRef>
          </c:val>
        </c:ser>
        <c:axId val="92524544"/>
        <c:axId val="92526080"/>
      </c:barChart>
      <c:catAx>
        <c:axId val="92524544"/>
        <c:scaling>
          <c:orientation val="minMax"/>
        </c:scaling>
        <c:axPos val="b"/>
        <c:tickLblPos val="nextTo"/>
        <c:crossAx val="92526080"/>
        <c:crosses val="autoZero"/>
        <c:auto val="1"/>
        <c:lblAlgn val="ctr"/>
        <c:lblOffset val="100"/>
      </c:catAx>
      <c:valAx>
        <c:axId val="92526080"/>
        <c:scaling>
          <c:orientation val="minMax"/>
        </c:scaling>
        <c:delete val="1"/>
        <c:axPos val="l"/>
        <c:numFmt formatCode="General" sourceLinked="1"/>
        <c:tickLblPos val="nextTo"/>
        <c:crossAx val="92524544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800">
          <a:latin typeface="Book Antiqua" pitchFamily="18" charset="0"/>
        </a:defRPr>
      </a:pPr>
      <a:endParaRPr lang="fr-FR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plotArea>
      <c:layout/>
      <c:barChart>
        <c:barDir val="col"/>
        <c:grouping val="clustered"/>
        <c:ser>
          <c:idx val="0"/>
          <c:order val="0"/>
          <c:tx>
            <c:strRef>
              <c:f>'graph sous emp'!$C$1</c:f>
              <c:strCache>
                <c:ptCount val="1"/>
                <c:pt idx="0">
                  <c:v>urbain</c:v>
                </c:pt>
              </c:strCache>
            </c:strRef>
          </c:tx>
          <c:dLbls>
            <c:showVal val="1"/>
          </c:dLbls>
          <c:cat>
            <c:strRef>
              <c:f>'graph sous emp'!$B$2:$B$13</c:f>
              <c:strCache>
                <c:ptCount val="12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 **</c:v>
                </c:pt>
                <c:pt idx="10">
                  <c:v>Laayoune-Sakia El Hamra *</c:v>
                </c:pt>
                <c:pt idx="11">
                  <c:v>Eddakhla-Oued Eddahab **</c:v>
                </c:pt>
              </c:strCache>
            </c:strRef>
          </c:cat>
          <c:val>
            <c:numRef>
              <c:f>'graph sous emp'!$C$2:$C$13</c:f>
              <c:numCache>
                <c:formatCode>General</c:formatCode>
                <c:ptCount val="12"/>
                <c:pt idx="0">
                  <c:v>10.7</c:v>
                </c:pt>
                <c:pt idx="1">
                  <c:v>13.7</c:v>
                </c:pt>
                <c:pt idx="2">
                  <c:v>11.5</c:v>
                </c:pt>
                <c:pt idx="3">
                  <c:v>8.5</c:v>
                </c:pt>
                <c:pt idx="4">
                  <c:v>21.1</c:v>
                </c:pt>
                <c:pt idx="5">
                  <c:v>7.6</c:v>
                </c:pt>
                <c:pt idx="6">
                  <c:v>6.9</c:v>
                </c:pt>
                <c:pt idx="7">
                  <c:v>6.5</c:v>
                </c:pt>
                <c:pt idx="8">
                  <c:v>8.7000000000000011</c:v>
                </c:pt>
                <c:pt idx="9">
                  <c:v>2.5</c:v>
                </c:pt>
                <c:pt idx="10">
                  <c:v>4.5</c:v>
                </c:pt>
                <c:pt idx="11">
                  <c:v>2.9</c:v>
                </c:pt>
              </c:numCache>
            </c:numRef>
          </c:val>
        </c:ser>
        <c:ser>
          <c:idx val="1"/>
          <c:order val="1"/>
          <c:tx>
            <c:strRef>
              <c:f>'graph sous emp'!$D$1</c:f>
              <c:strCache>
                <c:ptCount val="1"/>
                <c:pt idx="0">
                  <c:v>rural</c:v>
                </c:pt>
              </c:strCache>
            </c:strRef>
          </c:tx>
          <c:dLbls>
            <c:dLbl>
              <c:idx val="1"/>
              <c:layout>
                <c:manualLayout>
                  <c:x val="1.037924282197716E-2"/>
                  <c:y val="-4.3660781170445903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-2.1830390585223024E-2"/>
                </c:manualLayout>
              </c:layout>
              <c:showVal val="1"/>
            </c:dLbl>
            <c:dLbl>
              <c:idx val="5"/>
              <c:layout>
                <c:manualLayout>
                  <c:x val="0"/>
                  <c:y val="-1.3483146067415746E-2"/>
                </c:manualLayout>
              </c:layout>
              <c:showVal val="1"/>
            </c:dLbl>
            <c:dLbl>
              <c:idx val="9"/>
              <c:delete val="1"/>
            </c:dLbl>
            <c:showVal val="1"/>
          </c:dLbls>
          <c:cat>
            <c:strRef>
              <c:f>'graph sous emp'!$B$2:$B$13</c:f>
              <c:strCache>
                <c:ptCount val="12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 **</c:v>
                </c:pt>
                <c:pt idx="10">
                  <c:v>Laayoune-Sakia El Hamra *</c:v>
                </c:pt>
                <c:pt idx="11">
                  <c:v>Eddakhla-Oued Eddahab **</c:v>
                </c:pt>
              </c:strCache>
            </c:strRef>
          </c:cat>
          <c:val>
            <c:numRef>
              <c:f>'graph sous emp'!$D$2:$D$13</c:f>
              <c:numCache>
                <c:formatCode>General</c:formatCode>
                <c:ptCount val="12"/>
                <c:pt idx="0">
                  <c:v>19.899999999999999</c:v>
                </c:pt>
                <c:pt idx="1">
                  <c:v>13.7</c:v>
                </c:pt>
                <c:pt idx="2">
                  <c:v>19.899999999999999</c:v>
                </c:pt>
                <c:pt idx="3">
                  <c:v>9.7000000000000011</c:v>
                </c:pt>
                <c:pt idx="4">
                  <c:v>12.4</c:v>
                </c:pt>
                <c:pt idx="5">
                  <c:v>8.8000000000000007</c:v>
                </c:pt>
                <c:pt idx="6">
                  <c:v>5.6</c:v>
                </c:pt>
                <c:pt idx="7">
                  <c:v>2.2999999999999998</c:v>
                </c:pt>
                <c:pt idx="8">
                  <c:v>6.3</c:v>
                </c:pt>
                <c:pt idx="9">
                  <c:v>0</c:v>
                </c:pt>
              </c:numCache>
            </c:numRef>
          </c:val>
        </c:ser>
        <c:ser>
          <c:idx val="2"/>
          <c:order val="2"/>
          <c:tx>
            <c:strRef>
              <c:f>'graph sous emp'!$E$1</c:f>
              <c:strCache>
                <c:ptCount val="1"/>
                <c:pt idx="0">
                  <c:v>Total</c:v>
                </c:pt>
              </c:strCache>
            </c:strRef>
          </c:tx>
          <c:dLbls>
            <c:dLbl>
              <c:idx val="2"/>
              <c:layout>
                <c:manualLayout>
                  <c:x val="8.5052094407824796E-3"/>
                  <c:y val="4.4943820224719114E-3"/>
                </c:manualLayout>
              </c:layout>
              <c:showVal val="1"/>
            </c:dLbl>
            <c:dLbl>
              <c:idx val="6"/>
              <c:layout>
                <c:manualLayout>
                  <c:x val="4.1516971287908853E-3"/>
                  <c:y val="-8.7321562340891955E-3"/>
                </c:manualLayout>
              </c:layout>
              <c:showVal val="1"/>
            </c:dLbl>
            <c:dLbl>
              <c:idx val="7"/>
              <c:layout>
                <c:manualLayout>
                  <c:x val="6.2275456931862394E-3"/>
                  <c:y val="0"/>
                </c:manualLayout>
              </c:layout>
              <c:showVal val="1"/>
            </c:dLbl>
            <c:dLbl>
              <c:idx val="8"/>
              <c:layout>
                <c:manualLayout>
                  <c:x val="8.3033942575817827E-3"/>
                  <c:y val="0"/>
                </c:manualLayout>
              </c:layout>
              <c:showVal val="1"/>
            </c:dLbl>
            <c:showVal val="1"/>
          </c:dLbls>
          <c:cat>
            <c:strRef>
              <c:f>'graph sous emp'!$B$2:$B$13</c:f>
              <c:strCache>
                <c:ptCount val="12"/>
                <c:pt idx="0">
                  <c:v>Tanger-Tétouan-Al Hoceima</c:v>
                </c:pt>
                <c:pt idx="1">
                  <c:v>Oriental</c:v>
                </c:pt>
                <c:pt idx="2">
                  <c:v>Fès-Meknès</c:v>
                </c:pt>
                <c:pt idx="3">
                  <c:v>Rabat-Salé-Kénitra</c:v>
                </c:pt>
                <c:pt idx="4">
                  <c:v>Béni Mellal-Khénifra</c:v>
                </c:pt>
                <c:pt idx="5">
                  <c:v>Grand Casablanca-Settat</c:v>
                </c:pt>
                <c:pt idx="6">
                  <c:v>Marrakech-Safi</c:v>
                </c:pt>
                <c:pt idx="7">
                  <c:v>Drâa-Tafilalet</c:v>
                </c:pt>
                <c:pt idx="8">
                  <c:v>Souss-Massa</c:v>
                </c:pt>
                <c:pt idx="9">
                  <c:v>Guelmim-Oued Noun **</c:v>
                </c:pt>
                <c:pt idx="10">
                  <c:v>Laayoune-Sakia El Hamra *</c:v>
                </c:pt>
                <c:pt idx="11">
                  <c:v>Eddakhla-Oued Eddahab **</c:v>
                </c:pt>
              </c:strCache>
            </c:strRef>
          </c:cat>
          <c:val>
            <c:numRef>
              <c:f>'graph sous emp'!$E$2:$E$13</c:f>
              <c:numCache>
                <c:formatCode>General</c:formatCode>
                <c:ptCount val="12"/>
                <c:pt idx="0">
                  <c:v>15</c:v>
                </c:pt>
                <c:pt idx="1">
                  <c:v>13.7</c:v>
                </c:pt>
                <c:pt idx="2">
                  <c:v>15.7</c:v>
                </c:pt>
                <c:pt idx="3">
                  <c:v>8.9</c:v>
                </c:pt>
                <c:pt idx="4">
                  <c:v>15.8</c:v>
                </c:pt>
                <c:pt idx="5">
                  <c:v>8</c:v>
                </c:pt>
                <c:pt idx="6">
                  <c:v>6.1</c:v>
                </c:pt>
                <c:pt idx="7">
                  <c:v>3.4</c:v>
                </c:pt>
                <c:pt idx="8">
                  <c:v>7.6</c:v>
                </c:pt>
                <c:pt idx="9">
                  <c:v>1.5</c:v>
                </c:pt>
                <c:pt idx="10">
                  <c:v>4.5</c:v>
                </c:pt>
                <c:pt idx="11">
                  <c:v>1.5</c:v>
                </c:pt>
              </c:numCache>
            </c:numRef>
          </c:val>
        </c:ser>
        <c:axId val="92691840"/>
        <c:axId val="92697728"/>
      </c:barChart>
      <c:catAx>
        <c:axId val="92691840"/>
        <c:scaling>
          <c:orientation val="minMax"/>
        </c:scaling>
        <c:axPos val="b"/>
        <c:tickLblPos val="nextTo"/>
        <c:crossAx val="92697728"/>
        <c:crosses val="autoZero"/>
        <c:auto val="1"/>
        <c:lblAlgn val="ctr"/>
        <c:lblOffset val="100"/>
      </c:catAx>
      <c:valAx>
        <c:axId val="92697728"/>
        <c:scaling>
          <c:orientation val="minMax"/>
        </c:scaling>
        <c:delete val="1"/>
        <c:axPos val="l"/>
        <c:numFmt formatCode="General" sourceLinked="1"/>
        <c:tickLblPos val="nextTo"/>
        <c:crossAx val="92691840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800">
          <a:latin typeface="Book Antiqua" pitchFamily="18" charset="0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E8920-FC10-4A84-9406-D1CF8767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2295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14891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2018-05-04T10:40:00Z</cp:lastPrinted>
  <dcterms:created xsi:type="dcterms:W3CDTF">2018-05-04T12:47:00Z</dcterms:created>
  <dcterms:modified xsi:type="dcterms:W3CDTF">2018-05-04T12:48:00Z</dcterms:modified>
</cp:coreProperties>
</file>