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47" w:rsidRDefault="00C54DDB" w:rsidP="00042E47">
      <w:pPr>
        <w:bidi w:val="0"/>
        <w:spacing w:line="276" w:lineRule="auto"/>
        <w:jc w:val="center"/>
        <w:rPr>
          <w:rFonts w:ascii="Book Antiqua" w:hAnsi="Book Antiqua" w:cs="Times New Roman"/>
          <w:b/>
          <w:bCs/>
          <w:color w:val="B33B69"/>
          <w:sz w:val="24"/>
          <w:szCs w:val="24"/>
        </w:rPr>
      </w:pPr>
      <w:r>
        <w:rPr>
          <w:rFonts w:ascii="Book Antiqua" w:hAnsi="Book Antiqua" w:cs="Times New Roman"/>
          <w:b/>
          <w:bCs/>
          <w:color w:val="B33B69"/>
          <w:sz w:val="24"/>
          <w:szCs w:val="24"/>
        </w:rPr>
        <w:t xml:space="preserve">            </w:t>
      </w:r>
    </w:p>
    <w:p w:rsidR="00042E47" w:rsidRDefault="00042E47" w:rsidP="00042E47">
      <w:pPr>
        <w:bidi w:val="0"/>
        <w:spacing w:line="276" w:lineRule="auto"/>
        <w:jc w:val="center"/>
        <w:rPr>
          <w:rFonts w:ascii="Book Antiqua" w:hAnsi="Book Antiqua" w:cs="Times New Roman"/>
          <w:b/>
          <w:bCs/>
          <w:color w:val="B33B69"/>
          <w:sz w:val="24"/>
          <w:szCs w:val="24"/>
        </w:rPr>
      </w:pPr>
    </w:p>
    <w:p w:rsidR="00F559A5" w:rsidRDefault="00F559A5" w:rsidP="00042E47">
      <w:pPr>
        <w:bidi w:val="0"/>
        <w:spacing w:line="276" w:lineRule="auto"/>
        <w:jc w:val="center"/>
        <w:rPr>
          <w:rFonts w:ascii="Book Antiqua" w:hAnsi="Book Antiqua" w:cs="Times New Roman"/>
          <w:b/>
          <w:bCs/>
          <w:color w:val="632423" w:themeColor="accent2" w:themeShade="80"/>
          <w:sz w:val="28"/>
          <w:szCs w:val="28"/>
        </w:rPr>
      </w:pPr>
    </w:p>
    <w:p w:rsidR="00F559A5" w:rsidRDefault="00F559A5" w:rsidP="00F559A5">
      <w:pPr>
        <w:bidi w:val="0"/>
        <w:spacing w:line="276" w:lineRule="auto"/>
        <w:jc w:val="center"/>
        <w:rPr>
          <w:rFonts w:ascii="Book Antiqua" w:hAnsi="Book Antiqua" w:cs="Times New Roman"/>
          <w:b/>
          <w:bCs/>
          <w:color w:val="632423" w:themeColor="accent2" w:themeShade="80"/>
          <w:sz w:val="28"/>
          <w:szCs w:val="28"/>
        </w:rPr>
      </w:pPr>
    </w:p>
    <w:p w:rsidR="00F559A5" w:rsidRDefault="00F559A5" w:rsidP="00F559A5">
      <w:pPr>
        <w:bidi w:val="0"/>
        <w:spacing w:line="276" w:lineRule="auto"/>
        <w:jc w:val="center"/>
        <w:rPr>
          <w:rFonts w:ascii="Book Antiqua" w:hAnsi="Book Antiqua" w:cs="Times New Roman"/>
          <w:b/>
          <w:bCs/>
          <w:color w:val="632423" w:themeColor="accent2" w:themeShade="80"/>
          <w:sz w:val="28"/>
          <w:szCs w:val="28"/>
        </w:rPr>
      </w:pPr>
    </w:p>
    <w:p w:rsidR="00F559A5" w:rsidRDefault="00F559A5" w:rsidP="00F559A5">
      <w:pPr>
        <w:bidi w:val="0"/>
        <w:spacing w:line="276" w:lineRule="auto"/>
        <w:jc w:val="center"/>
        <w:rPr>
          <w:rFonts w:ascii="Book Antiqua" w:hAnsi="Book Antiqua" w:cs="Times New Roman"/>
          <w:b/>
          <w:bCs/>
          <w:color w:val="632423" w:themeColor="accent2" w:themeShade="80"/>
          <w:sz w:val="28"/>
          <w:szCs w:val="28"/>
        </w:rPr>
      </w:pPr>
    </w:p>
    <w:p w:rsidR="00F559A5" w:rsidRDefault="00F559A5" w:rsidP="00F559A5">
      <w:pPr>
        <w:bidi w:val="0"/>
        <w:spacing w:line="276" w:lineRule="auto"/>
        <w:jc w:val="center"/>
        <w:rPr>
          <w:rFonts w:ascii="Book Antiqua" w:hAnsi="Book Antiqua" w:cs="Times New Roman"/>
          <w:b/>
          <w:bCs/>
          <w:color w:val="632423" w:themeColor="accent2" w:themeShade="80"/>
          <w:sz w:val="28"/>
          <w:szCs w:val="28"/>
        </w:rPr>
      </w:pPr>
    </w:p>
    <w:p w:rsidR="00042E47" w:rsidRPr="004852AF" w:rsidRDefault="00042E47" w:rsidP="00F559A5">
      <w:pPr>
        <w:bidi w:val="0"/>
        <w:spacing w:line="276" w:lineRule="auto"/>
        <w:jc w:val="center"/>
        <w:rPr>
          <w:rFonts w:ascii="Book Antiqua" w:hAnsi="Book Antiqua" w:cs="Times New Roman"/>
          <w:b/>
          <w:bCs/>
          <w:color w:val="632423" w:themeColor="accent2" w:themeShade="80"/>
          <w:sz w:val="28"/>
          <w:szCs w:val="28"/>
        </w:rPr>
      </w:pPr>
      <w:r w:rsidRPr="004852AF">
        <w:rPr>
          <w:rFonts w:ascii="Book Antiqua" w:hAnsi="Book Antiqua" w:cs="Times New Roman"/>
          <w:b/>
          <w:bCs/>
          <w:color w:val="632423" w:themeColor="accent2" w:themeShade="80"/>
          <w:sz w:val="28"/>
          <w:szCs w:val="28"/>
        </w:rPr>
        <w:t xml:space="preserve">Principaux résultats relatifs aux nouvelles thématiques </w:t>
      </w:r>
    </w:p>
    <w:p w:rsidR="00042E47" w:rsidRPr="004852AF" w:rsidRDefault="00042E47" w:rsidP="00042E47">
      <w:pPr>
        <w:bidi w:val="0"/>
        <w:spacing w:line="276" w:lineRule="auto"/>
        <w:jc w:val="center"/>
        <w:rPr>
          <w:rFonts w:ascii="Book Antiqua" w:hAnsi="Book Antiqua" w:cs="Times New Roman"/>
          <w:b/>
          <w:bCs/>
          <w:color w:val="632423" w:themeColor="accent2" w:themeShade="80"/>
          <w:sz w:val="28"/>
          <w:szCs w:val="28"/>
        </w:rPr>
      </w:pPr>
      <w:r w:rsidRPr="004852AF">
        <w:rPr>
          <w:rFonts w:ascii="Book Antiqua" w:hAnsi="Book Antiqua" w:cs="Times New Roman"/>
          <w:b/>
          <w:bCs/>
          <w:color w:val="632423" w:themeColor="accent2" w:themeShade="80"/>
          <w:sz w:val="28"/>
          <w:szCs w:val="28"/>
        </w:rPr>
        <w:t xml:space="preserve">couvertes par l’enquête nationale sur l’emploi </w:t>
      </w:r>
    </w:p>
    <w:p w:rsidR="00F559A5" w:rsidRDefault="00F559A5" w:rsidP="006C4C4B">
      <w:pPr>
        <w:tabs>
          <w:tab w:val="left" w:pos="5556"/>
        </w:tabs>
        <w:bidi w:val="0"/>
        <w:spacing w:before="120" w:after="120"/>
        <w:jc w:val="both"/>
        <w:rPr>
          <w:rFonts w:ascii="Book Antiqua" w:hAnsi="Book Antiqua" w:cstheme="majorBidi"/>
          <w:color w:val="212121"/>
          <w:sz w:val="24"/>
          <w:szCs w:val="24"/>
        </w:rPr>
      </w:pPr>
    </w:p>
    <w:p w:rsidR="00042E47" w:rsidRPr="004852AF" w:rsidRDefault="00042E47" w:rsidP="00F559A5">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Pour tenir compte des mutations d'ordre démographique, socio-économique et environnemental qui s'opèrent dans la société marocaine, des engagements de notre pays dans le cadre de la régionalisation avancée et de la mise en œuvre des Objectifs de Développement Durables, les enquêtes auprès des ménages conduites par le Haut-commissariat au Plan (HCP) se doivent de revoir, régulièrement, leurs approches méthodologiques, leurs bases de sondage et échantillons ainsi que leurs dimensions thématiques. </w:t>
      </w:r>
    </w:p>
    <w:p w:rsidR="00042E47" w:rsidRPr="004852AF" w:rsidRDefault="00042E47" w:rsidP="005918BE">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C’est le cas, en l’occurrence, de l’enquête nationale sur l’emploi qui, à partir de 2017, adopte un nouvel échantillon élargi de 60.000 à 90.000 ménages, introduit de nouvelles thématiques dans son champ d’investigation et intègre </w:t>
      </w:r>
      <w:r w:rsidR="005918BE" w:rsidRPr="004852AF">
        <w:rPr>
          <w:rFonts w:ascii="Book Antiqua" w:hAnsi="Book Antiqua" w:cstheme="majorBidi"/>
          <w:color w:val="212121"/>
          <w:sz w:val="24"/>
          <w:szCs w:val="24"/>
        </w:rPr>
        <w:t xml:space="preserve">les </w:t>
      </w:r>
      <w:r w:rsidRPr="004852AF">
        <w:rPr>
          <w:rFonts w:ascii="Book Antiqua" w:hAnsi="Book Antiqua" w:cstheme="majorBidi"/>
          <w:color w:val="212121"/>
          <w:sz w:val="24"/>
          <w:szCs w:val="24"/>
        </w:rPr>
        <w:t>nouvelles nomenclatures d’activités, de professions et de diplômes</w:t>
      </w:r>
      <w:r w:rsidR="00344374" w:rsidRPr="004852AF">
        <w:rPr>
          <w:rFonts w:ascii="Book Antiqua" w:hAnsi="Book Antiqua" w:cstheme="majorBidi"/>
          <w:color w:val="212121"/>
          <w:sz w:val="24"/>
          <w:szCs w:val="24"/>
        </w:rPr>
        <w:t xml:space="preserve"> </w:t>
      </w:r>
      <w:r w:rsidRPr="004852AF">
        <w:rPr>
          <w:rFonts w:ascii="Book Antiqua" w:hAnsi="Book Antiqua" w:cstheme="majorBidi"/>
          <w:color w:val="212121"/>
          <w:sz w:val="24"/>
          <w:szCs w:val="24"/>
        </w:rPr>
        <w:t>élaborées par le HCP sur la base des classifications internationales et adaptées à la réalité nationale en concertation avec les différentes institutions concernées.</w:t>
      </w:r>
    </w:p>
    <w:p w:rsidR="00042E47" w:rsidRPr="004852AF" w:rsidRDefault="00042E47" w:rsidP="00A91B4F">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Cette note présente </w:t>
      </w:r>
      <w:r w:rsidR="00782201" w:rsidRPr="004852AF">
        <w:rPr>
          <w:rFonts w:ascii="Book Antiqua" w:hAnsi="Book Antiqua" w:cstheme="majorBidi"/>
          <w:color w:val="212121"/>
          <w:sz w:val="24"/>
          <w:szCs w:val="24"/>
        </w:rPr>
        <w:t xml:space="preserve">(i) </w:t>
      </w:r>
      <w:r w:rsidRPr="004852AF">
        <w:rPr>
          <w:rFonts w:ascii="Book Antiqua" w:hAnsi="Book Antiqua" w:cstheme="majorBidi"/>
          <w:color w:val="212121"/>
          <w:sz w:val="24"/>
          <w:szCs w:val="24"/>
        </w:rPr>
        <w:t>un rappel de la situation du marché du travail en 2017</w:t>
      </w:r>
      <w:r w:rsidR="00344374" w:rsidRPr="004852AF">
        <w:rPr>
          <w:rFonts w:ascii="Book Antiqua" w:hAnsi="Book Antiqua" w:cstheme="majorBidi"/>
          <w:color w:val="212121"/>
          <w:sz w:val="24"/>
          <w:szCs w:val="24"/>
        </w:rPr>
        <w:t>,</w:t>
      </w:r>
      <w:r w:rsidR="00782201" w:rsidRPr="004852AF">
        <w:rPr>
          <w:rFonts w:ascii="Book Antiqua" w:hAnsi="Book Antiqua" w:cstheme="majorBidi"/>
          <w:color w:val="212121"/>
          <w:sz w:val="24"/>
          <w:szCs w:val="24"/>
        </w:rPr>
        <w:t xml:space="preserve"> (ii)</w:t>
      </w:r>
      <w:r w:rsidR="00344374" w:rsidRPr="004852AF">
        <w:rPr>
          <w:rFonts w:ascii="Book Antiqua" w:hAnsi="Book Antiqua" w:cstheme="majorBidi"/>
          <w:color w:val="212121"/>
          <w:sz w:val="24"/>
          <w:szCs w:val="24"/>
        </w:rPr>
        <w:t xml:space="preserve"> </w:t>
      </w:r>
      <w:r w:rsidR="00782201" w:rsidRPr="004852AF">
        <w:rPr>
          <w:rFonts w:ascii="Book Antiqua" w:hAnsi="Book Antiqua" w:cstheme="majorBidi"/>
          <w:color w:val="212121"/>
          <w:sz w:val="24"/>
          <w:szCs w:val="24"/>
        </w:rPr>
        <w:t xml:space="preserve">les principales </w:t>
      </w:r>
      <w:r w:rsidR="00344374" w:rsidRPr="004852AF">
        <w:rPr>
          <w:rFonts w:ascii="Book Antiqua" w:hAnsi="Book Antiqua" w:cstheme="majorBidi"/>
          <w:color w:val="212121"/>
          <w:sz w:val="24"/>
          <w:szCs w:val="24"/>
        </w:rPr>
        <w:t xml:space="preserve">informations </w:t>
      </w:r>
      <w:r w:rsidR="00AB30CE" w:rsidRPr="004852AF">
        <w:rPr>
          <w:rFonts w:ascii="Book Antiqua" w:hAnsi="Book Antiqua" w:cstheme="majorBidi"/>
          <w:color w:val="212121"/>
          <w:sz w:val="24"/>
          <w:szCs w:val="24"/>
        </w:rPr>
        <w:t xml:space="preserve">socio-professionnelles relatives aux différentes </w:t>
      </w:r>
      <w:r w:rsidR="00782201" w:rsidRPr="004852AF">
        <w:rPr>
          <w:rFonts w:ascii="Book Antiqua" w:hAnsi="Book Antiqua" w:cstheme="majorBidi"/>
          <w:color w:val="212121"/>
          <w:sz w:val="24"/>
          <w:szCs w:val="24"/>
        </w:rPr>
        <w:t xml:space="preserve">régions </w:t>
      </w:r>
      <w:r w:rsidR="00AB30CE" w:rsidRPr="004852AF">
        <w:rPr>
          <w:rFonts w:ascii="Book Antiqua" w:hAnsi="Book Antiqua" w:cstheme="majorBidi"/>
          <w:color w:val="212121"/>
          <w:sz w:val="24"/>
          <w:szCs w:val="24"/>
        </w:rPr>
        <w:t xml:space="preserve">du Royaume, </w:t>
      </w:r>
      <w:r w:rsidR="00782201" w:rsidRPr="004852AF">
        <w:rPr>
          <w:rFonts w:ascii="Book Antiqua" w:hAnsi="Book Antiqua" w:cstheme="majorBidi"/>
          <w:color w:val="212121"/>
          <w:sz w:val="24"/>
          <w:szCs w:val="24"/>
        </w:rPr>
        <w:t xml:space="preserve">présentées </w:t>
      </w:r>
      <w:r w:rsidR="00344374" w:rsidRPr="004852AF">
        <w:rPr>
          <w:rFonts w:ascii="Book Antiqua" w:hAnsi="Book Antiqua" w:cstheme="majorBidi"/>
          <w:color w:val="212121"/>
          <w:sz w:val="24"/>
          <w:szCs w:val="24"/>
        </w:rPr>
        <w:t xml:space="preserve">à des niveaux de détail plus fins </w:t>
      </w:r>
      <w:r w:rsidRPr="004852AF">
        <w:rPr>
          <w:rFonts w:ascii="Book Antiqua" w:hAnsi="Book Antiqua" w:cstheme="majorBidi"/>
          <w:color w:val="212121"/>
          <w:sz w:val="24"/>
          <w:szCs w:val="24"/>
        </w:rPr>
        <w:t xml:space="preserve">et </w:t>
      </w:r>
      <w:r w:rsidR="00782201" w:rsidRPr="004852AF">
        <w:rPr>
          <w:rFonts w:ascii="Book Antiqua" w:hAnsi="Book Antiqua" w:cstheme="majorBidi"/>
          <w:color w:val="212121"/>
          <w:sz w:val="24"/>
          <w:szCs w:val="24"/>
        </w:rPr>
        <w:t>élargies à d’autres dimensions telles que le travail décent et</w:t>
      </w:r>
      <w:r w:rsidR="00247C96" w:rsidRPr="004852AF">
        <w:rPr>
          <w:rFonts w:ascii="Book Antiqua" w:hAnsi="Book Antiqua" w:cstheme="majorBidi"/>
          <w:color w:val="212121"/>
          <w:sz w:val="24"/>
          <w:szCs w:val="24"/>
        </w:rPr>
        <w:t xml:space="preserve"> la qualité de l’emploi</w:t>
      </w:r>
      <w:r w:rsidR="003149C8" w:rsidRPr="004852AF">
        <w:rPr>
          <w:rFonts w:ascii="Book Antiqua" w:hAnsi="Book Antiqua" w:cstheme="majorBidi"/>
          <w:color w:val="212121"/>
          <w:sz w:val="24"/>
          <w:szCs w:val="24"/>
        </w:rPr>
        <w:t xml:space="preserve"> et</w:t>
      </w:r>
      <w:r w:rsidR="00782201" w:rsidRPr="004852AF">
        <w:rPr>
          <w:rFonts w:ascii="Book Antiqua" w:hAnsi="Book Antiqua" w:cstheme="majorBidi"/>
          <w:color w:val="212121"/>
          <w:sz w:val="24"/>
          <w:szCs w:val="24"/>
        </w:rPr>
        <w:t xml:space="preserve">, </w:t>
      </w:r>
      <w:r w:rsidR="00AB30CE" w:rsidRPr="004852AF">
        <w:rPr>
          <w:rFonts w:ascii="Book Antiqua" w:hAnsi="Book Antiqua" w:cstheme="majorBidi"/>
          <w:color w:val="212121"/>
          <w:sz w:val="24"/>
          <w:szCs w:val="24"/>
        </w:rPr>
        <w:t xml:space="preserve">(iii) </w:t>
      </w:r>
      <w:r w:rsidRPr="004852AF">
        <w:rPr>
          <w:rFonts w:ascii="Book Antiqua" w:hAnsi="Book Antiqua" w:cstheme="majorBidi"/>
          <w:color w:val="212121"/>
          <w:sz w:val="24"/>
          <w:szCs w:val="24"/>
        </w:rPr>
        <w:t>les principaux résultats portant sur les nouvelles thématiques prévues dans la réforme de l'enquête nationale sur l'emploi</w:t>
      </w:r>
      <w:r w:rsidR="00A91B4F" w:rsidRPr="004852AF">
        <w:rPr>
          <w:rFonts w:ascii="Book Antiqua" w:hAnsi="Book Antiqua" w:cstheme="majorBidi"/>
          <w:color w:val="212121"/>
          <w:sz w:val="24"/>
          <w:szCs w:val="24"/>
        </w:rPr>
        <w:t xml:space="preserve"> et</w:t>
      </w:r>
      <w:r w:rsidRPr="004852AF">
        <w:rPr>
          <w:rFonts w:ascii="Book Antiqua" w:hAnsi="Book Antiqua" w:cstheme="majorBidi"/>
          <w:color w:val="212121"/>
          <w:sz w:val="24"/>
          <w:szCs w:val="24"/>
        </w:rPr>
        <w:t xml:space="preserve"> </w:t>
      </w:r>
      <w:r w:rsidR="00247C96" w:rsidRPr="004852AF">
        <w:rPr>
          <w:rFonts w:ascii="Book Antiqua" w:hAnsi="Book Antiqua" w:cstheme="majorBidi"/>
          <w:color w:val="212121"/>
          <w:sz w:val="24"/>
          <w:szCs w:val="24"/>
        </w:rPr>
        <w:t>qui sont en lien directe avec le marché du travail</w:t>
      </w:r>
      <w:r w:rsidRPr="004852AF">
        <w:rPr>
          <w:rFonts w:ascii="Book Antiqua" w:hAnsi="Book Antiqua" w:cstheme="majorBidi"/>
          <w:color w:val="212121"/>
          <w:sz w:val="24"/>
          <w:szCs w:val="24"/>
        </w:rPr>
        <w:t xml:space="preserve">. Il s'agit en particulier de la relation entre les compétences de la main d'œuvre et les métiers exercés, </w:t>
      </w:r>
      <w:r w:rsidR="00247C96" w:rsidRPr="004852AF">
        <w:rPr>
          <w:rFonts w:ascii="Book Antiqua" w:hAnsi="Book Antiqua" w:cstheme="majorBidi"/>
          <w:color w:val="212121"/>
          <w:sz w:val="24"/>
          <w:szCs w:val="24"/>
        </w:rPr>
        <w:t>de la préscolarisation des enfants</w:t>
      </w:r>
      <w:r w:rsidR="00A91B4F" w:rsidRPr="004852AF">
        <w:rPr>
          <w:rFonts w:ascii="Book Antiqua" w:hAnsi="Book Antiqua" w:cstheme="majorBidi"/>
          <w:color w:val="212121"/>
          <w:sz w:val="24"/>
          <w:szCs w:val="24"/>
        </w:rPr>
        <w:t xml:space="preserve"> âgés de 3 à 5 ans</w:t>
      </w:r>
      <w:r w:rsidR="00247C96" w:rsidRPr="004852AF">
        <w:rPr>
          <w:rFonts w:ascii="Book Antiqua" w:hAnsi="Book Antiqua" w:cstheme="majorBidi"/>
          <w:color w:val="212121"/>
          <w:sz w:val="24"/>
          <w:szCs w:val="24"/>
        </w:rPr>
        <w:t xml:space="preserve">, </w:t>
      </w:r>
      <w:r w:rsidRPr="004852AF">
        <w:rPr>
          <w:rFonts w:ascii="Book Antiqua" w:hAnsi="Book Antiqua" w:cstheme="majorBidi"/>
          <w:color w:val="212121"/>
          <w:sz w:val="24"/>
          <w:szCs w:val="24"/>
        </w:rPr>
        <w:t xml:space="preserve">de </w:t>
      </w:r>
      <w:r w:rsidR="00A91B4F" w:rsidRPr="004852AF">
        <w:rPr>
          <w:rFonts w:ascii="Book Antiqua" w:hAnsi="Book Antiqua" w:cstheme="majorBidi"/>
          <w:color w:val="212121"/>
          <w:sz w:val="24"/>
          <w:szCs w:val="24"/>
        </w:rPr>
        <w:t xml:space="preserve">l’accès des </w:t>
      </w:r>
      <w:r w:rsidRPr="004852AF">
        <w:rPr>
          <w:rFonts w:ascii="Book Antiqua" w:hAnsi="Book Antiqua" w:cstheme="majorBidi"/>
          <w:color w:val="212121"/>
          <w:sz w:val="24"/>
          <w:szCs w:val="24"/>
        </w:rPr>
        <w:t>femme</w:t>
      </w:r>
      <w:r w:rsidR="00A91B4F" w:rsidRPr="004852AF">
        <w:rPr>
          <w:rFonts w:ascii="Book Antiqua" w:hAnsi="Book Antiqua" w:cstheme="majorBidi"/>
          <w:color w:val="212121"/>
          <w:sz w:val="24"/>
          <w:szCs w:val="24"/>
        </w:rPr>
        <w:t xml:space="preserve">s au marché </w:t>
      </w:r>
      <w:r w:rsidRPr="004852AF">
        <w:rPr>
          <w:rFonts w:ascii="Book Antiqua" w:hAnsi="Book Antiqua" w:cstheme="majorBidi"/>
          <w:color w:val="212121"/>
          <w:sz w:val="24"/>
          <w:szCs w:val="24"/>
        </w:rPr>
        <w:t xml:space="preserve">du travail, </w:t>
      </w:r>
      <w:r w:rsidR="00247C96" w:rsidRPr="004852AF">
        <w:rPr>
          <w:rFonts w:ascii="Book Antiqua" w:hAnsi="Book Antiqua" w:cstheme="majorBidi"/>
          <w:color w:val="212121"/>
          <w:sz w:val="24"/>
          <w:szCs w:val="24"/>
        </w:rPr>
        <w:t>du</w:t>
      </w:r>
      <w:r w:rsidRPr="004852AF">
        <w:rPr>
          <w:rFonts w:ascii="Book Antiqua" w:hAnsi="Book Antiqua" w:cstheme="majorBidi"/>
          <w:color w:val="212121"/>
          <w:sz w:val="24"/>
          <w:szCs w:val="24"/>
        </w:rPr>
        <w:t xml:space="preserve"> profil des entrepreneurs, </w:t>
      </w:r>
      <w:r w:rsidR="00247C96" w:rsidRPr="004852AF">
        <w:rPr>
          <w:rFonts w:ascii="Book Antiqua" w:hAnsi="Book Antiqua" w:cstheme="majorBidi"/>
          <w:color w:val="212121"/>
          <w:sz w:val="24"/>
          <w:szCs w:val="24"/>
        </w:rPr>
        <w:t xml:space="preserve">de </w:t>
      </w:r>
      <w:r w:rsidR="00AB30CE" w:rsidRPr="004852AF">
        <w:rPr>
          <w:rFonts w:ascii="Book Antiqua" w:hAnsi="Book Antiqua" w:cstheme="majorBidi"/>
          <w:color w:val="212121"/>
          <w:sz w:val="24"/>
          <w:szCs w:val="24"/>
        </w:rPr>
        <w:t>la couverture des syst</w:t>
      </w:r>
      <w:r w:rsidR="00A91B4F" w:rsidRPr="004852AF">
        <w:rPr>
          <w:rFonts w:ascii="Book Antiqua" w:hAnsi="Book Antiqua" w:cstheme="majorBidi"/>
          <w:color w:val="212121"/>
          <w:sz w:val="24"/>
          <w:szCs w:val="24"/>
        </w:rPr>
        <w:t>è</w:t>
      </w:r>
      <w:r w:rsidR="00AB30CE" w:rsidRPr="004852AF">
        <w:rPr>
          <w:rFonts w:ascii="Book Antiqua" w:hAnsi="Book Antiqua" w:cstheme="majorBidi"/>
          <w:color w:val="212121"/>
          <w:sz w:val="24"/>
          <w:szCs w:val="24"/>
        </w:rPr>
        <w:t xml:space="preserve">mes de </w:t>
      </w:r>
      <w:r w:rsidRPr="004852AF">
        <w:rPr>
          <w:rFonts w:ascii="Book Antiqua" w:hAnsi="Book Antiqua" w:cstheme="majorBidi"/>
          <w:color w:val="212121"/>
          <w:sz w:val="24"/>
          <w:szCs w:val="24"/>
        </w:rPr>
        <w:t>retraite</w:t>
      </w:r>
      <w:r w:rsidR="00247C96" w:rsidRPr="004852AF">
        <w:rPr>
          <w:rFonts w:ascii="Book Antiqua" w:hAnsi="Book Antiqua" w:cstheme="majorBidi"/>
          <w:color w:val="212121"/>
          <w:sz w:val="24"/>
          <w:szCs w:val="24"/>
        </w:rPr>
        <w:t xml:space="preserve"> et </w:t>
      </w:r>
      <w:r w:rsidRPr="004852AF">
        <w:rPr>
          <w:rFonts w:ascii="Book Antiqua" w:hAnsi="Book Antiqua" w:cstheme="majorBidi"/>
          <w:color w:val="212121"/>
          <w:sz w:val="24"/>
          <w:szCs w:val="24"/>
        </w:rPr>
        <w:t>des caractéristiques des immigrants installés dans notre pays.</w:t>
      </w:r>
    </w:p>
    <w:p w:rsidR="008538AC" w:rsidRPr="004852AF" w:rsidRDefault="00CF1AFC" w:rsidP="001E20B9">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Outre </w:t>
      </w:r>
      <w:r w:rsidR="00F65753" w:rsidRPr="004852AF">
        <w:rPr>
          <w:rFonts w:ascii="Book Antiqua" w:hAnsi="Book Antiqua" w:cstheme="majorBidi"/>
          <w:color w:val="212121"/>
          <w:sz w:val="24"/>
          <w:szCs w:val="24"/>
        </w:rPr>
        <w:t xml:space="preserve">ces thématiques, l’enquête nationale sur l’emploi a introduit d’autres </w:t>
      </w:r>
      <w:r w:rsidR="005918BE" w:rsidRPr="004852AF">
        <w:rPr>
          <w:rFonts w:ascii="Book Antiqua" w:hAnsi="Book Antiqua" w:cstheme="majorBidi"/>
          <w:color w:val="212121"/>
          <w:sz w:val="24"/>
          <w:szCs w:val="24"/>
        </w:rPr>
        <w:t>questions</w:t>
      </w:r>
      <w:r w:rsidR="00F65753" w:rsidRPr="004852AF">
        <w:rPr>
          <w:rFonts w:ascii="Book Antiqua" w:hAnsi="Book Antiqua" w:cstheme="majorBidi"/>
          <w:color w:val="212121"/>
          <w:sz w:val="24"/>
          <w:szCs w:val="24"/>
        </w:rPr>
        <w:t xml:space="preserve"> </w:t>
      </w:r>
      <w:r w:rsidR="005918BE" w:rsidRPr="004852AF">
        <w:rPr>
          <w:rFonts w:ascii="Book Antiqua" w:hAnsi="Book Antiqua" w:cstheme="majorBidi"/>
          <w:color w:val="212121"/>
          <w:sz w:val="24"/>
          <w:szCs w:val="24"/>
        </w:rPr>
        <w:t xml:space="preserve">visant à </w:t>
      </w:r>
      <w:r w:rsidR="00F65753" w:rsidRPr="004852AF">
        <w:rPr>
          <w:rFonts w:ascii="Book Antiqua" w:hAnsi="Book Antiqua" w:cstheme="majorBidi"/>
          <w:color w:val="212121"/>
          <w:sz w:val="24"/>
          <w:szCs w:val="24"/>
        </w:rPr>
        <w:t xml:space="preserve">appréhender </w:t>
      </w:r>
      <w:r w:rsidR="005918BE" w:rsidRPr="004852AF">
        <w:rPr>
          <w:rFonts w:ascii="Book Antiqua" w:hAnsi="Book Antiqua" w:cstheme="majorBidi"/>
          <w:color w:val="212121"/>
          <w:sz w:val="24"/>
          <w:szCs w:val="24"/>
        </w:rPr>
        <w:t>certains aspects d</w:t>
      </w:r>
      <w:r w:rsidR="00F65753" w:rsidRPr="004852AF">
        <w:rPr>
          <w:rFonts w:ascii="Book Antiqua" w:hAnsi="Book Antiqua" w:cstheme="majorBidi"/>
          <w:color w:val="212121"/>
          <w:sz w:val="24"/>
          <w:szCs w:val="24"/>
        </w:rPr>
        <w:t xml:space="preserve">es conditions sociales de la population marocaine particulièrement celle en âge d’activité. Ces </w:t>
      </w:r>
      <w:r w:rsidR="005918BE" w:rsidRPr="004852AF">
        <w:rPr>
          <w:rFonts w:ascii="Book Antiqua" w:hAnsi="Book Antiqua" w:cstheme="majorBidi"/>
          <w:color w:val="212121"/>
          <w:sz w:val="24"/>
          <w:szCs w:val="24"/>
        </w:rPr>
        <w:t>questions</w:t>
      </w:r>
      <w:r w:rsidR="00F65753" w:rsidRPr="004852AF">
        <w:rPr>
          <w:rFonts w:ascii="Book Antiqua" w:hAnsi="Book Antiqua" w:cstheme="majorBidi"/>
          <w:color w:val="212121"/>
          <w:sz w:val="24"/>
          <w:szCs w:val="24"/>
        </w:rPr>
        <w:t xml:space="preserve"> portent essentiellement sur la couverture médicale, la mobilité des actifs occupés entre le</w:t>
      </w:r>
      <w:r w:rsidR="005918BE" w:rsidRPr="004852AF">
        <w:rPr>
          <w:rFonts w:ascii="Book Antiqua" w:hAnsi="Book Antiqua" w:cstheme="majorBidi"/>
          <w:color w:val="212121"/>
          <w:sz w:val="24"/>
          <w:szCs w:val="24"/>
        </w:rPr>
        <w:t xml:space="preserve">urs </w:t>
      </w:r>
      <w:r w:rsidR="00F65753" w:rsidRPr="004852AF">
        <w:rPr>
          <w:rFonts w:ascii="Book Antiqua" w:hAnsi="Book Antiqua" w:cstheme="majorBidi"/>
          <w:color w:val="212121"/>
          <w:sz w:val="24"/>
          <w:szCs w:val="24"/>
        </w:rPr>
        <w:t>lieux de résidence et de travail</w:t>
      </w:r>
      <w:r w:rsidR="005918BE" w:rsidRPr="004852AF">
        <w:rPr>
          <w:rFonts w:ascii="Book Antiqua" w:hAnsi="Book Antiqua" w:cstheme="majorBidi"/>
          <w:color w:val="212121"/>
          <w:sz w:val="24"/>
          <w:szCs w:val="24"/>
        </w:rPr>
        <w:t>,</w:t>
      </w:r>
      <w:r w:rsidR="00F65753" w:rsidRPr="004852AF">
        <w:rPr>
          <w:rFonts w:ascii="Book Antiqua" w:hAnsi="Book Antiqua" w:cstheme="majorBidi"/>
          <w:color w:val="212121"/>
          <w:sz w:val="24"/>
          <w:szCs w:val="24"/>
        </w:rPr>
        <w:t xml:space="preserve"> les bassins d’emploi</w:t>
      </w:r>
      <w:r w:rsidR="001E20B9" w:rsidRPr="004852AF">
        <w:rPr>
          <w:rFonts w:ascii="Book Antiqua" w:hAnsi="Book Antiqua" w:cstheme="majorBidi"/>
          <w:color w:val="212121"/>
          <w:sz w:val="24"/>
          <w:szCs w:val="24"/>
        </w:rPr>
        <w:t>, l'utilisation des nouvelles technologies d'information et de communication</w:t>
      </w:r>
      <w:r w:rsidR="00F65753" w:rsidRPr="004852AF">
        <w:rPr>
          <w:rFonts w:ascii="Book Antiqua" w:hAnsi="Book Antiqua" w:cstheme="majorBidi"/>
          <w:color w:val="212121"/>
          <w:sz w:val="24"/>
          <w:szCs w:val="24"/>
        </w:rPr>
        <w:t xml:space="preserve"> ainsi que les noyaux familiaux. Les résultats de ces dimensions feront l’objet d’une présentation ultérieure.</w:t>
      </w:r>
      <w:r w:rsidR="00B75C4C">
        <w:rPr>
          <w:rFonts w:ascii="Book Antiqua" w:hAnsi="Book Antiqua" w:cstheme="majorBidi"/>
          <w:color w:val="212121"/>
          <w:sz w:val="24"/>
          <w:szCs w:val="24"/>
        </w:rPr>
        <w:t xml:space="preserve"> </w:t>
      </w:r>
    </w:p>
    <w:p w:rsidR="009B7BDC" w:rsidRPr="004852AF" w:rsidRDefault="00B9427F" w:rsidP="00DE69B7">
      <w:pPr>
        <w:pStyle w:val="Paragraphedeliste"/>
        <w:numPr>
          <w:ilvl w:val="0"/>
          <w:numId w:val="35"/>
        </w:numPr>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Situation du marché du travail en 2017</w:t>
      </w:r>
    </w:p>
    <w:p w:rsidR="00F24677" w:rsidRPr="004852AF" w:rsidRDefault="009F7607" w:rsidP="008538AC">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C</w:t>
      </w:r>
      <w:r w:rsidR="00AB2206" w:rsidRPr="004852AF">
        <w:rPr>
          <w:rFonts w:ascii="Book Antiqua" w:hAnsi="Book Antiqua" w:cs="Times New Roman"/>
          <w:noProof w:val="0"/>
          <w:color w:val="0070C0"/>
          <w:sz w:val="24"/>
          <w:szCs w:val="24"/>
        </w:rPr>
        <w:t xml:space="preserve">réation nette d’emplois </w:t>
      </w:r>
      <w:r w:rsidRPr="004852AF">
        <w:rPr>
          <w:rFonts w:ascii="Book Antiqua" w:hAnsi="Book Antiqua" w:cs="Times New Roman"/>
          <w:noProof w:val="0"/>
          <w:color w:val="0070C0"/>
          <w:sz w:val="24"/>
          <w:szCs w:val="24"/>
        </w:rPr>
        <w:t>et</w:t>
      </w:r>
      <w:r w:rsidR="00AB2206" w:rsidRPr="004852AF">
        <w:rPr>
          <w:rFonts w:ascii="Book Antiqua" w:hAnsi="Book Antiqua" w:cs="Times New Roman"/>
          <w:noProof w:val="0"/>
          <w:color w:val="0070C0"/>
          <w:sz w:val="24"/>
          <w:szCs w:val="24"/>
        </w:rPr>
        <w:t xml:space="preserve"> persistan</w:t>
      </w:r>
      <w:r w:rsidRPr="004852AF">
        <w:rPr>
          <w:rFonts w:ascii="Book Antiqua" w:hAnsi="Book Antiqua" w:cs="Times New Roman"/>
          <w:noProof w:val="0"/>
          <w:color w:val="0070C0"/>
          <w:sz w:val="24"/>
          <w:szCs w:val="24"/>
        </w:rPr>
        <w:t>c</w:t>
      </w:r>
      <w:r w:rsidR="00AB2206" w:rsidRPr="004852AF">
        <w:rPr>
          <w:rFonts w:ascii="Book Antiqua" w:hAnsi="Book Antiqua" w:cs="Times New Roman"/>
          <w:noProof w:val="0"/>
          <w:color w:val="0070C0"/>
          <w:sz w:val="24"/>
          <w:szCs w:val="24"/>
        </w:rPr>
        <w:t xml:space="preserve">e </w:t>
      </w:r>
      <w:r w:rsidRPr="004852AF">
        <w:rPr>
          <w:rFonts w:ascii="Book Antiqua" w:hAnsi="Book Antiqua" w:cs="Times New Roman"/>
          <w:noProof w:val="0"/>
          <w:color w:val="0070C0"/>
          <w:sz w:val="24"/>
          <w:szCs w:val="24"/>
        </w:rPr>
        <w:t xml:space="preserve">de la baisse </w:t>
      </w:r>
      <w:r w:rsidR="00F24677" w:rsidRPr="004852AF">
        <w:rPr>
          <w:rFonts w:ascii="Book Antiqua" w:hAnsi="Book Antiqua" w:cs="Times New Roman"/>
          <w:noProof w:val="0"/>
          <w:color w:val="0070C0"/>
          <w:sz w:val="24"/>
          <w:szCs w:val="24"/>
        </w:rPr>
        <w:t>des taux d’activité et d’emploi</w:t>
      </w:r>
    </w:p>
    <w:p w:rsidR="00125FA8" w:rsidRPr="004852AF" w:rsidRDefault="00C91CA4"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w:t>
      </w:r>
      <w:r w:rsidR="00EA630C" w:rsidRPr="004852AF">
        <w:rPr>
          <w:rFonts w:ascii="Book Antiqua" w:hAnsi="Book Antiqua" w:cstheme="majorBidi"/>
          <w:color w:val="212121"/>
          <w:sz w:val="24"/>
          <w:szCs w:val="24"/>
        </w:rPr>
        <w:t>tre 2016 et</w:t>
      </w:r>
      <w:r w:rsidRPr="004852AF">
        <w:rPr>
          <w:rFonts w:ascii="Book Antiqua" w:hAnsi="Book Antiqua" w:cstheme="majorBidi"/>
          <w:color w:val="212121"/>
          <w:sz w:val="24"/>
          <w:szCs w:val="24"/>
        </w:rPr>
        <w:t xml:space="preserve"> 2017, le volume d</w:t>
      </w:r>
      <w:r w:rsidR="00A90968" w:rsidRPr="004852AF">
        <w:rPr>
          <w:rFonts w:ascii="Book Antiqua" w:hAnsi="Book Antiqua" w:cstheme="majorBidi"/>
          <w:color w:val="212121"/>
          <w:sz w:val="24"/>
          <w:szCs w:val="24"/>
        </w:rPr>
        <w:t>e l</w:t>
      </w:r>
      <w:r w:rsidRPr="004852AF">
        <w:rPr>
          <w:rFonts w:ascii="Book Antiqua" w:hAnsi="Book Antiqua" w:cstheme="majorBidi"/>
          <w:color w:val="212121"/>
          <w:sz w:val="24"/>
          <w:szCs w:val="24"/>
        </w:rPr>
        <w:t xml:space="preserve">’emploi </w:t>
      </w:r>
      <w:r w:rsidR="00A90968" w:rsidRPr="004852AF">
        <w:rPr>
          <w:rFonts w:ascii="Book Antiqua" w:hAnsi="Book Antiqua" w:cstheme="majorBidi"/>
          <w:color w:val="212121"/>
          <w:sz w:val="24"/>
          <w:szCs w:val="24"/>
        </w:rPr>
        <w:t xml:space="preserve">est passé de 10.613.000 à 10.699.000 actifs occupés, ce qui correspond à une création nette </w:t>
      </w:r>
      <w:r w:rsidRPr="004852AF">
        <w:rPr>
          <w:rFonts w:ascii="Book Antiqua" w:hAnsi="Book Antiqua" w:cstheme="majorBidi"/>
          <w:color w:val="212121"/>
          <w:sz w:val="24"/>
          <w:szCs w:val="24"/>
        </w:rPr>
        <w:t xml:space="preserve">de 86.000 postes, 31.000 en milieu urbain et 55.000 en milieu rural, contre une perte nette de 37.000 </w:t>
      </w:r>
      <w:r w:rsidR="007F5765" w:rsidRPr="004852AF">
        <w:rPr>
          <w:rFonts w:ascii="Book Antiqua" w:hAnsi="Book Antiqua" w:cstheme="majorBidi"/>
          <w:color w:val="212121"/>
          <w:sz w:val="24"/>
          <w:szCs w:val="24"/>
        </w:rPr>
        <w:t xml:space="preserve">postes </w:t>
      </w:r>
      <w:r w:rsidRPr="004852AF">
        <w:rPr>
          <w:rFonts w:ascii="Book Antiqua" w:hAnsi="Book Antiqua" w:cstheme="majorBidi"/>
          <w:color w:val="212121"/>
          <w:sz w:val="24"/>
          <w:szCs w:val="24"/>
        </w:rPr>
        <w:t xml:space="preserve">une année auparavant. Les emplois créés se répartissent entre 57.000 emplois rémunérés et 29.000 non rémunérés. </w:t>
      </w:r>
      <w:r w:rsidR="00125FA8" w:rsidRPr="004852AF">
        <w:rPr>
          <w:rFonts w:ascii="Book Antiqua" w:hAnsi="Book Antiqua" w:cstheme="majorBidi"/>
          <w:color w:val="212121"/>
          <w:sz w:val="24"/>
          <w:szCs w:val="24"/>
        </w:rPr>
        <w:t>Par secteur d’activité, l’"agriculture, forêt et pêche" a créé 42.000 emplois, les "services" 26.000, le "BTP"</w:t>
      </w:r>
      <w:r w:rsidR="00871479" w:rsidRPr="004852AF">
        <w:rPr>
          <w:rFonts w:ascii="Book Antiqua" w:hAnsi="Book Antiqua" w:cstheme="majorBidi"/>
          <w:color w:val="212121"/>
          <w:sz w:val="24"/>
          <w:szCs w:val="24"/>
        </w:rPr>
        <w:t xml:space="preserve"> </w:t>
      </w:r>
      <w:r w:rsidR="00125FA8" w:rsidRPr="004852AF">
        <w:rPr>
          <w:rFonts w:ascii="Book Antiqua" w:hAnsi="Book Antiqua" w:cstheme="majorBidi"/>
          <w:color w:val="212121"/>
          <w:sz w:val="24"/>
          <w:szCs w:val="24"/>
        </w:rPr>
        <w:t>11.000 et l’"industrie y compris l'artisanat" 7.000.</w:t>
      </w:r>
    </w:p>
    <w:p w:rsidR="00B1139E" w:rsidRPr="004852AF" w:rsidRDefault="00AE20A8"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Avec une population active de 11.915.000 personnes, </w:t>
      </w:r>
      <w:r w:rsidR="00C21964" w:rsidRPr="004852AF">
        <w:rPr>
          <w:rFonts w:ascii="Book Antiqua" w:hAnsi="Book Antiqua" w:cstheme="majorBidi"/>
          <w:color w:val="212121"/>
          <w:sz w:val="24"/>
          <w:szCs w:val="24"/>
        </w:rPr>
        <w:t>progress</w:t>
      </w:r>
      <w:r w:rsidR="00871479" w:rsidRPr="004852AF">
        <w:rPr>
          <w:rFonts w:ascii="Book Antiqua" w:hAnsi="Book Antiqua" w:cstheme="majorBidi"/>
          <w:color w:val="212121"/>
          <w:sz w:val="24"/>
          <w:szCs w:val="24"/>
        </w:rPr>
        <w:t xml:space="preserve">ant </w:t>
      </w:r>
      <w:r w:rsidR="000D0265" w:rsidRPr="004852AF">
        <w:rPr>
          <w:rFonts w:ascii="Book Antiqua" w:hAnsi="Book Antiqua" w:cstheme="majorBidi"/>
          <w:color w:val="212121"/>
          <w:sz w:val="24"/>
          <w:szCs w:val="24"/>
        </w:rPr>
        <w:t xml:space="preserve">à un rythme </w:t>
      </w:r>
      <w:r w:rsidR="00793CEB" w:rsidRPr="004852AF">
        <w:rPr>
          <w:rFonts w:ascii="Book Antiqua" w:hAnsi="Book Antiqua" w:cstheme="majorBidi"/>
          <w:color w:val="212121"/>
          <w:sz w:val="24"/>
          <w:szCs w:val="24"/>
        </w:rPr>
        <w:t xml:space="preserve">de </w:t>
      </w:r>
      <w:r w:rsidR="009F70B6" w:rsidRPr="004852AF">
        <w:rPr>
          <w:rFonts w:ascii="Book Antiqua" w:hAnsi="Book Antiqua" w:cstheme="majorBidi"/>
          <w:color w:val="212121"/>
          <w:sz w:val="24"/>
          <w:szCs w:val="24"/>
        </w:rPr>
        <w:t>+</w:t>
      </w:r>
      <w:r w:rsidR="000D0265" w:rsidRPr="004852AF">
        <w:rPr>
          <w:rFonts w:ascii="Book Antiqua" w:hAnsi="Book Antiqua" w:cstheme="majorBidi"/>
          <w:color w:val="212121"/>
          <w:sz w:val="24"/>
          <w:szCs w:val="24"/>
        </w:rPr>
        <w:t>1,1%</w:t>
      </w:r>
      <w:r w:rsidR="000B015B" w:rsidRPr="004852AF">
        <w:rPr>
          <w:rFonts w:ascii="Book Antiqua" w:hAnsi="Book Antiqua" w:cstheme="majorBidi"/>
          <w:color w:val="212121"/>
          <w:sz w:val="24"/>
          <w:szCs w:val="24"/>
        </w:rPr>
        <w:t>,</w:t>
      </w:r>
      <w:r w:rsidR="000D0265" w:rsidRPr="004852AF">
        <w:rPr>
          <w:rFonts w:ascii="Book Antiqua" w:hAnsi="Book Antiqua" w:cstheme="majorBidi"/>
          <w:color w:val="212121"/>
          <w:sz w:val="24"/>
          <w:szCs w:val="24"/>
        </w:rPr>
        <w:t xml:space="preserve"> moins important que celui de la </w:t>
      </w:r>
      <w:r w:rsidR="00F64061" w:rsidRPr="004852AF">
        <w:rPr>
          <w:rFonts w:ascii="Book Antiqua" w:hAnsi="Book Antiqua" w:cstheme="majorBidi"/>
          <w:color w:val="212121"/>
          <w:sz w:val="24"/>
          <w:szCs w:val="24"/>
        </w:rPr>
        <w:t xml:space="preserve">population </w:t>
      </w:r>
      <w:r w:rsidR="00871479" w:rsidRPr="004852AF">
        <w:rPr>
          <w:rFonts w:ascii="Book Antiqua" w:hAnsi="Book Antiqua" w:cstheme="majorBidi"/>
          <w:color w:val="212121"/>
          <w:sz w:val="24"/>
          <w:szCs w:val="24"/>
        </w:rPr>
        <w:t xml:space="preserve">âgée de 15 ans et plus </w:t>
      </w:r>
      <w:r w:rsidR="00A9777E" w:rsidRPr="004852AF">
        <w:rPr>
          <w:rFonts w:ascii="Book Antiqua" w:hAnsi="Book Antiqua" w:cstheme="majorBidi"/>
          <w:color w:val="212121"/>
          <w:sz w:val="24"/>
          <w:szCs w:val="24"/>
        </w:rPr>
        <w:t>(+1,7%)</w:t>
      </w:r>
      <w:r w:rsidR="000D0265" w:rsidRPr="004852AF">
        <w:rPr>
          <w:rFonts w:ascii="Book Antiqua" w:hAnsi="Book Antiqua" w:cstheme="majorBidi"/>
          <w:color w:val="212121"/>
          <w:sz w:val="24"/>
          <w:szCs w:val="24"/>
        </w:rPr>
        <w:t xml:space="preserve">, </w:t>
      </w:r>
      <w:r w:rsidR="00952C7D" w:rsidRPr="004852AF">
        <w:rPr>
          <w:rFonts w:ascii="Book Antiqua" w:hAnsi="Book Antiqua" w:cstheme="majorBidi"/>
          <w:color w:val="212121"/>
          <w:sz w:val="24"/>
          <w:szCs w:val="24"/>
        </w:rPr>
        <w:t>l</w:t>
      </w:r>
      <w:r w:rsidR="00AB2206" w:rsidRPr="004852AF">
        <w:rPr>
          <w:rFonts w:ascii="Book Antiqua" w:hAnsi="Book Antiqua" w:cstheme="majorBidi"/>
          <w:color w:val="212121"/>
          <w:sz w:val="24"/>
          <w:szCs w:val="24"/>
        </w:rPr>
        <w:t>e taux d’activité a</w:t>
      </w:r>
      <w:r w:rsidR="00A9777E" w:rsidRPr="004852AF">
        <w:rPr>
          <w:rFonts w:ascii="Book Antiqua" w:hAnsi="Book Antiqua" w:cstheme="majorBidi"/>
          <w:color w:val="212121"/>
          <w:sz w:val="24"/>
          <w:szCs w:val="24"/>
        </w:rPr>
        <w:t xml:space="preserve"> </w:t>
      </w:r>
      <w:r w:rsidR="00092F8D" w:rsidRPr="004852AF">
        <w:rPr>
          <w:rFonts w:ascii="Book Antiqua" w:hAnsi="Book Antiqua" w:cstheme="majorBidi"/>
          <w:color w:val="212121"/>
          <w:sz w:val="24"/>
          <w:szCs w:val="24"/>
        </w:rPr>
        <w:t>reculé</w:t>
      </w:r>
      <w:r w:rsidR="00217F37" w:rsidRPr="004852AF">
        <w:rPr>
          <w:rFonts w:ascii="Book Antiqua" w:hAnsi="Book Antiqua" w:cstheme="majorBidi"/>
          <w:color w:val="212121"/>
          <w:sz w:val="24"/>
          <w:szCs w:val="24"/>
        </w:rPr>
        <w:t xml:space="preserve">, entre 2016 et 2017, </w:t>
      </w:r>
      <w:r w:rsidR="00BA6DCD" w:rsidRPr="004852AF">
        <w:rPr>
          <w:rFonts w:ascii="Book Antiqua" w:hAnsi="Book Antiqua" w:cstheme="majorBidi"/>
          <w:color w:val="212121"/>
          <w:sz w:val="24"/>
          <w:szCs w:val="24"/>
        </w:rPr>
        <w:t xml:space="preserve">de 47% à 46,7% </w:t>
      </w:r>
      <w:r w:rsidR="00A9777E" w:rsidRPr="004852AF">
        <w:rPr>
          <w:rFonts w:ascii="Book Antiqua" w:hAnsi="Book Antiqua" w:cstheme="majorBidi"/>
          <w:color w:val="212121"/>
          <w:sz w:val="24"/>
          <w:szCs w:val="24"/>
        </w:rPr>
        <w:t>au niveau national</w:t>
      </w:r>
      <w:r w:rsidR="00AB2206" w:rsidRPr="004852AF">
        <w:rPr>
          <w:rFonts w:ascii="Book Antiqua" w:hAnsi="Book Antiqua" w:cstheme="majorBidi"/>
          <w:color w:val="212121"/>
          <w:sz w:val="24"/>
          <w:szCs w:val="24"/>
        </w:rPr>
        <w:t>.</w:t>
      </w:r>
      <w:r w:rsidR="00952C7D" w:rsidRPr="004852AF">
        <w:rPr>
          <w:rFonts w:ascii="Book Antiqua" w:hAnsi="Book Antiqua" w:cstheme="majorBidi"/>
          <w:color w:val="212121"/>
          <w:sz w:val="24"/>
          <w:szCs w:val="24"/>
        </w:rPr>
        <w:t xml:space="preserve"> Il a baissé de 43% à 42,4% en milieu urbain alors qu’il a augmenté de 53,8% à 54,1% en milieu rural</w:t>
      </w:r>
      <w:r w:rsidR="00A9777E" w:rsidRPr="004852AF">
        <w:rPr>
          <w:rFonts w:ascii="Book Antiqua" w:hAnsi="Book Antiqua" w:cstheme="majorBidi"/>
          <w:color w:val="212121"/>
          <w:sz w:val="24"/>
          <w:szCs w:val="24"/>
        </w:rPr>
        <w:t>.</w:t>
      </w:r>
      <w:r w:rsidR="00C91CA4" w:rsidRPr="004852AF">
        <w:rPr>
          <w:rFonts w:ascii="Book Antiqua" w:hAnsi="Book Antiqua" w:cstheme="majorBidi"/>
          <w:color w:val="212121"/>
          <w:sz w:val="24"/>
          <w:szCs w:val="24"/>
        </w:rPr>
        <w:t xml:space="preserve"> </w:t>
      </w:r>
    </w:p>
    <w:p w:rsidR="00050424" w:rsidRPr="004852AF" w:rsidRDefault="00BF2983"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Le taux d’emploi, quant à lui, et </w:t>
      </w:r>
      <w:r w:rsidR="00A90968" w:rsidRPr="004852AF">
        <w:rPr>
          <w:rFonts w:ascii="Book Antiqua" w:hAnsi="Book Antiqua" w:cstheme="majorBidi"/>
          <w:color w:val="212121"/>
          <w:sz w:val="24"/>
          <w:szCs w:val="24"/>
        </w:rPr>
        <w:t xml:space="preserve">malgré l’accroissement du volume de la population active occupée de 0,8% par rapport à 2016, </w:t>
      </w:r>
      <w:r w:rsidRPr="004852AF">
        <w:rPr>
          <w:rFonts w:ascii="Book Antiqua" w:hAnsi="Book Antiqua" w:cstheme="majorBidi"/>
          <w:color w:val="212121"/>
          <w:sz w:val="24"/>
          <w:szCs w:val="24"/>
        </w:rPr>
        <w:t xml:space="preserve">a </w:t>
      </w:r>
      <w:r w:rsidR="00CF1EBE" w:rsidRPr="004852AF">
        <w:rPr>
          <w:rFonts w:ascii="Book Antiqua" w:hAnsi="Book Antiqua" w:cstheme="majorBidi"/>
          <w:color w:val="212121"/>
          <w:sz w:val="24"/>
          <w:szCs w:val="24"/>
        </w:rPr>
        <w:t xml:space="preserve">baissé </w:t>
      </w:r>
      <w:r w:rsidR="00217F37" w:rsidRPr="004852AF">
        <w:rPr>
          <w:rFonts w:ascii="Book Antiqua" w:hAnsi="Book Antiqua" w:cstheme="majorBidi"/>
          <w:color w:val="212121"/>
          <w:sz w:val="24"/>
          <w:szCs w:val="24"/>
        </w:rPr>
        <w:t xml:space="preserve">de 42,3% à 41,9% </w:t>
      </w:r>
      <w:r w:rsidR="00952C7D" w:rsidRPr="004852AF">
        <w:rPr>
          <w:rFonts w:ascii="Book Antiqua" w:hAnsi="Book Antiqua" w:cstheme="majorBidi"/>
          <w:color w:val="212121"/>
          <w:sz w:val="24"/>
          <w:szCs w:val="24"/>
        </w:rPr>
        <w:t>au niveau national</w:t>
      </w:r>
      <w:r w:rsidR="004D5FBA" w:rsidRPr="004852AF">
        <w:rPr>
          <w:rFonts w:ascii="Book Antiqua" w:hAnsi="Book Antiqua" w:cstheme="majorBidi"/>
          <w:color w:val="212121"/>
          <w:sz w:val="24"/>
          <w:szCs w:val="24"/>
        </w:rPr>
        <w:t xml:space="preserve">. </w:t>
      </w:r>
      <w:r w:rsidR="00A90968" w:rsidRPr="004852AF">
        <w:rPr>
          <w:rFonts w:ascii="Book Antiqua" w:hAnsi="Book Antiqua" w:cstheme="majorBidi"/>
          <w:color w:val="212121"/>
          <w:sz w:val="24"/>
          <w:szCs w:val="24"/>
        </w:rPr>
        <w:t xml:space="preserve">Il </w:t>
      </w:r>
      <w:r w:rsidR="00593846" w:rsidRPr="004852AF">
        <w:rPr>
          <w:rFonts w:ascii="Book Antiqua" w:hAnsi="Book Antiqua" w:cstheme="majorBidi"/>
          <w:color w:val="212121"/>
          <w:sz w:val="24"/>
          <w:szCs w:val="24"/>
        </w:rPr>
        <w:t xml:space="preserve">a baissé de </w:t>
      </w:r>
      <w:r w:rsidR="00A90968" w:rsidRPr="004852AF">
        <w:rPr>
          <w:rFonts w:ascii="Book Antiqua" w:hAnsi="Book Antiqua" w:cstheme="majorBidi"/>
          <w:color w:val="212121"/>
          <w:sz w:val="24"/>
          <w:szCs w:val="24"/>
        </w:rPr>
        <w:t xml:space="preserve">36,9% à 36,1% </w:t>
      </w:r>
      <w:r w:rsidR="00593846" w:rsidRPr="004852AF">
        <w:rPr>
          <w:rFonts w:ascii="Book Antiqua" w:hAnsi="Book Antiqua" w:cstheme="majorBidi"/>
          <w:color w:val="212121"/>
          <w:sz w:val="24"/>
          <w:szCs w:val="24"/>
        </w:rPr>
        <w:t>e</w:t>
      </w:r>
      <w:r w:rsidR="004D5FBA" w:rsidRPr="004852AF">
        <w:rPr>
          <w:rFonts w:ascii="Book Antiqua" w:hAnsi="Book Antiqua" w:cstheme="majorBidi"/>
          <w:color w:val="212121"/>
          <w:sz w:val="24"/>
          <w:szCs w:val="24"/>
        </w:rPr>
        <w:t xml:space="preserve">n milieu urbain </w:t>
      </w:r>
      <w:r w:rsidR="00593846" w:rsidRPr="004852AF">
        <w:rPr>
          <w:rFonts w:ascii="Book Antiqua" w:hAnsi="Book Antiqua" w:cstheme="majorBidi"/>
          <w:color w:val="212121"/>
          <w:sz w:val="24"/>
          <w:szCs w:val="24"/>
        </w:rPr>
        <w:t xml:space="preserve">et a augmenté </w:t>
      </w:r>
      <w:r w:rsidR="00AA5005" w:rsidRPr="004852AF">
        <w:rPr>
          <w:rFonts w:ascii="Book Antiqua" w:hAnsi="Book Antiqua" w:cstheme="majorBidi"/>
          <w:color w:val="212121"/>
          <w:sz w:val="24"/>
          <w:szCs w:val="24"/>
        </w:rPr>
        <w:t xml:space="preserve">de </w:t>
      </w:r>
      <w:r w:rsidR="00A90968" w:rsidRPr="004852AF">
        <w:rPr>
          <w:rFonts w:ascii="Book Antiqua" w:hAnsi="Book Antiqua" w:cstheme="majorBidi"/>
          <w:color w:val="212121"/>
          <w:sz w:val="24"/>
          <w:szCs w:val="24"/>
        </w:rPr>
        <w:t xml:space="preserve">51,7% à 52,0% </w:t>
      </w:r>
      <w:r w:rsidR="00AA5005" w:rsidRPr="004852AF">
        <w:rPr>
          <w:rFonts w:ascii="Book Antiqua" w:hAnsi="Book Antiqua" w:cstheme="majorBidi"/>
          <w:color w:val="212121"/>
          <w:sz w:val="24"/>
          <w:szCs w:val="24"/>
        </w:rPr>
        <w:t>e</w:t>
      </w:r>
      <w:r w:rsidR="004D5FBA" w:rsidRPr="004852AF">
        <w:rPr>
          <w:rFonts w:ascii="Book Antiqua" w:hAnsi="Book Antiqua" w:cstheme="majorBidi"/>
          <w:color w:val="212121"/>
          <w:sz w:val="24"/>
          <w:szCs w:val="24"/>
        </w:rPr>
        <w:t>n</w:t>
      </w:r>
      <w:r w:rsidR="00AA5005" w:rsidRPr="004852AF">
        <w:rPr>
          <w:rFonts w:ascii="Book Antiqua" w:hAnsi="Book Antiqua" w:cstheme="majorBidi"/>
          <w:color w:val="212121"/>
          <w:sz w:val="24"/>
          <w:szCs w:val="24"/>
        </w:rPr>
        <w:t xml:space="preserve"> milieu ru</w:t>
      </w:r>
      <w:r w:rsidR="00593846" w:rsidRPr="004852AF">
        <w:rPr>
          <w:rFonts w:ascii="Book Antiqua" w:hAnsi="Book Antiqua" w:cstheme="majorBidi"/>
          <w:color w:val="212121"/>
          <w:sz w:val="24"/>
          <w:szCs w:val="24"/>
        </w:rPr>
        <w:t>ral.</w:t>
      </w:r>
      <w:r w:rsidR="00CF1EBE" w:rsidRPr="004852AF">
        <w:rPr>
          <w:rFonts w:ascii="Book Antiqua" w:hAnsi="Book Antiqua" w:cstheme="majorBidi"/>
          <w:color w:val="212121"/>
          <w:sz w:val="24"/>
          <w:szCs w:val="24"/>
        </w:rPr>
        <w:t xml:space="preserve"> </w:t>
      </w:r>
    </w:p>
    <w:p w:rsidR="00165223" w:rsidRPr="004852AF" w:rsidRDefault="00165223" w:rsidP="008538AC">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Faible qualification de la main d’œuvre </w:t>
      </w:r>
    </w:p>
    <w:p w:rsidR="00165223" w:rsidRPr="004852AF" w:rsidRDefault="00165223" w:rsidP="001E20B9">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Sur </w:t>
      </w:r>
      <w:r w:rsidR="003D4150" w:rsidRPr="004852AF">
        <w:rPr>
          <w:rFonts w:ascii="Book Antiqua" w:hAnsi="Book Antiqua" w:cstheme="majorBidi"/>
          <w:color w:val="212121"/>
          <w:sz w:val="24"/>
          <w:szCs w:val="24"/>
        </w:rPr>
        <w:t xml:space="preserve">les </w:t>
      </w:r>
      <w:r w:rsidRPr="004852AF">
        <w:rPr>
          <w:rFonts w:ascii="Book Antiqua" w:hAnsi="Book Antiqua" w:cstheme="majorBidi"/>
          <w:color w:val="212121"/>
          <w:sz w:val="24"/>
          <w:szCs w:val="24"/>
        </w:rPr>
        <w:t>10.699.000 actifs occupés âgés de 15 ans et plus, 6.271.000 n’ont aucun diplôme (58,6%), 2.988.000 ont un diplôme de niveau moyen</w:t>
      </w:r>
      <w:r w:rsidRPr="004852AF">
        <w:rPr>
          <w:rFonts w:cstheme="majorBidi"/>
          <w:b/>
          <w:bCs/>
          <w:color w:val="212121"/>
          <w:sz w:val="24"/>
          <w:szCs w:val="24"/>
          <w:vertAlign w:val="superscript"/>
        </w:rPr>
        <w:footnoteReference w:id="2"/>
      </w:r>
      <w:r w:rsidRPr="004852AF">
        <w:rPr>
          <w:rFonts w:ascii="Book Antiqua" w:hAnsi="Book Antiqua" w:cstheme="majorBidi"/>
          <w:color w:val="212121"/>
          <w:sz w:val="24"/>
          <w:szCs w:val="24"/>
        </w:rPr>
        <w:t xml:space="preserve"> (27,9%) et 1.440.000 sont détenteurs d’un diplôme de niveau supérieur</w:t>
      </w:r>
      <w:r w:rsidRPr="004852AF">
        <w:rPr>
          <w:rFonts w:cstheme="majorBidi"/>
          <w:b/>
          <w:bCs/>
          <w:color w:val="212121"/>
          <w:sz w:val="24"/>
          <w:szCs w:val="24"/>
          <w:vertAlign w:val="superscript"/>
        </w:rPr>
        <w:footnoteReference w:id="3"/>
      </w:r>
      <w:r w:rsidRPr="004852AF">
        <w:rPr>
          <w:rFonts w:ascii="Book Antiqua" w:hAnsi="Book Antiqua" w:cstheme="majorBidi"/>
          <w:color w:val="212121"/>
          <w:sz w:val="24"/>
          <w:szCs w:val="24"/>
        </w:rPr>
        <w:t xml:space="preserve"> (13,5%).</w:t>
      </w:r>
    </w:p>
    <w:p w:rsidR="00165223" w:rsidRPr="004852AF" w:rsidRDefault="00165223"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Parmi les actifs occupés n’ayant aucun diplôme, 3.117.000 travaillent dans le secteur de l’"agriculture, forêt et pêche" (</w:t>
      </w:r>
      <w:r w:rsidR="003D4150" w:rsidRPr="004852AF">
        <w:rPr>
          <w:rFonts w:ascii="Book Antiqua" w:hAnsi="Book Antiqua" w:cstheme="majorBidi"/>
          <w:color w:val="212121"/>
          <w:sz w:val="24"/>
          <w:szCs w:val="24"/>
        </w:rPr>
        <w:t xml:space="preserve">soit </w:t>
      </w:r>
      <w:r w:rsidRPr="004852AF">
        <w:rPr>
          <w:rFonts w:ascii="Book Antiqua" w:hAnsi="Book Antiqua" w:cstheme="majorBidi"/>
          <w:color w:val="212121"/>
          <w:sz w:val="24"/>
          <w:szCs w:val="24"/>
        </w:rPr>
        <w:t>82,8% de l’emploi total de ce secteur), 704.000 dans les BTP (61,1%), 617.000 dans l'industrie (50,3%) et 1.833.000 dans les services (40,5%).</w:t>
      </w:r>
    </w:p>
    <w:p w:rsidR="00062E65" w:rsidRPr="004852AF" w:rsidRDefault="00165223"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Au niveau national, 97,6% des salariés n’ont bénéficié d’aucune formation prise en charge par l’employeur au cours des 12 derniers mois (97,1% en milieu urbain).</w:t>
      </w:r>
    </w:p>
    <w:p w:rsidR="00122C27" w:rsidRPr="004852AF" w:rsidRDefault="00122C27" w:rsidP="00062E65">
      <w:pPr>
        <w:widowControl w:val="0"/>
        <w:shd w:val="clear" w:color="auto" w:fill="FFFFFF"/>
        <w:bidi w:val="0"/>
        <w:spacing w:before="240" w:after="240" w:line="276" w:lineRule="auto"/>
        <w:jc w:val="both"/>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Un mode précaire d’insertion dans le marché du travail</w:t>
      </w:r>
    </w:p>
    <w:p w:rsidR="006C4C4B" w:rsidRPr="004852AF" w:rsidRDefault="00122C27" w:rsidP="001E20B9">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Parmi </w:t>
      </w:r>
      <w:r w:rsidR="00117441" w:rsidRPr="004852AF">
        <w:rPr>
          <w:rFonts w:ascii="Book Antiqua" w:hAnsi="Book Antiqua" w:cstheme="majorBidi"/>
          <w:color w:val="212121"/>
          <w:sz w:val="24"/>
          <w:szCs w:val="24"/>
        </w:rPr>
        <w:t xml:space="preserve">l’ensemble des </w:t>
      </w:r>
      <w:r w:rsidRPr="004852AF">
        <w:rPr>
          <w:rFonts w:ascii="Book Antiqua" w:hAnsi="Book Antiqua" w:cstheme="majorBidi"/>
          <w:color w:val="212121"/>
          <w:sz w:val="24"/>
          <w:szCs w:val="24"/>
        </w:rPr>
        <w:t>actifs occupés, 1.793.000, ou 18,6%, exercent un emploi non rémunéré (dont 1.617.000, ou 90,2%, en milieu rural), et 932.000, ou 8,7%, un travail à titre occasionnel ou saisonnier.</w:t>
      </w:r>
    </w:p>
    <w:p w:rsidR="00122C27" w:rsidRPr="004852AF" w:rsidRDefault="00122C27"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Près de 5,6% des actifs occupés travaillent le jour et la nuit, 3,2% alternent le jour et la nuit et 1,1% travaillent uniquement la nuit</w:t>
      </w:r>
      <w:r w:rsidRPr="004852AF">
        <w:rPr>
          <w:rFonts w:cstheme="majorBidi"/>
          <w:b/>
          <w:bCs/>
          <w:color w:val="212121"/>
          <w:sz w:val="24"/>
          <w:szCs w:val="24"/>
          <w:vertAlign w:val="superscript"/>
        </w:rPr>
        <w:footnoteReference w:id="4"/>
      </w:r>
      <w:r w:rsidRPr="004852AF">
        <w:rPr>
          <w:rFonts w:ascii="Book Antiqua" w:hAnsi="Book Antiqua" w:cstheme="majorBidi"/>
          <w:color w:val="212121"/>
          <w:sz w:val="24"/>
          <w:szCs w:val="24"/>
        </w:rPr>
        <w:t>.</w:t>
      </w:r>
    </w:p>
    <w:p w:rsidR="00122C27" w:rsidRPr="004852AF" w:rsidRDefault="00122C27"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lastRenderedPageBreak/>
        <w:t>Quatre actifs occupés sur dix (</w:t>
      </w:r>
      <w:r w:rsidR="008461D4" w:rsidRPr="004852AF">
        <w:rPr>
          <w:rFonts w:ascii="Book Antiqua" w:hAnsi="Book Antiqua" w:cstheme="majorBidi"/>
          <w:color w:val="212121"/>
          <w:sz w:val="24"/>
          <w:szCs w:val="24"/>
        </w:rPr>
        <w:t xml:space="preserve">41,8%, soit </w:t>
      </w:r>
      <w:r w:rsidRPr="004852AF">
        <w:rPr>
          <w:rFonts w:ascii="Book Antiqua" w:hAnsi="Book Antiqua" w:cstheme="majorBidi"/>
          <w:color w:val="212121"/>
          <w:sz w:val="24"/>
          <w:szCs w:val="24"/>
        </w:rPr>
        <w:t xml:space="preserve">4.468.000 personnes) travaillent plus de 48 heures par semaine au niveau national, 45,7% parmi les citadins (2.681.000 personnes) et 37% parmi les ruraux (1.787.000 personnes), un actif occupé sur deux parmi les hommes (4.101.000 personnes) et 14,8% parmi les femmes (367.000 personnes). </w:t>
      </w:r>
    </w:p>
    <w:p w:rsidR="00117441" w:rsidRPr="004852AF" w:rsidRDefault="00117441" w:rsidP="001E20B9">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Un monde d</w:t>
      </w:r>
      <w:r w:rsidR="001E20B9" w:rsidRPr="004852AF">
        <w:rPr>
          <w:rFonts w:ascii="Book Antiqua" w:hAnsi="Book Antiqua" w:cs="Times New Roman"/>
          <w:noProof w:val="0"/>
          <w:color w:val="0070C0"/>
          <w:sz w:val="24"/>
          <w:szCs w:val="24"/>
        </w:rPr>
        <w:t>e</w:t>
      </w:r>
      <w:r w:rsidRPr="004852AF">
        <w:rPr>
          <w:rFonts w:ascii="Book Antiqua" w:hAnsi="Book Antiqua" w:cs="Times New Roman"/>
          <w:noProof w:val="0"/>
          <w:color w:val="0070C0"/>
          <w:sz w:val="24"/>
          <w:szCs w:val="24"/>
        </w:rPr>
        <w:t xml:space="preserve"> travail peu organisé et faiblement protégé</w:t>
      </w:r>
    </w:p>
    <w:p w:rsidR="00117441" w:rsidRPr="004852AF" w:rsidRDefault="00117441"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Près des deux-tiers des salariés (3.343.000 personnes) ne disposent pas de contrat qui formalise leur relation avec leur employeur, dont 772.000 dans le secteur des BTP (90,6% de l’emploi total dans ce secteur).   </w:t>
      </w:r>
    </w:p>
    <w:p w:rsidR="00117441" w:rsidRPr="004852AF" w:rsidRDefault="00117441"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96,7% des actifs occupés (10.282.000 personnes) ne sont pas affiliés à une organisation syndicale ou professionnelle, 94,5% en milieu urbain et 99% en milieu rural. Parmi les salariés, cette proportion atteint 94,6% au niveau national (4.955.000 personnes), 93,2%  en milieu urbain (3.595.000 personnes</w:t>
      </w:r>
      <w:r w:rsidR="00C3747D" w:rsidRPr="004852AF">
        <w:rPr>
          <w:rFonts w:ascii="Book Antiqua" w:hAnsi="Book Antiqua" w:cstheme="majorBidi"/>
          <w:color w:val="212121"/>
          <w:sz w:val="24"/>
          <w:szCs w:val="24"/>
        </w:rPr>
        <w:t>)</w:t>
      </w:r>
      <w:r w:rsidRPr="004852AF">
        <w:rPr>
          <w:rFonts w:ascii="Book Antiqua" w:hAnsi="Book Antiqua" w:cstheme="majorBidi"/>
          <w:color w:val="212121"/>
          <w:sz w:val="24"/>
          <w:szCs w:val="24"/>
        </w:rPr>
        <w:t>, et 98,4% en milieu rural (1.360.000 personnes).</w:t>
      </w:r>
    </w:p>
    <w:p w:rsidR="00117441" w:rsidRPr="004852AF" w:rsidRDefault="00117441" w:rsidP="00C3747D">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Dans le même </w:t>
      </w:r>
      <w:r w:rsidR="009F70B6" w:rsidRPr="004852AF">
        <w:rPr>
          <w:rFonts w:ascii="Book Antiqua" w:hAnsi="Book Antiqua" w:cstheme="majorBidi"/>
          <w:color w:val="212121"/>
          <w:sz w:val="24"/>
          <w:szCs w:val="24"/>
        </w:rPr>
        <w:t>contexte</w:t>
      </w:r>
      <w:r w:rsidRPr="004852AF">
        <w:rPr>
          <w:rFonts w:ascii="Book Antiqua" w:hAnsi="Book Antiqua" w:cstheme="majorBidi"/>
          <w:color w:val="212121"/>
          <w:sz w:val="24"/>
          <w:szCs w:val="24"/>
        </w:rPr>
        <w:t>, 8.297.000 actifs occupés (77,5%) ne bénéficient d’</w:t>
      </w:r>
      <w:r w:rsidR="00C3747D" w:rsidRPr="004852AF">
        <w:rPr>
          <w:rFonts w:ascii="Book Antiqua" w:hAnsi="Book Antiqua" w:cstheme="majorBidi"/>
          <w:color w:val="212121"/>
          <w:sz w:val="24"/>
          <w:szCs w:val="24"/>
        </w:rPr>
        <w:t xml:space="preserve">aucune </w:t>
      </w:r>
      <w:r w:rsidRPr="004852AF">
        <w:rPr>
          <w:rFonts w:ascii="Book Antiqua" w:hAnsi="Book Antiqua" w:cstheme="majorBidi"/>
          <w:color w:val="212121"/>
          <w:sz w:val="24"/>
          <w:szCs w:val="24"/>
        </w:rPr>
        <w:t xml:space="preserve"> couverture médicale au niveau national, 3.848.000 dans les villes (65,5%) et 4.449.000 dans la campagne (92,2%). Cette proportion s’établit parmi les salariés à 58,1% au niveau national (3.040.000 personnes), à 51% en milieu urbain (1.969.000 personnes) et à 77,6% en milieu rural (1.071.000 personnes).</w:t>
      </w:r>
    </w:p>
    <w:p w:rsidR="00117441" w:rsidRPr="004852AF" w:rsidRDefault="00117441" w:rsidP="008538AC">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Perception mitigée des actifs occupés sur leur emploi</w:t>
      </w:r>
    </w:p>
    <w:p w:rsidR="00117441" w:rsidRPr="004852AF" w:rsidRDefault="00117441" w:rsidP="006365E6">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Près d’un actif occupé sur cinq (1.974.000 personnes) n’est pas satisfait de son emploi et exprime le désir d</w:t>
      </w:r>
      <w:r w:rsidR="006365E6" w:rsidRPr="004852AF">
        <w:rPr>
          <w:rFonts w:ascii="Book Antiqua" w:hAnsi="Book Antiqua" w:cstheme="majorBidi"/>
          <w:color w:val="212121"/>
          <w:sz w:val="24"/>
          <w:szCs w:val="24"/>
        </w:rPr>
        <w:t xml:space="preserve">e le </w:t>
      </w:r>
      <w:r w:rsidRPr="004852AF">
        <w:rPr>
          <w:rFonts w:ascii="Book Antiqua" w:hAnsi="Book Antiqua" w:cstheme="majorBidi"/>
          <w:color w:val="212121"/>
          <w:sz w:val="24"/>
          <w:szCs w:val="24"/>
        </w:rPr>
        <w:t>changer. Ils sont 28,6% parmi les actifs occupés qui travaillent dans le secteur des BTP (330.000 personnes).</w:t>
      </w:r>
    </w:p>
    <w:p w:rsidR="00117441" w:rsidRPr="004852AF" w:rsidRDefault="00117441"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67,2% d’entre eux évoquent le niveau de rémunération, 10% l’instabilité de l’emploi, 9,6% des conditions de travail plus favorables, et 7,1% l’inadéquation de l’emploi à la formation reçue.</w:t>
      </w:r>
    </w:p>
    <w:p w:rsidR="00117441" w:rsidRPr="004852AF" w:rsidRDefault="00117441"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4% des actifs occupés (424.000 personnes) n’arrivent pas, malgré tous les efforts déployés, à concilier aisément entre leur vie privée et leur vie professionnelle, 13% (1.396.000 personnes) y arrivent avec beaucoup de difficultés et 31% (3.318.000 personnes) y parviennent avec difficultés. </w:t>
      </w:r>
    </w:p>
    <w:p w:rsidR="006C4C4B" w:rsidRPr="004852AF" w:rsidRDefault="006C4C4B" w:rsidP="008538AC">
      <w:pPr>
        <w:bidi w:val="0"/>
        <w:spacing w:before="240" w:after="240" w:line="276" w:lineRule="auto"/>
        <w:rPr>
          <w:rFonts w:ascii="Book Antiqua" w:hAnsi="Book Antiqua" w:cs="Times New Roman"/>
          <w:noProof w:val="0"/>
          <w:color w:val="0070C0"/>
          <w:sz w:val="24"/>
          <w:szCs w:val="24"/>
        </w:rPr>
      </w:pPr>
    </w:p>
    <w:p w:rsidR="006C4C4B" w:rsidRPr="004852AF" w:rsidRDefault="006C4C4B" w:rsidP="006C4C4B">
      <w:pPr>
        <w:bidi w:val="0"/>
        <w:spacing w:before="240" w:after="240" w:line="276" w:lineRule="auto"/>
        <w:rPr>
          <w:rFonts w:ascii="Book Antiqua" w:hAnsi="Book Antiqua" w:cs="Times New Roman"/>
          <w:noProof w:val="0"/>
          <w:color w:val="0070C0"/>
          <w:sz w:val="24"/>
          <w:szCs w:val="24"/>
        </w:rPr>
      </w:pPr>
    </w:p>
    <w:p w:rsidR="006C4C4B" w:rsidRPr="004852AF" w:rsidRDefault="006C4C4B" w:rsidP="006C4C4B">
      <w:pPr>
        <w:bidi w:val="0"/>
        <w:spacing w:before="240" w:after="240" w:line="276" w:lineRule="auto"/>
        <w:rPr>
          <w:rFonts w:ascii="Book Antiqua" w:hAnsi="Book Antiqua" w:cs="Times New Roman"/>
          <w:noProof w:val="0"/>
          <w:color w:val="0070C0"/>
          <w:sz w:val="24"/>
          <w:szCs w:val="24"/>
        </w:rPr>
      </w:pPr>
    </w:p>
    <w:p w:rsidR="006C4C4B" w:rsidRPr="004852AF" w:rsidRDefault="006C4C4B" w:rsidP="006C4C4B">
      <w:pPr>
        <w:bidi w:val="0"/>
        <w:spacing w:before="240" w:after="240" w:line="276" w:lineRule="auto"/>
        <w:rPr>
          <w:rFonts w:ascii="Book Antiqua" w:hAnsi="Book Antiqua" w:cs="Times New Roman"/>
          <w:noProof w:val="0"/>
          <w:color w:val="0070C0"/>
          <w:sz w:val="24"/>
          <w:szCs w:val="24"/>
        </w:rPr>
      </w:pPr>
    </w:p>
    <w:p w:rsidR="00DE69B7" w:rsidRPr="004852AF" w:rsidRDefault="00DE69B7" w:rsidP="00DE69B7">
      <w:pPr>
        <w:bidi w:val="0"/>
        <w:spacing w:before="240" w:after="240" w:line="276" w:lineRule="auto"/>
        <w:rPr>
          <w:rFonts w:ascii="Book Antiqua" w:hAnsi="Book Antiqua" w:cs="Times New Roman"/>
          <w:noProof w:val="0"/>
          <w:color w:val="0070C0"/>
          <w:sz w:val="24"/>
          <w:szCs w:val="24"/>
        </w:rPr>
      </w:pPr>
    </w:p>
    <w:p w:rsidR="0074699D" w:rsidRPr="004852AF" w:rsidRDefault="00B9427F" w:rsidP="006C4C4B">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Un </w:t>
      </w:r>
      <w:r w:rsidR="0074699D" w:rsidRPr="004852AF">
        <w:rPr>
          <w:rFonts w:ascii="Book Antiqua" w:hAnsi="Book Antiqua" w:cs="Times New Roman"/>
          <w:noProof w:val="0"/>
          <w:color w:val="0070C0"/>
          <w:sz w:val="24"/>
          <w:szCs w:val="24"/>
        </w:rPr>
        <w:t xml:space="preserve">chômage de plus en plus </w:t>
      </w:r>
      <w:r w:rsidR="00E860F3" w:rsidRPr="004852AF">
        <w:rPr>
          <w:rFonts w:ascii="Book Antiqua" w:hAnsi="Book Antiqua" w:cs="Times New Roman"/>
          <w:noProof w:val="0"/>
          <w:color w:val="0070C0"/>
          <w:sz w:val="24"/>
          <w:szCs w:val="24"/>
        </w:rPr>
        <w:t xml:space="preserve">important parmi </w:t>
      </w:r>
      <w:r w:rsidR="0074699D" w:rsidRPr="004852AF">
        <w:rPr>
          <w:rFonts w:ascii="Book Antiqua" w:hAnsi="Book Antiqua" w:cs="Times New Roman"/>
          <w:noProof w:val="0"/>
          <w:color w:val="0070C0"/>
          <w:sz w:val="24"/>
          <w:szCs w:val="24"/>
        </w:rPr>
        <w:t xml:space="preserve">les jeunes, les détenteurs d’un diplôme et les femmes </w:t>
      </w:r>
    </w:p>
    <w:p w:rsidR="00D926EA" w:rsidRPr="004852AF" w:rsidRDefault="0021116C"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Entre les années 2016 et 2017, l</w:t>
      </w:r>
      <w:r w:rsidR="00871479" w:rsidRPr="004852AF">
        <w:rPr>
          <w:rFonts w:ascii="Book Antiqua" w:hAnsi="Book Antiqua" w:cstheme="majorBidi"/>
          <w:color w:val="212121"/>
          <w:sz w:val="24"/>
          <w:szCs w:val="24"/>
        </w:rPr>
        <w:t xml:space="preserve">e nombre des </w:t>
      </w:r>
      <w:r w:rsidR="00C21964" w:rsidRPr="004852AF">
        <w:rPr>
          <w:rFonts w:ascii="Book Antiqua" w:hAnsi="Book Antiqua" w:cstheme="majorBidi"/>
          <w:color w:val="212121"/>
          <w:sz w:val="24"/>
          <w:szCs w:val="24"/>
        </w:rPr>
        <w:t>chôm</w:t>
      </w:r>
      <w:r w:rsidR="00871479" w:rsidRPr="004852AF">
        <w:rPr>
          <w:rFonts w:ascii="Book Antiqua" w:hAnsi="Book Antiqua" w:cstheme="majorBidi"/>
          <w:color w:val="212121"/>
          <w:sz w:val="24"/>
          <w:szCs w:val="24"/>
        </w:rPr>
        <w:t xml:space="preserve">eurs </w:t>
      </w:r>
      <w:r w:rsidR="00C21964" w:rsidRPr="004852AF">
        <w:rPr>
          <w:rFonts w:ascii="Book Antiqua" w:hAnsi="Book Antiqua" w:cstheme="majorBidi"/>
          <w:color w:val="212121"/>
          <w:sz w:val="24"/>
          <w:szCs w:val="24"/>
        </w:rPr>
        <w:t xml:space="preserve">s’est accru de 49.000 personnes, </w:t>
      </w:r>
      <w:r w:rsidR="00BF2983" w:rsidRPr="004852AF">
        <w:rPr>
          <w:rFonts w:ascii="Book Antiqua" w:hAnsi="Book Antiqua" w:cstheme="majorBidi"/>
          <w:color w:val="212121"/>
          <w:sz w:val="24"/>
          <w:szCs w:val="24"/>
        </w:rPr>
        <w:t xml:space="preserve">enregistrées </w:t>
      </w:r>
      <w:r w:rsidR="00C21964" w:rsidRPr="004852AF">
        <w:rPr>
          <w:rFonts w:ascii="Book Antiqua" w:hAnsi="Book Antiqua" w:cstheme="majorBidi"/>
          <w:color w:val="212121"/>
          <w:sz w:val="24"/>
          <w:szCs w:val="24"/>
        </w:rPr>
        <w:t xml:space="preserve">toutes en milieu urbain, portant leur effectif global à 1.216.000 au niveau national. </w:t>
      </w:r>
    </w:p>
    <w:p w:rsidR="00EE2ED7" w:rsidRPr="004852AF" w:rsidRDefault="00C21964"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 termes de taux, et en raison d’un accroissement du volume du chômage (+4,2%) plus important que celui de l’emploi (+0,8%), l</w:t>
      </w:r>
      <w:r w:rsidR="00EB32E6" w:rsidRPr="004852AF">
        <w:rPr>
          <w:rFonts w:ascii="Book Antiqua" w:hAnsi="Book Antiqua" w:cstheme="majorBidi"/>
          <w:color w:val="212121"/>
          <w:sz w:val="24"/>
          <w:szCs w:val="24"/>
        </w:rPr>
        <w:t>e t</w:t>
      </w:r>
      <w:r w:rsidR="00793247" w:rsidRPr="004852AF">
        <w:rPr>
          <w:rFonts w:ascii="Book Antiqua" w:hAnsi="Book Antiqua" w:cstheme="majorBidi"/>
          <w:color w:val="212121"/>
          <w:sz w:val="24"/>
          <w:szCs w:val="24"/>
        </w:rPr>
        <w:t xml:space="preserve">aux de chômage </w:t>
      </w:r>
      <w:r w:rsidR="00A6695B" w:rsidRPr="004852AF">
        <w:rPr>
          <w:rFonts w:ascii="Book Antiqua" w:hAnsi="Book Antiqua" w:cstheme="majorBidi"/>
          <w:color w:val="212121"/>
          <w:sz w:val="24"/>
          <w:szCs w:val="24"/>
        </w:rPr>
        <w:t>s’</w:t>
      </w:r>
      <w:r w:rsidR="00793247" w:rsidRPr="004852AF">
        <w:rPr>
          <w:rFonts w:ascii="Book Antiqua" w:hAnsi="Book Antiqua" w:cstheme="majorBidi"/>
          <w:color w:val="212121"/>
          <w:sz w:val="24"/>
          <w:szCs w:val="24"/>
        </w:rPr>
        <w:t xml:space="preserve">est </w:t>
      </w:r>
      <w:r w:rsidR="00A6695B" w:rsidRPr="004852AF">
        <w:rPr>
          <w:rFonts w:ascii="Book Antiqua" w:hAnsi="Book Antiqua" w:cstheme="majorBidi"/>
          <w:color w:val="212121"/>
          <w:sz w:val="24"/>
          <w:szCs w:val="24"/>
        </w:rPr>
        <w:t xml:space="preserve">accru </w:t>
      </w:r>
      <w:r w:rsidR="00EB32E6" w:rsidRPr="004852AF">
        <w:rPr>
          <w:rFonts w:ascii="Book Antiqua" w:hAnsi="Book Antiqua" w:cstheme="majorBidi"/>
          <w:color w:val="212121"/>
          <w:sz w:val="24"/>
          <w:szCs w:val="24"/>
        </w:rPr>
        <w:t xml:space="preserve">de </w:t>
      </w:r>
      <w:r w:rsidR="00F472B4" w:rsidRPr="004852AF">
        <w:rPr>
          <w:rFonts w:ascii="Book Antiqua" w:hAnsi="Book Antiqua" w:cstheme="majorBidi"/>
          <w:color w:val="212121"/>
          <w:sz w:val="24"/>
          <w:szCs w:val="24"/>
        </w:rPr>
        <w:t>9</w:t>
      </w:r>
      <w:r w:rsidR="00EB32E6" w:rsidRPr="004852AF">
        <w:rPr>
          <w:rFonts w:ascii="Book Antiqua" w:hAnsi="Book Antiqua" w:cstheme="majorBidi"/>
          <w:color w:val="212121"/>
          <w:sz w:val="24"/>
          <w:szCs w:val="24"/>
        </w:rPr>
        <w:t>,</w:t>
      </w:r>
      <w:r w:rsidR="00F472B4" w:rsidRPr="004852AF">
        <w:rPr>
          <w:rFonts w:ascii="Book Antiqua" w:hAnsi="Book Antiqua" w:cstheme="majorBidi"/>
          <w:color w:val="212121"/>
          <w:sz w:val="24"/>
          <w:szCs w:val="24"/>
        </w:rPr>
        <w:t>9</w:t>
      </w:r>
      <w:r w:rsidR="00EB32E6" w:rsidRPr="004852AF">
        <w:rPr>
          <w:rFonts w:ascii="Book Antiqua" w:hAnsi="Book Antiqua" w:cstheme="majorBidi"/>
          <w:color w:val="212121"/>
          <w:sz w:val="24"/>
          <w:szCs w:val="24"/>
        </w:rPr>
        <w:t xml:space="preserve">% à </w:t>
      </w:r>
      <w:r w:rsidR="003357ED" w:rsidRPr="004852AF">
        <w:rPr>
          <w:rFonts w:ascii="Book Antiqua" w:hAnsi="Book Antiqua" w:cstheme="majorBidi"/>
          <w:color w:val="212121"/>
          <w:sz w:val="24"/>
          <w:szCs w:val="24"/>
        </w:rPr>
        <w:t>10</w:t>
      </w:r>
      <w:r w:rsidR="00EB32E6" w:rsidRPr="004852AF">
        <w:rPr>
          <w:rFonts w:ascii="Book Antiqua" w:hAnsi="Book Antiqua" w:cstheme="majorBidi"/>
          <w:color w:val="212121"/>
          <w:sz w:val="24"/>
          <w:szCs w:val="24"/>
        </w:rPr>
        <w:t>,</w:t>
      </w:r>
      <w:r w:rsidR="00F472B4" w:rsidRPr="004852AF">
        <w:rPr>
          <w:rFonts w:ascii="Book Antiqua" w:hAnsi="Book Antiqua" w:cstheme="majorBidi"/>
          <w:color w:val="212121"/>
          <w:sz w:val="24"/>
          <w:szCs w:val="24"/>
        </w:rPr>
        <w:t>2</w:t>
      </w:r>
      <w:r w:rsidR="00EB32E6" w:rsidRPr="004852AF">
        <w:rPr>
          <w:rFonts w:ascii="Book Antiqua" w:hAnsi="Book Antiqua" w:cstheme="majorBidi"/>
          <w:color w:val="212121"/>
          <w:sz w:val="24"/>
          <w:szCs w:val="24"/>
        </w:rPr>
        <w:t xml:space="preserve">% au niveau national, </w:t>
      </w:r>
      <w:r w:rsidR="00D926EA" w:rsidRPr="004852AF">
        <w:rPr>
          <w:rFonts w:ascii="Book Antiqua" w:hAnsi="Book Antiqua" w:cstheme="majorBidi"/>
          <w:color w:val="212121"/>
          <w:sz w:val="24"/>
          <w:szCs w:val="24"/>
        </w:rPr>
        <w:t xml:space="preserve">passant </w:t>
      </w:r>
      <w:r w:rsidR="003357ED" w:rsidRPr="004852AF">
        <w:rPr>
          <w:rFonts w:ascii="Book Antiqua" w:hAnsi="Book Antiqua" w:cstheme="majorBidi"/>
          <w:color w:val="212121"/>
          <w:sz w:val="24"/>
          <w:szCs w:val="24"/>
        </w:rPr>
        <w:t>de 14</w:t>
      </w:r>
      <w:r w:rsidR="00F7409C" w:rsidRPr="004852AF">
        <w:rPr>
          <w:rFonts w:ascii="Book Antiqua" w:hAnsi="Book Antiqua" w:cstheme="majorBidi"/>
          <w:color w:val="212121"/>
          <w:sz w:val="24"/>
          <w:szCs w:val="24"/>
        </w:rPr>
        <w:t>,</w:t>
      </w:r>
      <w:r w:rsidR="00F472B4" w:rsidRPr="004852AF">
        <w:rPr>
          <w:rFonts w:ascii="Book Antiqua" w:hAnsi="Book Antiqua" w:cstheme="majorBidi"/>
          <w:color w:val="212121"/>
          <w:sz w:val="24"/>
          <w:szCs w:val="24"/>
        </w:rPr>
        <w:t>2</w:t>
      </w:r>
      <w:r w:rsidR="00EB32E6" w:rsidRPr="004852AF">
        <w:rPr>
          <w:rFonts w:ascii="Book Antiqua" w:hAnsi="Book Antiqua" w:cstheme="majorBidi"/>
          <w:color w:val="212121"/>
          <w:sz w:val="24"/>
          <w:szCs w:val="24"/>
        </w:rPr>
        <w:t xml:space="preserve">% à </w:t>
      </w:r>
      <w:r w:rsidR="00266EC8" w:rsidRPr="004852AF">
        <w:rPr>
          <w:rFonts w:ascii="Book Antiqua" w:hAnsi="Book Antiqua" w:cstheme="majorBidi"/>
          <w:color w:val="212121"/>
          <w:sz w:val="24"/>
          <w:szCs w:val="24"/>
        </w:rPr>
        <w:t>14</w:t>
      </w:r>
      <w:r w:rsidR="003357ED" w:rsidRPr="004852AF">
        <w:rPr>
          <w:rFonts w:ascii="Book Antiqua" w:hAnsi="Book Antiqua" w:cstheme="majorBidi"/>
          <w:color w:val="212121"/>
          <w:sz w:val="24"/>
          <w:szCs w:val="24"/>
        </w:rPr>
        <w:t>,</w:t>
      </w:r>
      <w:r w:rsidR="00F472B4" w:rsidRPr="004852AF">
        <w:rPr>
          <w:rFonts w:ascii="Book Antiqua" w:hAnsi="Book Antiqua" w:cstheme="majorBidi"/>
          <w:color w:val="212121"/>
          <w:sz w:val="24"/>
          <w:szCs w:val="24"/>
        </w:rPr>
        <w:t>7</w:t>
      </w:r>
      <w:r w:rsidR="00EB32E6" w:rsidRPr="004852AF">
        <w:rPr>
          <w:rFonts w:ascii="Book Antiqua" w:hAnsi="Book Antiqua" w:cstheme="majorBidi"/>
          <w:color w:val="212121"/>
          <w:sz w:val="24"/>
          <w:szCs w:val="24"/>
        </w:rPr>
        <w:t xml:space="preserve">% en milieu urbain et </w:t>
      </w:r>
      <w:r w:rsidR="003357ED" w:rsidRPr="004852AF">
        <w:rPr>
          <w:rFonts w:ascii="Book Antiqua" w:hAnsi="Book Antiqua" w:cstheme="majorBidi"/>
          <w:color w:val="212121"/>
          <w:sz w:val="24"/>
          <w:szCs w:val="24"/>
        </w:rPr>
        <w:t>stagna</w:t>
      </w:r>
      <w:r w:rsidR="00D926EA" w:rsidRPr="004852AF">
        <w:rPr>
          <w:rFonts w:ascii="Book Antiqua" w:hAnsi="Book Antiqua" w:cstheme="majorBidi"/>
          <w:color w:val="212121"/>
          <w:sz w:val="24"/>
          <w:szCs w:val="24"/>
        </w:rPr>
        <w:t xml:space="preserve">nt </w:t>
      </w:r>
      <w:r w:rsidR="003357ED" w:rsidRPr="004852AF">
        <w:rPr>
          <w:rFonts w:ascii="Book Antiqua" w:hAnsi="Book Antiqua" w:cstheme="majorBidi"/>
          <w:color w:val="212121"/>
          <w:sz w:val="24"/>
          <w:szCs w:val="24"/>
        </w:rPr>
        <w:t xml:space="preserve">à 4% </w:t>
      </w:r>
      <w:r w:rsidR="00793247" w:rsidRPr="004852AF">
        <w:rPr>
          <w:rFonts w:ascii="Book Antiqua" w:hAnsi="Book Antiqua" w:cstheme="majorBidi"/>
          <w:color w:val="212121"/>
          <w:sz w:val="24"/>
          <w:szCs w:val="24"/>
        </w:rPr>
        <w:t>en milieu rural.</w:t>
      </w:r>
      <w:r w:rsidRPr="004852AF">
        <w:rPr>
          <w:rFonts w:ascii="Book Antiqua" w:hAnsi="Book Antiqua" w:cstheme="majorBidi"/>
          <w:color w:val="212121"/>
          <w:sz w:val="24"/>
          <w:szCs w:val="24"/>
        </w:rPr>
        <w:t xml:space="preserve"> </w:t>
      </w:r>
    </w:p>
    <w:p w:rsidR="00E21B65" w:rsidRPr="004852AF" w:rsidRDefault="00B9427F" w:rsidP="008538AC">
      <w:pPr>
        <w:bidi w:val="0"/>
        <w:spacing w:before="240" w:after="240" w:line="276" w:lineRule="auto"/>
        <w:jc w:val="both"/>
        <w:rPr>
          <w:rFonts w:ascii="Book Antiqua" w:hAnsi="Book Antiqua" w:cs="Times New Roman"/>
          <w:noProof w:val="0"/>
          <w:sz w:val="24"/>
          <w:szCs w:val="24"/>
        </w:rPr>
      </w:pPr>
      <w:r w:rsidRPr="004852AF">
        <w:rPr>
          <w:rFonts w:ascii="Book Antiqua" w:hAnsi="Book Antiqua" w:cs="Times New Roman"/>
          <w:noProof w:val="0"/>
          <w:sz w:val="24"/>
          <w:szCs w:val="24"/>
        </w:rPr>
        <w:t xml:space="preserve">Les taux de chômage les plus élevés ont été enregistrés parmi les jeunes âgés de 15 à 24 ans, </w:t>
      </w:r>
      <w:r w:rsidR="00265F93" w:rsidRPr="004852AF">
        <w:rPr>
          <w:rFonts w:ascii="Book Antiqua" w:hAnsi="Book Antiqua" w:cs="Times New Roman"/>
          <w:noProof w:val="0"/>
          <w:sz w:val="24"/>
          <w:szCs w:val="24"/>
        </w:rPr>
        <w:t xml:space="preserve">parmi </w:t>
      </w:r>
      <w:r w:rsidRPr="004852AF">
        <w:rPr>
          <w:rFonts w:ascii="Book Antiqua" w:hAnsi="Book Antiqua" w:cs="Times New Roman"/>
          <w:noProof w:val="0"/>
          <w:sz w:val="24"/>
          <w:szCs w:val="24"/>
        </w:rPr>
        <w:t xml:space="preserve">les détenteurs d’un diplôme et </w:t>
      </w:r>
      <w:r w:rsidR="00265F93" w:rsidRPr="004852AF">
        <w:rPr>
          <w:rFonts w:ascii="Book Antiqua" w:hAnsi="Book Antiqua" w:cs="Times New Roman"/>
          <w:noProof w:val="0"/>
          <w:sz w:val="24"/>
          <w:szCs w:val="24"/>
        </w:rPr>
        <w:t xml:space="preserve">parmi </w:t>
      </w:r>
      <w:r w:rsidRPr="004852AF">
        <w:rPr>
          <w:rFonts w:ascii="Book Antiqua" w:hAnsi="Book Antiqua" w:cs="Times New Roman"/>
          <w:noProof w:val="0"/>
          <w:sz w:val="24"/>
          <w:szCs w:val="24"/>
        </w:rPr>
        <w:t xml:space="preserve">les femmes. </w:t>
      </w:r>
      <w:r w:rsidR="00D863E7" w:rsidRPr="004852AF">
        <w:rPr>
          <w:rFonts w:ascii="Book Antiqua" w:hAnsi="Book Antiqua" w:cs="Times New Roman"/>
          <w:noProof w:val="0"/>
          <w:sz w:val="24"/>
          <w:szCs w:val="24"/>
        </w:rPr>
        <w:t>En effet, l</w:t>
      </w:r>
      <w:r w:rsidR="0021116C" w:rsidRPr="004852AF">
        <w:rPr>
          <w:rFonts w:ascii="Book Antiqua" w:hAnsi="Book Antiqua" w:cs="Times New Roman"/>
          <w:noProof w:val="0"/>
          <w:sz w:val="24"/>
          <w:szCs w:val="24"/>
        </w:rPr>
        <w:t xml:space="preserve">es jeunes âgés </w:t>
      </w:r>
      <w:r w:rsidR="00D863E7" w:rsidRPr="004852AF">
        <w:rPr>
          <w:rFonts w:ascii="Book Antiqua" w:hAnsi="Book Antiqua" w:cs="Times New Roman"/>
          <w:noProof w:val="0"/>
          <w:sz w:val="24"/>
          <w:szCs w:val="24"/>
        </w:rPr>
        <w:t>de 15 à 24 ans re</w:t>
      </w:r>
      <w:r w:rsidR="0021116C" w:rsidRPr="004852AF">
        <w:rPr>
          <w:rFonts w:ascii="Book Antiqua" w:hAnsi="Book Antiqua" w:cs="Times New Roman"/>
          <w:noProof w:val="0"/>
          <w:sz w:val="24"/>
          <w:szCs w:val="24"/>
        </w:rPr>
        <w:t>présente</w:t>
      </w:r>
      <w:r w:rsidR="00D863E7" w:rsidRPr="004852AF">
        <w:rPr>
          <w:rFonts w:ascii="Book Antiqua" w:hAnsi="Book Antiqua" w:cs="Times New Roman"/>
          <w:noProof w:val="0"/>
          <w:sz w:val="24"/>
          <w:szCs w:val="24"/>
        </w:rPr>
        <w:t>nt</w:t>
      </w:r>
      <w:r w:rsidR="0021116C" w:rsidRPr="004852AF">
        <w:rPr>
          <w:rFonts w:ascii="Book Antiqua" w:hAnsi="Book Antiqua" w:cs="Times New Roman"/>
          <w:noProof w:val="0"/>
          <w:sz w:val="24"/>
          <w:szCs w:val="24"/>
        </w:rPr>
        <w:t xml:space="preserve"> </w:t>
      </w:r>
      <w:r w:rsidR="00D863E7" w:rsidRPr="004852AF">
        <w:rPr>
          <w:rFonts w:ascii="Book Antiqua" w:hAnsi="Book Antiqua" w:cs="Times New Roman"/>
          <w:noProof w:val="0"/>
          <w:sz w:val="24"/>
          <w:szCs w:val="24"/>
        </w:rPr>
        <w:t xml:space="preserve">la catégorie la plus touchée par le chômage </w:t>
      </w:r>
      <w:r w:rsidR="0021116C" w:rsidRPr="004852AF">
        <w:rPr>
          <w:rFonts w:ascii="Book Antiqua" w:hAnsi="Book Antiqua" w:cs="Times New Roman"/>
          <w:noProof w:val="0"/>
          <w:sz w:val="24"/>
          <w:szCs w:val="24"/>
        </w:rPr>
        <w:t xml:space="preserve">avec </w:t>
      </w:r>
      <w:r w:rsidR="00D863E7" w:rsidRPr="004852AF">
        <w:rPr>
          <w:rFonts w:ascii="Book Antiqua" w:hAnsi="Book Antiqua" w:cs="Times New Roman"/>
          <w:noProof w:val="0"/>
          <w:sz w:val="24"/>
          <w:szCs w:val="24"/>
        </w:rPr>
        <w:t xml:space="preserve">un taux de </w:t>
      </w:r>
      <w:r w:rsidR="0021116C" w:rsidRPr="004852AF">
        <w:rPr>
          <w:rFonts w:ascii="Book Antiqua" w:hAnsi="Book Antiqua" w:cs="Times New Roman"/>
          <w:noProof w:val="0"/>
          <w:sz w:val="24"/>
          <w:szCs w:val="24"/>
        </w:rPr>
        <w:t>26,5%</w:t>
      </w:r>
      <w:r w:rsidR="00D863E7" w:rsidRPr="004852AF">
        <w:rPr>
          <w:rFonts w:ascii="Book Antiqua" w:hAnsi="Book Antiqua" w:cs="Times New Roman"/>
          <w:noProof w:val="0"/>
          <w:sz w:val="24"/>
          <w:szCs w:val="24"/>
        </w:rPr>
        <w:t xml:space="preserve">, </w:t>
      </w:r>
      <w:r w:rsidR="0021116C" w:rsidRPr="004852AF">
        <w:rPr>
          <w:rFonts w:ascii="Book Antiqua" w:hAnsi="Book Antiqua" w:cs="Times New Roman"/>
          <w:noProof w:val="0"/>
          <w:sz w:val="24"/>
          <w:szCs w:val="24"/>
        </w:rPr>
        <w:t>42,8%</w:t>
      </w:r>
      <w:r w:rsidR="00D863E7" w:rsidRPr="004852AF">
        <w:rPr>
          <w:rFonts w:ascii="Book Antiqua" w:hAnsi="Book Antiqua" w:cs="Times New Roman"/>
          <w:noProof w:val="0"/>
          <w:sz w:val="24"/>
          <w:szCs w:val="24"/>
        </w:rPr>
        <w:t xml:space="preserve"> </w:t>
      </w:r>
      <w:r w:rsidR="0021116C" w:rsidRPr="004852AF">
        <w:rPr>
          <w:rFonts w:ascii="Book Antiqua" w:hAnsi="Book Antiqua" w:cs="Times New Roman"/>
          <w:noProof w:val="0"/>
          <w:sz w:val="24"/>
          <w:szCs w:val="24"/>
        </w:rPr>
        <w:t xml:space="preserve">en milieu urbain </w:t>
      </w:r>
      <w:r w:rsidR="00D863E7" w:rsidRPr="004852AF">
        <w:rPr>
          <w:rFonts w:ascii="Book Antiqua" w:hAnsi="Book Antiqua" w:cs="Times New Roman"/>
          <w:noProof w:val="0"/>
          <w:sz w:val="24"/>
          <w:szCs w:val="24"/>
        </w:rPr>
        <w:t>et 11,4% en milieu rural</w:t>
      </w:r>
      <w:r w:rsidR="0021116C" w:rsidRPr="004852AF">
        <w:rPr>
          <w:rFonts w:ascii="Book Antiqua" w:hAnsi="Book Antiqua" w:cs="Times New Roman"/>
          <w:noProof w:val="0"/>
          <w:sz w:val="24"/>
          <w:szCs w:val="24"/>
        </w:rPr>
        <w:t>.</w:t>
      </w:r>
      <w:r w:rsidR="00D863E7" w:rsidRPr="004852AF">
        <w:rPr>
          <w:rFonts w:ascii="Book Antiqua" w:hAnsi="Book Antiqua" w:cs="Times New Roman"/>
          <w:noProof w:val="0"/>
          <w:sz w:val="24"/>
          <w:szCs w:val="24"/>
        </w:rPr>
        <w:t xml:space="preserve"> </w:t>
      </w:r>
    </w:p>
    <w:p w:rsidR="00E21B65" w:rsidRPr="004852AF" w:rsidRDefault="00F73AE2" w:rsidP="00265F93">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Selon le diplôme, l</w:t>
      </w:r>
      <w:r w:rsidR="00E21B65" w:rsidRPr="004852AF">
        <w:rPr>
          <w:rFonts w:ascii="Book Antiqua" w:hAnsi="Book Antiqua" w:cstheme="majorBidi"/>
          <w:color w:val="212121"/>
          <w:sz w:val="24"/>
          <w:szCs w:val="24"/>
        </w:rPr>
        <w:t>e taux de chômage a atteint 23,3% parmi les détenteurs d’un diplôme de niveau supérieur</w:t>
      </w:r>
      <w:r w:rsidR="00E21B65" w:rsidRPr="004852AF">
        <w:rPr>
          <w:rFonts w:ascii="Book Antiqua" w:hAnsi="Book Antiqua" w:cstheme="majorBidi"/>
          <w:b/>
          <w:bCs/>
          <w:color w:val="212121"/>
          <w:sz w:val="24"/>
          <w:szCs w:val="24"/>
          <w:vertAlign w:val="superscript"/>
        </w:rPr>
        <w:t>(</w:t>
      </w:r>
      <w:r w:rsidR="00E21B65" w:rsidRPr="004852AF">
        <w:rPr>
          <w:rFonts w:ascii="Book Antiqua" w:hAnsi="Book Antiqua" w:cstheme="majorBidi"/>
          <w:b/>
          <w:bCs/>
          <w:color w:val="212121"/>
          <w:sz w:val="24"/>
          <w:szCs w:val="24"/>
          <w:vertAlign w:val="superscript"/>
        </w:rPr>
        <w:footnoteReference w:id="5"/>
      </w:r>
      <w:r w:rsidR="00E21B65" w:rsidRPr="004852AF">
        <w:rPr>
          <w:rFonts w:ascii="Book Antiqua" w:hAnsi="Book Antiqua" w:cstheme="majorBidi"/>
          <w:b/>
          <w:bCs/>
          <w:color w:val="212121"/>
          <w:sz w:val="24"/>
          <w:szCs w:val="24"/>
          <w:vertAlign w:val="superscript"/>
        </w:rPr>
        <w:t>)</w:t>
      </w:r>
      <w:r w:rsidR="00E21B65" w:rsidRPr="004852AF">
        <w:rPr>
          <w:rFonts w:ascii="Book Antiqua" w:hAnsi="Book Antiqua" w:cstheme="majorBidi"/>
          <w:color w:val="212121"/>
          <w:sz w:val="24"/>
          <w:szCs w:val="24"/>
        </w:rPr>
        <w:t xml:space="preserve">, avec un pic de 25,9% pour les détenteurs d’un diplôme de technicien ou de cadre moyen. Il s’est établi à 15% parmi les détenteurs d’un diplôme de niveau moyen </w:t>
      </w:r>
      <w:r w:rsidR="00E21B65" w:rsidRPr="004852AF">
        <w:rPr>
          <w:rFonts w:ascii="Book Antiqua" w:hAnsi="Book Antiqua" w:cstheme="majorBidi"/>
          <w:b/>
          <w:bCs/>
          <w:color w:val="212121"/>
          <w:sz w:val="24"/>
          <w:szCs w:val="24"/>
          <w:vertAlign w:val="superscript"/>
        </w:rPr>
        <w:t>(</w:t>
      </w:r>
      <w:r w:rsidR="00E21B65" w:rsidRPr="004852AF">
        <w:rPr>
          <w:rFonts w:ascii="Book Antiqua" w:hAnsi="Book Antiqua"/>
          <w:b/>
          <w:bCs/>
          <w:color w:val="212121"/>
          <w:sz w:val="24"/>
          <w:szCs w:val="24"/>
          <w:vertAlign w:val="superscript"/>
        </w:rPr>
        <w:footnoteReference w:id="6"/>
      </w:r>
      <w:r w:rsidR="00E21B65" w:rsidRPr="004852AF">
        <w:rPr>
          <w:rFonts w:ascii="Book Antiqua" w:hAnsi="Book Antiqua" w:cstheme="majorBidi"/>
          <w:b/>
          <w:bCs/>
          <w:color w:val="212121"/>
          <w:sz w:val="24"/>
          <w:szCs w:val="24"/>
          <w:vertAlign w:val="superscript"/>
        </w:rPr>
        <w:t>)</w:t>
      </w:r>
      <w:r w:rsidR="00E21B65" w:rsidRPr="004852AF">
        <w:rPr>
          <w:rFonts w:ascii="Book Antiqua" w:hAnsi="Book Antiqua" w:cstheme="majorBidi"/>
          <w:color w:val="212121"/>
          <w:sz w:val="24"/>
          <w:szCs w:val="24"/>
        </w:rPr>
        <w:t>, atteignant sa valeur maximale 25,7% pour les actifs ayant un certificat de spécialisation professionnelle.</w:t>
      </w:r>
    </w:p>
    <w:p w:rsidR="0021116C" w:rsidRPr="004852AF" w:rsidRDefault="00F73AE2"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Par sexe, l</w:t>
      </w:r>
      <w:r w:rsidR="0021116C" w:rsidRPr="004852AF">
        <w:rPr>
          <w:rFonts w:ascii="Book Antiqua" w:hAnsi="Book Antiqua" w:cstheme="majorBidi"/>
          <w:color w:val="212121"/>
          <w:sz w:val="24"/>
          <w:szCs w:val="24"/>
        </w:rPr>
        <w:t xml:space="preserve">e taux de chômage des femmes </w:t>
      </w:r>
      <w:r w:rsidRPr="004852AF">
        <w:rPr>
          <w:rFonts w:ascii="Book Antiqua" w:hAnsi="Book Antiqua" w:cstheme="majorBidi"/>
          <w:color w:val="212121"/>
          <w:sz w:val="24"/>
          <w:szCs w:val="24"/>
        </w:rPr>
        <w:t xml:space="preserve">demeure </w:t>
      </w:r>
      <w:r w:rsidR="0021116C" w:rsidRPr="004852AF">
        <w:rPr>
          <w:rFonts w:ascii="Book Antiqua" w:hAnsi="Book Antiqua" w:cstheme="majorBidi"/>
          <w:color w:val="212121"/>
          <w:sz w:val="24"/>
          <w:szCs w:val="24"/>
        </w:rPr>
        <w:t xml:space="preserve">largement supérieur à celui des hommes se situant, au niveau national, à 14,7% et à 8,8% respectivement. </w:t>
      </w:r>
    </w:p>
    <w:p w:rsidR="0074699D" w:rsidRPr="004852AF" w:rsidRDefault="0074699D"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 outre, l’étude du profil des chômeurs révèle qu’en 2017, plus</w:t>
      </w:r>
      <w:r w:rsidR="00F73AE2" w:rsidRPr="004852AF">
        <w:rPr>
          <w:rFonts w:ascii="Book Antiqua" w:hAnsi="Book Antiqua" w:cstheme="majorBidi"/>
          <w:color w:val="212121"/>
          <w:sz w:val="24"/>
          <w:szCs w:val="24"/>
        </w:rPr>
        <w:t xml:space="preserve"> de 8 chômeurs sur 10 (83,5%) sont des citadins, 2 sur 3 (65,2%) sont âgés de 15 à 29 ans et un peu plus du tiers (36%) sont détenteurs d’un diplôme de niveau supérieur.</w:t>
      </w:r>
      <w:r w:rsidRPr="004852AF">
        <w:rPr>
          <w:rFonts w:ascii="Book Antiqua" w:hAnsi="Book Antiqua" w:cstheme="majorBidi"/>
          <w:color w:val="212121"/>
          <w:sz w:val="24"/>
          <w:szCs w:val="24"/>
        </w:rPr>
        <w:t xml:space="preserve"> </w:t>
      </w:r>
      <w:r w:rsidR="00FB2D8A" w:rsidRPr="004852AF">
        <w:rPr>
          <w:rFonts w:ascii="Book Antiqua" w:hAnsi="Book Antiqua" w:cstheme="majorBidi"/>
          <w:color w:val="212121"/>
          <w:sz w:val="24"/>
          <w:szCs w:val="24"/>
        </w:rPr>
        <w:t>Aussi</w:t>
      </w:r>
      <w:r w:rsidRPr="004852AF">
        <w:rPr>
          <w:rFonts w:ascii="Book Antiqua" w:hAnsi="Book Antiqua" w:cstheme="majorBidi"/>
          <w:color w:val="212121"/>
          <w:sz w:val="24"/>
          <w:szCs w:val="24"/>
        </w:rPr>
        <w:t>, 6</w:t>
      </w:r>
      <w:r w:rsidR="00F73AE2" w:rsidRPr="004852AF">
        <w:rPr>
          <w:rFonts w:ascii="Book Antiqua" w:hAnsi="Book Antiqua" w:cstheme="majorBidi"/>
          <w:color w:val="212121"/>
          <w:sz w:val="24"/>
          <w:szCs w:val="24"/>
        </w:rPr>
        <w:t xml:space="preserve"> chômeurs sur 10 (58,4%) sont à la recherche de leur premier emploi et 7 sur 10 (71,2%) sont au chômage depuis une année ou plus. </w:t>
      </w:r>
    </w:p>
    <w:p w:rsidR="00F73AE2" w:rsidRPr="004852AF" w:rsidRDefault="0074699D"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Par ailleurs, p</w:t>
      </w:r>
      <w:r w:rsidR="00F73AE2" w:rsidRPr="004852AF">
        <w:rPr>
          <w:rFonts w:ascii="Book Antiqua" w:hAnsi="Book Antiqua" w:cstheme="majorBidi"/>
          <w:color w:val="212121"/>
          <w:sz w:val="24"/>
          <w:szCs w:val="24"/>
        </w:rPr>
        <w:t>rès de 7% des chômeurs (83.000 personnes) sont découragés par la recherche active d’un emploi, 84,1% d’entre eux sont des citadins, 51% des femmes, 54,5% des jeunes âgés de 15 à 29 ans et 75,2% des détenteurs d’un diplôme.</w:t>
      </w:r>
    </w:p>
    <w:p w:rsidR="00B25FE4" w:rsidRPr="004852AF" w:rsidRDefault="00B25FE4" w:rsidP="006C4C4B">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Un sous emploi en hausse </w:t>
      </w:r>
      <w:r w:rsidR="00FD29D8" w:rsidRPr="004852AF">
        <w:rPr>
          <w:rFonts w:ascii="Book Antiqua" w:hAnsi="Book Antiqua" w:cs="Times New Roman"/>
          <w:noProof w:val="0"/>
          <w:color w:val="0070C0"/>
          <w:sz w:val="24"/>
          <w:szCs w:val="24"/>
        </w:rPr>
        <w:t xml:space="preserve">particulièrement </w:t>
      </w:r>
      <w:r w:rsidR="00C26A14" w:rsidRPr="004852AF">
        <w:rPr>
          <w:rFonts w:ascii="Book Antiqua" w:hAnsi="Book Antiqua" w:cs="Times New Roman"/>
          <w:noProof w:val="0"/>
          <w:color w:val="0070C0"/>
          <w:sz w:val="24"/>
          <w:szCs w:val="24"/>
        </w:rPr>
        <w:t xml:space="preserve">parmi les jeunes </w:t>
      </w:r>
      <w:r w:rsidR="00FD29D8" w:rsidRPr="004852AF">
        <w:rPr>
          <w:rFonts w:ascii="Book Antiqua" w:hAnsi="Book Antiqua" w:cs="Times New Roman"/>
          <w:noProof w:val="0"/>
          <w:color w:val="0070C0"/>
          <w:sz w:val="24"/>
          <w:szCs w:val="24"/>
        </w:rPr>
        <w:t>et les actifs occupés exerçant dans les BTP</w:t>
      </w:r>
    </w:p>
    <w:p w:rsidR="009B74A6" w:rsidRPr="004852AF" w:rsidRDefault="00830B40"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Entre 2016 et 2017, le nombre d’actifs occupés en situation de sous-emploi est passé, au niveau national, de 1.018.000 à 1.044.000 personnes, de 508.000 à 521.000 en milieu urbain et de 510.000 à 523.000 en milieu rural.</w:t>
      </w:r>
      <w:r w:rsidR="009B74A6" w:rsidRPr="004852AF">
        <w:rPr>
          <w:rFonts w:ascii="Book Antiqua" w:hAnsi="Book Antiqua" w:cstheme="majorBidi"/>
          <w:color w:val="212121"/>
          <w:sz w:val="24"/>
          <w:szCs w:val="24"/>
        </w:rPr>
        <w:t xml:space="preserve"> Le taux de sous-emploi est ainsi passé de 9,6% à </w:t>
      </w:r>
      <w:r w:rsidR="009B74A6" w:rsidRPr="004852AF">
        <w:rPr>
          <w:rFonts w:ascii="Book Antiqua" w:hAnsi="Book Antiqua" w:cstheme="majorBidi"/>
          <w:color w:val="212121"/>
          <w:sz w:val="24"/>
          <w:szCs w:val="24"/>
        </w:rPr>
        <w:lastRenderedPageBreak/>
        <w:t>9,8% au niveau national, de 8,7% à 8,9% en milieu urbain et de 10,7% à 10,8% en milieu rural.</w:t>
      </w:r>
    </w:p>
    <w:p w:rsidR="00C26A14" w:rsidRPr="004852AF" w:rsidRDefault="009B74A6"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Par catégorie de population, les taux de sous-emploi les plus importants ont été relevés parmi les jeunes </w:t>
      </w:r>
      <w:r w:rsidR="00614CE6" w:rsidRPr="004852AF">
        <w:rPr>
          <w:rFonts w:ascii="Book Antiqua" w:hAnsi="Book Antiqua" w:cstheme="majorBidi"/>
          <w:color w:val="212121"/>
          <w:sz w:val="24"/>
          <w:szCs w:val="24"/>
        </w:rPr>
        <w:t xml:space="preserve">âgés de 15 à 24 ans </w:t>
      </w:r>
      <w:r w:rsidR="00C26A14" w:rsidRPr="004852AF">
        <w:rPr>
          <w:rFonts w:ascii="Book Antiqua" w:hAnsi="Book Antiqua" w:cstheme="majorBidi"/>
          <w:color w:val="212121"/>
          <w:sz w:val="24"/>
          <w:szCs w:val="24"/>
        </w:rPr>
        <w:t xml:space="preserve">(16,1%), les actifs occupés exerçant dans le secteur des BTP (15,8%) </w:t>
      </w:r>
      <w:r w:rsidRPr="004852AF">
        <w:rPr>
          <w:rFonts w:ascii="Book Antiqua" w:hAnsi="Book Antiqua" w:cstheme="majorBidi"/>
          <w:color w:val="212121"/>
          <w:sz w:val="24"/>
          <w:szCs w:val="24"/>
        </w:rPr>
        <w:t>et les détenteurs d’un diplôme</w:t>
      </w:r>
      <w:r w:rsidR="00C26A14" w:rsidRPr="004852AF">
        <w:rPr>
          <w:rFonts w:ascii="Book Antiqua" w:hAnsi="Book Antiqua" w:cstheme="majorBidi"/>
          <w:color w:val="212121"/>
          <w:sz w:val="24"/>
          <w:szCs w:val="24"/>
        </w:rPr>
        <w:t xml:space="preserve"> (10,5%)</w:t>
      </w:r>
      <w:r w:rsidRPr="004852AF">
        <w:rPr>
          <w:rFonts w:ascii="Book Antiqua" w:hAnsi="Book Antiqua" w:cstheme="majorBidi"/>
          <w:color w:val="212121"/>
          <w:sz w:val="24"/>
          <w:szCs w:val="24"/>
        </w:rPr>
        <w:t xml:space="preserve">. </w:t>
      </w:r>
    </w:p>
    <w:p w:rsidR="00E2711D" w:rsidRPr="004852AF" w:rsidRDefault="00FD29D8" w:rsidP="006C4C4B">
      <w:pPr>
        <w:tabs>
          <w:tab w:val="left" w:pos="5556"/>
        </w:tabs>
        <w:bidi w:val="0"/>
        <w:spacing w:before="120" w:after="120"/>
        <w:jc w:val="both"/>
        <w:rPr>
          <w:rFonts w:ascii="Book Antiqua" w:hAnsi="Book Antiqua" w:cstheme="majorBidi"/>
          <w:color w:val="212121"/>
          <w:sz w:val="24"/>
          <w:szCs w:val="24"/>
        </w:rPr>
      </w:pPr>
      <w:r w:rsidRPr="004852AF">
        <w:rPr>
          <w:rFonts w:ascii="Book Antiqua" w:hAnsi="Book Antiqua" w:cstheme="majorBidi"/>
          <w:color w:val="212121"/>
          <w:sz w:val="24"/>
          <w:szCs w:val="24"/>
        </w:rPr>
        <w:t xml:space="preserve">En outre, </w:t>
      </w:r>
      <w:r w:rsidR="00EA630C" w:rsidRPr="004852AF">
        <w:rPr>
          <w:rFonts w:ascii="Book Antiqua" w:hAnsi="Book Antiqua" w:cstheme="majorBidi"/>
          <w:color w:val="212121"/>
          <w:sz w:val="24"/>
          <w:szCs w:val="24"/>
        </w:rPr>
        <w:t xml:space="preserve">il est à noter que </w:t>
      </w:r>
      <w:r w:rsidRPr="004852AF">
        <w:rPr>
          <w:rFonts w:ascii="Book Antiqua" w:hAnsi="Book Antiqua" w:cstheme="majorBidi"/>
          <w:color w:val="212121"/>
          <w:sz w:val="24"/>
          <w:szCs w:val="24"/>
        </w:rPr>
        <w:t xml:space="preserve">la </w:t>
      </w:r>
      <w:r w:rsidR="00830B40" w:rsidRPr="004852AF">
        <w:rPr>
          <w:rFonts w:ascii="Book Antiqua" w:hAnsi="Book Antiqua" w:cstheme="majorBidi"/>
          <w:color w:val="212121"/>
          <w:sz w:val="24"/>
          <w:szCs w:val="24"/>
        </w:rPr>
        <w:t>population active occupée sous-employée est en majorité de sexe masculin (87,1%), à moitié rurale (50,1%), jeune ne dépassant pas l’âge de 30 ans (38,2%)</w:t>
      </w:r>
      <w:r w:rsidRPr="004852AF">
        <w:rPr>
          <w:rFonts w:ascii="Book Antiqua" w:hAnsi="Book Antiqua" w:cstheme="majorBidi"/>
          <w:color w:val="212121"/>
          <w:sz w:val="24"/>
          <w:szCs w:val="24"/>
        </w:rPr>
        <w:t xml:space="preserve">, </w:t>
      </w:r>
      <w:r w:rsidR="00830B40" w:rsidRPr="004852AF">
        <w:rPr>
          <w:rFonts w:ascii="Book Antiqua" w:hAnsi="Book Antiqua" w:cstheme="majorBidi"/>
          <w:color w:val="212121"/>
          <w:sz w:val="24"/>
          <w:szCs w:val="24"/>
        </w:rPr>
        <w:t>diplômée (44,7%)</w:t>
      </w:r>
      <w:r w:rsidRPr="004852AF">
        <w:rPr>
          <w:rFonts w:ascii="Book Antiqua" w:hAnsi="Book Antiqua" w:cstheme="majorBidi"/>
          <w:color w:val="212121"/>
          <w:sz w:val="24"/>
          <w:szCs w:val="24"/>
        </w:rPr>
        <w:t xml:space="preserve">, </w:t>
      </w:r>
      <w:r w:rsidR="0080184C" w:rsidRPr="004852AF">
        <w:rPr>
          <w:rFonts w:ascii="Book Antiqua" w:hAnsi="Book Antiqua" w:cstheme="majorBidi"/>
          <w:color w:val="212121"/>
          <w:sz w:val="24"/>
          <w:szCs w:val="24"/>
        </w:rPr>
        <w:t xml:space="preserve">exerçant </w:t>
      </w:r>
      <w:r w:rsidRPr="004852AF">
        <w:rPr>
          <w:rFonts w:ascii="Book Antiqua" w:hAnsi="Book Antiqua" w:cstheme="majorBidi"/>
          <w:color w:val="212121"/>
          <w:sz w:val="24"/>
          <w:szCs w:val="24"/>
        </w:rPr>
        <w:t>un emploi rémunéré (83,6%) et p</w:t>
      </w:r>
      <w:r w:rsidR="009B74A6" w:rsidRPr="004852AF">
        <w:rPr>
          <w:rFonts w:ascii="Book Antiqua" w:hAnsi="Book Antiqua" w:cstheme="majorBidi"/>
          <w:color w:val="212121"/>
          <w:sz w:val="24"/>
          <w:szCs w:val="24"/>
        </w:rPr>
        <w:t>rès des deux-tiers (67,7%) sont en situation de sous-emploi lié à l’insuffisance du revenu du travail, ou à l’inadéquation entre la formation et l’emploi.</w:t>
      </w:r>
    </w:p>
    <w:p w:rsidR="00E33AE0" w:rsidRPr="004852AF" w:rsidRDefault="00062E65" w:rsidP="00042E47">
      <w:pPr>
        <w:bidi w:val="0"/>
        <w:rPr>
          <w:rFonts w:ascii="Book Antiqua" w:hAnsi="Book Antiqua" w:cs="Times New Roman"/>
          <w:color w:val="000000"/>
          <w:sz w:val="24"/>
          <w:szCs w:val="24"/>
        </w:rPr>
      </w:pPr>
      <w:r w:rsidRPr="004852AF">
        <w:rPr>
          <w:rFonts w:ascii="Book Antiqua" w:hAnsi="Book Antiqua"/>
          <w:b/>
          <w:bCs/>
          <w:i/>
          <w:iCs/>
          <w:smallCaps/>
          <w:sz w:val="24"/>
          <w:szCs w:val="24"/>
          <w:u w:val="single"/>
        </w:rPr>
        <w:br w:type="page"/>
      </w: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 xml:space="preserve">Situation du marché du travail au niveau régional </w:t>
      </w: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À partir de cette année, et en vue d’honorer les engagements de notre pays dans le cadre de la régionalisation avancée, les informations sur le marché du travail relatives aux différentes régions et aux principales provinces du Royaume seront publiées à des niveaux de détail plus fins et seront élargies à d’autres dimensions notamment celles se rapportant aux conditions du travail et au travail décent.</w:t>
      </w:r>
    </w:p>
    <w:p w:rsidR="00042E47" w:rsidRPr="004852AF" w:rsidRDefault="00042E47" w:rsidP="00042E47">
      <w:pPr>
        <w:bidi w:val="0"/>
        <w:ind w:left="116" w:right="76"/>
        <w:jc w:val="both"/>
        <w:rPr>
          <w:rFonts w:ascii="Book Antiqua" w:hAnsi="Book Antiqua" w:cs="Times New Roman"/>
          <w:sz w:val="12"/>
          <w:szCs w:val="12"/>
        </w:rPr>
      </w:pPr>
    </w:p>
    <w:p w:rsidR="00042E47" w:rsidRPr="004852AF" w:rsidRDefault="00265F93" w:rsidP="00265F93">
      <w:pPr>
        <w:bidi w:val="0"/>
        <w:ind w:left="116" w:right="76"/>
        <w:jc w:val="both"/>
        <w:rPr>
          <w:rFonts w:ascii="Book Antiqua" w:hAnsi="Book Antiqua" w:cs="Times New Roman"/>
          <w:sz w:val="24"/>
          <w:szCs w:val="24"/>
        </w:rPr>
      </w:pPr>
      <w:r w:rsidRPr="004852AF">
        <w:rPr>
          <w:rFonts w:ascii="Book Antiqua" w:hAnsi="Book Antiqua" w:cs="Times New Roman"/>
          <w:sz w:val="24"/>
          <w:szCs w:val="24"/>
        </w:rPr>
        <w:t xml:space="preserve">Dans </w:t>
      </w:r>
      <w:r w:rsidR="00042E47" w:rsidRPr="004852AF">
        <w:rPr>
          <w:rFonts w:ascii="Book Antiqua" w:hAnsi="Book Antiqua" w:cs="Times New Roman"/>
          <w:sz w:val="24"/>
          <w:szCs w:val="24"/>
        </w:rPr>
        <w:t xml:space="preserve">cette partie, et en présentant la situation du marché du travail au niveau régional, certaines informations de ce type seront </w:t>
      </w:r>
      <w:r w:rsidRPr="004852AF">
        <w:rPr>
          <w:rFonts w:ascii="Book Antiqua" w:hAnsi="Book Antiqua" w:cs="Times New Roman"/>
          <w:sz w:val="24"/>
          <w:szCs w:val="24"/>
        </w:rPr>
        <w:t>fournies</w:t>
      </w:r>
      <w:r w:rsidR="00042E47" w:rsidRPr="004852AF">
        <w:rPr>
          <w:rFonts w:ascii="Book Antiqua" w:hAnsi="Book Antiqua" w:cs="Times New Roman"/>
          <w:sz w:val="24"/>
          <w:szCs w:val="24"/>
        </w:rPr>
        <w:t xml:space="preserve"> à titre indicatif et ce, en vue d’illustrer, ne serait-ce que partiellement, leur importance dans l’élargissement de la sphère d’informations sur la situation du marché du travail au niveau régional. </w:t>
      </w:r>
    </w:p>
    <w:p w:rsidR="00042E47" w:rsidRPr="004852AF" w:rsidRDefault="00042E47" w:rsidP="00042E47">
      <w:pPr>
        <w:bidi w:val="0"/>
        <w:spacing w:line="259" w:lineRule="auto"/>
        <w:ind w:left="116" w:right="76"/>
        <w:jc w:val="both"/>
        <w:rPr>
          <w:rFonts w:cs="Times New Roman"/>
          <w:sz w:val="12"/>
          <w:szCs w:val="12"/>
        </w:rPr>
      </w:pPr>
    </w:p>
    <w:p w:rsidR="00042E47" w:rsidRPr="004852AF" w:rsidRDefault="00042E47" w:rsidP="00265F93">
      <w:pPr>
        <w:bidi w:val="0"/>
        <w:spacing w:line="259" w:lineRule="auto"/>
        <w:ind w:left="116" w:right="76"/>
        <w:jc w:val="both"/>
        <w:rPr>
          <w:rFonts w:cs="Times New Roman"/>
          <w:sz w:val="24"/>
          <w:szCs w:val="24"/>
        </w:rPr>
      </w:pPr>
      <w:r w:rsidRPr="004852AF">
        <w:rPr>
          <w:rFonts w:ascii="Book Antiqua" w:hAnsi="Book Antiqua" w:cs="Times New Roman"/>
          <w:sz w:val="24"/>
          <w:szCs w:val="24"/>
        </w:rPr>
        <w:t xml:space="preserve">Un des indicateurs clés, par lequel se propose de commencer cette partie, permettant d’appréhender le potentiel des jeunes sous valorisés et éligibles à des postes d’emploi, est le taux des jeunes âgés de 15 à 24 ans qui ne travaillent pas, ne sont pas à l’école et ne suivent aucune formation (NEET). Ce taux est de 29,3% parmi l’ensemble des jeunes au niveau national, 13% parmi les hommes et 46% parmi les femmes, un taux environ 3,5 fois plus important que celui des hommes. Par région, le taux des NEETs varie entre 20,6% au niveau de la région d’Eddakhla-Oued Eddahab (7,5% parmi les hommes et 46,7% parmi les femmes) et 34,4% au niveau de la région de l’Oriental (16,8% parmi les hommes et 53,6% parmi les femmes).  </w:t>
      </w:r>
    </w:p>
    <w:p w:rsidR="00042E47" w:rsidRPr="004852AF" w:rsidRDefault="00042E47" w:rsidP="00042E47">
      <w:pPr>
        <w:bidi w:val="0"/>
        <w:spacing w:line="259" w:lineRule="auto"/>
        <w:ind w:left="116" w:right="76"/>
        <w:jc w:val="both"/>
        <w:rPr>
          <w:rFonts w:cs="Times New Roman"/>
          <w:sz w:val="24"/>
          <w:szCs w:val="24"/>
        </w:rPr>
      </w:pPr>
    </w:p>
    <w:p w:rsidR="00042E47" w:rsidRPr="004852AF" w:rsidRDefault="00AD4B85" w:rsidP="00AD4B85">
      <w:pPr>
        <w:bidi w:val="0"/>
        <w:spacing w:line="259" w:lineRule="auto"/>
        <w:ind w:left="116" w:right="76"/>
        <w:jc w:val="center"/>
        <w:rPr>
          <w:rFonts w:ascii="Book Antiqua" w:hAnsi="Book Antiqua" w:cs="Times New Roman"/>
          <w:b/>
          <w:bCs/>
          <w:sz w:val="22"/>
          <w:szCs w:val="22"/>
        </w:rPr>
      </w:pPr>
      <w:r w:rsidRPr="004852AF">
        <w:rPr>
          <w:rFonts w:ascii="Book Antiqua" w:hAnsi="Book Antiqua" w:cs="Times New Roman"/>
          <w:b/>
          <w:bCs/>
          <w:noProof w:val="0"/>
          <w:sz w:val="22"/>
          <w:szCs w:val="22"/>
        </w:rPr>
        <w:t xml:space="preserve">Graphique </w:t>
      </w:r>
      <w:r w:rsidR="00042E47" w:rsidRPr="004852AF">
        <w:rPr>
          <w:rFonts w:ascii="Book Antiqua" w:hAnsi="Book Antiqua" w:cs="Times New Roman"/>
          <w:b/>
          <w:bCs/>
          <w:noProof w:val="0"/>
          <w:sz w:val="22"/>
          <w:szCs w:val="22"/>
        </w:rPr>
        <w:t>1 :</w:t>
      </w:r>
      <w:r w:rsidR="00042E47" w:rsidRPr="004852AF">
        <w:rPr>
          <w:rFonts w:ascii="Book Antiqua" w:hAnsi="Book Antiqua" w:cs="Times New Roman"/>
          <w:b/>
          <w:bCs/>
          <w:noProof w:val="0"/>
          <w:sz w:val="24"/>
          <w:szCs w:val="24"/>
        </w:rPr>
        <w:t xml:space="preserve"> </w:t>
      </w:r>
      <w:r w:rsidR="00042E47" w:rsidRPr="004852AF">
        <w:rPr>
          <w:rFonts w:ascii="Book Antiqua" w:hAnsi="Book Antiqua" w:cs="Times New Roman"/>
          <w:b/>
          <w:bCs/>
          <w:sz w:val="22"/>
          <w:szCs w:val="22"/>
        </w:rPr>
        <w:t>Taux des NEETs selon le sexe et la région en 2017 (en%)</w:t>
      </w:r>
    </w:p>
    <w:p w:rsidR="00042E47" w:rsidRPr="004852AF" w:rsidRDefault="00042E47" w:rsidP="00042E47">
      <w:pPr>
        <w:bidi w:val="0"/>
        <w:spacing w:line="259" w:lineRule="auto"/>
        <w:ind w:left="116" w:right="76"/>
        <w:jc w:val="both"/>
        <w:rPr>
          <w:rFonts w:cs="Times New Roman"/>
          <w:sz w:val="12"/>
          <w:szCs w:val="12"/>
        </w:rPr>
      </w:pPr>
    </w:p>
    <w:p w:rsidR="00042E47" w:rsidRPr="004852AF" w:rsidRDefault="00042E47" w:rsidP="00042E47">
      <w:pPr>
        <w:bidi w:val="0"/>
        <w:spacing w:line="259" w:lineRule="auto"/>
        <w:ind w:left="116" w:right="76"/>
        <w:jc w:val="both"/>
        <w:rPr>
          <w:rFonts w:cs="Times New Roman"/>
          <w:sz w:val="24"/>
          <w:szCs w:val="24"/>
        </w:rPr>
      </w:pPr>
      <w:r w:rsidRPr="004852AF">
        <w:rPr>
          <w:rFonts w:cs="Times New Roman"/>
          <w:sz w:val="24"/>
          <w:szCs w:val="24"/>
        </w:rPr>
        <w:drawing>
          <wp:inline distT="0" distB="0" distL="0" distR="0">
            <wp:extent cx="5915660" cy="2360295"/>
            <wp:effectExtent l="19050" t="0" r="27940" b="1905"/>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42E47" w:rsidRPr="004852AF" w:rsidRDefault="00042E47" w:rsidP="00042E47">
      <w:pPr>
        <w:bidi w:val="0"/>
        <w:spacing w:line="259" w:lineRule="auto"/>
        <w:ind w:left="116" w:right="76"/>
        <w:jc w:val="both"/>
        <w:rPr>
          <w:rFonts w:cs="Times New Roman"/>
          <w:sz w:val="12"/>
          <w:szCs w:val="12"/>
        </w:rPr>
      </w:pPr>
    </w:p>
    <w:p w:rsidR="00042E47" w:rsidRPr="004852AF" w:rsidRDefault="00042E47" w:rsidP="0025078F">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Abstraction faite du milieu de résidence ou de la région, les taux des NEETs sont largement plus importants parmi les jeunes femmes que les jeunes hommes. Les écarts absolus les plus élevés entre ces derniers ont été relevés au niveau des régions de Drâa-Tafilalet (44 points), Béni Mellal-Khénifra (43,6 points) et de Marrakech-Safi (43,2  points  d'écart).  Les  écarts  les  plus  faibles  ont été observés au niveau de Casablanca-Settat (21,5 points) et de Laayoune-Sakia El Hamra (22,8 points).</w:t>
      </w:r>
    </w:p>
    <w:p w:rsidR="00265F93" w:rsidRPr="004852AF" w:rsidRDefault="00265F93" w:rsidP="00042E47">
      <w:pPr>
        <w:bidi w:val="0"/>
        <w:spacing w:before="19"/>
        <w:ind w:left="116" w:right="1071"/>
        <w:jc w:val="both"/>
        <w:rPr>
          <w:rFonts w:ascii="Book Antiqua" w:hAnsi="Book Antiqua" w:cs="Times New Roman"/>
          <w:color w:val="006FC0"/>
          <w:sz w:val="24"/>
          <w:szCs w:val="24"/>
        </w:rPr>
      </w:pPr>
    </w:p>
    <w:p w:rsidR="00042E47" w:rsidRPr="004852AF" w:rsidRDefault="00042E47" w:rsidP="00265F93">
      <w:pPr>
        <w:bidi w:val="0"/>
        <w:spacing w:before="19"/>
        <w:ind w:left="116" w:right="1071"/>
        <w:jc w:val="both"/>
        <w:rPr>
          <w:rFonts w:ascii="Book Antiqua" w:hAnsi="Book Antiqua"/>
          <w:sz w:val="24"/>
          <w:szCs w:val="24"/>
        </w:rPr>
      </w:pPr>
      <w:r w:rsidRPr="004852AF">
        <w:rPr>
          <w:rFonts w:ascii="Book Antiqua" w:hAnsi="Book Antiqua" w:cs="Times New Roman"/>
          <w:color w:val="006FC0"/>
          <w:sz w:val="24"/>
          <w:szCs w:val="24"/>
        </w:rPr>
        <w:lastRenderedPageBreak/>
        <w:t>Des disparités en termes de participation à l’activité entre les régions notamment parmi les femmes</w:t>
      </w:r>
    </w:p>
    <w:p w:rsidR="00042E47" w:rsidRPr="004852AF" w:rsidRDefault="00042E47" w:rsidP="00042E47">
      <w:pPr>
        <w:bidi w:val="0"/>
        <w:spacing w:line="200" w:lineRule="exact"/>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2017, le taux d’activité enregistré au niveau des régions d’Eddakhla-Oued Eddahab (71,9%), de Casablanca-Settat (50,5%), de Marrakech-Safi (48,4%) et de Rabat- Salé-Kénitra  (47,3%)  dépasse  la  moyenne  nationale  (46,7%).  La  participation  de  la population âgée de 15 ans et plus à l’activité a atteint, au niveau des autres régions, des  taux  inférieurs  à  la  moyenne  nationale  particulièrement  dans  la  région  de Laayoune-Sakia El Hamra où ce taux s’est établi à son niveau le plus bas (39,7%), suivie de près de la région de Drâa-Tafilalet (40,2%).</w:t>
      </w:r>
    </w:p>
    <w:p w:rsidR="00042E47" w:rsidRPr="004852AF" w:rsidRDefault="00042E47" w:rsidP="00042E47">
      <w:pPr>
        <w:bidi w:val="0"/>
        <w:spacing w:before="18" w:line="22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milieu urbain, le taux d’activité le plus élevé est relevé dans la région d’Eddakhla- Oued Eddahab (57,4%), dépassant la moyenne urbaine de 15 points, suivie de la région de Casablanca-Settat (45,8%). La région de Drâa-Tafilalet affiche, par contre, le concours  le  plus  faible  à  l’activité  avec  un  taux  de  35,5%,  inférieur  à  la  moyenne enregistrée en milieu urbain de 6,9 points.</w:t>
      </w:r>
    </w:p>
    <w:p w:rsidR="00042E47" w:rsidRPr="004852AF" w:rsidRDefault="00042E47" w:rsidP="00042E47">
      <w:pPr>
        <w:bidi w:val="0"/>
        <w:ind w:left="116" w:right="76"/>
        <w:jc w:val="both"/>
        <w:rPr>
          <w:rFonts w:ascii="Book Antiqua" w:hAnsi="Book Antiqua" w:cs="Times New Roman"/>
          <w:sz w:val="12"/>
          <w:szCs w:val="12"/>
        </w:rPr>
      </w:pPr>
    </w:p>
    <w:p w:rsidR="00042E47" w:rsidRPr="004852AF" w:rsidRDefault="00042E47" w:rsidP="00042E47">
      <w:pPr>
        <w:bidi w:val="0"/>
        <w:ind w:left="116" w:right="73"/>
        <w:jc w:val="both"/>
        <w:rPr>
          <w:rFonts w:ascii="Book Antiqua" w:hAnsi="Book Antiqua" w:cs="Times New Roman"/>
          <w:sz w:val="24"/>
          <w:szCs w:val="24"/>
        </w:rPr>
      </w:pPr>
      <w:r w:rsidRPr="004852AF">
        <w:rPr>
          <w:rFonts w:ascii="Book Antiqua" w:hAnsi="Book Antiqua" w:cs="Times New Roman"/>
          <w:sz w:val="24"/>
          <w:szCs w:val="24"/>
        </w:rPr>
        <w:t>En milieu rural, le taux d'activité le plus élevé est enregistré dans la région de  Casablanca-Settat avec un taux de 66,2%, dépassant la moyenne nationale relevée en milieu rural d'environ 12 points. En revanche, le taux le plus bas revient à Drâa-Tafilalet (42,7%), plus bas que la moyenne rurale de plus de 11 points.</w:t>
      </w:r>
    </w:p>
    <w:p w:rsidR="00042E47" w:rsidRPr="004852AF" w:rsidRDefault="00042E47" w:rsidP="00042E47">
      <w:pPr>
        <w:bidi w:val="0"/>
        <w:spacing w:line="298" w:lineRule="auto"/>
        <w:ind w:left="116" w:right="73"/>
        <w:jc w:val="both"/>
        <w:rPr>
          <w:sz w:val="22"/>
          <w:szCs w:val="22"/>
        </w:rPr>
      </w:pPr>
    </w:p>
    <w:p w:rsidR="00042E47" w:rsidRPr="004852AF" w:rsidRDefault="004A4441" w:rsidP="00042E47">
      <w:pPr>
        <w:autoSpaceDE w:val="0"/>
        <w:autoSpaceDN w:val="0"/>
        <w:adjustRightInd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Graphique</w:t>
      </w:r>
      <w:r w:rsidR="00042E47" w:rsidRPr="004852AF">
        <w:rPr>
          <w:rFonts w:ascii="Book Antiqua" w:hAnsi="Book Antiqua" w:cs="Times New Roman"/>
          <w:b/>
          <w:bCs/>
          <w:noProof w:val="0"/>
          <w:sz w:val="22"/>
          <w:szCs w:val="22"/>
        </w:rPr>
        <w:t xml:space="preserve"> 2 : Taux d’activité selon les régions et le milieu de résidence (en%)</w:t>
      </w:r>
    </w:p>
    <w:p w:rsidR="00042E47" w:rsidRPr="004852AF" w:rsidRDefault="00042E47" w:rsidP="00042E47">
      <w:pPr>
        <w:autoSpaceDE w:val="0"/>
        <w:autoSpaceDN w:val="0"/>
        <w:adjustRightInd w:val="0"/>
        <w:jc w:val="center"/>
        <w:rPr>
          <w:rFonts w:ascii="Book Antiqua" w:hAnsi="Book Antiqua" w:cs="Times New Roman"/>
          <w:b/>
          <w:bCs/>
          <w:noProof w:val="0"/>
          <w:sz w:val="8"/>
          <w:szCs w:val="8"/>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drawing>
          <wp:inline distT="0" distB="0" distL="0" distR="0">
            <wp:extent cx="5916295" cy="2622550"/>
            <wp:effectExtent l="19050" t="0" r="27305" b="635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2E47" w:rsidRPr="004852AF" w:rsidRDefault="00042E47" w:rsidP="00042E47">
      <w:pPr>
        <w:bidi w:val="0"/>
        <w:spacing w:before="3" w:line="240" w:lineRule="exact"/>
        <w:rPr>
          <w:sz w:val="12"/>
          <w:szCs w:val="12"/>
        </w:rPr>
      </w:pPr>
    </w:p>
    <w:p w:rsidR="00042E47" w:rsidRPr="004852AF" w:rsidRDefault="00042E47" w:rsidP="00042E47">
      <w:pPr>
        <w:bidi w:val="0"/>
        <w:ind w:left="116" w:right="75"/>
        <w:jc w:val="both"/>
        <w:rPr>
          <w:rFonts w:ascii="Book Antiqua" w:hAnsi="Book Antiqua" w:cs="Times New Roman"/>
          <w:sz w:val="24"/>
          <w:szCs w:val="24"/>
        </w:rPr>
      </w:pPr>
      <w:r w:rsidRPr="004852AF">
        <w:rPr>
          <w:rFonts w:ascii="Book Antiqua" w:hAnsi="Book Antiqua" w:cs="Times New Roman"/>
          <w:sz w:val="24"/>
          <w:szCs w:val="24"/>
        </w:rPr>
        <w:t>Il est à souligner qu’au niveau de toutes les régions, l’accès au marché du travail est plus important en milieu rural qu’en milieu urbain. Les écarts absolus les plus élevés des taux d’activité entre les deux milieux ont été relevés au niveau de la région de Casablanca-Settat (20,5 points), de Béni Mellal-Khénifra (17,4 points) et  de  Fès-Meknès  (16,1  points  d'écart).  Les  écarts  les  plus  faibles  ont été observés au niveau de Souss-Massa (3,9 points) et de Drâa-Tafilalet (7,2 points).</w:t>
      </w:r>
    </w:p>
    <w:p w:rsidR="00042E47" w:rsidRPr="004852AF" w:rsidRDefault="00042E47" w:rsidP="00042E47">
      <w:pPr>
        <w:bidi w:val="0"/>
        <w:ind w:left="116" w:right="75"/>
        <w:jc w:val="both"/>
        <w:rPr>
          <w:rFonts w:ascii="Book Antiqua" w:hAnsi="Book Antiqua" w:cs="Times New Roman"/>
          <w:sz w:val="12"/>
          <w:szCs w:val="12"/>
        </w:rPr>
      </w:pPr>
    </w:p>
    <w:p w:rsidR="003C41FD" w:rsidRPr="004852AF" w:rsidRDefault="003C41FD" w:rsidP="00042E47">
      <w:pPr>
        <w:bidi w:val="0"/>
        <w:ind w:left="116" w:right="75"/>
        <w:jc w:val="both"/>
        <w:rPr>
          <w:rFonts w:ascii="Book Antiqua" w:hAnsi="Book Antiqua" w:cs="Times New Roman"/>
          <w:sz w:val="24"/>
          <w:szCs w:val="24"/>
        </w:rPr>
      </w:pPr>
    </w:p>
    <w:p w:rsidR="003C41FD" w:rsidRPr="004852AF" w:rsidRDefault="003C41FD" w:rsidP="003C41FD">
      <w:pPr>
        <w:bidi w:val="0"/>
        <w:ind w:left="116" w:right="75"/>
        <w:jc w:val="both"/>
        <w:rPr>
          <w:rFonts w:ascii="Book Antiqua" w:hAnsi="Book Antiqua" w:cs="Times New Roman"/>
          <w:sz w:val="24"/>
          <w:szCs w:val="24"/>
        </w:rPr>
      </w:pPr>
    </w:p>
    <w:p w:rsidR="00042E47" w:rsidRPr="004852AF" w:rsidRDefault="00042E47" w:rsidP="003C41FD">
      <w:pPr>
        <w:bidi w:val="0"/>
        <w:ind w:left="116" w:right="75"/>
        <w:jc w:val="both"/>
        <w:rPr>
          <w:rFonts w:ascii="Book Antiqua" w:hAnsi="Book Antiqua" w:cs="Times New Roman"/>
          <w:sz w:val="24"/>
          <w:szCs w:val="24"/>
        </w:rPr>
      </w:pPr>
      <w:r w:rsidRPr="004852AF">
        <w:rPr>
          <w:rFonts w:ascii="Book Antiqua" w:hAnsi="Book Antiqua" w:cs="Times New Roman"/>
          <w:sz w:val="24"/>
          <w:szCs w:val="24"/>
        </w:rPr>
        <w:lastRenderedPageBreak/>
        <w:t>D’un autre côté, il importe de rappeler que l’un des principaux problèmes auquel</w:t>
      </w:r>
      <w:r w:rsidR="003C41FD" w:rsidRPr="004852AF">
        <w:rPr>
          <w:rFonts w:ascii="Book Antiqua" w:hAnsi="Book Antiqua" w:cs="Times New Roman"/>
          <w:sz w:val="24"/>
          <w:szCs w:val="24"/>
        </w:rPr>
        <w:t>s</w:t>
      </w:r>
      <w:r w:rsidRPr="004852AF">
        <w:rPr>
          <w:rFonts w:ascii="Book Antiqua" w:hAnsi="Book Antiqua" w:cs="Times New Roman"/>
          <w:sz w:val="24"/>
          <w:szCs w:val="24"/>
        </w:rPr>
        <w:t xml:space="preserve"> est confrontée l’économie marocaine est la faible participation des femmes au marché du travail. En 2017, et à titre d’illustration, leur taux d’activité n’a atteint que 22,4% (18,4% en milieu urbain et 29,6% en milieu rural) contre 71,6% parmi les hommes (67,6% en milieu urbain et 78,4% en milieu rural), soit 49,2 points de différence. </w:t>
      </w:r>
    </w:p>
    <w:p w:rsidR="00042E47" w:rsidRPr="004852AF" w:rsidRDefault="00042E47" w:rsidP="00042E47">
      <w:pPr>
        <w:bidi w:val="0"/>
        <w:ind w:left="116" w:right="75"/>
        <w:jc w:val="both"/>
        <w:rPr>
          <w:rFonts w:ascii="Book Antiqua" w:hAnsi="Book Antiqua" w:cs="Times New Roman"/>
          <w:sz w:val="12"/>
          <w:szCs w:val="12"/>
        </w:rPr>
      </w:pPr>
    </w:p>
    <w:p w:rsidR="00042E47" w:rsidRPr="004852AF" w:rsidRDefault="00042E47" w:rsidP="00042E47">
      <w:pPr>
        <w:bidi w:val="0"/>
        <w:ind w:left="116" w:right="75"/>
        <w:jc w:val="both"/>
        <w:rPr>
          <w:rFonts w:ascii="Book Antiqua" w:hAnsi="Book Antiqua" w:cs="Times New Roman"/>
          <w:sz w:val="24"/>
          <w:szCs w:val="24"/>
        </w:rPr>
      </w:pPr>
      <w:r w:rsidRPr="004852AF">
        <w:rPr>
          <w:rFonts w:ascii="Book Antiqua" w:hAnsi="Book Antiqua" w:cs="Times New Roman"/>
          <w:sz w:val="24"/>
          <w:szCs w:val="24"/>
        </w:rPr>
        <w:t>Cet écart a été presque de même niveau aussi bien en milieu urbain (49,2 points de pourcentage) qu’en milieu rural (48,7 points). En revanche, au plan régional, ce dernier a enregistré de grandes disparités entre les différentes régions du Royaume, attestant d’une notable diversité dans leur caractéristiques socio-professionnelles. Cet écart a varié entre 44,3 points au niveau de la région de Casablanca-Settat (respectivement 28,4% et 71,7%) et 56,7 points dans la région de l’Oriental (16,5% et 73,6%</w:t>
      </w:r>
      <w:r w:rsidR="003C41FD" w:rsidRPr="004852AF">
        <w:rPr>
          <w:rFonts w:ascii="Book Antiqua" w:hAnsi="Book Antiqua" w:cs="Times New Roman"/>
          <w:sz w:val="24"/>
          <w:szCs w:val="24"/>
        </w:rPr>
        <w:t xml:space="preserve"> respectivement</w:t>
      </w:r>
      <w:r w:rsidRPr="004852AF">
        <w:rPr>
          <w:rFonts w:ascii="Book Antiqua" w:hAnsi="Book Antiqua" w:cs="Times New Roman"/>
          <w:sz w:val="24"/>
          <w:szCs w:val="24"/>
        </w:rPr>
        <w:t>).</w:t>
      </w:r>
    </w:p>
    <w:p w:rsidR="00042E47" w:rsidRPr="004852AF" w:rsidRDefault="00042E47" w:rsidP="00042E47">
      <w:pPr>
        <w:bidi w:val="0"/>
        <w:spacing w:line="298" w:lineRule="auto"/>
        <w:ind w:left="116" w:right="75"/>
        <w:jc w:val="both"/>
        <w:rPr>
          <w:rFonts w:cs="Times New Roman"/>
          <w:sz w:val="12"/>
          <w:szCs w:val="12"/>
        </w:rPr>
      </w:pPr>
    </w:p>
    <w:p w:rsidR="00042E47" w:rsidRPr="004852AF" w:rsidRDefault="00042E47" w:rsidP="0067159E">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t xml:space="preserve">Cinq régions </w:t>
      </w:r>
      <w:r w:rsidR="0067159E" w:rsidRPr="004852AF">
        <w:rPr>
          <w:rFonts w:ascii="Book Antiqua" w:hAnsi="Book Antiqua" w:cs="Times New Roman"/>
          <w:color w:val="006FC0"/>
          <w:sz w:val="24"/>
          <w:szCs w:val="24"/>
        </w:rPr>
        <w:t xml:space="preserve">regroupent pres des trois quarts de l’emploi </w:t>
      </w:r>
    </w:p>
    <w:p w:rsidR="00042E47" w:rsidRPr="004852AF" w:rsidRDefault="00042E47" w:rsidP="00042E47">
      <w:pPr>
        <w:bidi w:val="0"/>
        <w:spacing w:before="10" w:line="100" w:lineRule="exact"/>
        <w:rPr>
          <w:sz w:val="10"/>
          <w:szCs w:val="10"/>
        </w:rPr>
      </w:pPr>
    </w:p>
    <w:p w:rsidR="00042E47" w:rsidRPr="004852AF" w:rsidRDefault="00042E47" w:rsidP="00042E47">
      <w:pPr>
        <w:bidi w:val="0"/>
        <w:spacing w:line="200" w:lineRule="exact"/>
        <w:rPr>
          <w:sz w:val="12"/>
          <w:szCs w:val="12"/>
        </w:rPr>
      </w:pPr>
    </w:p>
    <w:p w:rsidR="00042E47" w:rsidRPr="004852AF" w:rsidRDefault="00042E47" w:rsidP="00042E47">
      <w:pPr>
        <w:bidi w:val="0"/>
        <w:ind w:left="116" w:right="74"/>
        <w:jc w:val="both"/>
        <w:rPr>
          <w:rFonts w:ascii="Book Antiqua" w:hAnsi="Book Antiqua"/>
          <w:sz w:val="24"/>
          <w:szCs w:val="24"/>
        </w:rPr>
      </w:pPr>
      <w:r w:rsidRPr="004852AF">
        <w:rPr>
          <w:rFonts w:ascii="Book Antiqua" w:hAnsi="Book Antiqua" w:cs="Times New Roman"/>
          <w:sz w:val="24"/>
          <w:szCs w:val="24"/>
        </w:rPr>
        <w:t>En 2017, cinq régions se sont accaparées près des trois quarts (72,4%) de l’effectif global de l’emploi. Il s’agit de Casablanca-Settat (22,4%), de Marrakech-Safi (13,8%), de Rabat-Salé-Kénitra (13,5%), de Fès-Meknès (11,6%) et de Tanger-Tétouan-Al Hoceima  (11,1%). Les autres régions affichent  des parts variant entre 0,8% pour Eddakhla-Oued Eddahab et 7,3% pour Béni Mellal-Khénifra.</w:t>
      </w:r>
    </w:p>
    <w:p w:rsidR="00042E47" w:rsidRPr="004852AF" w:rsidRDefault="00042E47" w:rsidP="00042E47">
      <w:pPr>
        <w:bidi w:val="0"/>
        <w:ind w:left="116" w:right="73"/>
        <w:jc w:val="both"/>
        <w:rPr>
          <w:rFonts w:ascii="Book Antiqua" w:hAnsi="Book Antiqua" w:cs="Times New Roman"/>
          <w:sz w:val="12"/>
          <w:szCs w:val="12"/>
        </w:rPr>
      </w:pPr>
    </w:p>
    <w:p w:rsidR="00042E47" w:rsidRPr="004852AF" w:rsidRDefault="00042E47" w:rsidP="00042E47">
      <w:pPr>
        <w:bidi w:val="0"/>
        <w:ind w:left="116" w:right="73"/>
        <w:jc w:val="both"/>
        <w:rPr>
          <w:rFonts w:ascii="Book Antiqua" w:hAnsi="Book Antiqua" w:cs="Times New Roman"/>
          <w:sz w:val="24"/>
          <w:szCs w:val="24"/>
        </w:rPr>
      </w:pPr>
      <w:r w:rsidRPr="004852AF">
        <w:rPr>
          <w:rFonts w:ascii="Book Antiqua" w:hAnsi="Book Antiqua" w:cs="Times New Roman"/>
          <w:sz w:val="24"/>
          <w:szCs w:val="24"/>
        </w:rPr>
        <w:t>Sur un autre plan,  le poids en  termes  d’emploi  au  niveau  des  régions d’Eddakhla- Oued Eddahab, de Casablanca-Settat, de Tanger-Tetouan-Al Hoceima et de Marrakech–Safi est plus important que le poids démographique, avec un écart relatif plus prononcé pour la région d’Eddakhla-Oued Eddahab (1,6 fois).</w:t>
      </w:r>
    </w:p>
    <w:p w:rsidR="00042E47" w:rsidRPr="004852AF" w:rsidRDefault="00042E47" w:rsidP="00042E47">
      <w:pPr>
        <w:bidi w:val="0"/>
        <w:spacing w:before="61"/>
        <w:ind w:left="116" w:right="76"/>
        <w:jc w:val="both"/>
        <w:rPr>
          <w:rFonts w:ascii="Book Antiqua" w:hAnsi="Book Antiqua" w:cs="Times New Roman"/>
          <w:sz w:val="12"/>
          <w:szCs w:val="12"/>
        </w:rPr>
      </w:pPr>
    </w:p>
    <w:p w:rsidR="00042E47" w:rsidRPr="004852AF" w:rsidRDefault="00042E47" w:rsidP="00042E47">
      <w:pPr>
        <w:bidi w:val="0"/>
        <w:spacing w:before="61"/>
        <w:ind w:left="116" w:right="76"/>
        <w:jc w:val="both"/>
        <w:rPr>
          <w:rFonts w:ascii="Book Antiqua" w:hAnsi="Book Antiqua" w:cs="Times New Roman"/>
          <w:sz w:val="24"/>
          <w:szCs w:val="24"/>
        </w:rPr>
      </w:pPr>
      <w:r w:rsidRPr="004852AF">
        <w:rPr>
          <w:rFonts w:ascii="Book Antiqua" w:hAnsi="Book Antiqua" w:cs="Times New Roman"/>
          <w:sz w:val="24"/>
          <w:szCs w:val="24"/>
        </w:rPr>
        <w:t>Pour le reste des régions, la part dans le volume global de l’emploi reste inférieure à celle dans la population totale. La région de Laâyoune-Sakia El Hamra connaît l’emploi relativement le moins représenté en comparaison avec son poids démographique (0,8 fois).</w:t>
      </w:r>
    </w:p>
    <w:p w:rsidR="00042E47" w:rsidRPr="004852AF" w:rsidRDefault="004A4441" w:rsidP="00042E47">
      <w:pPr>
        <w:autoSpaceDE w:val="0"/>
        <w:autoSpaceDN w:val="0"/>
        <w:bidi w:val="0"/>
        <w:adjustRightInd w:val="0"/>
        <w:jc w:val="center"/>
        <w:rPr>
          <w:rFonts w:ascii="Book Antiqua" w:hAnsi="Book Antiqua" w:cs="Arial"/>
          <w:b/>
          <w:bCs/>
          <w:sz w:val="22"/>
          <w:szCs w:val="22"/>
        </w:rPr>
      </w:pPr>
      <w:r w:rsidRPr="004852AF">
        <w:rPr>
          <w:rFonts w:ascii="Book Antiqua" w:hAnsi="Book Antiqua" w:cs="Times New Roman"/>
          <w:b/>
          <w:bCs/>
          <w:noProof w:val="0"/>
          <w:sz w:val="22"/>
          <w:szCs w:val="22"/>
        </w:rPr>
        <w:t>Graphique</w:t>
      </w:r>
      <w:r w:rsidR="00042E47" w:rsidRPr="004852AF">
        <w:rPr>
          <w:rFonts w:ascii="Book Antiqua" w:hAnsi="Book Antiqua" w:cs="Times New Roman"/>
          <w:b/>
          <w:bCs/>
          <w:noProof w:val="0"/>
          <w:sz w:val="22"/>
          <w:szCs w:val="22"/>
        </w:rPr>
        <w:t xml:space="preserve"> 3 : </w:t>
      </w:r>
      <w:r w:rsidR="00042E47" w:rsidRPr="004852AF">
        <w:rPr>
          <w:rFonts w:ascii="Book Antiqua" w:hAnsi="Book Antiqua" w:cs="Arial"/>
          <w:b/>
          <w:bCs/>
          <w:sz w:val="22"/>
          <w:szCs w:val="22"/>
        </w:rPr>
        <w:t xml:space="preserve">Poids dans le volume global de l'emploi et </w:t>
      </w:r>
    </w:p>
    <w:p w:rsidR="00042E47" w:rsidRPr="004852AF" w:rsidRDefault="00042E47" w:rsidP="00042E47">
      <w:pPr>
        <w:autoSpaceDE w:val="0"/>
        <w:autoSpaceDN w:val="0"/>
        <w:bidi w:val="0"/>
        <w:adjustRightInd w:val="0"/>
        <w:jc w:val="center"/>
        <w:rPr>
          <w:rFonts w:ascii="Book Antiqua" w:hAnsi="Book Antiqua" w:cs="Arial"/>
          <w:b/>
          <w:bCs/>
          <w:sz w:val="22"/>
          <w:szCs w:val="22"/>
        </w:rPr>
      </w:pPr>
      <w:r w:rsidRPr="004852AF">
        <w:rPr>
          <w:rFonts w:ascii="Book Antiqua" w:hAnsi="Book Antiqua" w:cs="Arial"/>
          <w:b/>
          <w:bCs/>
          <w:sz w:val="22"/>
          <w:szCs w:val="22"/>
        </w:rPr>
        <w:t>poids démographique par région (en%)</w:t>
      </w:r>
    </w:p>
    <w:p w:rsidR="00042E47" w:rsidRPr="004852AF" w:rsidRDefault="00042E47" w:rsidP="00042E47">
      <w:pPr>
        <w:autoSpaceDE w:val="0"/>
        <w:autoSpaceDN w:val="0"/>
        <w:bidi w:val="0"/>
        <w:adjustRightInd w:val="0"/>
        <w:spacing w:before="240" w:after="240" w:line="276" w:lineRule="auto"/>
        <w:jc w:val="center"/>
        <w:rPr>
          <w:rFonts w:ascii="Book Antiqua" w:hAnsi="Book Antiqua" w:cs="Arial"/>
          <w:sz w:val="24"/>
          <w:szCs w:val="24"/>
        </w:rPr>
      </w:pPr>
      <w:r w:rsidRPr="004852AF">
        <w:rPr>
          <w:rFonts w:ascii="Book Antiqua" w:hAnsi="Book Antiqua" w:cs="Arial"/>
          <w:sz w:val="24"/>
          <w:szCs w:val="24"/>
        </w:rPr>
        <w:drawing>
          <wp:inline distT="0" distB="0" distL="0" distR="0">
            <wp:extent cx="6186170" cy="2362200"/>
            <wp:effectExtent l="19050" t="0" r="24130" b="0"/>
            <wp:docPr id="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2E47" w:rsidRPr="004852AF" w:rsidRDefault="00042E47" w:rsidP="003C41FD">
      <w:pPr>
        <w:bidi w:val="0"/>
        <w:spacing w:before="240" w:after="80"/>
        <w:jc w:val="both"/>
        <w:rPr>
          <w:rFonts w:ascii="Book Antiqua" w:hAnsi="Book Antiqua" w:cs="Times New Roman"/>
          <w:noProof w:val="0"/>
          <w:sz w:val="24"/>
          <w:szCs w:val="24"/>
        </w:rPr>
      </w:pPr>
      <w:r w:rsidRPr="004852AF">
        <w:rPr>
          <w:rFonts w:ascii="Book Antiqua" w:hAnsi="Book Antiqua" w:cs="Times New Roman"/>
          <w:sz w:val="24"/>
          <w:szCs w:val="24"/>
        </w:rPr>
        <w:lastRenderedPageBreak/>
        <w:t xml:space="preserve">Au delà du volume de l’emploi et de sa répartition non proportionnelle au poids démographique des régions, les données de l’enquête ont fait ressortir également d’importantes disparités entre les différentes régions du Royaume par rapport à d’autres dimensions notamment, la qualification des actifs occupés, la </w:t>
      </w:r>
      <w:r w:rsidRPr="004852AF">
        <w:rPr>
          <w:rFonts w:ascii="Book Antiqua" w:hAnsi="Book Antiqua" w:cs="Times New Roman"/>
          <w:noProof w:val="0"/>
          <w:sz w:val="24"/>
          <w:szCs w:val="24"/>
        </w:rPr>
        <w:t xml:space="preserve">précarité d’insertion dans le marché du travail, </w:t>
      </w:r>
      <w:r w:rsidRPr="004852AF">
        <w:rPr>
          <w:rFonts w:ascii="Book Antiqua" w:hAnsi="Book Antiqua" w:cs="Times New Roman"/>
          <w:sz w:val="24"/>
          <w:szCs w:val="24"/>
        </w:rPr>
        <w:t xml:space="preserve"> l’organisation de l’environnement du travail, la protection sociale que procure ce dernier, ainsi que de la </w:t>
      </w:r>
      <w:r w:rsidRPr="004852AF">
        <w:rPr>
          <w:rFonts w:ascii="Book Antiqua" w:hAnsi="Book Antiqua" w:cs="Times New Roman"/>
          <w:noProof w:val="0"/>
          <w:sz w:val="24"/>
          <w:szCs w:val="24"/>
        </w:rPr>
        <w:t xml:space="preserve">perception des actifs occupés </w:t>
      </w:r>
      <w:r w:rsidR="003C41FD" w:rsidRPr="004852AF">
        <w:rPr>
          <w:rFonts w:ascii="Book Antiqua" w:hAnsi="Book Antiqua" w:cs="Times New Roman"/>
          <w:noProof w:val="0"/>
          <w:sz w:val="24"/>
          <w:szCs w:val="24"/>
        </w:rPr>
        <w:t>de</w:t>
      </w:r>
      <w:r w:rsidRPr="004852AF">
        <w:rPr>
          <w:rFonts w:ascii="Book Antiqua" w:hAnsi="Book Antiqua" w:cs="Times New Roman"/>
          <w:noProof w:val="0"/>
          <w:sz w:val="24"/>
          <w:szCs w:val="24"/>
        </w:rPr>
        <w:t xml:space="preserve"> leur emploi. C’est ainsi, qu’en 2017 : </w:t>
      </w:r>
    </w:p>
    <w:p w:rsidR="00042E47" w:rsidRPr="004852AF" w:rsidRDefault="00042E47" w:rsidP="00042E47">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La proportion des actifs occupés n’ayant aucun diplôme a varié entre 44,2% dans la région de Laayoune-Sakia El Hamra et 66,5% à Béni Mellal-Khénifra. Elle a dépassé la moyenne nationale (58,6%) au niveau de 7 régions.</w:t>
      </w:r>
    </w:p>
    <w:p w:rsidR="00042E47" w:rsidRPr="004852AF" w:rsidRDefault="00042E47" w:rsidP="00042E47">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La part de l’emploi non rémunéré, composé principalement des aides familiales, est passée de 4,9% dans les régions du sud à 25,4% dans la région de Béni Mellal-Khénifra. Elle a enregistré des niveaux plus importants que la moyenne nationale (16,8%) au niveau de 5 régions et elle a été environ 11 fois plus importante en milieu rural (33,5%) qu’en milieu urbain (3%).</w:t>
      </w:r>
    </w:p>
    <w:p w:rsidR="00042E47" w:rsidRPr="004852AF" w:rsidRDefault="00042E47" w:rsidP="004E5E21">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Parmi l’ensemble des actifs occupés, 8,7% ont exercé des emplois précaires, principalement en tant qu’occasionnels ou saisonniers. Cette proportion est passée de 4,5% dans la région de Casablanca-Settat à 15% au niveau de la région de Marrakech-Safi, pour culminer à 19% dans celle de Souss-Massa.</w:t>
      </w:r>
    </w:p>
    <w:p w:rsidR="00042E47" w:rsidRPr="004852AF" w:rsidRDefault="00042E47" w:rsidP="00042E47">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 xml:space="preserve">La part des salariés ayant exercé un emploi sans contrat de travail est passée de 52,9% dans la région de Rabat-Salé-Kénitra à 81,6% dans l’Oriental, variant dans une fourchette d’environ 30 points. Cette part a dépassé le niveau national (64,8%) au niveau de 7 régions du Royaume.  </w:t>
      </w:r>
    </w:p>
    <w:p w:rsidR="00042E47" w:rsidRPr="004852AF" w:rsidRDefault="00042E47" w:rsidP="003C41FD">
      <w:pPr>
        <w:pStyle w:val="Paragraphedeliste"/>
        <w:numPr>
          <w:ilvl w:val="0"/>
          <w:numId w:val="31"/>
        </w:numPr>
        <w:spacing w:before="240" w:after="240" w:line="240" w:lineRule="auto"/>
        <w:jc w:val="both"/>
        <w:rPr>
          <w:rFonts w:ascii="Book Antiqua" w:hAnsi="Book Antiqua" w:cs="Times New Roman"/>
          <w:sz w:val="24"/>
          <w:szCs w:val="24"/>
          <w:lang w:val="fr-FR"/>
        </w:rPr>
      </w:pPr>
      <w:r w:rsidRPr="004852AF">
        <w:rPr>
          <w:rFonts w:ascii="Book Antiqua" w:hAnsi="Book Antiqua" w:cs="Times New Roman"/>
          <w:sz w:val="24"/>
          <w:szCs w:val="24"/>
          <w:lang w:val="fr-FR"/>
        </w:rPr>
        <w:t>Avec 40 points de différence, la part des salariés ne bénéfici</w:t>
      </w:r>
      <w:r w:rsidR="003C41FD" w:rsidRPr="004852AF">
        <w:rPr>
          <w:rFonts w:ascii="Book Antiqua" w:hAnsi="Book Antiqua" w:cs="Times New Roman"/>
          <w:sz w:val="24"/>
          <w:szCs w:val="24"/>
          <w:lang w:val="fr-FR"/>
        </w:rPr>
        <w:t>a</w:t>
      </w:r>
      <w:r w:rsidRPr="004852AF">
        <w:rPr>
          <w:rFonts w:ascii="Book Antiqua" w:hAnsi="Book Antiqua" w:cs="Times New Roman"/>
          <w:sz w:val="24"/>
          <w:szCs w:val="24"/>
          <w:lang w:val="fr-FR"/>
        </w:rPr>
        <w:t>nt pas d’une couverture médicale passe de 32,2% dans la région d’Eddakhla-Oued Eddahab à 72,2% dans la région de Fès-Meknès. Elle est en dessus de la moyenne nationale (58,1%) au niveau de la moitié des régions.</w:t>
      </w:r>
    </w:p>
    <w:p w:rsidR="00042E47" w:rsidRPr="004852AF" w:rsidRDefault="003C41FD" w:rsidP="003C41FD">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t xml:space="preserve">6 </w:t>
      </w:r>
      <w:r w:rsidR="00042E47" w:rsidRPr="004852AF">
        <w:rPr>
          <w:rFonts w:ascii="Book Antiqua" w:hAnsi="Book Antiqua" w:cs="Times New Roman"/>
          <w:color w:val="006FC0"/>
          <w:sz w:val="24"/>
          <w:szCs w:val="24"/>
        </w:rPr>
        <w:t xml:space="preserve">régions </w:t>
      </w:r>
      <w:r w:rsidRPr="004852AF">
        <w:rPr>
          <w:rFonts w:ascii="Book Antiqua" w:hAnsi="Book Antiqua" w:cs="Times New Roman"/>
          <w:color w:val="006FC0"/>
          <w:sz w:val="24"/>
          <w:szCs w:val="24"/>
        </w:rPr>
        <w:t xml:space="preserve">sur 12 </w:t>
      </w:r>
      <w:r w:rsidR="00042E47" w:rsidRPr="004852AF">
        <w:rPr>
          <w:rFonts w:ascii="Book Antiqua" w:hAnsi="Book Antiqua" w:cs="Times New Roman"/>
          <w:color w:val="006FC0"/>
          <w:sz w:val="24"/>
          <w:szCs w:val="24"/>
        </w:rPr>
        <w:t>abritent la quasi-totalité des chômeurs</w:t>
      </w:r>
    </w:p>
    <w:p w:rsidR="00042E47" w:rsidRPr="004852AF" w:rsidRDefault="00042E47" w:rsidP="00042E47">
      <w:pPr>
        <w:bidi w:val="0"/>
        <w:spacing w:before="8" w:line="100" w:lineRule="exact"/>
        <w:rPr>
          <w:sz w:val="10"/>
          <w:szCs w:val="10"/>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2017, plus de huit chômeurs sur dix (82,8%) sont concentrés dans six régions du</w:t>
      </w: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Royaume.  La  région  de Casablanca-Settat  vient  en  première  position  avec 25,1%, suivie de Rabat-Salé-Kénitra (17,5%), l’Oriental (11,3%), Fès-Meknès (10,8%), Marrakech-Safi (9,4%) et, enfin, Tanger-Tétouan-Al Hoceima (8,7%).</w:t>
      </w:r>
    </w:p>
    <w:p w:rsidR="00042E47" w:rsidRPr="004852AF" w:rsidRDefault="00042E47" w:rsidP="00042E47">
      <w:pPr>
        <w:bidi w:val="0"/>
        <w:spacing w:before="2" w:line="240" w:lineRule="exact"/>
        <w:jc w:val="both"/>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D’un  autre  côté,  cinq  régions  du  Royaume  se  caractérisent  par  le  fait  que  leur contribution   au   volume   du   chômage   est   plus   importante   que   leur   poids démographique  en  termes  de  population  en  âge  d’activité.  La  région  de  l’Oriental vient en premier lieu avec un écart absolu de 4,3 points, suivie de Casablanca-Settat avec 4,2 points, Rabat-Salé-Kénitra (3,8 points) et dans des degrés moindres, les  régions  de  Guelmim-Oued  Noun  (0,7  point)  et  d’Eddakhla-Oued  Eddahab  (0,1 point).</w:t>
      </w:r>
    </w:p>
    <w:p w:rsidR="00042E47" w:rsidRPr="004852AF" w:rsidRDefault="00042E47" w:rsidP="00042E47">
      <w:pPr>
        <w:bidi w:val="0"/>
        <w:ind w:left="116" w:right="76"/>
        <w:jc w:val="both"/>
        <w:rPr>
          <w:rFonts w:ascii="Book Antiqua" w:hAnsi="Book Antiqua" w:cs="Times New Roman"/>
          <w:sz w:val="24"/>
          <w:szCs w:val="24"/>
        </w:rPr>
      </w:pPr>
    </w:p>
    <w:p w:rsidR="0051130A" w:rsidRPr="004852AF" w:rsidRDefault="0051130A" w:rsidP="00042E47">
      <w:pPr>
        <w:bidi w:val="0"/>
        <w:ind w:left="116" w:right="76"/>
        <w:jc w:val="both"/>
        <w:rPr>
          <w:rFonts w:ascii="Book Antiqua" w:hAnsi="Book Antiqua" w:cs="Times New Roman"/>
          <w:sz w:val="24"/>
          <w:szCs w:val="24"/>
        </w:rPr>
      </w:pPr>
    </w:p>
    <w:p w:rsidR="0051130A" w:rsidRPr="004852AF" w:rsidRDefault="0051130A" w:rsidP="0051130A">
      <w:pPr>
        <w:bidi w:val="0"/>
        <w:ind w:left="116" w:right="76"/>
        <w:jc w:val="both"/>
        <w:rPr>
          <w:rFonts w:ascii="Book Antiqua" w:hAnsi="Book Antiqua" w:cs="Times New Roman"/>
          <w:sz w:val="24"/>
          <w:szCs w:val="24"/>
        </w:rPr>
      </w:pPr>
    </w:p>
    <w:p w:rsidR="00042E47" w:rsidRPr="004852AF" w:rsidRDefault="00042E47" w:rsidP="0051130A">
      <w:pPr>
        <w:bidi w:val="0"/>
        <w:ind w:left="116" w:right="76"/>
        <w:jc w:val="both"/>
        <w:rPr>
          <w:rFonts w:ascii="Book Antiqua" w:hAnsi="Book Antiqua" w:cs="Times New Roman"/>
          <w:sz w:val="24"/>
          <w:szCs w:val="24"/>
        </w:rPr>
      </w:pPr>
      <w:r w:rsidRPr="004852AF">
        <w:rPr>
          <w:rFonts w:ascii="Book Antiqua" w:hAnsi="Book Antiqua" w:cs="Times New Roman"/>
          <w:sz w:val="24"/>
          <w:szCs w:val="24"/>
        </w:rPr>
        <w:lastRenderedPageBreak/>
        <w:t>En revanche, au niveau des autres régions, la contribution au volume du chômage est en deçà du poids démographique. A ce titre, il convient de remarquer que Marrakech- Safi constitue la région la plus favorable en termes d’accès au marché du travail où la contribution  au  volume  du  chômage  est   inférieure  à  son  poids démographique de  3,4  points  .</w:t>
      </w:r>
    </w:p>
    <w:p w:rsidR="00042E47" w:rsidRPr="004852AF" w:rsidRDefault="00042E47" w:rsidP="00042E47">
      <w:pPr>
        <w:bidi w:val="0"/>
        <w:spacing w:line="298" w:lineRule="auto"/>
        <w:ind w:left="116" w:right="71"/>
        <w:jc w:val="both"/>
        <w:rPr>
          <w:rFonts w:cs="Times New Roman"/>
          <w:sz w:val="12"/>
          <w:szCs w:val="12"/>
        </w:rPr>
      </w:pPr>
    </w:p>
    <w:p w:rsidR="00042E47" w:rsidRPr="004852AF" w:rsidRDefault="004A4441" w:rsidP="00AD4B85">
      <w:pPr>
        <w:autoSpaceDE w:val="0"/>
        <w:autoSpaceDN w:val="0"/>
        <w:bidi w:val="0"/>
        <w:adjustRightInd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 xml:space="preserve">Graphique </w:t>
      </w:r>
      <w:r w:rsidR="00042E47" w:rsidRPr="004852AF">
        <w:rPr>
          <w:rFonts w:ascii="Book Antiqua" w:hAnsi="Book Antiqua" w:cs="Times New Roman"/>
          <w:b/>
          <w:bCs/>
          <w:noProof w:val="0"/>
          <w:sz w:val="22"/>
          <w:szCs w:val="22"/>
        </w:rPr>
        <w:t>4 : Contribution au volume global de chômage et</w:t>
      </w:r>
    </w:p>
    <w:p w:rsidR="00042E47" w:rsidRPr="004852AF" w:rsidRDefault="00042E47" w:rsidP="00AD4B85">
      <w:pPr>
        <w:autoSpaceDE w:val="0"/>
        <w:autoSpaceDN w:val="0"/>
        <w:bidi w:val="0"/>
        <w:adjustRightInd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poids démographique selon les régions</w:t>
      </w:r>
    </w:p>
    <w:p w:rsidR="00042E47" w:rsidRPr="004852AF" w:rsidRDefault="00042E47" w:rsidP="00042E47">
      <w:pPr>
        <w:pStyle w:val="Corpsdetexte2"/>
        <w:bidi w:val="0"/>
        <w:spacing w:before="240" w:after="240" w:line="276" w:lineRule="auto"/>
        <w:rPr>
          <w:rFonts w:ascii="Book Antiqua" w:hAnsi="Book Antiqua"/>
          <w:sz w:val="24"/>
          <w:szCs w:val="24"/>
        </w:rPr>
      </w:pPr>
      <w:r w:rsidRPr="004852AF">
        <w:rPr>
          <w:rFonts w:ascii="Book Antiqua" w:hAnsi="Book Antiqua"/>
          <w:noProof/>
          <w:sz w:val="24"/>
          <w:szCs w:val="24"/>
        </w:rPr>
        <w:drawing>
          <wp:inline distT="0" distB="0" distL="0" distR="0">
            <wp:extent cx="5308600" cy="1943100"/>
            <wp:effectExtent l="19050" t="0" r="2540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2E47" w:rsidRPr="004852AF" w:rsidRDefault="00042E47" w:rsidP="00042E47">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t>Les régions de Guelmim-Oued Noun et de l’Oriental viennent en premier lieu avec environ un actif sur six en situation de chômage</w:t>
      </w:r>
    </w:p>
    <w:p w:rsidR="00042E47" w:rsidRPr="004852AF" w:rsidRDefault="00042E47" w:rsidP="00042E47">
      <w:pPr>
        <w:bidi w:val="0"/>
        <w:spacing w:before="7" w:line="100" w:lineRule="exact"/>
        <w:rPr>
          <w:sz w:val="10"/>
          <w:szCs w:val="10"/>
        </w:rPr>
      </w:pPr>
    </w:p>
    <w:p w:rsidR="00042E47" w:rsidRPr="004852AF" w:rsidRDefault="00042E47" w:rsidP="00042E47">
      <w:pPr>
        <w:bidi w:val="0"/>
        <w:spacing w:line="200" w:lineRule="exact"/>
        <w:rPr>
          <w:sz w:val="12"/>
          <w:szCs w:val="12"/>
        </w:rPr>
      </w:pPr>
    </w:p>
    <w:p w:rsidR="00042E47" w:rsidRPr="004852AF" w:rsidRDefault="00042E47" w:rsidP="00C3747D">
      <w:pPr>
        <w:bidi w:val="0"/>
        <w:ind w:left="116" w:right="76"/>
        <w:jc w:val="both"/>
        <w:rPr>
          <w:rFonts w:ascii="Book Antiqua" w:hAnsi="Book Antiqua" w:cs="Times New Roman"/>
          <w:sz w:val="24"/>
          <w:szCs w:val="24"/>
        </w:rPr>
      </w:pPr>
      <w:r w:rsidRPr="004852AF">
        <w:rPr>
          <w:rFonts w:ascii="Book Antiqua" w:hAnsi="Book Antiqua" w:cs="Times New Roman"/>
          <w:sz w:val="24"/>
          <w:szCs w:val="24"/>
        </w:rPr>
        <w:t>Les niveaux de chômage les plus élevés sont observés dans les régions de Guelmim- Oued Noun (17,7%) et de l’Oriental (17,1%), ce qui correspond à environ 7</w:t>
      </w:r>
      <w:r w:rsidR="00C3747D" w:rsidRPr="004852AF">
        <w:rPr>
          <w:rFonts w:ascii="Book Antiqua" w:hAnsi="Book Antiqua" w:cs="Times New Roman"/>
          <w:sz w:val="24"/>
          <w:szCs w:val="24"/>
        </w:rPr>
        <w:t xml:space="preserve"> points </w:t>
      </w:r>
      <w:r w:rsidRPr="004852AF">
        <w:rPr>
          <w:rFonts w:ascii="Book Antiqua" w:hAnsi="Book Antiqua" w:cs="Times New Roman"/>
          <w:sz w:val="24"/>
          <w:szCs w:val="24"/>
        </w:rPr>
        <w:t>plus que le niveau national (10,2%). Dépassant cette moyenne, trois autres régions affichent des niveaux de chômage de sévérité moindre à savoir Rabat-Salé-Kenitra (12,9%), Laayoune- Sakia El Hamra (12,3%) et Casablanca-Settat (11,3%).</w:t>
      </w:r>
    </w:p>
    <w:p w:rsidR="00042E47" w:rsidRPr="004852AF" w:rsidRDefault="00042E47" w:rsidP="00042E47">
      <w:pPr>
        <w:bidi w:val="0"/>
        <w:spacing w:before="4" w:line="24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revanche, c'est au niveau de la région de Drâa-Tafilalet que le taux de chômage est à son niveau le plus bas (6%), presque similaire à celui de la région de Béni Mellal- Khénifra (6,1%). La région de Drâa-Tafilalet est, faut-il le rappeler, celle qui présente le deuxième taux d'activité le plus faible avec 40,2%.</w:t>
      </w:r>
    </w:p>
    <w:p w:rsidR="00042E47" w:rsidRPr="004852AF" w:rsidRDefault="00042E47" w:rsidP="00042E47">
      <w:pPr>
        <w:bidi w:val="0"/>
        <w:ind w:left="116" w:right="76"/>
        <w:jc w:val="both"/>
        <w:rPr>
          <w:rFonts w:ascii="Book Antiqua" w:hAnsi="Book Antiqua" w:cs="Times New Roman"/>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Dans les villes, la situation du chômage est encore plus préoccupante dans les deux régions de Guelmim-Oued Noun (22,9%) et de l’Oriental (20,5%) où plus d’un actif sur cinq est chômeur. Ce ratio atteint son niveau le plus bas avec 10,5% dans le milieu urbain de la région de  Drâa-Tafilet.</w:t>
      </w:r>
    </w:p>
    <w:p w:rsidR="00042E47" w:rsidRPr="004852AF" w:rsidRDefault="00042E47" w:rsidP="00042E47">
      <w:pPr>
        <w:bidi w:val="0"/>
        <w:spacing w:line="298" w:lineRule="auto"/>
        <w:ind w:left="116" w:right="78"/>
        <w:jc w:val="both"/>
        <w:rPr>
          <w:rFonts w:cs="Times New Roman"/>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Avec  un  taux  de  11%,  le fléau du  chômage  se pose avec plus d’accuité dans  le  milieu  rural  de  la  région de l’Oriental, atteignant environ trois fois le taux de chômage enregistré dans le milieu rural national (4%). La région de Guelmim-Oued Noun se place en deuxième position en termes de prévalence du chômage dans le monde rural avec 8,8%. Au niveau des autres régions, le taux de chômage rural ne s’écarte pas beaucoup de la moyenne nationale à l’exception de la région de Béni Mellal-Khénifra qui représente le niveau le plus faible (2%).</w:t>
      </w:r>
    </w:p>
    <w:p w:rsidR="00C3747D" w:rsidRPr="004852AF" w:rsidRDefault="00C3747D" w:rsidP="00C3747D">
      <w:pPr>
        <w:bidi w:val="0"/>
        <w:spacing w:before="19"/>
        <w:ind w:left="116" w:right="1071"/>
        <w:jc w:val="both"/>
        <w:rPr>
          <w:rFonts w:ascii="Book Antiqua" w:hAnsi="Book Antiqua" w:cs="Times New Roman"/>
          <w:color w:val="006FC0"/>
          <w:sz w:val="24"/>
          <w:szCs w:val="24"/>
        </w:rPr>
      </w:pPr>
    </w:p>
    <w:p w:rsidR="00042E47" w:rsidRPr="004852AF" w:rsidRDefault="00042E47" w:rsidP="00C3747D">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lastRenderedPageBreak/>
        <w:t xml:space="preserve">Le chômage des jeunes est très préoccupant dans </w:t>
      </w:r>
      <w:r w:rsidR="00C3747D" w:rsidRPr="004852AF">
        <w:rPr>
          <w:rFonts w:ascii="Book Antiqua" w:hAnsi="Book Antiqua" w:cs="Times New Roman"/>
          <w:color w:val="006FC0"/>
          <w:sz w:val="24"/>
          <w:szCs w:val="24"/>
        </w:rPr>
        <w:t xml:space="preserve">toutes </w:t>
      </w:r>
      <w:r w:rsidRPr="004852AF">
        <w:rPr>
          <w:rFonts w:ascii="Book Antiqua" w:hAnsi="Book Antiqua" w:cs="Times New Roman"/>
          <w:color w:val="006FC0"/>
          <w:sz w:val="24"/>
          <w:szCs w:val="24"/>
        </w:rPr>
        <w:t>l</w:t>
      </w:r>
      <w:r w:rsidR="00C3747D" w:rsidRPr="004852AF">
        <w:rPr>
          <w:rFonts w:ascii="Book Antiqua" w:hAnsi="Book Antiqua" w:cs="Times New Roman"/>
          <w:color w:val="006FC0"/>
          <w:sz w:val="24"/>
          <w:szCs w:val="24"/>
        </w:rPr>
        <w:t xml:space="preserve">es </w:t>
      </w:r>
      <w:r w:rsidRPr="004852AF">
        <w:rPr>
          <w:rFonts w:ascii="Book Antiqua" w:hAnsi="Book Antiqua" w:cs="Times New Roman"/>
          <w:color w:val="006FC0"/>
          <w:sz w:val="24"/>
          <w:szCs w:val="24"/>
        </w:rPr>
        <w:t>région</w:t>
      </w:r>
      <w:r w:rsidR="00C3747D" w:rsidRPr="004852AF">
        <w:rPr>
          <w:rFonts w:ascii="Book Antiqua" w:hAnsi="Book Antiqua" w:cs="Times New Roman"/>
          <w:color w:val="006FC0"/>
          <w:sz w:val="24"/>
          <w:szCs w:val="24"/>
        </w:rPr>
        <w:t>s</w:t>
      </w:r>
      <w:r w:rsidRPr="004852AF">
        <w:rPr>
          <w:rFonts w:ascii="Book Antiqua" w:hAnsi="Book Antiqua" w:cs="Times New Roman"/>
          <w:color w:val="006FC0"/>
          <w:sz w:val="24"/>
          <w:szCs w:val="24"/>
        </w:rPr>
        <w:t xml:space="preserve"> </w:t>
      </w:r>
    </w:p>
    <w:p w:rsidR="00042E47" w:rsidRPr="004852AF" w:rsidRDefault="00042E47" w:rsidP="00042E47">
      <w:pPr>
        <w:bidi w:val="0"/>
        <w:spacing w:line="200" w:lineRule="exact"/>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Au niveau national, les jeunes âgés de 15 à 29 ans représentent la catégorie la plus touchée par le chômage avec un taux de 23,5%, 20,5% pour les hommes et 32,1% pour les femmes. La prévalence du chômage diminue au fur et à mesure que l’âge croît; le taux correspondant s’établit à 7,1% pour les 30-44 ans et 2,5% pour les 45 ans et plus.</w:t>
      </w:r>
    </w:p>
    <w:p w:rsidR="00042E47" w:rsidRPr="004852AF" w:rsidRDefault="00042E47" w:rsidP="00042E47">
      <w:pPr>
        <w:bidi w:val="0"/>
        <w:spacing w:before="3" w:line="240" w:lineRule="exact"/>
        <w:rPr>
          <w:sz w:val="24"/>
          <w:szCs w:val="24"/>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Au niveau régional, la manifestation du chômage la plus forte est enregistrée parmi les jeunes âgés de 15 à 29 ans dans la région de Guelmim-Oued Noun  avec un taux de 43,9%. La situation du chômage des jeunes dans cette région est encore plus alarmante parmi  les femmes  âgées de 15 à 29 ans avec un taux de 59,4%. Ce dernier taux, avec celui enregistré dans la région de  Laayoune-Sakia El Hamra (61,7%), représentent les taux de chômage les plus élevés et expriment le fait que six femmes âgés de 15 à 29 ans sur dix sont en situation de chômage dans ces deux régions.</w:t>
      </w:r>
    </w:p>
    <w:p w:rsidR="00042E47" w:rsidRPr="004852AF" w:rsidRDefault="00042E47" w:rsidP="00042E47">
      <w:pPr>
        <w:bidi w:val="0"/>
        <w:spacing w:before="20" w:line="22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En revanche, la prévalence la plus faible du chômage des jeunes est observée dans la région d’Eddakhla_Oued Eddahab avec un taux de 9,4%, suivie de Drâa- Tafilalet ( 14,7%)</w:t>
      </w:r>
    </w:p>
    <w:p w:rsidR="00042E47" w:rsidRPr="004852AF" w:rsidRDefault="00042E47" w:rsidP="00042E47">
      <w:pPr>
        <w:bidi w:val="0"/>
        <w:spacing w:before="2" w:line="24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Concernant la catégorie des 45 ans et plus, le chômage atteint 7,1% dans la région de l’Oriental, ce qui correspond à environ trois fois le niveau national (2,5%). Ce taux devient quasiment nul au niveau des deux régions de Laayoune-Sakia El Hamra et de Tanger-Tetouan-Al Hoceima.</w:t>
      </w:r>
    </w:p>
    <w:p w:rsidR="00042E47" w:rsidRPr="004852AF" w:rsidRDefault="00042E47" w:rsidP="00042E47">
      <w:pPr>
        <w:bidi w:val="0"/>
        <w:spacing w:line="298" w:lineRule="auto"/>
        <w:ind w:left="116" w:right="74"/>
        <w:jc w:val="both"/>
        <w:rPr>
          <w:rFonts w:cs="Times New Roman"/>
          <w:sz w:val="12"/>
          <w:szCs w:val="12"/>
        </w:rPr>
      </w:pPr>
    </w:p>
    <w:p w:rsidR="00042E47" w:rsidRPr="004852AF" w:rsidRDefault="00471CC8" w:rsidP="00471CC8">
      <w:pPr>
        <w:bidi w:val="0"/>
        <w:spacing w:before="19"/>
        <w:ind w:left="116" w:right="1071"/>
        <w:jc w:val="both"/>
        <w:rPr>
          <w:rFonts w:ascii="Book Antiqua" w:hAnsi="Book Antiqua" w:cs="Times New Roman"/>
          <w:color w:val="006FC0"/>
          <w:sz w:val="24"/>
          <w:szCs w:val="24"/>
        </w:rPr>
      </w:pPr>
      <w:r>
        <w:rPr>
          <w:rFonts w:ascii="Book Antiqua" w:hAnsi="Book Antiqua" w:cs="Times New Roman"/>
          <w:color w:val="006FC0"/>
          <w:sz w:val="24"/>
          <w:szCs w:val="24"/>
        </w:rPr>
        <w:t>L</w:t>
      </w:r>
      <w:r w:rsidR="00C3747D" w:rsidRPr="004852AF">
        <w:rPr>
          <w:rFonts w:ascii="Book Antiqua" w:hAnsi="Book Antiqua" w:cs="Times New Roman"/>
          <w:color w:val="006FC0"/>
          <w:sz w:val="24"/>
          <w:szCs w:val="24"/>
        </w:rPr>
        <w:t>es</w:t>
      </w:r>
      <w:r w:rsidR="00042E47" w:rsidRPr="004852AF">
        <w:rPr>
          <w:rFonts w:ascii="Book Antiqua" w:hAnsi="Book Antiqua" w:cs="Times New Roman"/>
          <w:color w:val="006FC0"/>
          <w:sz w:val="24"/>
          <w:szCs w:val="24"/>
        </w:rPr>
        <w:t xml:space="preserve"> femmes ayant un diplôme de niveau supérieur sont </w:t>
      </w:r>
      <w:r w:rsidR="00C3747D" w:rsidRPr="004852AF">
        <w:rPr>
          <w:rFonts w:ascii="Book Antiqua" w:hAnsi="Book Antiqua" w:cs="Times New Roman"/>
          <w:color w:val="006FC0"/>
          <w:sz w:val="24"/>
          <w:szCs w:val="24"/>
        </w:rPr>
        <w:t xml:space="preserve">les plus touchées par le </w:t>
      </w:r>
      <w:r w:rsidR="00042E47" w:rsidRPr="004852AF">
        <w:rPr>
          <w:rFonts w:ascii="Book Antiqua" w:hAnsi="Book Antiqua" w:cs="Times New Roman"/>
          <w:color w:val="006FC0"/>
          <w:sz w:val="24"/>
          <w:szCs w:val="24"/>
        </w:rPr>
        <w:t xml:space="preserve"> chômage</w:t>
      </w:r>
      <w:r w:rsidR="00C3747D" w:rsidRPr="004852AF">
        <w:rPr>
          <w:rFonts w:ascii="Book Antiqua" w:hAnsi="Book Antiqua" w:cs="Times New Roman"/>
          <w:color w:val="006FC0"/>
          <w:sz w:val="24"/>
          <w:szCs w:val="24"/>
        </w:rPr>
        <w:t xml:space="preserve"> : un constat relevé </w:t>
      </w:r>
      <w:r w:rsidR="00042E47" w:rsidRPr="004852AF">
        <w:rPr>
          <w:rFonts w:ascii="Book Antiqua" w:hAnsi="Book Antiqua" w:cs="Times New Roman"/>
          <w:color w:val="006FC0"/>
          <w:sz w:val="24"/>
          <w:szCs w:val="24"/>
        </w:rPr>
        <w:t xml:space="preserve">dans </w:t>
      </w:r>
      <w:r w:rsidR="00C3747D" w:rsidRPr="004852AF">
        <w:rPr>
          <w:rFonts w:ascii="Book Antiqua" w:hAnsi="Book Antiqua" w:cs="Times New Roman"/>
          <w:color w:val="006FC0"/>
          <w:sz w:val="24"/>
          <w:szCs w:val="24"/>
        </w:rPr>
        <w:t>toutes les r</w:t>
      </w:r>
      <w:r w:rsidR="00042E47" w:rsidRPr="004852AF">
        <w:rPr>
          <w:rFonts w:ascii="Book Antiqua" w:hAnsi="Book Antiqua" w:cs="Times New Roman"/>
          <w:color w:val="006FC0"/>
          <w:sz w:val="24"/>
          <w:szCs w:val="24"/>
        </w:rPr>
        <w:t>égion</w:t>
      </w:r>
      <w:r w:rsidR="00C3747D" w:rsidRPr="004852AF">
        <w:rPr>
          <w:rFonts w:ascii="Book Antiqua" w:hAnsi="Book Antiqua" w:cs="Times New Roman"/>
          <w:color w:val="006FC0"/>
          <w:sz w:val="24"/>
          <w:szCs w:val="24"/>
        </w:rPr>
        <w:t>s</w:t>
      </w:r>
    </w:p>
    <w:p w:rsidR="00C3747D" w:rsidRPr="004852AF" w:rsidRDefault="00C3747D" w:rsidP="00C3747D">
      <w:pPr>
        <w:bidi w:val="0"/>
        <w:spacing w:before="19"/>
        <w:ind w:left="116" w:right="1071"/>
        <w:jc w:val="both"/>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Abstraction  faite  du  niveau  géographique,  le  chômage  croit  avec  l’amélioration  du niveau  d’éducation  et  de  formation.  En  effet,  le  taux  de  chômage  passe,  au  niveau national, de 3,8% parmi les sans diplômes à 15% parmi les diplômés de niveau moyen et à 23,3% parmi les diplômés de niveau supérieur. Cette situation s’aggrave au niveau de la région de Guelmim-Oued Noun pour atteindre des taux de 5,8%, de  24,8% et  de 41,3% auprès des trois catégories respectives.</w:t>
      </w:r>
    </w:p>
    <w:p w:rsidR="00042E47" w:rsidRPr="004852AF" w:rsidRDefault="00042E47" w:rsidP="00042E47">
      <w:pPr>
        <w:bidi w:val="0"/>
        <w:spacing w:line="200" w:lineRule="exact"/>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La région de Guelmim-Oued Noun reste celle qui détient les taux de chômage les plus élevés pour les deux catégories des diplômés de niveau moyen et de niveau supérieur au moment où la région de l’Oriental enregistre le taux de chômage le plus haut pour la catégorie des sans diplômes (10,8%).</w:t>
      </w:r>
    </w:p>
    <w:p w:rsidR="00042E47" w:rsidRPr="004852AF" w:rsidRDefault="00042E47" w:rsidP="00042E47">
      <w:pPr>
        <w:bidi w:val="0"/>
        <w:spacing w:before="3" w:line="240" w:lineRule="exact"/>
        <w:rPr>
          <w:sz w:val="12"/>
          <w:szCs w:val="12"/>
        </w:rPr>
      </w:pPr>
    </w:p>
    <w:p w:rsidR="00042E47"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Les prévalences du chômage les plus faibles sont enregistrées au niveau de la région de Béni Mellal-Khénifra aussi bien pour la catégorie des sans diplômes (1,6%) que pour celle des diplômés de niveau moyen (8,7%). De son côté, la région de Drâa-Tafilalet se caractérise par la présence relative la moins forte des  chômeurs ayant des diplômes de niveau supérieur avec un taux de chômage de 15,1%.</w:t>
      </w:r>
    </w:p>
    <w:p w:rsidR="00042E47" w:rsidRPr="004852AF" w:rsidRDefault="007E12C3" w:rsidP="007E12C3">
      <w:pPr>
        <w:bidi w:val="0"/>
        <w:ind w:left="116" w:right="76"/>
        <w:jc w:val="both"/>
        <w:rPr>
          <w:rFonts w:ascii="Book Antiqua" w:hAnsi="Book Antiqua" w:cs="Times New Roman"/>
          <w:sz w:val="24"/>
          <w:szCs w:val="24"/>
        </w:rPr>
      </w:pPr>
      <w:r w:rsidRPr="004852AF">
        <w:rPr>
          <w:rFonts w:ascii="Book Antiqua" w:hAnsi="Book Antiqua" w:cs="Times New Roman"/>
          <w:sz w:val="24"/>
          <w:szCs w:val="24"/>
        </w:rPr>
        <w:t xml:space="preserve">Aussi bien </w:t>
      </w:r>
      <w:r w:rsidR="00042E47" w:rsidRPr="004852AF">
        <w:rPr>
          <w:rFonts w:ascii="Book Antiqua" w:hAnsi="Book Antiqua" w:cs="Times New Roman"/>
          <w:sz w:val="24"/>
          <w:szCs w:val="24"/>
        </w:rPr>
        <w:t xml:space="preserve">au niveau national </w:t>
      </w:r>
      <w:r w:rsidRPr="004852AF">
        <w:rPr>
          <w:rFonts w:ascii="Book Antiqua" w:hAnsi="Book Antiqua" w:cs="Times New Roman"/>
          <w:sz w:val="24"/>
          <w:szCs w:val="24"/>
        </w:rPr>
        <w:t xml:space="preserve">que </w:t>
      </w:r>
      <w:r w:rsidR="00042E47" w:rsidRPr="004852AF">
        <w:rPr>
          <w:rFonts w:ascii="Book Antiqua" w:hAnsi="Book Antiqua" w:cs="Times New Roman"/>
          <w:sz w:val="24"/>
          <w:szCs w:val="24"/>
        </w:rPr>
        <w:t xml:space="preserve">régional, le taux de chômage des femmes détenteurs d’un diplôme de niveau supérieur demeure largement supérieur à celui des hommes de cette catégorie. Avec un écart relatif de l’ordre de 1,8 fois au niveau national , il est le </w:t>
      </w:r>
      <w:r w:rsidR="00042E47" w:rsidRPr="004852AF">
        <w:rPr>
          <w:rFonts w:ascii="Book Antiqua" w:hAnsi="Book Antiqua" w:cs="Times New Roman"/>
          <w:sz w:val="24"/>
          <w:szCs w:val="24"/>
        </w:rPr>
        <w:lastRenderedPageBreak/>
        <w:t>moins fort au niveau de la région de Casablanca-Settat (1,5 fois)  et  le plus prononcé pour la région d’Eddakhla-Oued Eddahab (5,2 fois). Toutfois, c’est au niveau de la région de Guelmim-Oued Noun où l’on relève la présence relative la plus forte de chômeuses disposant d’un diplôme de niveau supérieur avec un taux de 64,1%.</w:t>
      </w:r>
    </w:p>
    <w:p w:rsidR="00042E47" w:rsidRPr="004852AF" w:rsidRDefault="00042E47" w:rsidP="00042E47">
      <w:pPr>
        <w:spacing w:line="200" w:lineRule="exact"/>
      </w:pPr>
    </w:p>
    <w:p w:rsidR="00042E47" w:rsidRPr="004852AF" w:rsidRDefault="004A4441" w:rsidP="00AD4B85">
      <w:pPr>
        <w:autoSpaceDE w:val="0"/>
        <w:autoSpaceDN w:val="0"/>
        <w:bidi w:val="0"/>
        <w:adjustRightInd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 xml:space="preserve">Graphique </w:t>
      </w:r>
      <w:r w:rsidR="00042E47" w:rsidRPr="004852AF">
        <w:rPr>
          <w:rFonts w:ascii="Book Antiqua" w:hAnsi="Book Antiqua" w:cs="Times New Roman"/>
          <w:b/>
          <w:bCs/>
          <w:noProof w:val="0"/>
          <w:sz w:val="22"/>
          <w:szCs w:val="22"/>
        </w:rPr>
        <w:t>5 : Taux de chômage des détenteurs de diplôme de niveau supérieur selon le sexe et la région (en%)</w:t>
      </w:r>
    </w:p>
    <w:p w:rsidR="00F21D73" w:rsidRPr="004852AF" w:rsidRDefault="00F21D73" w:rsidP="00F21D73">
      <w:pPr>
        <w:autoSpaceDE w:val="0"/>
        <w:autoSpaceDN w:val="0"/>
        <w:bidi w:val="0"/>
        <w:adjustRightInd w:val="0"/>
        <w:jc w:val="center"/>
        <w:rPr>
          <w:rFonts w:ascii="Book Antiqua" w:hAnsi="Book Antiqua" w:cs="Times New Roman"/>
          <w:b/>
          <w:bCs/>
          <w:noProof w:val="0"/>
          <w:sz w:val="12"/>
          <w:szCs w:val="12"/>
        </w:rPr>
      </w:pPr>
    </w:p>
    <w:p w:rsidR="00F21D73" w:rsidRPr="004852AF" w:rsidRDefault="00F21D73" w:rsidP="00F21D73">
      <w:pPr>
        <w:autoSpaceDE w:val="0"/>
        <w:autoSpaceDN w:val="0"/>
        <w:bidi w:val="0"/>
        <w:adjustRightInd w:val="0"/>
        <w:jc w:val="center"/>
        <w:rPr>
          <w:rFonts w:ascii="Book Antiqua" w:hAnsi="Book Antiqua" w:cs="Times New Roman"/>
          <w:b/>
          <w:bCs/>
          <w:noProof w:val="0"/>
          <w:sz w:val="22"/>
          <w:szCs w:val="22"/>
        </w:rPr>
      </w:pPr>
      <w:r w:rsidRPr="004852AF">
        <w:rPr>
          <w:rFonts w:ascii="Book Antiqua" w:hAnsi="Book Antiqua" w:cs="Times New Roman"/>
          <w:b/>
          <w:bCs/>
          <w:sz w:val="22"/>
          <w:szCs w:val="22"/>
        </w:rPr>
        <w:drawing>
          <wp:inline distT="0" distB="0" distL="0" distR="0">
            <wp:extent cx="5890895" cy="2571750"/>
            <wp:effectExtent l="19050" t="0" r="14605" b="0"/>
            <wp:docPr id="1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1D73" w:rsidRPr="004852AF" w:rsidRDefault="00F21D73" w:rsidP="00F21D73">
      <w:pPr>
        <w:autoSpaceDE w:val="0"/>
        <w:autoSpaceDN w:val="0"/>
        <w:bidi w:val="0"/>
        <w:adjustRightInd w:val="0"/>
        <w:jc w:val="center"/>
        <w:rPr>
          <w:rFonts w:ascii="Book Antiqua" w:hAnsi="Book Antiqua" w:cs="Times New Roman"/>
          <w:b/>
          <w:bCs/>
          <w:noProof w:val="0"/>
          <w:sz w:val="22"/>
          <w:szCs w:val="22"/>
        </w:rPr>
      </w:pPr>
    </w:p>
    <w:p w:rsidR="00042E47" w:rsidRPr="004852AF" w:rsidRDefault="00042E47" w:rsidP="00042E47">
      <w:pPr>
        <w:rPr>
          <w:sz w:val="24"/>
          <w:szCs w:val="24"/>
        </w:rPr>
      </w:pPr>
    </w:p>
    <w:p w:rsidR="00042E47" w:rsidRPr="004852AF" w:rsidRDefault="00042E47" w:rsidP="00042E47">
      <w:pPr>
        <w:bidi w:val="0"/>
        <w:spacing w:before="19"/>
        <w:ind w:left="116" w:right="1071"/>
        <w:jc w:val="both"/>
        <w:rPr>
          <w:rFonts w:ascii="Book Antiqua" w:hAnsi="Book Antiqua" w:cs="Times New Roman"/>
          <w:color w:val="006FC0"/>
          <w:sz w:val="24"/>
          <w:szCs w:val="24"/>
        </w:rPr>
      </w:pPr>
      <w:r w:rsidRPr="004852AF">
        <w:rPr>
          <w:rFonts w:ascii="Book Antiqua" w:hAnsi="Book Antiqua" w:cs="Times New Roman"/>
          <w:color w:val="006FC0"/>
          <w:sz w:val="24"/>
          <w:szCs w:val="24"/>
        </w:rPr>
        <w:t>De fortes disparités régionales en termes de sous-emploi</w:t>
      </w:r>
    </w:p>
    <w:p w:rsidR="00042E47" w:rsidRPr="004852AF" w:rsidRDefault="00042E47" w:rsidP="00042E47">
      <w:pPr>
        <w:bidi w:val="0"/>
        <w:spacing w:before="7" w:line="100" w:lineRule="exact"/>
        <w:rPr>
          <w:sz w:val="10"/>
          <w:szCs w:val="10"/>
        </w:rPr>
      </w:pPr>
    </w:p>
    <w:p w:rsidR="00042E47" w:rsidRPr="004852AF" w:rsidRDefault="00042E47" w:rsidP="00042E47">
      <w:pPr>
        <w:bidi w:val="0"/>
        <w:spacing w:line="200" w:lineRule="exact"/>
      </w:pPr>
    </w:p>
    <w:p w:rsidR="00381AD3" w:rsidRPr="004852AF" w:rsidRDefault="00042E47" w:rsidP="00042E47">
      <w:pPr>
        <w:bidi w:val="0"/>
        <w:ind w:left="116" w:right="76"/>
        <w:jc w:val="both"/>
        <w:rPr>
          <w:rFonts w:ascii="Book Antiqua" w:hAnsi="Book Antiqua" w:cs="Times New Roman"/>
          <w:sz w:val="24"/>
          <w:szCs w:val="24"/>
        </w:rPr>
      </w:pPr>
      <w:r w:rsidRPr="004852AF">
        <w:rPr>
          <w:rFonts w:ascii="Book Antiqua" w:hAnsi="Book Antiqua" w:cs="Times New Roman"/>
          <w:sz w:val="24"/>
          <w:szCs w:val="24"/>
        </w:rPr>
        <w:t xml:space="preserve">En 2017, le taux de sous- emploi dépasse la moyenne nationale (9,8%) au niveau des régions de Fès-Meknès (16,2%), de Béni Mellal-Khénifra (15,2%), de l’Oriental (12,7%) et de Tanger-Tétouan-Al Hoceima (12,4%). Au niveau des autres régions, le taux de sous-emploi atteint des niveaux inférieurs à  la moyenne nationale,  particulièrement dans la région de Guelmim-Oued Noun où ce dernier s’est établi à son niveau le plus bas (3,4%), suivie de la région de Drâa-Tafilalet (4,5%). En outre, l’écart relatif entre les deux niveaux extrêmes de ce taux, relevés dans les régions de Fès-Meknès (16,2%) et de Guelmim-Oued Noun (3,4%), est d’environ cinq fois. </w:t>
      </w:r>
    </w:p>
    <w:p w:rsidR="00381AD3" w:rsidRPr="004852AF" w:rsidRDefault="00381AD3">
      <w:pPr>
        <w:bidi w:val="0"/>
        <w:rPr>
          <w:rFonts w:ascii="Book Antiqua" w:hAnsi="Book Antiqua" w:cs="Times New Roman"/>
          <w:sz w:val="24"/>
          <w:szCs w:val="24"/>
        </w:rPr>
      </w:pPr>
      <w:r w:rsidRPr="004852AF">
        <w:rPr>
          <w:rFonts w:ascii="Book Antiqua" w:hAnsi="Book Antiqua" w:cs="Times New Roman"/>
          <w:sz w:val="24"/>
          <w:szCs w:val="24"/>
        </w:rPr>
        <w:br w:type="page"/>
      </w: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 xml:space="preserve">formation et emploi  </w:t>
      </w:r>
    </w:p>
    <w:p w:rsidR="00042E47" w:rsidRPr="004852AF" w:rsidRDefault="00042E47" w:rsidP="00042E47">
      <w:pPr>
        <w:bidi w:val="0"/>
        <w:spacing w:before="120" w:after="12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Accès difficile des diplômés de formation professionnelle au marché du travail  </w:t>
      </w:r>
    </w:p>
    <w:p w:rsidR="00042E47" w:rsidRPr="004852AF" w:rsidRDefault="00042E47" w:rsidP="00381AD3">
      <w:pPr>
        <w:autoSpaceDE w:val="0"/>
        <w:autoSpaceDN w:val="0"/>
        <w:bidi w:val="0"/>
        <w:adjustRightInd w:val="0"/>
        <w:spacing w:before="120" w:after="120"/>
        <w:jc w:val="both"/>
        <w:rPr>
          <w:rFonts w:ascii="Book Antiqua" w:hAnsi="Book Antiqua" w:cstheme="majorBidi"/>
          <w:noProof w:val="0"/>
          <w:sz w:val="24"/>
          <w:szCs w:val="24"/>
        </w:rPr>
      </w:pPr>
      <w:r w:rsidRPr="004852AF">
        <w:rPr>
          <w:rFonts w:ascii="Book Antiqua" w:hAnsi="Book Antiqua" w:cstheme="majorBidi"/>
          <w:noProof w:val="0"/>
          <w:sz w:val="24"/>
          <w:szCs w:val="24"/>
        </w:rPr>
        <w:t xml:space="preserve">Le taux de chômage des diplômés âgés de 15 ans et plus est de 17,9%. Il est plus élevé parmi les femmes (29,7%) que les hommes (14,4%), </w:t>
      </w:r>
      <w:r w:rsidR="00CE5A31" w:rsidRPr="004852AF">
        <w:rPr>
          <w:rFonts w:ascii="Book Antiqua" w:hAnsi="Book Antiqua" w:cstheme="majorBidi"/>
          <w:noProof w:val="0"/>
          <w:sz w:val="24"/>
          <w:szCs w:val="24"/>
        </w:rPr>
        <w:t xml:space="preserve">et parmi </w:t>
      </w:r>
      <w:r w:rsidRPr="004852AF">
        <w:rPr>
          <w:rFonts w:ascii="Book Antiqua" w:hAnsi="Book Antiqua" w:cstheme="majorBidi"/>
          <w:noProof w:val="0"/>
          <w:sz w:val="24"/>
          <w:szCs w:val="24"/>
        </w:rPr>
        <w:t>les citadins (19,8%) que les ruraux (11,0%).</w:t>
      </w:r>
    </w:p>
    <w:p w:rsidR="00042E47" w:rsidRPr="004852AF" w:rsidRDefault="00042E47" w:rsidP="00381AD3">
      <w:pPr>
        <w:autoSpaceDE w:val="0"/>
        <w:autoSpaceDN w:val="0"/>
        <w:bidi w:val="0"/>
        <w:adjustRightInd w:val="0"/>
        <w:spacing w:before="120" w:after="120"/>
        <w:jc w:val="both"/>
        <w:rPr>
          <w:rFonts w:ascii="Book Antiqua" w:hAnsi="Book Antiqua" w:cstheme="majorBidi"/>
          <w:noProof w:val="0"/>
          <w:sz w:val="24"/>
          <w:szCs w:val="24"/>
        </w:rPr>
      </w:pPr>
      <w:r w:rsidRPr="004852AF">
        <w:rPr>
          <w:rFonts w:ascii="Book Antiqua" w:hAnsi="Book Antiqua" w:cstheme="majorBidi"/>
          <w:noProof w:val="0"/>
          <w:sz w:val="24"/>
          <w:szCs w:val="24"/>
        </w:rPr>
        <w:t xml:space="preserve">Le taux de chômage croît avec l'élévation du niveau de diplôme, aussi bien par milieu de résidence que par sexe. Il passe de 15,0% parmi les détenteurs d'un diplôme de niveau moyen à 23,3% pour les diplômés de niveau supérieur, de 17,6% à 22,9% en milieu urbain et de 8,6% à 28,9% en milieu rural. Ce taux, passe respectivement de 13% à 17,9% parmi les hommes et de 25,8% à 33% parmi les femmes. </w:t>
      </w:r>
    </w:p>
    <w:p w:rsidR="00042E47" w:rsidRPr="004852AF" w:rsidRDefault="00AD4B85" w:rsidP="00AD4B85">
      <w:pPr>
        <w:autoSpaceDE w:val="0"/>
        <w:autoSpaceDN w:val="0"/>
        <w:bidi w:val="0"/>
        <w:adjustRightInd w:val="0"/>
        <w:spacing w:before="120" w:after="120"/>
        <w:jc w:val="center"/>
        <w:rPr>
          <w:rFonts w:ascii="Book Antiqua" w:hAnsi="Book Antiqua"/>
          <w:sz w:val="24"/>
          <w:szCs w:val="24"/>
        </w:rPr>
      </w:pPr>
      <w:r w:rsidRPr="004852AF">
        <w:rPr>
          <w:rFonts w:ascii="Book Antiqua" w:hAnsi="Book Antiqua" w:cs="Times New Roman"/>
          <w:b/>
          <w:bCs/>
          <w:noProof w:val="0"/>
          <w:sz w:val="22"/>
          <w:szCs w:val="22"/>
        </w:rPr>
        <w:t>Graphique 6 :</w:t>
      </w:r>
      <w:r w:rsidRPr="004852AF">
        <w:rPr>
          <w:rFonts w:ascii="Book Antiqua" w:hAnsi="Book Antiqua" w:cs="Times New Roman"/>
          <w:b/>
          <w:bCs/>
          <w:noProof w:val="0"/>
          <w:sz w:val="24"/>
          <w:szCs w:val="24"/>
        </w:rPr>
        <w:t xml:space="preserve"> </w:t>
      </w:r>
      <w:r w:rsidR="00042E47" w:rsidRPr="004852AF">
        <w:rPr>
          <w:rFonts w:ascii="Book Antiqua" w:hAnsi="Book Antiqua" w:cs="Times New Roman"/>
          <w:b/>
          <w:bCs/>
          <w:noProof w:val="0"/>
          <w:sz w:val="22"/>
          <w:szCs w:val="22"/>
        </w:rPr>
        <w:t>Taux de chômage des diplômés (en%)</w:t>
      </w:r>
      <w:r w:rsidR="00042E47" w:rsidRPr="004852AF">
        <w:rPr>
          <w:rFonts w:ascii="Book Antiqua" w:hAnsi="Book Antiqua"/>
          <w:sz w:val="24"/>
          <w:szCs w:val="24"/>
        </w:rPr>
        <w:drawing>
          <wp:inline distT="0" distB="0" distL="0" distR="0">
            <wp:extent cx="5111750" cy="1651000"/>
            <wp:effectExtent l="19050" t="0" r="12700" b="635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2E47" w:rsidRPr="004852AF" w:rsidRDefault="00042E47" w:rsidP="00381AD3">
      <w:pPr>
        <w:bidi w:val="0"/>
        <w:spacing w:before="120" w:after="120"/>
        <w:jc w:val="both"/>
        <w:rPr>
          <w:rFonts w:ascii="Book Antiqua" w:hAnsi="Book Antiqua"/>
          <w:sz w:val="24"/>
          <w:szCs w:val="24"/>
        </w:rPr>
      </w:pPr>
      <w:r w:rsidRPr="004852AF">
        <w:rPr>
          <w:rFonts w:ascii="Book Antiqua" w:hAnsi="Book Antiqua"/>
          <w:sz w:val="24"/>
          <w:szCs w:val="24"/>
        </w:rPr>
        <w:t>Le taux de chômage des détenteurs d'un diplôme de formation professionnelle (22,7%) est supérieur à celui de l'ensemble des diplômés âgés de 15 ans et plus (17,9%). Il est nettement plus élevé parmi les femmes (32,6%) que les hommes (18,7%) et parmi les citadins (23,0%) que les ruraux (18,5%). Le chômage  affecte beaucoup plus les jeunes âgés de 15 à 29 ans avec un taux de 42,0% (49,0% parmi les femmes et  38,3% parmi les  hommes ). Le taux de chômage est de 13,6% parmi les personnes âgées de 30 à 44 ans et de 3,3% pour celles âgées de  45 ans et plus.</w:t>
      </w:r>
    </w:p>
    <w:p w:rsidR="00042E47" w:rsidRPr="004852AF" w:rsidRDefault="00042E47" w:rsidP="009F5E3E">
      <w:pPr>
        <w:bidi w:val="0"/>
        <w:spacing w:before="120" w:after="12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7 actifs occupés sur 9 estiment qu’ils possèdent les dispositions requises pour l'emploi qu'ils exercent et 2 sur 3 </w:t>
      </w:r>
      <w:r w:rsidR="009F5E3E" w:rsidRPr="004852AF">
        <w:rPr>
          <w:rFonts w:ascii="Book Antiqua" w:hAnsi="Book Antiqua" w:cs="Times New Roman"/>
          <w:noProof w:val="0"/>
          <w:color w:val="0070C0"/>
          <w:sz w:val="24"/>
          <w:szCs w:val="24"/>
        </w:rPr>
        <w:t xml:space="preserve">jugent que </w:t>
      </w:r>
      <w:r w:rsidRPr="004852AF">
        <w:rPr>
          <w:rFonts w:ascii="Book Antiqua" w:hAnsi="Book Antiqua" w:cs="Times New Roman"/>
          <w:noProof w:val="0"/>
          <w:color w:val="0070C0"/>
          <w:sz w:val="24"/>
          <w:szCs w:val="24"/>
        </w:rPr>
        <w:t xml:space="preserve">leur formation </w:t>
      </w:r>
      <w:r w:rsidR="009F5E3E" w:rsidRPr="004852AF">
        <w:rPr>
          <w:rFonts w:ascii="Book Antiqua" w:hAnsi="Book Antiqua" w:cs="Times New Roman"/>
          <w:noProof w:val="0"/>
          <w:color w:val="0070C0"/>
          <w:sz w:val="24"/>
          <w:szCs w:val="24"/>
        </w:rPr>
        <w:t xml:space="preserve">est en adéquation avec leur </w:t>
      </w:r>
      <w:r w:rsidRPr="004852AF">
        <w:rPr>
          <w:rFonts w:ascii="Book Antiqua" w:hAnsi="Book Antiqua" w:cs="Times New Roman"/>
          <w:noProof w:val="0"/>
          <w:color w:val="0070C0"/>
          <w:sz w:val="24"/>
          <w:szCs w:val="24"/>
        </w:rPr>
        <w:t xml:space="preserve">emploi </w:t>
      </w:r>
    </w:p>
    <w:p w:rsidR="00042E47" w:rsidRPr="004852AF" w:rsidRDefault="00042E47" w:rsidP="00381AD3">
      <w:pPr>
        <w:bidi w:val="0"/>
        <w:spacing w:before="120" w:after="120"/>
        <w:jc w:val="both"/>
        <w:rPr>
          <w:rFonts w:ascii="Book Antiqua" w:hAnsi="Book Antiqua"/>
          <w:sz w:val="24"/>
          <w:szCs w:val="24"/>
        </w:rPr>
      </w:pPr>
      <w:r w:rsidRPr="004852AF">
        <w:rPr>
          <w:rFonts w:ascii="Book Antiqua" w:hAnsi="Book Antiqua"/>
          <w:sz w:val="24"/>
          <w:szCs w:val="24"/>
        </w:rPr>
        <w:t>Pour mesurer le degré d'adéquation entre le niveau de qualification et l'emploi exercé, l'enquête a adopté une approche basée sur le relevé, à travers des questions directes, des perceptions des actifs occupés par rapport à deux dimensions: la première (dite adéquation verticale) concerne l'adéquation entre le niveau de qualification (niveau de formation et l’expérience professionnelle) et l'emploi exercé. La seconde (dite adéquation horizontale) consiste, quant à elle, à évaluer le degré de correspondance entre le domaine de formation et les exigences de l'emploi exercé.</w:t>
      </w:r>
    </w:p>
    <w:p w:rsidR="00042E47" w:rsidRPr="004852AF" w:rsidRDefault="00042E47" w:rsidP="0082182A">
      <w:pPr>
        <w:bidi w:val="0"/>
        <w:spacing w:before="120" w:after="120"/>
        <w:jc w:val="both"/>
        <w:rPr>
          <w:rFonts w:ascii="Book Antiqua" w:hAnsi="Book Antiqua"/>
          <w:sz w:val="24"/>
          <w:szCs w:val="24"/>
        </w:rPr>
      </w:pPr>
      <w:r w:rsidRPr="004852AF">
        <w:rPr>
          <w:rFonts w:ascii="Book Antiqua" w:hAnsi="Book Antiqua"/>
          <w:sz w:val="24"/>
          <w:szCs w:val="24"/>
        </w:rPr>
        <w:t xml:space="preserve">Près de 7 actifs occupés âgés de 15 ans et plus sur 9 (77,6%) considèrent qu'ils disposent des compétences requises pour exercer l'emploi qu'ils occupent, abstraction faite qu’ils aient reçus une formation académique ou </w:t>
      </w:r>
      <w:r w:rsidR="0082182A" w:rsidRPr="004852AF">
        <w:rPr>
          <w:rFonts w:ascii="Book Antiqua" w:hAnsi="Book Antiqua"/>
          <w:sz w:val="24"/>
          <w:szCs w:val="24"/>
        </w:rPr>
        <w:t>pas</w:t>
      </w:r>
      <w:r w:rsidRPr="004852AF">
        <w:rPr>
          <w:rFonts w:ascii="Book Antiqua" w:hAnsi="Book Antiqua"/>
          <w:sz w:val="24"/>
          <w:szCs w:val="24"/>
        </w:rPr>
        <w:t xml:space="preserve"> (76,9% pour les hommes et 79,8% pour les femmes), 11,9% estiment que la qualification dont ils disposent dépasse les compétences requises par leur travail, alors que, pour 8,6% d'entre eux, leurs compétences sont en deçà des exigences de l'emploi qu'ils occupent. </w:t>
      </w:r>
    </w:p>
    <w:p w:rsidR="00042E47" w:rsidRPr="004852AF" w:rsidRDefault="0082182A" w:rsidP="0082182A">
      <w:pPr>
        <w:bidi w:val="0"/>
        <w:spacing w:before="120" w:after="120"/>
        <w:jc w:val="both"/>
        <w:rPr>
          <w:rFonts w:ascii="Book Antiqua" w:hAnsi="Book Antiqua"/>
          <w:sz w:val="24"/>
          <w:szCs w:val="24"/>
        </w:rPr>
      </w:pPr>
      <w:r w:rsidRPr="004852AF">
        <w:rPr>
          <w:rFonts w:ascii="Book Antiqua" w:hAnsi="Book Antiqua"/>
          <w:sz w:val="24"/>
          <w:szCs w:val="24"/>
        </w:rPr>
        <w:lastRenderedPageBreak/>
        <w:t>Par ailleurs</w:t>
      </w:r>
      <w:r w:rsidR="00042E47" w:rsidRPr="004852AF">
        <w:rPr>
          <w:rFonts w:ascii="Book Antiqua" w:hAnsi="Book Antiqua"/>
          <w:sz w:val="24"/>
          <w:szCs w:val="24"/>
        </w:rPr>
        <w:t>, 63,4% des actifs occupés âgés de 15 ans et plus disposant d’une formation académique</w:t>
      </w:r>
      <w:r w:rsidR="00042E47" w:rsidRPr="004852AF">
        <w:rPr>
          <w:rFonts w:ascii="Book Antiqua" w:hAnsi="Book Antiqua"/>
          <w:b/>
          <w:bCs/>
          <w:sz w:val="24"/>
          <w:szCs w:val="24"/>
          <w:vertAlign w:val="superscript"/>
        </w:rPr>
        <w:footnoteReference w:id="7"/>
      </w:r>
      <w:r w:rsidR="00042E47" w:rsidRPr="004852AF">
        <w:rPr>
          <w:rFonts w:ascii="Book Antiqua" w:hAnsi="Book Antiqua"/>
          <w:sz w:val="24"/>
          <w:szCs w:val="24"/>
        </w:rPr>
        <w:t xml:space="preserve"> estiment que le type de diplôme qu'ils détiennent est adéquat avec la nature du travail exercé. Ce constat est établi par les femmes plus que les hommes avec des proportions respectives de 65,4% et de 62,5% et par les citadins (64,9%) </w:t>
      </w:r>
      <w:r w:rsidRPr="004852AF">
        <w:rPr>
          <w:rFonts w:ascii="Book Antiqua" w:hAnsi="Book Antiqua"/>
          <w:sz w:val="24"/>
          <w:szCs w:val="24"/>
        </w:rPr>
        <w:t xml:space="preserve">beaucoup </w:t>
      </w:r>
      <w:r w:rsidR="00042E47" w:rsidRPr="004852AF">
        <w:rPr>
          <w:rFonts w:ascii="Book Antiqua" w:hAnsi="Book Antiqua"/>
          <w:sz w:val="24"/>
          <w:szCs w:val="24"/>
        </w:rPr>
        <w:t xml:space="preserve">plus que les ruraux (45,1%). </w:t>
      </w:r>
    </w:p>
    <w:p w:rsidR="00042E47" w:rsidRPr="004852AF" w:rsidRDefault="00042E47" w:rsidP="00381AD3">
      <w:pPr>
        <w:bidi w:val="0"/>
        <w:spacing w:before="120" w:after="120"/>
        <w:jc w:val="both"/>
        <w:rPr>
          <w:rFonts w:ascii="Book Antiqua" w:hAnsi="Book Antiqua"/>
          <w:sz w:val="24"/>
          <w:szCs w:val="24"/>
        </w:rPr>
      </w:pPr>
      <w:r w:rsidRPr="004852AF">
        <w:rPr>
          <w:rFonts w:ascii="Book Antiqua" w:hAnsi="Book Antiqua"/>
          <w:sz w:val="24"/>
          <w:szCs w:val="24"/>
        </w:rPr>
        <w:t>Près de 2 actifs occupés âgés de 15 ans et plus sur 10 (20,2%) jugent leur formation peu adéquate avec leur travail, alors que, pour 15,4% d'entre eux, il n'ya aucune concordance entre leur formation et le travail qu'ils exercent (inadéquation totale).</w:t>
      </w:r>
    </w:p>
    <w:p w:rsidR="00042E47" w:rsidRPr="004852AF" w:rsidRDefault="00042E47" w:rsidP="00042E47">
      <w:pPr>
        <w:tabs>
          <w:tab w:val="left" w:pos="-720"/>
        </w:tabs>
        <w:suppressAutoHyphens/>
        <w:spacing w:before="240" w:after="240"/>
        <w:jc w:val="right"/>
        <w:rPr>
          <w:rFonts w:ascii="Book Antiqua" w:hAnsi="Book Antiqua" w:cs="Times New Roman"/>
          <w:b/>
          <w:sz w:val="24"/>
          <w:szCs w:val="24"/>
        </w:rPr>
      </w:pP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t>l'accès des enfants âgés de 3 à 5 ans à l'enseignement préscolaire</w:t>
      </w:r>
    </w:p>
    <w:p w:rsidR="00042E47" w:rsidRPr="004852AF" w:rsidRDefault="00042E47" w:rsidP="00042E47">
      <w:pPr>
        <w:bidi w:val="0"/>
        <w:spacing w:before="240" w:after="240" w:line="276" w:lineRule="auto"/>
        <w:jc w:val="both"/>
        <w:rPr>
          <w:rFonts w:ascii="Book Antiqua" w:hAnsi="Book Antiqua" w:cs="Times New Roman"/>
          <w:b/>
          <w:bCs/>
          <w:noProof w:val="0"/>
          <w:color w:val="0070C0"/>
          <w:sz w:val="24"/>
          <w:szCs w:val="24"/>
        </w:rPr>
      </w:pPr>
      <w:r w:rsidRPr="004852AF">
        <w:rPr>
          <w:rFonts w:ascii="Book Antiqua" w:hAnsi="Book Antiqua" w:cs="Times New Roman"/>
          <w:b/>
          <w:bCs/>
          <w:noProof w:val="0"/>
          <w:color w:val="0070C0"/>
          <w:sz w:val="24"/>
          <w:szCs w:val="24"/>
        </w:rPr>
        <w:t>Un enfant âgé de 3 à 5 ans sur deux bénéficie de l'enseignement préscolaire</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En 2017, l'effectif des enfants âgés de 3 à 5 ans a atteint 1,964 million enfants. Un peu moins de la moitié d’entre eux (47,6%) ont fréquenté un établissement préscolaire. Si la part des enfants âgés de 3 à 5 ans préscolarisés est la même entre garçons et filles, avec respectivement des parts de 47,7% et 47,5%, elle est, par contre, en milieu urbain trois fois celle enregistrée en milieu rural, avec respectivement 66,6% et 22,5%.</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Environ 9 enfants âgés de 3 à 5 ans sur 10 préscolarisés (86,6%) bénéficient d'un enseignement privé moderne (90,1% en milieu urbain et 73,3% en milieu rural) et 11,2% d’un enseignement privé traditionnel (8,1% en milieu urbain et 23,4% en milieu rural). La part de l'enseignement préscolaire public est insignifiante (2,1%).</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proportion des enfants bénéficiant d'un enseignement préscolaire augmente avec l'amélioration du niveau de qualification du chef de ménage. En effet, la proportion des enfants préscolarisés passe de 39% pour les chefs de ménage sans aucun diplôme à 75,2% pour ceux disposant d'un diplôme de niveau supérieur. Ce constat est à relever également quant à la différence d’opportunités d’être préscolarisé entre filles et garçons selon le diplôme du chef de ménage. Pour les chefs de ménages qui n’ont aucun diplôme, la différence entre les taux de préscolarisation des filles et des garçons est de l’ordre de 0,7 point de pourcentage au profit des garçons. Pour les ménages dont le chef dispose d'un diplôme de niveau supérieur, Cette différence est de l’ordre de 3,2 points au profit des filles.</w:t>
      </w: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CE5A31" w:rsidRPr="004852AF" w:rsidRDefault="00CE5A31" w:rsidP="00CE5A31">
      <w:pPr>
        <w:pStyle w:val="Corpsdetexte2"/>
        <w:bidi w:val="0"/>
        <w:spacing w:before="120" w:after="120"/>
        <w:jc w:val="both"/>
        <w:rPr>
          <w:rFonts w:ascii="Book Antiqua" w:hAnsi="Book Antiqua"/>
          <w:sz w:val="24"/>
          <w:szCs w:val="24"/>
        </w:rPr>
      </w:pPr>
    </w:p>
    <w:p w:rsidR="00042E47" w:rsidRPr="004852AF" w:rsidRDefault="00AD4B85" w:rsidP="00AD4B85">
      <w:pPr>
        <w:bidi w:val="0"/>
        <w:jc w:val="center"/>
        <w:rPr>
          <w:rFonts w:ascii="Book Antiqua" w:hAnsi="Book Antiqua" w:cs="Arial"/>
          <w:b/>
          <w:bCs/>
          <w:color w:val="000000"/>
          <w:sz w:val="22"/>
          <w:szCs w:val="22"/>
        </w:rPr>
      </w:pPr>
      <w:r w:rsidRPr="004852AF">
        <w:rPr>
          <w:rFonts w:ascii="Book Antiqua" w:hAnsi="Book Antiqua" w:cs="Times New Roman"/>
          <w:b/>
          <w:bCs/>
          <w:noProof w:val="0"/>
          <w:sz w:val="22"/>
          <w:szCs w:val="22"/>
        </w:rPr>
        <w:lastRenderedPageBreak/>
        <w:t>Graphique 7 :</w:t>
      </w:r>
      <w:r w:rsidRPr="004852AF">
        <w:rPr>
          <w:rFonts w:ascii="Book Antiqua" w:hAnsi="Book Antiqua" w:cs="Times New Roman"/>
          <w:b/>
          <w:bCs/>
          <w:noProof w:val="0"/>
          <w:sz w:val="24"/>
          <w:szCs w:val="24"/>
        </w:rPr>
        <w:t xml:space="preserve"> </w:t>
      </w:r>
      <w:r w:rsidR="00042E47" w:rsidRPr="004852AF">
        <w:rPr>
          <w:rFonts w:ascii="Book Antiqua" w:hAnsi="Book Antiqua" w:cs="Arial"/>
          <w:b/>
          <w:bCs/>
          <w:color w:val="000000"/>
          <w:sz w:val="22"/>
          <w:szCs w:val="22"/>
        </w:rPr>
        <w:t xml:space="preserve">Part des enfants préscolarisés âgés de 3 à 5 ans selon </w:t>
      </w:r>
    </w:p>
    <w:p w:rsidR="00042E47" w:rsidRPr="004852AF" w:rsidRDefault="00042E47" w:rsidP="00042E47">
      <w:pPr>
        <w:bidi w:val="0"/>
        <w:jc w:val="center"/>
        <w:rPr>
          <w:rFonts w:ascii="Book Antiqua" w:hAnsi="Book Antiqua" w:cs="Arial"/>
          <w:b/>
          <w:bCs/>
          <w:color w:val="000000"/>
          <w:sz w:val="22"/>
          <w:szCs w:val="22"/>
        </w:rPr>
      </w:pPr>
      <w:r w:rsidRPr="004852AF">
        <w:rPr>
          <w:rFonts w:ascii="Book Antiqua" w:hAnsi="Book Antiqua" w:cs="Arial"/>
          <w:b/>
          <w:bCs/>
          <w:color w:val="000000"/>
          <w:sz w:val="22"/>
          <w:szCs w:val="22"/>
        </w:rPr>
        <w:t>le niveau de diplôme du chef du ménage</w:t>
      </w:r>
    </w:p>
    <w:p w:rsidR="00042E47" w:rsidRPr="004852AF" w:rsidRDefault="00042E47" w:rsidP="00042E47">
      <w:pPr>
        <w:bidi w:val="0"/>
        <w:rPr>
          <w:rFonts w:ascii="Arial" w:hAnsi="Arial" w:cs="Arial"/>
          <w:b/>
          <w:bCs/>
          <w:color w:val="000000"/>
          <w:sz w:val="8"/>
          <w:szCs w:val="8"/>
        </w:rPr>
      </w:pPr>
    </w:p>
    <w:p w:rsidR="00042E47" w:rsidRPr="004852AF" w:rsidRDefault="00042E47" w:rsidP="00042E47">
      <w:pPr>
        <w:pStyle w:val="Corpsdetexte2"/>
        <w:bidi w:val="0"/>
        <w:spacing w:line="276" w:lineRule="auto"/>
        <w:rPr>
          <w:rFonts w:ascii="Book Antiqua" w:hAnsi="Book Antiqua"/>
          <w:strike/>
          <w:sz w:val="24"/>
          <w:szCs w:val="24"/>
        </w:rPr>
      </w:pPr>
      <w:r w:rsidRPr="004852AF">
        <w:rPr>
          <w:noProof/>
        </w:rPr>
        <w:drawing>
          <wp:inline distT="0" distB="0" distL="0" distR="0">
            <wp:extent cx="4510585" cy="1883391"/>
            <wp:effectExtent l="19050" t="0" r="23315" b="2559"/>
            <wp:docPr id="4" name="Graphique 1">
              <a:extLst xmlns:a="http://schemas.openxmlformats.org/drawingml/2006/main">
                <a:ext uri="{FF2B5EF4-FFF2-40B4-BE49-F238E27FC236}">
                  <a16:creationId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9D9C0E2-E064-4FBA-AD31-09694820D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Les chances de préscolarisation sont corrélées avec le niveau socio-économique des ménages. Le taux de préscolarisation varie ainsi de 40,7% pour les enfants âgés de 3 à 5 ans vivant dans des ménages occupant un logement de type sommaire à 71,7% pour ceux vivant dans des ménages occupant des villas 79,4% pour atteindre son niveau le plus élevé pour les enfants relevant des ménages vivant dans des appartement</w:t>
      </w:r>
      <w:r w:rsidR="00823540" w:rsidRPr="004852AF">
        <w:rPr>
          <w:rFonts w:ascii="Book Antiqua" w:hAnsi="Book Antiqua"/>
          <w:sz w:val="24"/>
          <w:szCs w:val="24"/>
        </w:rPr>
        <w:t>s</w:t>
      </w:r>
      <w:r w:rsidRPr="004852AF">
        <w:rPr>
          <w:rFonts w:ascii="Book Antiqua" w:hAnsi="Book Antiqua"/>
          <w:sz w:val="24"/>
          <w:szCs w:val="24"/>
        </w:rPr>
        <w:t>.</w:t>
      </w:r>
    </w:p>
    <w:p w:rsidR="00C26EB7" w:rsidRPr="004852AF" w:rsidRDefault="00AD4B85" w:rsidP="00AD4B8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Graphique 8 :</w:t>
      </w:r>
      <w:r w:rsidRPr="004852AF">
        <w:rPr>
          <w:rFonts w:ascii="Book Antiqua" w:hAnsi="Book Antiqua" w:cs="Times New Roman"/>
          <w:b/>
          <w:bCs/>
          <w:noProof w:val="0"/>
          <w:sz w:val="24"/>
          <w:szCs w:val="24"/>
        </w:rPr>
        <w:t xml:space="preserve"> </w:t>
      </w:r>
      <w:r w:rsidR="00C26EB7" w:rsidRPr="004852AF">
        <w:rPr>
          <w:rFonts w:ascii="Book Antiqua" w:hAnsi="Book Antiqua" w:cs="Times New Roman"/>
          <w:b/>
          <w:bCs/>
          <w:noProof w:val="0"/>
          <w:sz w:val="22"/>
          <w:szCs w:val="22"/>
        </w:rPr>
        <w:t>Taux de préscolarisation des enfants âgés de 3 à 5 ans selon le sexe et les régions (en%)</w:t>
      </w:r>
    </w:p>
    <w:p w:rsidR="00042E47" w:rsidRPr="004852AF" w:rsidRDefault="00545734" w:rsidP="00042E47">
      <w:pPr>
        <w:bidi w:val="0"/>
        <w:spacing w:after="200" w:line="276" w:lineRule="auto"/>
        <w:rPr>
          <w:rFonts w:ascii="Book Antiqua" w:hAnsi="Book Antiqua"/>
          <w:sz w:val="24"/>
          <w:szCs w:val="24"/>
        </w:rPr>
      </w:pPr>
      <w:r w:rsidRPr="004852AF">
        <w:rPr>
          <w:rFonts w:ascii="Book Antiqua" w:hAnsi="Book Antiqua"/>
          <w:sz w:val="24"/>
          <w:szCs w:val="24"/>
        </w:rPr>
        <w:drawing>
          <wp:inline distT="0" distB="0" distL="0" distR="0">
            <wp:extent cx="5949461" cy="2791558"/>
            <wp:effectExtent l="19050" t="0" r="13189" b="8792"/>
            <wp:docPr id="16"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6EB7" w:rsidRPr="004852AF" w:rsidRDefault="00545734" w:rsidP="00C26EB7">
      <w:pPr>
        <w:bidi w:val="0"/>
        <w:jc w:val="both"/>
        <w:rPr>
          <w:rFonts w:ascii="Book Antiqua" w:hAnsi="Book Antiqua"/>
          <w:sz w:val="24"/>
          <w:szCs w:val="24"/>
        </w:rPr>
      </w:pPr>
      <w:r w:rsidRPr="004852AF">
        <w:rPr>
          <w:rFonts w:ascii="Book Antiqua" w:hAnsi="Book Antiqua"/>
          <w:sz w:val="24"/>
          <w:szCs w:val="24"/>
        </w:rPr>
        <w:t xml:space="preserve">Le taux de préscolarisation des enfants âgés de 3 à 5 ans cache d’importantes disparités entres les régions. Il </w:t>
      </w:r>
      <w:r w:rsidR="00C26EB7" w:rsidRPr="004852AF">
        <w:rPr>
          <w:rFonts w:ascii="Book Antiqua" w:hAnsi="Book Antiqua"/>
          <w:sz w:val="24"/>
          <w:szCs w:val="24"/>
        </w:rPr>
        <w:t>passe</w:t>
      </w:r>
      <w:r w:rsidRPr="004852AF">
        <w:rPr>
          <w:rFonts w:ascii="Book Antiqua" w:hAnsi="Book Antiqua"/>
          <w:sz w:val="24"/>
          <w:szCs w:val="24"/>
        </w:rPr>
        <w:t xml:space="preserve"> de 35,4% dans la région de Marrakech-Safi à 77,5</w:t>
      </w:r>
      <w:r w:rsidR="00C26EB7" w:rsidRPr="004852AF">
        <w:rPr>
          <w:rFonts w:ascii="Book Antiqua" w:hAnsi="Book Antiqua"/>
          <w:sz w:val="24"/>
          <w:szCs w:val="24"/>
        </w:rPr>
        <w:t>%</w:t>
      </w:r>
      <w:r w:rsidRPr="004852AF">
        <w:rPr>
          <w:rFonts w:ascii="Book Antiqua" w:hAnsi="Book Antiqua"/>
          <w:sz w:val="24"/>
          <w:szCs w:val="24"/>
        </w:rPr>
        <w:t xml:space="preserve"> dans la région de Guelmim-Oued Noun, ce qui correspond à un écart de 42,1 points. Ce taux </w:t>
      </w:r>
      <w:r w:rsidR="00C26EB7" w:rsidRPr="004852AF">
        <w:rPr>
          <w:rFonts w:ascii="Book Antiqua" w:hAnsi="Book Antiqua"/>
          <w:sz w:val="24"/>
          <w:szCs w:val="24"/>
        </w:rPr>
        <w:t xml:space="preserve">enregistre des niveaux plus importants que </w:t>
      </w:r>
      <w:r w:rsidRPr="004852AF">
        <w:rPr>
          <w:rFonts w:ascii="Book Antiqua" w:hAnsi="Book Antiqua"/>
          <w:sz w:val="24"/>
          <w:szCs w:val="24"/>
        </w:rPr>
        <w:t>la moyenne nationale (47,6%) au niveau de la moitié des régions</w:t>
      </w:r>
      <w:r w:rsidR="00C26EB7" w:rsidRPr="004852AF">
        <w:rPr>
          <w:rFonts w:ascii="Book Antiqua" w:hAnsi="Book Antiqua"/>
          <w:sz w:val="24"/>
          <w:szCs w:val="24"/>
        </w:rPr>
        <w:t xml:space="preserve"> et il semble que ce dernier n’est pas sensible au sexe et ce, pour toutes les régions</w:t>
      </w:r>
      <w:r w:rsidRPr="004852AF">
        <w:rPr>
          <w:rFonts w:ascii="Book Antiqua" w:hAnsi="Book Antiqua"/>
          <w:sz w:val="24"/>
          <w:szCs w:val="24"/>
        </w:rPr>
        <w:t>.</w:t>
      </w:r>
    </w:p>
    <w:p w:rsidR="00C26EB7" w:rsidRPr="004852AF" w:rsidRDefault="00C26EB7">
      <w:pPr>
        <w:bidi w:val="0"/>
        <w:rPr>
          <w:rFonts w:ascii="Book Antiqua" w:hAnsi="Book Antiqua"/>
          <w:sz w:val="24"/>
          <w:szCs w:val="24"/>
        </w:rPr>
      </w:pPr>
      <w:r w:rsidRPr="004852AF">
        <w:rPr>
          <w:rFonts w:ascii="Book Antiqua" w:hAnsi="Book Antiqua"/>
          <w:sz w:val="24"/>
          <w:szCs w:val="24"/>
        </w:rPr>
        <w:br w:type="page"/>
      </w: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Accès de la femme au marché du travail</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participation des femmes au marché du travail demeure faible et largement en deçà de celle des hommes, 22,4% contre 71,6% en 2017. De plus, au cours des quinze dernières années, et malgré les efforts consentis dans les domaines de la formation et de la scolarisation, le taux d’activité des femmes a reculé d’environ 3,5 points. Dans ce contexte, l'examen des raisons défavorisant l’accès des femmes au marché du travail est d’une grande importance pour l’élargissement des bases de connaissance sur cette problématique.</w:t>
      </w:r>
    </w:p>
    <w:p w:rsidR="00042E47" w:rsidRPr="004852AF" w:rsidRDefault="00042E47" w:rsidP="00042E47">
      <w:pPr>
        <w:bidi w:val="0"/>
        <w:spacing w:before="240" w:after="240" w:line="276" w:lineRule="auto"/>
        <w:jc w:val="both"/>
        <w:rPr>
          <w:rFonts w:ascii="Book Antiqua" w:hAnsi="Book Antiqua" w:cs="Times New Roman"/>
          <w:b/>
          <w:bCs/>
          <w:noProof w:val="0"/>
          <w:color w:val="0070C0"/>
          <w:sz w:val="24"/>
          <w:szCs w:val="24"/>
        </w:rPr>
      </w:pPr>
      <w:r w:rsidRPr="004852AF">
        <w:rPr>
          <w:rFonts w:ascii="Book Antiqua" w:hAnsi="Book Antiqua" w:cs="Times New Roman"/>
          <w:b/>
          <w:bCs/>
          <w:noProof w:val="0"/>
          <w:color w:val="0070C0"/>
          <w:sz w:val="24"/>
          <w:szCs w:val="24"/>
        </w:rPr>
        <w:t>Profil des femmes en dehors du marché de travail</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Les femmes en dehors du marché de travail, au nombre de 10 millions, représentent 77,6% de la population féminine âgée de 15 ans et plus (81,6% en milieu urbain et 70,4% en milieu rural). La majorité d'entre elles (76,6%) sont des femmes au foyer et 13,4% des élèves ou étudiantes. </w:t>
      </w:r>
    </w:p>
    <w:p w:rsidR="00771C0C" w:rsidRPr="004852AF" w:rsidRDefault="00001FAA" w:rsidP="00771C0C">
      <w:pPr>
        <w:bidi w:val="0"/>
        <w:ind w:left="360"/>
        <w:jc w:val="center"/>
        <w:rPr>
          <w:rFonts w:ascii="Book Antiqua" w:hAnsi="Book Antiqua"/>
          <w:b/>
          <w:bCs/>
          <w:sz w:val="22"/>
          <w:szCs w:val="22"/>
        </w:rPr>
      </w:pPr>
      <w:r w:rsidRPr="004852AF">
        <w:rPr>
          <w:rFonts w:ascii="Book Antiqua" w:hAnsi="Book Antiqua"/>
          <w:b/>
          <w:bCs/>
          <w:sz w:val="22"/>
          <w:szCs w:val="22"/>
        </w:rPr>
        <w:t xml:space="preserve">Tableau 1 : </w:t>
      </w:r>
      <w:r w:rsidR="00042E47" w:rsidRPr="004852AF">
        <w:rPr>
          <w:rFonts w:ascii="Book Antiqua" w:hAnsi="Book Antiqua"/>
          <w:b/>
          <w:bCs/>
          <w:sz w:val="22"/>
          <w:szCs w:val="22"/>
        </w:rPr>
        <w:t xml:space="preserve">Population </w:t>
      </w:r>
      <w:r w:rsidR="00771C0C" w:rsidRPr="004852AF">
        <w:rPr>
          <w:rFonts w:ascii="Book Antiqua" w:hAnsi="Book Antiqua"/>
          <w:b/>
          <w:bCs/>
          <w:sz w:val="22"/>
          <w:szCs w:val="22"/>
        </w:rPr>
        <w:t xml:space="preserve">en dehors du marché de travail </w:t>
      </w:r>
      <w:r w:rsidR="00042E47" w:rsidRPr="004852AF">
        <w:rPr>
          <w:rFonts w:ascii="Book Antiqua" w:hAnsi="Book Antiqua"/>
          <w:b/>
          <w:bCs/>
          <w:sz w:val="22"/>
          <w:szCs w:val="22"/>
        </w:rPr>
        <w:t xml:space="preserve">âgée de 15 ans et plus </w:t>
      </w:r>
    </w:p>
    <w:p w:rsidR="00042E47" w:rsidRPr="004852AF" w:rsidRDefault="00042E47" w:rsidP="00771C0C">
      <w:pPr>
        <w:bidi w:val="0"/>
        <w:ind w:left="360"/>
        <w:jc w:val="center"/>
        <w:rPr>
          <w:rFonts w:ascii="Book Antiqua" w:hAnsi="Book Antiqua"/>
          <w:b/>
          <w:bCs/>
          <w:sz w:val="22"/>
          <w:szCs w:val="22"/>
        </w:rPr>
      </w:pPr>
      <w:r w:rsidRPr="004852AF">
        <w:rPr>
          <w:rFonts w:ascii="Book Antiqua" w:hAnsi="Book Antiqua"/>
          <w:b/>
          <w:bCs/>
          <w:sz w:val="22"/>
          <w:szCs w:val="22"/>
        </w:rPr>
        <w:t>selon le type d’inactivité</w:t>
      </w:r>
    </w:p>
    <w:p w:rsidR="00771C0C" w:rsidRPr="004852AF" w:rsidRDefault="00771C0C" w:rsidP="00771C0C">
      <w:pPr>
        <w:bidi w:val="0"/>
        <w:ind w:left="360"/>
        <w:jc w:val="center"/>
        <w:rPr>
          <w:rFonts w:ascii="Book Antiqua" w:hAnsi="Book Antiqua"/>
          <w:b/>
          <w:bCs/>
          <w:sz w:val="12"/>
          <w:szCs w:val="12"/>
        </w:rPr>
      </w:pPr>
    </w:p>
    <w:tbl>
      <w:tblPr>
        <w:tblStyle w:val="Grilledutableau"/>
        <w:tblW w:w="8006" w:type="dxa"/>
        <w:jc w:val="center"/>
        <w:tblLook w:val="04A0"/>
      </w:tblPr>
      <w:tblGrid>
        <w:gridCol w:w="1817"/>
        <w:gridCol w:w="1245"/>
        <w:gridCol w:w="849"/>
        <w:gridCol w:w="1182"/>
        <w:gridCol w:w="850"/>
        <w:gridCol w:w="1214"/>
        <w:gridCol w:w="849"/>
      </w:tblGrid>
      <w:tr w:rsidR="00042E47" w:rsidRPr="004852AF" w:rsidTr="00042E47">
        <w:trPr>
          <w:trHeight w:val="295"/>
          <w:jc w:val="center"/>
        </w:trPr>
        <w:tc>
          <w:tcPr>
            <w:tcW w:w="1817" w:type="dxa"/>
            <w:vAlign w:val="center"/>
          </w:tcPr>
          <w:p w:rsidR="00042E47" w:rsidRPr="004852AF" w:rsidRDefault="00042E47" w:rsidP="00042E47">
            <w:pPr>
              <w:bidi w:val="0"/>
              <w:spacing w:line="276" w:lineRule="auto"/>
              <w:jc w:val="both"/>
              <w:rPr>
                <w:rFonts w:ascii="Book Antiqua" w:hAnsi="Book Antiqua"/>
              </w:rPr>
            </w:pPr>
          </w:p>
        </w:tc>
        <w:tc>
          <w:tcPr>
            <w:tcW w:w="2094" w:type="dxa"/>
            <w:gridSpan w:val="2"/>
            <w:vAlign w:val="center"/>
          </w:tcPr>
          <w:p w:rsidR="00042E47" w:rsidRPr="004852AF" w:rsidRDefault="00042E47" w:rsidP="00042E47">
            <w:pPr>
              <w:bidi w:val="0"/>
              <w:spacing w:line="276" w:lineRule="auto"/>
              <w:jc w:val="center"/>
              <w:rPr>
                <w:rFonts w:ascii="Book Antiqua" w:hAnsi="Book Antiqua"/>
              </w:rPr>
            </w:pPr>
            <w:r w:rsidRPr="004852AF">
              <w:rPr>
                <w:rFonts w:ascii="Book Antiqua" w:hAnsi="Book Antiqua"/>
              </w:rPr>
              <w:t>Femmes</w:t>
            </w:r>
          </w:p>
        </w:tc>
        <w:tc>
          <w:tcPr>
            <w:tcW w:w="2032" w:type="dxa"/>
            <w:gridSpan w:val="2"/>
            <w:vAlign w:val="center"/>
          </w:tcPr>
          <w:p w:rsidR="00042E47" w:rsidRPr="004852AF" w:rsidRDefault="00042E47" w:rsidP="00042E47">
            <w:pPr>
              <w:bidi w:val="0"/>
              <w:spacing w:line="276" w:lineRule="auto"/>
              <w:jc w:val="center"/>
              <w:rPr>
                <w:rFonts w:ascii="Book Antiqua" w:hAnsi="Book Antiqua"/>
              </w:rPr>
            </w:pPr>
            <w:r w:rsidRPr="004852AF">
              <w:rPr>
                <w:rFonts w:ascii="Book Antiqua" w:hAnsi="Book Antiqua"/>
              </w:rPr>
              <w:t>Hommes</w:t>
            </w:r>
          </w:p>
        </w:tc>
        <w:tc>
          <w:tcPr>
            <w:tcW w:w="2063" w:type="dxa"/>
            <w:gridSpan w:val="2"/>
            <w:vAlign w:val="center"/>
          </w:tcPr>
          <w:p w:rsidR="00042E47" w:rsidRPr="004852AF" w:rsidRDefault="00042E47" w:rsidP="00042E47">
            <w:pPr>
              <w:bidi w:val="0"/>
              <w:spacing w:line="276" w:lineRule="auto"/>
              <w:jc w:val="center"/>
              <w:rPr>
                <w:rFonts w:ascii="Book Antiqua" w:hAnsi="Book Antiqua"/>
              </w:rPr>
            </w:pPr>
            <w:r w:rsidRPr="004852AF">
              <w:rPr>
                <w:rFonts w:ascii="Book Antiqua" w:hAnsi="Book Antiqua"/>
              </w:rPr>
              <w:t>Les deux sexes</w:t>
            </w:r>
          </w:p>
        </w:tc>
      </w:tr>
      <w:tr w:rsidR="00042E47" w:rsidRPr="004852AF" w:rsidTr="00042E47">
        <w:trPr>
          <w:trHeight w:val="321"/>
          <w:jc w:val="center"/>
        </w:trPr>
        <w:tc>
          <w:tcPr>
            <w:tcW w:w="1817" w:type="dxa"/>
            <w:vAlign w:val="center"/>
          </w:tcPr>
          <w:p w:rsidR="00042E47" w:rsidRPr="004852AF" w:rsidRDefault="00042E47" w:rsidP="00042E47">
            <w:pPr>
              <w:bidi w:val="0"/>
              <w:spacing w:line="276" w:lineRule="auto"/>
              <w:jc w:val="both"/>
              <w:rPr>
                <w:rFonts w:ascii="Book Antiqua" w:hAnsi="Book Antiqua"/>
              </w:rPr>
            </w:pP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Effectif</w:t>
            </w:r>
          </w:p>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(en milliers)</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Effectif</w:t>
            </w:r>
          </w:p>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(en milliers)</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Effectif</w:t>
            </w:r>
          </w:p>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(en milliers)</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r>
      <w:tr w:rsidR="00042E47" w:rsidRPr="004852AF" w:rsidTr="00042E47">
        <w:trPr>
          <w:trHeight w:val="295"/>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Femmes au foyer</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7 703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76,6</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w:t>
            </w:r>
          </w:p>
        </w:tc>
        <w:tc>
          <w:tcPr>
            <w:tcW w:w="1214" w:type="dxa"/>
            <w:vAlign w:val="center"/>
          </w:tcPr>
          <w:p w:rsidR="00042E47" w:rsidRPr="004852AF" w:rsidRDefault="00042E47" w:rsidP="00823540">
            <w:pPr>
              <w:bidi w:val="0"/>
              <w:spacing w:line="276" w:lineRule="auto"/>
              <w:jc w:val="center"/>
              <w:rPr>
                <w:rFonts w:ascii="Book Antiqua" w:hAnsi="Book Antiqua" w:cs="Arial"/>
                <w:color w:val="000000"/>
              </w:rPr>
            </w:pPr>
            <w:r w:rsidRPr="004852AF">
              <w:rPr>
                <w:rFonts w:ascii="Book Antiqua" w:hAnsi="Book Antiqua" w:cs="Arial"/>
                <w:color w:val="000000"/>
              </w:rPr>
              <w:t>7 70</w:t>
            </w:r>
            <w:r w:rsidR="00823540" w:rsidRPr="004852AF">
              <w:rPr>
                <w:rFonts w:ascii="Book Antiqua" w:hAnsi="Book Antiqua" w:cs="Arial"/>
                <w:color w:val="000000"/>
              </w:rPr>
              <w:t>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56,6</w:t>
            </w:r>
          </w:p>
        </w:tc>
      </w:tr>
      <w:tr w:rsidR="00042E47" w:rsidRPr="004852AF" w:rsidTr="00042E47">
        <w:trPr>
          <w:trHeight w:val="284"/>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Etudiants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1 352</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13,4</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1 753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49,1</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3 105</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22,8</w:t>
            </w:r>
          </w:p>
        </w:tc>
      </w:tr>
      <w:tr w:rsidR="00042E47" w:rsidRPr="004852AF" w:rsidTr="00042E47">
        <w:trPr>
          <w:trHeight w:val="295"/>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Retraités ou Rentiers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172</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1,7</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921</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25,8</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1 093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8,0</w:t>
            </w:r>
          </w:p>
        </w:tc>
      </w:tr>
      <w:tr w:rsidR="00042E47" w:rsidRPr="004852AF" w:rsidTr="00042E47">
        <w:trPr>
          <w:trHeight w:val="295"/>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Malades ou infirmes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278</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2,8</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510</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14,3</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788</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5,8</w:t>
            </w:r>
          </w:p>
        </w:tc>
      </w:tr>
      <w:tr w:rsidR="00042E47" w:rsidRPr="004852AF" w:rsidTr="00042E47">
        <w:trPr>
          <w:trHeight w:val="295"/>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Vieillards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541</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5,4</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305</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8,5</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846</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6,2</w:t>
            </w:r>
          </w:p>
        </w:tc>
      </w:tr>
      <w:tr w:rsidR="00042E47" w:rsidRPr="004852AF" w:rsidTr="00042E47">
        <w:trPr>
          <w:trHeight w:val="284"/>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Autres inactifs</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0,1</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77</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2,2</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84</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0,6</w:t>
            </w:r>
          </w:p>
        </w:tc>
      </w:tr>
      <w:tr w:rsidR="00042E47" w:rsidRPr="004852AF" w:rsidTr="00042E47">
        <w:trPr>
          <w:trHeight w:val="307"/>
          <w:jc w:val="center"/>
        </w:trPr>
        <w:tc>
          <w:tcPr>
            <w:tcW w:w="1817" w:type="dxa"/>
            <w:vAlign w:val="center"/>
          </w:tcPr>
          <w:p w:rsidR="00042E47" w:rsidRPr="004852AF" w:rsidRDefault="00042E47" w:rsidP="00042E47">
            <w:pPr>
              <w:bidi w:val="0"/>
              <w:spacing w:line="276" w:lineRule="auto"/>
              <w:rPr>
                <w:rFonts w:ascii="Book Antiqua" w:hAnsi="Book Antiqua" w:cs="Arial"/>
                <w:color w:val="000000"/>
              </w:rPr>
            </w:pPr>
            <w:r w:rsidRPr="004852AF">
              <w:rPr>
                <w:rFonts w:ascii="Book Antiqua" w:hAnsi="Book Antiqua" w:cs="Arial"/>
                <w:color w:val="000000"/>
              </w:rPr>
              <w:t>Total</w:t>
            </w:r>
          </w:p>
        </w:tc>
        <w:tc>
          <w:tcPr>
            <w:tcW w:w="1245"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10 053</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100</w:t>
            </w:r>
          </w:p>
        </w:tc>
        <w:tc>
          <w:tcPr>
            <w:tcW w:w="1182"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3 566</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100</w:t>
            </w:r>
          </w:p>
        </w:tc>
        <w:tc>
          <w:tcPr>
            <w:tcW w:w="1214"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13 619</w:t>
            </w:r>
          </w:p>
        </w:tc>
        <w:tc>
          <w:tcPr>
            <w:tcW w:w="849" w:type="dxa"/>
            <w:vAlign w:val="center"/>
          </w:tcPr>
          <w:p w:rsidR="00042E47" w:rsidRPr="004852AF" w:rsidRDefault="00042E47" w:rsidP="00042E47">
            <w:pPr>
              <w:bidi w:val="0"/>
              <w:spacing w:line="276" w:lineRule="auto"/>
              <w:jc w:val="center"/>
              <w:rPr>
                <w:rFonts w:ascii="Book Antiqua" w:hAnsi="Book Antiqua" w:cs="Arial"/>
                <w:color w:val="000000"/>
              </w:rPr>
            </w:pPr>
            <w:r w:rsidRPr="004852AF">
              <w:rPr>
                <w:rFonts w:ascii="Book Antiqua" w:hAnsi="Book Antiqua" w:cs="Arial"/>
                <w:color w:val="000000"/>
              </w:rPr>
              <w:t>100</w:t>
            </w:r>
          </w:p>
        </w:tc>
      </w:tr>
    </w:tbl>
    <w:p w:rsidR="00042E47" w:rsidRPr="004852AF" w:rsidRDefault="00042E47" w:rsidP="00042E47">
      <w:pPr>
        <w:bidi w:val="0"/>
        <w:spacing w:after="160"/>
        <w:ind w:left="360"/>
        <w:jc w:val="both"/>
        <w:rPr>
          <w:rFonts w:ascii="Book Antiqua" w:hAnsi="Book Antiqua"/>
        </w:rPr>
      </w:pPr>
    </w:p>
    <w:p w:rsidR="00042E47" w:rsidRPr="004852AF" w:rsidRDefault="00042E47" w:rsidP="0082354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Selon le statut matrimonial, 60,8% des femmes en </w:t>
      </w:r>
      <w:r w:rsidR="00823540" w:rsidRPr="004852AF">
        <w:rPr>
          <w:rFonts w:ascii="Book Antiqua" w:hAnsi="Book Antiqua"/>
          <w:sz w:val="24"/>
          <w:szCs w:val="24"/>
        </w:rPr>
        <w:t xml:space="preserve">dehors du marché du travail </w:t>
      </w:r>
      <w:r w:rsidRPr="004852AF">
        <w:rPr>
          <w:rFonts w:ascii="Book Antiqua" w:hAnsi="Book Antiqua"/>
          <w:sz w:val="24"/>
          <w:szCs w:val="24"/>
        </w:rPr>
        <w:t>sont mariées et 25,9% célibataires. Un peu plus du tiers d'entre elles (34,9%) ont moins de 29 ans, 27,8% ont 30 à 44 ans et 37,4% ont 45 ans et plus. Près des deux-tiers de ces femmes ne disposent d'aucun diplôme et 7,9% ont un diplôme de niveau supérieur.</w:t>
      </w:r>
    </w:p>
    <w:p w:rsidR="00042E47" w:rsidRPr="004852AF" w:rsidRDefault="00042E47" w:rsidP="00042E47">
      <w:pPr>
        <w:bidi w:val="0"/>
        <w:spacing w:after="200" w:line="276" w:lineRule="auto"/>
        <w:rPr>
          <w:rFonts w:ascii="Book Antiqua" w:hAnsi="Book Antiqua"/>
        </w:rPr>
      </w:pPr>
      <w:r w:rsidRPr="004852AF">
        <w:rPr>
          <w:rFonts w:ascii="Book Antiqua" w:hAnsi="Book Antiqua"/>
        </w:rPr>
        <w:br w:type="page"/>
      </w:r>
    </w:p>
    <w:p w:rsidR="00771C0C" w:rsidRPr="004852AF" w:rsidRDefault="00771C0C" w:rsidP="00771C0C">
      <w:pPr>
        <w:bidi w:val="0"/>
        <w:ind w:left="360"/>
        <w:jc w:val="center"/>
        <w:rPr>
          <w:rFonts w:ascii="Book Antiqua" w:hAnsi="Book Antiqua"/>
          <w:b/>
          <w:bCs/>
          <w:sz w:val="22"/>
          <w:szCs w:val="22"/>
        </w:rPr>
      </w:pPr>
      <w:r w:rsidRPr="004852AF">
        <w:rPr>
          <w:rFonts w:ascii="Book Antiqua" w:hAnsi="Book Antiqua"/>
          <w:b/>
          <w:bCs/>
          <w:sz w:val="22"/>
          <w:szCs w:val="22"/>
        </w:rPr>
        <w:lastRenderedPageBreak/>
        <w:t xml:space="preserve">Tableau 2 : </w:t>
      </w:r>
      <w:r w:rsidR="00042E47" w:rsidRPr="004852AF">
        <w:rPr>
          <w:rFonts w:ascii="Book Antiqua" w:hAnsi="Book Antiqua"/>
          <w:b/>
          <w:bCs/>
          <w:sz w:val="22"/>
          <w:szCs w:val="22"/>
        </w:rPr>
        <w:t xml:space="preserve">Population </w:t>
      </w:r>
      <w:r w:rsidRPr="004852AF">
        <w:rPr>
          <w:rFonts w:ascii="Book Antiqua" w:hAnsi="Book Antiqua"/>
          <w:b/>
          <w:bCs/>
          <w:sz w:val="22"/>
          <w:szCs w:val="22"/>
        </w:rPr>
        <w:t>en dehors du marché du travail</w:t>
      </w:r>
      <w:r w:rsidR="00042E47" w:rsidRPr="004852AF">
        <w:rPr>
          <w:rFonts w:ascii="Book Antiqua" w:hAnsi="Book Antiqua"/>
          <w:b/>
          <w:bCs/>
          <w:sz w:val="22"/>
          <w:szCs w:val="22"/>
        </w:rPr>
        <w:t xml:space="preserve"> âgée de 15 ans et plus </w:t>
      </w:r>
    </w:p>
    <w:p w:rsidR="00042E47" w:rsidRPr="004852AF" w:rsidRDefault="00771C0C" w:rsidP="00771C0C">
      <w:pPr>
        <w:bidi w:val="0"/>
        <w:ind w:left="360"/>
        <w:jc w:val="center"/>
        <w:rPr>
          <w:rFonts w:ascii="Book Antiqua" w:hAnsi="Book Antiqua"/>
          <w:b/>
          <w:bCs/>
          <w:sz w:val="22"/>
          <w:szCs w:val="22"/>
        </w:rPr>
      </w:pPr>
      <w:r w:rsidRPr="004852AF">
        <w:rPr>
          <w:rFonts w:ascii="Book Antiqua" w:hAnsi="Book Antiqua"/>
          <w:b/>
          <w:bCs/>
          <w:sz w:val="22"/>
          <w:szCs w:val="22"/>
        </w:rPr>
        <w:t>Selon le</w:t>
      </w:r>
      <w:r w:rsidR="00042E47" w:rsidRPr="004852AF">
        <w:rPr>
          <w:rFonts w:ascii="Book Antiqua" w:hAnsi="Book Antiqua"/>
          <w:b/>
          <w:bCs/>
          <w:sz w:val="22"/>
          <w:szCs w:val="22"/>
        </w:rPr>
        <w:t xml:space="preserve"> sexe</w:t>
      </w:r>
      <w:r w:rsidRPr="004852AF">
        <w:rPr>
          <w:rFonts w:ascii="Book Antiqua" w:hAnsi="Book Antiqua"/>
          <w:b/>
          <w:bCs/>
          <w:sz w:val="22"/>
          <w:szCs w:val="22"/>
        </w:rPr>
        <w:t>,</w:t>
      </w:r>
      <w:r w:rsidR="00042E47" w:rsidRPr="004852AF">
        <w:rPr>
          <w:rFonts w:ascii="Book Antiqua" w:hAnsi="Book Antiqua"/>
          <w:b/>
          <w:bCs/>
          <w:sz w:val="22"/>
          <w:szCs w:val="22"/>
        </w:rPr>
        <w:t xml:space="preserve"> l'état matrimonial, l'âge et le niveau de diplôme (en %)</w:t>
      </w:r>
    </w:p>
    <w:p w:rsidR="00771C0C" w:rsidRPr="004852AF" w:rsidRDefault="00771C0C" w:rsidP="00771C0C">
      <w:pPr>
        <w:bidi w:val="0"/>
        <w:ind w:left="360"/>
        <w:jc w:val="center"/>
        <w:rPr>
          <w:rFonts w:ascii="Book Antiqua" w:hAnsi="Book Antiqua"/>
          <w:b/>
          <w:bCs/>
          <w:sz w:val="12"/>
          <w:szCs w:val="12"/>
        </w:rPr>
      </w:pPr>
    </w:p>
    <w:tbl>
      <w:tblPr>
        <w:tblW w:w="861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89"/>
        <w:gridCol w:w="1345"/>
        <w:gridCol w:w="1211"/>
        <w:gridCol w:w="1465"/>
      </w:tblGrid>
      <w:tr w:rsidR="00042E47" w:rsidRPr="004852AF" w:rsidTr="00042E47">
        <w:trPr>
          <w:trHeight w:val="228"/>
          <w:jc w:val="center"/>
        </w:trPr>
        <w:tc>
          <w:tcPr>
            <w:tcW w:w="4589" w:type="dxa"/>
            <w:shd w:val="clear" w:color="auto" w:fill="auto"/>
            <w:noWrap/>
            <w:vAlign w:val="center"/>
            <w:hideMark/>
          </w:tcPr>
          <w:p w:rsidR="00042E47" w:rsidRPr="004852AF" w:rsidRDefault="00042E47" w:rsidP="00042E47">
            <w:pPr>
              <w:bidi w:val="0"/>
              <w:spacing w:line="276" w:lineRule="auto"/>
              <w:jc w:val="both"/>
              <w:rPr>
                <w:rFonts w:ascii="Book Antiqua" w:hAnsi="Book Antiqua" w:cs="Calibri"/>
                <w:color w:val="000000"/>
              </w:rPr>
            </w:pPr>
            <w:r w:rsidRPr="004852AF">
              <w:rPr>
                <w:rFonts w:ascii="Book Antiqua" w:hAnsi="Book Antiqua" w:cs="Calibri"/>
                <w:color w:val="000000"/>
              </w:rPr>
              <w:t> </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Femmes</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Hommes</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Les deux sexes</w:t>
            </w:r>
          </w:p>
        </w:tc>
      </w:tr>
      <w:tr w:rsidR="00042E47" w:rsidRPr="004852AF" w:rsidTr="00042E47">
        <w:trPr>
          <w:trHeight w:val="228"/>
          <w:jc w:val="center"/>
        </w:trPr>
        <w:tc>
          <w:tcPr>
            <w:tcW w:w="4589" w:type="dxa"/>
            <w:shd w:val="clear" w:color="auto" w:fill="auto"/>
            <w:noWrap/>
            <w:vAlign w:val="center"/>
            <w:hideMark/>
          </w:tcPr>
          <w:p w:rsidR="00042E47" w:rsidRPr="004852AF" w:rsidRDefault="00042E47" w:rsidP="00042E47">
            <w:pPr>
              <w:bidi w:val="0"/>
              <w:spacing w:line="276" w:lineRule="auto"/>
              <w:jc w:val="both"/>
              <w:rPr>
                <w:rFonts w:ascii="Book Antiqua" w:hAnsi="Book Antiqua" w:cs="Calibri"/>
                <w:color w:val="000000"/>
              </w:rPr>
            </w:pPr>
            <w:r w:rsidRPr="004852AF">
              <w:rPr>
                <w:rFonts w:ascii="Book Antiqua" w:hAnsi="Book Antiqua" w:cs="Calibri"/>
                <w:color w:val="000000"/>
              </w:rPr>
              <w:t>% des inactifs dans la population de 15 ans et plus</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77,6</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28,4</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53,3</w:t>
            </w:r>
          </w:p>
        </w:tc>
      </w:tr>
      <w:tr w:rsidR="00042E47" w:rsidRPr="004852AF" w:rsidTr="00042E47">
        <w:trPr>
          <w:trHeight w:val="228"/>
          <w:jc w:val="center"/>
        </w:trPr>
        <w:tc>
          <w:tcPr>
            <w:tcW w:w="8610" w:type="dxa"/>
            <w:gridSpan w:val="4"/>
            <w:shd w:val="clear" w:color="auto" w:fill="auto"/>
            <w:noWrap/>
            <w:vAlign w:val="center"/>
            <w:hideMark/>
          </w:tcPr>
          <w:p w:rsidR="00042E47" w:rsidRPr="004852AF" w:rsidRDefault="00042E47" w:rsidP="00042E47">
            <w:pPr>
              <w:bidi w:val="0"/>
              <w:spacing w:line="276" w:lineRule="auto"/>
              <w:rPr>
                <w:rFonts w:ascii="Book Antiqua" w:hAnsi="Book Antiqua" w:cs="Calibri"/>
                <w:color w:val="000000"/>
              </w:rPr>
            </w:pPr>
            <w:r w:rsidRPr="004852AF">
              <w:rPr>
                <w:rFonts w:ascii="Book Antiqua" w:hAnsi="Book Antiqua" w:cs="Calibri"/>
                <w:color w:val="000000"/>
              </w:rPr>
              <w:t>Etat matrimonial</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Célibataire</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25,9</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57,6</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34,2</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Marié</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60,8</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39,4</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55,2</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Veuf</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11,1</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2,3</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8,8</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Divorcé</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2,2</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0,6</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1,8</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Total</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r>
      <w:tr w:rsidR="00042E47" w:rsidRPr="004852AF" w:rsidTr="00042E47">
        <w:trPr>
          <w:trHeight w:val="228"/>
          <w:jc w:val="center"/>
        </w:trPr>
        <w:tc>
          <w:tcPr>
            <w:tcW w:w="8610" w:type="dxa"/>
            <w:gridSpan w:val="4"/>
            <w:shd w:val="clear" w:color="auto" w:fill="auto"/>
            <w:vAlign w:val="center"/>
            <w:hideMark/>
          </w:tcPr>
          <w:p w:rsidR="00042E47" w:rsidRPr="004852AF" w:rsidRDefault="00042E47" w:rsidP="00042E47">
            <w:pPr>
              <w:bidi w:val="0"/>
              <w:spacing w:line="276" w:lineRule="auto"/>
              <w:rPr>
                <w:rFonts w:ascii="Book Antiqua" w:hAnsi="Book Antiqua" w:cs="Calibri"/>
                <w:color w:val="000000"/>
              </w:rPr>
            </w:pPr>
            <w:r w:rsidRPr="004852AF">
              <w:rPr>
                <w:rFonts w:ascii="Book Antiqua" w:hAnsi="Book Antiqua" w:cs="Arial"/>
                <w:color w:val="000000"/>
              </w:rPr>
              <w:t>Age</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 15 – 29 ans</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34,9</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53,4</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39,7</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 30 – 44 ans</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27,8</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4,1</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21,6</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 45 ans et plus</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37,4</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42,5</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38,7</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Total</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r>
      <w:tr w:rsidR="00042E47" w:rsidRPr="004852AF" w:rsidTr="00042E47">
        <w:trPr>
          <w:trHeight w:val="228"/>
          <w:jc w:val="center"/>
        </w:trPr>
        <w:tc>
          <w:tcPr>
            <w:tcW w:w="8610" w:type="dxa"/>
            <w:gridSpan w:val="4"/>
            <w:shd w:val="clear" w:color="auto" w:fill="auto"/>
            <w:vAlign w:val="center"/>
            <w:hideMark/>
          </w:tcPr>
          <w:p w:rsidR="00042E47" w:rsidRPr="004852AF" w:rsidRDefault="00042E47" w:rsidP="00042E47">
            <w:pPr>
              <w:bidi w:val="0"/>
              <w:spacing w:line="276" w:lineRule="auto"/>
              <w:rPr>
                <w:rFonts w:ascii="Book Antiqua" w:hAnsi="Book Antiqua" w:cs="Calibri"/>
                <w:color w:val="000000"/>
              </w:rPr>
            </w:pPr>
            <w:r w:rsidRPr="004852AF">
              <w:rPr>
                <w:rFonts w:ascii="Book Antiqua" w:hAnsi="Book Antiqua" w:cs="Arial"/>
                <w:color w:val="000000"/>
              </w:rPr>
              <w:t>Niveau de diplôme</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Sans diplôme</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63,5</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35,0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56,0</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Niveau moyen</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28,6</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48,0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33,7</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Niveau supérieur</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7,9</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16,9</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10,3</w:t>
            </w:r>
          </w:p>
        </w:tc>
      </w:tr>
      <w:tr w:rsidR="00042E47" w:rsidRPr="004852AF" w:rsidTr="00042E47">
        <w:trPr>
          <w:trHeight w:val="228"/>
          <w:jc w:val="center"/>
        </w:trPr>
        <w:tc>
          <w:tcPr>
            <w:tcW w:w="4589" w:type="dxa"/>
            <w:shd w:val="clear" w:color="auto" w:fill="auto"/>
            <w:vAlign w:val="center"/>
            <w:hideMark/>
          </w:tcPr>
          <w:p w:rsidR="00042E47" w:rsidRPr="004852AF" w:rsidRDefault="00042E47" w:rsidP="00042E47">
            <w:pPr>
              <w:bidi w:val="0"/>
              <w:spacing w:line="276" w:lineRule="auto"/>
              <w:ind w:firstLine="454"/>
              <w:jc w:val="both"/>
              <w:rPr>
                <w:rFonts w:ascii="Book Antiqua" w:hAnsi="Book Antiqua" w:cs="Arial"/>
                <w:color w:val="000000"/>
              </w:rPr>
            </w:pPr>
            <w:r w:rsidRPr="004852AF">
              <w:rPr>
                <w:rFonts w:ascii="Book Antiqua" w:hAnsi="Book Antiqua" w:cs="Arial"/>
                <w:color w:val="000000"/>
              </w:rPr>
              <w:t>Total</w:t>
            </w:r>
          </w:p>
        </w:tc>
        <w:tc>
          <w:tcPr>
            <w:tcW w:w="134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211"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c>
          <w:tcPr>
            <w:tcW w:w="1465" w:type="dxa"/>
            <w:shd w:val="clear" w:color="auto" w:fill="auto"/>
            <w:noWrap/>
            <w:vAlign w:val="center"/>
            <w:hideMark/>
          </w:tcPr>
          <w:p w:rsidR="00042E47" w:rsidRPr="004852AF" w:rsidRDefault="00042E47" w:rsidP="00042E47">
            <w:pPr>
              <w:bidi w:val="0"/>
              <w:spacing w:line="276" w:lineRule="auto"/>
              <w:jc w:val="center"/>
              <w:rPr>
                <w:rFonts w:ascii="Book Antiqua" w:hAnsi="Book Antiqua" w:cs="Calibri"/>
                <w:color w:val="000000"/>
              </w:rPr>
            </w:pPr>
            <w:r w:rsidRPr="004852AF">
              <w:rPr>
                <w:rFonts w:ascii="Book Antiqua" w:hAnsi="Book Antiqua" w:cs="Calibri"/>
                <w:color w:val="000000"/>
              </w:rPr>
              <w:t>100,0</w:t>
            </w:r>
          </w:p>
        </w:tc>
      </w:tr>
    </w:tbl>
    <w:p w:rsidR="00042E47" w:rsidRPr="004852AF" w:rsidRDefault="00042E47" w:rsidP="00042E47">
      <w:pPr>
        <w:bidi w:val="0"/>
        <w:spacing w:before="240" w:after="240" w:line="276" w:lineRule="auto"/>
        <w:rPr>
          <w:rFonts w:ascii="Book Antiqua" w:hAnsi="Book Antiqua" w:cs="Times New Roman"/>
          <w:b/>
          <w:bCs/>
          <w:noProof w:val="0"/>
          <w:color w:val="0070C0"/>
          <w:sz w:val="24"/>
          <w:szCs w:val="24"/>
        </w:rPr>
      </w:pPr>
      <w:r w:rsidRPr="004852AF">
        <w:rPr>
          <w:rFonts w:ascii="Book Antiqua" w:hAnsi="Book Antiqua" w:cs="Times New Roman"/>
          <w:b/>
          <w:bCs/>
          <w:noProof w:val="0"/>
          <w:color w:val="0070C0"/>
          <w:sz w:val="24"/>
          <w:szCs w:val="24"/>
        </w:rPr>
        <w:t xml:space="preserve">Les femmes invoquent la prise en charge des activités domestiques comme obstacle à  leur accès au marché du travail </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Près de la moitié des femmes en dehors du marché du travail (52,7%) invoquent, comme obstacle à l'accès au marché du travail, la nécessité de prendre soin des enfants ou du foyer (52,6% en milieu urbain et 52,8% en milieu rural). Près d'une femme sur 5 (18%) préfère ne pas travailler (18,3% en milieu urbain et 17% en milieu rural) et 8% citent le refus du mari (8,3% en milieu urbain et 7,2% en milieu rural). </w:t>
      </w:r>
    </w:p>
    <w:p w:rsidR="00042E47" w:rsidRPr="004852AF" w:rsidRDefault="00042E47" w:rsidP="0082354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La proportion des femmes, en dehors du marché de travail pour prendre soin des enfants ou du foyer culmine à 69,6% parmi les femmes en </w:t>
      </w:r>
      <w:r w:rsidR="00823540" w:rsidRPr="004852AF">
        <w:rPr>
          <w:rFonts w:ascii="Book Antiqua" w:hAnsi="Book Antiqua"/>
          <w:sz w:val="24"/>
          <w:szCs w:val="24"/>
        </w:rPr>
        <w:t xml:space="preserve">dehors du marché du travail </w:t>
      </w:r>
      <w:r w:rsidRPr="004852AF">
        <w:rPr>
          <w:rFonts w:ascii="Book Antiqua" w:hAnsi="Book Antiqua"/>
          <w:sz w:val="24"/>
          <w:szCs w:val="24"/>
        </w:rPr>
        <w:t>âgées de 30 à 44 ans. Elle est de 55,9% parmi celles d'entre elles âgées de 45 ans et plus et de 35,7% parmi celles de moins de 30 ans.</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La proportion des femmes dont la nécessité de prendre soin des enfants ou du foyer est la raison principale de leur inactivité, est de 70,3% parmi les mariées, 45,7% les divorcées, 38,9% les veuves et 17,9% les célibataires. </w:t>
      </w:r>
    </w:p>
    <w:p w:rsidR="00042E47" w:rsidRPr="004852AF" w:rsidRDefault="00042E47" w:rsidP="00042E47">
      <w:pPr>
        <w:pStyle w:val="Corpsdetexte2"/>
        <w:bidi w:val="0"/>
        <w:spacing w:before="240" w:after="240" w:line="276" w:lineRule="auto"/>
        <w:rPr>
          <w:rFonts w:ascii="Book Antiqua" w:hAnsi="Book Antiqua"/>
          <w:b/>
          <w:bCs/>
          <w:sz w:val="24"/>
          <w:szCs w:val="24"/>
        </w:rPr>
      </w:pPr>
    </w:p>
    <w:p w:rsidR="00042E47" w:rsidRPr="004852AF" w:rsidRDefault="00042E47" w:rsidP="00042E47">
      <w:pPr>
        <w:pStyle w:val="Corpsdetexte2"/>
        <w:bidi w:val="0"/>
        <w:spacing w:before="240" w:after="240" w:line="276" w:lineRule="auto"/>
        <w:rPr>
          <w:rFonts w:ascii="Book Antiqua" w:hAnsi="Book Antiqua"/>
          <w:b/>
          <w:bCs/>
          <w:sz w:val="24"/>
          <w:szCs w:val="24"/>
        </w:rPr>
      </w:pPr>
    </w:p>
    <w:p w:rsidR="00042E47" w:rsidRPr="004852AF" w:rsidRDefault="00042E47" w:rsidP="00042E47">
      <w:pPr>
        <w:pStyle w:val="Corpsdetexte2"/>
        <w:bidi w:val="0"/>
        <w:spacing w:before="240" w:after="240" w:line="276" w:lineRule="auto"/>
        <w:rPr>
          <w:rFonts w:ascii="Book Antiqua" w:hAnsi="Book Antiqua"/>
          <w:b/>
          <w:bCs/>
          <w:sz w:val="24"/>
          <w:szCs w:val="24"/>
        </w:rPr>
      </w:pPr>
    </w:p>
    <w:p w:rsidR="0051130A" w:rsidRPr="004852AF" w:rsidRDefault="0051130A" w:rsidP="0051130A">
      <w:pPr>
        <w:pStyle w:val="Corpsdetexte2"/>
        <w:bidi w:val="0"/>
        <w:spacing w:before="240" w:after="240" w:line="276" w:lineRule="auto"/>
        <w:rPr>
          <w:rFonts w:ascii="Book Antiqua" w:hAnsi="Book Antiqua"/>
          <w:b/>
          <w:bCs/>
          <w:sz w:val="24"/>
          <w:szCs w:val="24"/>
        </w:rPr>
      </w:pPr>
    </w:p>
    <w:p w:rsidR="00042E47" w:rsidRPr="004852AF" w:rsidRDefault="00771C0C" w:rsidP="00771C0C">
      <w:pPr>
        <w:pStyle w:val="Corpsdetexte2"/>
        <w:bidi w:val="0"/>
        <w:rPr>
          <w:rFonts w:ascii="Book Antiqua" w:hAnsi="Book Antiqua"/>
          <w:b/>
          <w:bCs/>
          <w:szCs w:val="22"/>
        </w:rPr>
      </w:pPr>
      <w:r w:rsidRPr="004852AF">
        <w:rPr>
          <w:rFonts w:ascii="Book Antiqua" w:hAnsi="Book Antiqua"/>
          <w:b/>
          <w:bCs/>
          <w:szCs w:val="22"/>
        </w:rPr>
        <w:lastRenderedPageBreak/>
        <w:t xml:space="preserve">Tableau 3 : </w:t>
      </w:r>
      <w:r w:rsidR="00042E47" w:rsidRPr="004852AF">
        <w:rPr>
          <w:rFonts w:ascii="Book Antiqua" w:hAnsi="Book Antiqua"/>
          <w:b/>
          <w:bCs/>
          <w:szCs w:val="22"/>
        </w:rPr>
        <w:t xml:space="preserve">Femmes </w:t>
      </w:r>
      <w:r w:rsidRPr="004852AF">
        <w:rPr>
          <w:rFonts w:ascii="Book Antiqua" w:hAnsi="Book Antiqua"/>
          <w:b/>
          <w:bCs/>
          <w:szCs w:val="22"/>
        </w:rPr>
        <w:t>en dehors du marché du travail</w:t>
      </w:r>
      <w:r w:rsidR="00042E47" w:rsidRPr="004852AF">
        <w:rPr>
          <w:rFonts w:ascii="Book Antiqua" w:hAnsi="Book Antiqua"/>
          <w:b/>
          <w:bCs/>
          <w:szCs w:val="22"/>
        </w:rPr>
        <w:t xml:space="preserve"> âgées de 15 ans et plus selon l'état matrimonial</w:t>
      </w:r>
      <w:r w:rsidRPr="004852AF">
        <w:rPr>
          <w:rFonts w:ascii="Book Antiqua" w:hAnsi="Book Antiqua"/>
          <w:b/>
          <w:bCs/>
          <w:szCs w:val="22"/>
        </w:rPr>
        <w:t xml:space="preserve"> </w:t>
      </w:r>
      <w:r w:rsidR="00042E47" w:rsidRPr="004852AF">
        <w:rPr>
          <w:rFonts w:ascii="Book Antiqua" w:hAnsi="Book Antiqua"/>
          <w:b/>
          <w:bCs/>
          <w:szCs w:val="22"/>
        </w:rPr>
        <w:t xml:space="preserve"> et les raisons de non accès au marché de travail (en %)</w:t>
      </w:r>
    </w:p>
    <w:p w:rsidR="00771C0C" w:rsidRPr="004852AF" w:rsidRDefault="00771C0C" w:rsidP="00771C0C">
      <w:pPr>
        <w:pStyle w:val="Corpsdetexte2"/>
        <w:bidi w:val="0"/>
        <w:rPr>
          <w:rFonts w:ascii="Book Antiqua" w:hAnsi="Book Antiqua"/>
          <w:b/>
          <w:bCs/>
          <w:sz w:val="12"/>
          <w:szCs w:val="12"/>
        </w:rPr>
      </w:pPr>
    </w:p>
    <w:tbl>
      <w:tblPr>
        <w:tblW w:w="9072" w:type="dxa"/>
        <w:jc w:val="center"/>
        <w:tblLayout w:type="fixed"/>
        <w:tblCellMar>
          <w:left w:w="70" w:type="dxa"/>
          <w:right w:w="70" w:type="dxa"/>
        </w:tblCellMar>
        <w:tblLook w:val="04A0"/>
      </w:tblPr>
      <w:tblGrid>
        <w:gridCol w:w="3489"/>
        <w:gridCol w:w="1079"/>
        <w:gridCol w:w="1270"/>
        <w:gridCol w:w="1078"/>
        <w:gridCol w:w="1078"/>
        <w:gridCol w:w="1078"/>
      </w:tblGrid>
      <w:tr w:rsidR="00042E47" w:rsidRPr="004852AF" w:rsidTr="00042E47">
        <w:trPr>
          <w:trHeight w:val="480"/>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Raisons de non accès au marché de travail</w:t>
            </w:r>
          </w:p>
        </w:tc>
        <w:tc>
          <w:tcPr>
            <w:tcW w:w="1247" w:type="dxa"/>
            <w:tcBorders>
              <w:top w:val="single" w:sz="4" w:space="0" w:color="auto"/>
              <w:left w:val="nil"/>
              <w:bottom w:val="single" w:sz="4" w:space="0" w:color="auto"/>
              <w:right w:val="nil"/>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Total</w:t>
            </w:r>
          </w:p>
        </w:tc>
        <w:tc>
          <w:tcPr>
            <w:tcW w:w="1474" w:type="dxa"/>
            <w:tcBorders>
              <w:top w:val="single" w:sz="4" w:space="0" w:color="auto"/>
              <w:left w:val="single" w:sz="4" w:space="0" w:color="auto"/>
              <w:bottom w:val="single" w:sz="4" w:space="0" w:color="auto"/>
              <w:right w:val="nil"/>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Célibataires</w:t>
            </w:r>
          </w:p>
        </w:tc>
        <w:tc>
          <w:tcPr>
            <w:tcW w:w="1247" w:type="dxa"/>
            <w:tcBorders>
              <w:top w:val="single" w:sz="4" w:space="0" w:color="auto"/>
              <w:left w:val="single" w:sz="4" w:space="0" w:color="auto"/>
              <w:bottom w:val="single" w:sz="4" w:space="0" w:color="auto"/>
              <w:right w:val="nil"/>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Mariées</w:t>
            </w:r>
          </w:p>
        </w:tc>
        <w:tc>
          <w:tcPr>
            <w:tcW w:w="1247" w:type="dxa"/>
            <w:tcBorders>
              <w:top w:val="single" w:sz="4" w:space="0" w:color="auto"/>
              <w:left w:val="single" w:sz="4" w:space="0" w:color="auto"/>
              <w:bottom w:val="single" w:sz="4" w:space="0" w:color="auto"/>
              <w:right w:val="nil"/>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Veuves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Divorcées</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Prendre soin des enfants ou du foyer</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52,7</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17,9</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70,3</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38,9</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45,7</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Ne veut pas travailler</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17,9</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30,3</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10,4</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28,7</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21,1</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Refus du mari</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8,0</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0,2</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13,0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0,1</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Refus du père ou d’un proche</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3,6</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0,9</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1,8</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9,8</w:t>
            </w:r>
          </w:p>
        </w:tc>
      </w:tr>
      <w:tr w:rsidR="00042E47" w:rsidRPr="004852AF" w:rsidTr="00042E47">
        <w:trPr>
          <w:trHeight w:val="48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Rareté ou inexistante des opportunités du travail</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1,6</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3,3</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0,8</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4,8</w:t>
            </w:r>
          </w:p>
        </w:tc>
      </w:tr>
      <w:tr w:rsidR="00042E47" w:rsidRPr="004852AF" w:rsidTr="00042E47">
        <w:trPr>
          <w:trHeight w:val="48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Manque de qualifications requises pour l'accès au marché du travail</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1,6</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4,8</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0,3</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0,8</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2,2</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Autres raisons</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14,7</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33,4</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4,1</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28,9</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16,3</w:t>
            </w:r>
          </w:p>
        </w:tc>
      </w:tr>
      <w:tr w:rsidR="00042E47" w:rsidRPr="004852AF" w:rsidTr="00042E47">
        <w:trPr>
          <w:trHeight w:val="300"/>
          <w:jc w:val="center"/>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Arial"/>
                <w:noProof w:val="0"/>
                <w:color w:val="000000"/>
                <w:sz w:val="18"/>
                <w:szCs w:val="18"/>
              </w:rPr>
            </w:pPr>
            <w:r w:rsidRPr="004852AF">
              <w:rPr>
                <w:rFonts w:ascii="Book Antiqua" w:hAnsi="Book Antiqua" w:cs="Arial"/>
                <w:noProof w:val="0"/>
                <w:color w:val="000000"/>
                <w:sz w:val="18"/>
                <w:szCs w:val="18"/>
              </w:rPr>
              <w:t>Total</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c>
          <w:tcPr>
            <w:tcW w:w="1474"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Arial"/>
                <w:noProof w:val="0"/>
                <w:color w:val="000000"/>
                <w:sz w:val="18"/>
                <w:szCs w:val="18"/>
              </w:rPr>
            </w:pPr>
            <w:r w:rsidRPr="004852AF">
              <w:rPr>
                <w:rFonts w:ascii="Book Antiqua" w:hAnsi="Book Antiqua" w:cs="Arial"/>
                <w:noProof w:val="0"/>
                <w:color w:val="000000"/>
                <w:sz w:val="18"/>
                <w:szCs w:val="18"/>
              </w:rPr>
              <w:t>100,0</w:t>
            </w:r>
          </w:p>
        </w:tc>
      </w:tr>
    </w:tbl>
    <w:p w:rsidR="00042E47" w:rsidRPr="004852AF" w:rsidRDefault="00042E47" w:rsidP="00042E47">
      <w:pPr>
        <w:shd w:val="clear" w:color="auto" w:fill="FFFFFF"/>
        <w:bidi w:val="0"/>
        <w:spacing w:after="120" w:line="320" w:lineRule="exact"/>
        <w:jc w:val="both"/>
        <w:rPr>
          <w:rFonts w:ascii="Book Antiqua" w:hAnsi="Book Antiqua" w:cs="Times New Roman"/>
          <w:color w:val="000000"/>
          <w:sz w:val="24"/>
          <w:szCs w:val="24"/>
        </w:rPr>
      </w:pP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Les obstacles pour l’accès de la femme au marché du travail diminuent avec l’amélioration de son niveau de diplôme. La part des femmes en dehors du marché du travail pour des raisons liées à la nécessité de prendre soin des enfants baisse de 59,7% pour les femmes sans diplôme à 42,9% pour celles ayant un diplôme de niveau moyen pour atteindre 31,4% pour celles disposant d'un diplôme de niveau supérieur. </w:t>
      </w:r>
    </w:p>
    <w:p w:rsidR="00353F5C" w:rsidRPr="004852AF" w:rsidRDefault="00353F5C" w:rsidP="00353F5C">
      <w:pPr>
        <w:pStyle w:val="Corpsdetexte2"/>
        <w:bidi w:val="0"/>
        <w:spacing w:line="276" w:lineRule="auto"/>
        <w:rPr>
          <w:rFonts w:ascii="Book Antiqua" w:hAnsi="Book Antiqua"/>
          <w:b/>
          <w:bCs/>
          <w:szCs w:val="22"/>
        </w:rPr>
      </w:pPr>
      <w:r w:rsidRPr="004852AF">
        <w:rPr>
          <w:rFonts w:ascii="Book Antiqua" w:hAnsi="Book Antiqua"/>
          <w:b/>
          <w:bCs/>
          <w:szCs w:val="22"/>
        </w:rPr>
        <w:t xml:space="preserve">Tableau 4 : </w:t>
      </w:r>
      <w:r w:rsidR="00042E47" w:rsidRPr="004852AF">
        <w:rPr>
          <w:rFonts w:ascii="Book Antiqua" w:hAnsi="Book Antiqua"/>
          <w:b/>
          <w:bCs/>
          <w:szCs w:val="22"/>
        </w:rPr>
        <w:t xml:space="preserve">Femmes </w:t>
      </w:r>
      <w:r w:rsidRPr="004852AF">
        <w:rPr>
          <w:rFonts w:ascii="Book Antiqua" w:hAnsi="Book Antiqua"/>
          <w:b/>
          <w:bCs/>
          <w:szCs w:val="22"/>
        </w:rPr>
        <w:t xml:space="preserve">en dehors du marché du travail </w:t>
      </w:r>
      <w:r w:rsidR="00042E47" w:rsidRPr="004852AF">
        <w:rPr>
          <w:rFonts w:ascii="Book Antiqua" w:hAnsi="Book Antiqua"/>
          <w:b/>
          <w:bCs/>
          <w:szCs w:val="22"/>
        </w:rPr>
        <w:t xml:space="preserve">âgées de 15 ans et plus selon </w:t>
      </w:r>
    </w:p>
    <w:p w:rsidR="00042E47" w:rsidRPr="004852AF" w:rsidRDefault="00042E47" w:rsidP="00353F5C">
      <w:pPr>
        <w:pStyle w:val="Corpsdetexte2"/>
        <w:bidi w:val="0"/>
        <w:spacing w:line="276" w:lineRule="auto"/>
        <w:rPr>
          <w:rFonts w:ascii="Book Antiqua" w:hAnsi="Book Antiqua"/>
          <w:b/>
          <w:bCs/>
          <w:szCs w:val="22"/>
        </w:rPr>
      </w:pPr>
      <w:r w:rsidRPr="004852AF">
        <w:rPr>
          <w:rFonts w:ascii="Book Antiqua" w:hAnsi="Book Antiqua"/>
          <w:b/>
          <w:bCs/>
          <w:szCs w:val="22"/>
        </w:rPr>
        <w:t>les raisons de non accès au marché de travail et le niveau de diplôme (en %)</w:t>
      </w:r>
    </w:p>
    <w:p w:rsidR="00353F5C" w:rsidRPr="004852AF" w:rsidRDefault="00353F5C" w:rsidP="00353F5C">
      <w:pPr>
        <w:pStyle w:val="Corpsdetexte2"/>
        <w:bidi w:val="0"/>
        <w:spacing w:line="276" w:lineRule="auto"/>
        <w:rPr>
          <w:rFonts w:ascii="Book Antiqua" w:hAnsi="Book Antiqua"/>
          <w:b/>
          <w:bCs/>
          <w:sz w:val="12"/>
          <w:szCs w:val="12"/>
        </w:rPr>
      </w:pPr>
    </w:p>
    <w:tbl>
      <w:tblPr>
        <w:tblW w:w="8931" w:type="dxa"/>
        <w:jc w:val="center"/>
        <w:tblInd w:w="55" w:type="dxa"/>
        <w:tblCellMar>
          <w:left w:w="70" w:type="dxa"/>
          <w:right w:w="70" w:type="dxa"/>
        </w:tblCellMar>
        <w:tblLook w:val="04A0"/>
      </w:tblPr>
      <w:tblGrid>
        <w:gridCol w:w="3849"/>
        <w:gridCol w:w="1255"/>
        <w:gridCol w:w="1256"/>
        <w:gridCol w:w="1256"/>
        <w:gridCol w:w="1315"/>
      </w:tblGrid>
      <w:tr w:rsidR="00042E47" w:rsidRPr="004852AF" w:rsidTr="00042E47">
        <w:trPr>
          <w:trHeight w:val="20"/>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Raisons de non accès au marché de travail</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Total</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Sans diplôme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Niveau moyen</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Niveau supérieur</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Prendre soin des enfants ou du foyer</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52,7</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59,7</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42,9</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31,4</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Ne veut pas travailler</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17,9</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15,9</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20,7</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23,7</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Refus du mari</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8,0</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8,2</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7,7</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7,5</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Autre cas volontaire (éducation, ...)</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7,7</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3,6</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13,2</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20,5</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Refus du père ou d’un proche</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3,6</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3,2</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4,7</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2,5</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Rareté ou inexistence des opportunités du travail</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1,6</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1,4</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1,9</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2,9</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Manque de qualifications requises pour l'accès au marché du travail</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1,6</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0,9</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2,6</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3,0</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Autres raisons</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7,0</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7,2</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6,3</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8,5</w:t>
            </w:r>
          </w:p>
        </w:tc>
      </w:tr>
      <w:tr w:rsidR="00042E47" w:rsidRPr="004852AF" w:rsidTr="00042E47">
        <w:trPr>
          <w:trHeight w:val="20"/>
          <w:jc w:val="center"/>
        </w:trPr>
        <w:tc>
          <w:tcPr>
            <w:tcW w:w="3849"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before="60" w:after="60" w:line="276" w:lineRule="auto"/>
              <w:rPr>
                <w:rFonts w:ascii="Book Antiqua" w:hAnsi="Book Antiqua" w:cs="Arial"/>
                <w:noProof w:val="0"/>
                <w:color w:val="000000"/>
              </w:rPr>
            </w:pPr>
            <w:r w:rsidRPr="004852AF">
              <w:rPr>
                <w:rFonts w:ascii="Book Antiqua" w:hAnsi="Book Antiqua" w:cs="Arial"/>
                <w:noProof w:val="0"/>
                <w:color w:val="000000"/>
              </w:rPr>
              <w:t>Total</w:t>
            </w:r>
          </w:p>
        </w:tc>
        <w:tc>
          <w:tcPr>
            <w:tcW w:w="125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100,0</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100,0</w:t>
            </w:r>
          </w:p>
        </w:tc>
        <w:tc>
          <w:tcPr>
            <w:tcW w:w="1256"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100,0</w:t>
            </w:r>
          </w:p>
        </w:tc>
        <w:tc>
          <w:tcPr>
            <w:tcW w:w="131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before="60" w:after="60" w:line="276" w:lineRule="auto"/>
              <w:jc w:val="center"/>
              <w:rPr>
                <w:rFonts w:ascii="Book Antiqua" w:hAnsi="Book Antiqua" w:cs="Arial"/>
                <w:noProof w:val="0"/>
                <w:color w:val="000000"/>
              </w:rPr>
            </w:pPr>
            <w:r w:rsidRPr="004852AF">
              <w:rPr>
                <w:rFonts w:ascii="Book Antiqua" w:hAnsi="Book Antiqua" w:cs="Arial"/>
                <w:noProof w:val="0"/>
                <w:color w:val="000000"/>
              </w:rPr>
              <w:t>100,0</w:t>
            </w:r>
          </w:p>
        </w:tc>
      </w:tr>
    </w:tbl>
    <w:p w:rsidR="00042E47" w:rsidRPr="004852AF" w:rsidRDefault="00042E47" w:rsidP="00042E47">
      <w:pPr>
        <w:bidi w:val="0"/>
        <w:spacing w:before="240" w:after="240" w:line="276" w:lineRule="auto"/>
        <w:rPr>
          <w:rFonts w:ascii="Book Antiqua" w:hAnsi="Book Antiqua" w:cs="Times New Roman"/>
          <w:b/>
          <w:bCs/>
          <w:noProof w:val="0"/>
          <w:color w:val="0070C0"/>
          <w:sz w:val="24"/>
          <w:szCs w:val="24"/>
        </w:rPr>
      </w:pPr>
    </w:p>
    <w:p w:rsidR="00FD0008" w:rsidRPr="004852AF" w:rsidRDefault="00FD0008" w:rsidP="00FD0008">
      <w:pPr>
        <w:bidi w:val="0"/>
        <w:spacing w:before="240" w:after="240" w:line="276" w:lineRule="auto"/>
        <w:rPr>
          <w:rFonts w:ascii="Book Antiqua" w:hAnsi="Book Antiqua" w:cs="Times New Roman"/>
          <w:b/>
          <w:bCs/>
          <w:noProof w:val="0"/>
          <w:color w:val="0070C0"/>
          <w:sz w:val="24"/>
          <w:szCs w:val="24"/>
        </w:rPr>
      </w:pPr>
    </w:p>
    <w:p w:rsidR="00042E47" w:rsidRPr="004852AF" w:rsidRDefault="00042E47" w:rsidP="0051130A">
      <w:pPr>
        <w:bidi w:val="0"/>
        <w:spacing w:before="80" w:after="80" w:line="276" w:lineRule="auto"/>
        <w:rPr>
          <w:rFonts w:ascii="Book Antiqua" w:hAnsi="Book Antiqua" w:cs="Times New Roman"/>
          <w:b/>
          <w:bCs/>
          <w:noProof w:val="0"/>
          <w:color w:val="0070C0"/>
          <w:sz w:val="24"/>
          <w:szCs w:val="24"/>
        </w:rPr>
      </w:pPr>
      <w:r w:rsidRPr="004852AF">
        <w:rPr>
          <w:rFonts w:ascii="Book Antiqua" w:hAnsi="Book Antiqua" w:cs="Times New Roman"/>
          <w:b/>
          <w:bCs/>
          <w:noProof w:val="0"/>
          <w:color w:val="0070C0"/>
          <w:sz w:val="24"/>
          <w:szCs w:val="24"/>
        </w:rPr>
        <w:lastRenderedPageBreak/>
        <w:t>Une femme en dehors du marché du travail sur 10 est disposée à exercer un emploi</w:t>
      </w:r>
    </w:p>
    <w:p w:rsidR="00042E47" w:rsidRPr="004852AF" w:rsidRDefault="00042E47" w:rsidP="00042E47">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Près d'une femme inactive sur 10 (10,9%) est disposée à exercer un emploi (11,2% en milieu urbain et 10,4% rural), ce qui représente des effectifs, respectivement, de 1,1 million, 759 mille et 341 mille femmes. Cette proportion est de 25,9% pour celles évoquant le refus du père ou d’un membre de la famille, de 16,8% le refus du mari et de 10,3% la nécessité de prendre soin des enfants. Selon l’âge, les femmes de moins de 30 ans sont les plus disposées à intégrer le marché de travail avec 15,4%, suivies de celles âgées de 30 à 44 ans (14,2%). </w:t>
      </w:r>
    </w:p>
    <w:p w:rsidR="00353F5C" w:rsidRPr="004852AF" w:rsidRDefault="00353F5C" w:rsidP="00353F5C">
      <w:pPr>
        <w:pStyle w:val="Corpsdetexte2"/>
        <w:bidi w:val="0"/>
        <w:spacing w:line="276" w:lineRule="auto"/>
        <w:rPr>
          <w:rFonts w:ascii="Book Antiqua" w:hAnsi="Book Antiqua"/>
          <w:b/>
          <w:bCs/>
          <w:szCs w:val="22"/>
        </w:rPr>
      </w:pPr>
      <w:r w:rsidRPr="004852AF">
        <w:rPr>
          <w:rFonts w:ascii="Book Antiqua" w:hAnsi="Book Antiqua"/>
          <w:b/>
          <w:bCs/>
          <w:szCs w:val="22"/>
        </w:rPr>
        <w:t xml:space="preserve">Tableau 5 : </w:t>
      </w:r>
      <w:r w:rsidR="00042E47" w:rsidRPr="004852AF">
        <w:rPr>
          <w:rFonts w:ascii="Book Antiqua" w:hAnsi="Book Antiqua"/>
          <w:b/>
          <w:bCs/>
          <w:szCs w:val="22"/>
        </w:rPr>
        <w:t xml:space="preserve">Proportions des femmes </w:t>
      </w:r>
      <w:r w:rsidRPr="004852AF">
        <w:rPr>
          <w:rFonts w:ascii="Book Antiqua" w:hAnsi="Book Antiqua"/>
          <w:b/>
          <w:bCs/>
          <w:szCs w:val="22"/>
        </w:rPr>
        <w:t xml:space="preserve">âgées de 15 ans et plus en dehors du marché </w:t>
      </w:r>
    </w:p>
    <w:p w:rsidR="00042E47" w:rsidRPr="004852AF" w:rsidRDefault="00353F5C" w:rsidP="00353F5C">
      <w:pPr>
        <w:pStyle w:val="Corpsdetexte2"/>
        <w:bidi w:val="0"/>
        <w:spacing w:line="276" w:lineRule="auto"/>
        <w:rPr>
          <w:rFonts w:ascii="Book Antiqua" w:hAnsi="Book Antiqua"/>
          <w:b/>
          <w:bCs/>
          <w:szCs w:val="22"/>
        </w:rPr>
      </w:pPr>
      <w:r w:rsidRPr="004852AF">
        <w:rPr>
          <w:rFonts w:ascii="Book Antiqua" w:hAnsi="Book Antiqua"/>
          <w:b/>
          <w:bCs/>
          <w:szCs w:val="22"/>
        </w:rPr>
        <w:t xml:space="preserve">du travail </w:t>
      </w:r>
      <w:r w:rsidR="00042E47" w:rsidRPr="004852AF">
        <w:rPr>
          <w:rFonts w:ascii="Book Antiqua" w:hAnsi="Book Antiqua"/>
          <w:b/>
          <w:bCs/>
          <w:szCs w:val="22"/>
        </w:rPr>
        <w:t xml:space="preserve">disposées à travailler selon le milieu, l'âge et le diplôme </w:t>
      </w:r>
      <w:r w:rsidR="00001FAA" w:rsidRPr="004852AF">
        <w:rPr>
          <w:rFonts w:ascii="Book Antiqua" w:hAnsi="Book Antiqua"/>
          <w:b/>
          <w:bCs/>
          <w:szCs w:val="22"/>
        </w:rPr>
        <w:t>(en%)</w:t>
      </w:r>
    </w:p>
    <w:p w:rsidR="00353F5C" w:rsidRPr="004852AF" w:rsidRDefault="00353F5C" w:rsidP="00353F5C">
      <w:pPr>
        <w:pStyle w:val="Corpsdetexte2"/>
        <w:bidi w:val="0"/>
        <w:spacing w:line="276" w:lineRule="auto"/>
        <w:rPr>
          <w:rFonts w:ascii="Book Antiqua" w:hAnsi="Book Antiqua"/>
          <w:b/>
          <w:bCs/>
          <w:sz w:val="12"/>
          <w:szCs w:val="12"/>
        </w:rPr>
      </w:pPr>
    </w:p>
    <w:tbl>
      <w:tblPr>
        <w:tblW w:w="8534" w:type="dxa"/>
        <w:jc w:val="center"/>
        <w:tblCellMar>
          <w:left w:w="70" w:type="dxa"/>
          <w:right w:w="70" w:type="dxa"/>
        </w:tblCellMar>
        <w:tblLook w:val="04A0"/>
      </w:tblPr>
      <w:tblGrid>
        <w:gridCol w:w="2133"/>
        <w:gridCol w:w="2133"/>
        <w:gridCol w:w="2133"/>
        <w:gridCol w:w="2135"/>
      </w:tblGrid>
      <w:tr w:rsidR="00042E47" w:rsidRPr="004852AF" w:rsidTr="0051130A">
        <w:trPr>
          <w:trHeight w:val="20"/>
          <w:jc w:val="center"/>
        </w:trPr>
        <w:tc>
          <w:tcPr>
            <w:tcW w:w="2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rPr>
                <w:rFonts w:ascii="Book Antiqua" w:hAnsi="Book Antiqua" w:cs="Calibri"/>
                <w:noProof w:val="0"/>
                <w:color w:val="000000"/>
                <w:sz w:val="18"/>
                <w:szCs w:val="18"/>
              </w:rPr>
            </w:pPr>
            <w:r w:rsidRPr="004852AF">
              <w:rPr>
                <w:rFonts w:ascii="Book Antiqua" w:hAnsi="Book Antiqua" w:cs="Calibri"/>
                <w:noProof w:val="0"/>
                <w:color w:val="000000"/>
                <w:sz w:val="18"/>
                <w:szCs w:val="18"/>
              </w:rPr>
              <w:t> </w:t>
            </w:r>
          </w:p>
        </w:tc>
        <w:tc>
          <w:tcPr>
            <w:tcW w:w="2133" w:type="dxa"/>
            <w:tcBorders>
              <w:top w:val="single" w:sz="4" w:space="0" w:color="auto"/>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Urbain</w:t>
            </w:r>
          </w:p>
        </w:tc>
        <w:tc>
          <w:tcPr>
            <w:tcW w:w="2133" w:type="dxa"/>
            <w:tcBorders>
              <w:top w:val="single" w:sz="4" w:space="0" w:color="auto"/>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Rural</w:t>
            </w:r>
          </w:p>
        </w:tc>
        <w:tc>
          <w:tcPr>
            <w:tcW w:w="2135" w:type="dxa"/>
            <w:tcBorders>
              <w:top w:val="single" w:sz="4" w:space="0" w:color="auto"/>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Ensemble</w:t>
            </w:r>
          </w:p>
        </w:tc>
      </w:tr>
      <w:tr w:rsidR="00042E47" w:rsidRPr="004852AF" w:rsidTr="0051130A">
        <w:trPr>
          <w:trHeight w:val="20"/>
          <w:jc w:val="center"/>
        </w:trPr>
        <w:tc>
          <w:tcPr>
            <w:tcW w:w="8532"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rPr>
                <w:rFonts w:ascii="Book Antiqua" w:hAnsi="Book Antiqua" w:cs="Calibri"/>
                <w:noProof w:val="0"/>
                <w:color w:val="000000"/>
                <w:sz w:val="18"/>
                <w:szCs w:val="18"/>
              </w:rPr>
            </w:pPr>
            <w:r w:rsidRPr="004852AF">
              <w:rPr>
                <w:rFonts w:ascii="Book Antiqua" w:hAnsi="Book Antiqua" w:cs="Calibri"/>
                <w:noProof w:val="0"/>
                <w:color w:val="000000"/>
                <w:sz w:val="18"/>
                <w:szCs w:val="18"/>
              </w:rPr>
              <w:t>Groupe d’âges</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15-29 ans</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16,2</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14,2</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15,4</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30-44 ans</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14,9</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12,7</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14,2</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45 ans et plus</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4,4</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4,1</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4,3</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Total</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11,2</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10,4</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10,9</w:t>
            </w:r>
          </w:p>
        </w:tc>
      </w:tr>
      <w:tr w:rsidR="00042E47" w:rsidRPr="004852AF" w:rsidTr="0051130A">
        <w:trPr>
          <w:trHeight w:val="20"/>
          <w:jc w:val="center"/>
        </w:trPr>
        <w:tc>
          <w:tcPr>
            <w:tcW w:w="8532" w:type="dxa"/>
            <w:gridSpan w:val="4"/>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rPr>
                <w:rFonts w:ascii="Book Antiqua" w:hAnsi="Book Antiqua" w:cs="Calibri"/>
                <w:noProof w:val="0"/>
                <w:color w:val="000000"/>
                <w:sz w:val="18"/>
                <w:szCs w:val="18"/>
              </w:rPr>
            </w:pPr>
            <w:r w:rsidRPr="004852AF">
              <w:rPr>
                <w:rFonts w:ascii="Book Antiqua" w:hAnsi="Book Antiqua" w:cs="Arial"/>
                <w:noProof w:val="0"/>
                <w:color w:val="000000"/>
                <w:sz w:val="18"/>
                <w:szCs w:val="18"/>
              </w:rPr>
              <w:t>Niveau de diplôme</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Sans diplôme</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8,5</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9,4</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8,9</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Niveau moyen</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13,0</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13,2</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13,1</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Niveau supérieur</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19,2</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25,4</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19,6</w:t>
            </w:r>
          </w:p>
        </w:tc>
      </w:tr>
      <w:tr w:rsidR="00042E47" w:rsidRPr="004852AF" w:rsidTr="0051130A">
        <w:trPr>
          <w:trHeight w:val="20"/>
          <w:jc w:val="center"/>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042E47" w:rsidRPr="004852AF" w:rsidRDefault="00042E47" w:rsidP="00042E47">
            <w:pPr>
              <w:bidi w:val="0"/>
              <w:spacing w:line="276" w:lineRule="auto"/>
              <w:ind w:firstLine="340"/>
              <w:rPr>
                <w:rFonts w:ascii="Book Antiqua" w:hAnsi="Book Antiqua" w:cs="Arial"/>
                <w:noProof w:val="0"/>
                <w:color w:val="000000"/>
                <w:sz w:val="18"/>
                <w:szCs w:val="18"/>
              </w:rPr>
            </w:pPr>
            <w:r w:rsidRPr="004852AF">
              <w:rPr>
                <w:rFonts w:ascii="Book Antiqua" w:hAnsi="Book Antiqua" w:cs="Arial"/>
                <w:noProof w:val="0"/>
                <w:color w:val="000000"/>
                <w:sz w:val="18"/>
                <w:szCs w:val="18"/>
              </w:rPr>
              <w:t>Total</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11,2</w:t>
            </w:r>
          </w:p>
        </w:tc>
        <w:tc>
          <w:tcPr>
            <w:tcW w:w="2133"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10,4</w:t>
            </w:r>
          </w:p>
        </w:tc>
        <w:tc>
          <w:tcPr>
            <w:tcW w:w="2135" w:type="dxa"/>
            <w:tcBorders>
              <w:top w:val="nil"/>
              <w:left w:val="nil"/>
              <w:bottom w:val="single" w:sz="4" w:space="0" w:color="auto"/>
              <w:right w:val="single" w:sz="4" w:space="0" w:color="auto"/>
            </w:tcBorders>
            <w:shd w:val="clear" w:color="auto" w:fill="auto"/>
            <w:noWrap/>
            <w:vAlign w:val="center"/>
            <w:hideMark/>
          </w:tcPr>
          <w:p w:rsidR="00042E47" w:rsidRPr="004852AF" w:rsidRDefault="00042E47" w:rsidP="00042E47">
            <w:pPr>
              <w:bidi w:val="0"/>
              <w:spacing w:line="276" w:lineRule="auto"/>
              <w:jc w:val="center"/>
              <w:rPr>
                <w:rFonts w:ascii="Book Antiqua" w:hAnsi="Book Antiqua" w:cs="Calibri"/>
                <w:noProof w:val="0"/>
                <w:color w:val="000000"/>
                <w:sz w:val="18"/>
                <w:szCs w:val="18"/>
              </w:rPr>
            </w:pPr>
            <w:r w:rsidRPr="004852AF">
              <w:rPr>
                <w:rFonts w:ascii="Book Antiqua" w:hAnsi="Book Antiqua" w:cs="Calibri"/>
                <w:noProof w:val="0"/>
                <w:color w:val="000000"/>
                <w:sz w:val="18"/>
                <w:szCs w:val="18"/>
              </w:rPr>
              <w:t>10,9</w:t>
            </w:r>
          </w:p>
        </w:tc>
      </w:tr>
    </w:tbl>
    <w:p w:rsidR="00042E47" w:rsidRPr="004852AF" w:rsidRDefault="00042E47" w:rsidP="0082354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Selon la qualification, les femmes inactives disposant d’un diplôme de niveau supérieur sont les plus motivées à intégrer le marché du travail avec une proportion de 19,6% contre 13,1% pour celles ayant un diplôme de niveau moyen et 8,9% pour les femmes inactives sans diplôme. </w:t>
      </w:r>
    </w:p>
    <w:p w:rsidR="00042E47" w:rsidRPr="004852AF" w:rsidRDefault="00042E47" w:rsidP="00042E47">
      <w:pPr>
        <w:pStyle w:val="Corpsdetexte2"/>
        <w:bidi w:val="0"/>
        <w:spacing w:before="120" w:after="120"/>
        <w:jc w:val="both"/>
        <w:rPr>
          <w:rFonts w:ascii="Book Antiqua" w:hAnsi="Book Antiqua"/>
          <w:sz w:val="24"/>
          <w:szCs w:val="24"/>
        </w:rPr>
      </w:pPr>
      <w:r w:rsidRPr="004852AF">
        <w:rPr>
          <w:rFonts w:ascii="Book Antiqua" w:hAnsi="Book Antiqua"/>
          <w:sz w:val="24"/>
          <w:szCs w:val="24"/>
        </w:rPr>
        <w:t>Au niveau régional, la part des femmes en dehors du marché du travail qui sont prêtes à exercer un emploi est de 35% dans la région de Laayoune-Sakia El Hamra, de 17% dans la région de Tanger-Tétouan-Al Hoceima et de 6,1% dans la région de Casablanca-Settat.</w:t>
      </w:r>
    </w:p>
    <w:p w:rsidR="00042E47" w:rsidRPr="004852AF" w:rsidRDefault="00042E47" w:rsidP="00042E47">
      <w:pPr>
        <w:pStyle w:val="Corpsdetexte2"/>
        <w:bidi w:val="0"/>
        <w:spacing w:before="120" w:after="120"/>
        <w:jc w:val="both"/>
        <w:rPr>
          <w:rFonts w:ascii="Book Antiqua" w:hAnsi="Book Antiqua"/>
          <w:sz w:val="24"/>
          <w:szCs w:val="24"/>
        </w:rPr>
      </w:pPr>
      <w:r w:rsidRPr="004852AF">
        <w:rPr>
          <w:rFonts w:ascii="Book Antiqua" w:hAnsi="Book Antiqua"/>
          <w:sz w:val="24"/>
          <w:szCs w:val="24"/>
        </w:rPr>
        <w:t>L’accès des femmes en dehors du marché du travail disposées à travailler aurait pour conséquence d’améliorer les taux d’activité, plus particulièrement celui de la population féminine. Ce taux serait, ainsi, à l’échelle nationale et pour les deux sexes réunis, de 51,0% (au lieu de 46,7%) et de 30,9% pour les femmes (au lieu de 22,4%), soient une amélioration, respectivement, de 4,3 et 8,5 points de pourcentage.</w:t>
      </w:r>
    </w:p>
    <w:p w:rsidR="00042E47" w:rsidRPr="004852AF" w:rsidRDefault="00042E47" w:rsidP="0082354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Il est à noter que, selon la raison d’exclusion du marché de travail, 28,9% de celles âgées de moins de 30 ans qui sont en dehors du marché du travail suite au refus du père ou d’un proche sont disposées à travailler. Cette proportion est de 24,4% parmi </w:t>
      </w:r>
      <w:r w:rsidR="00823540" w:rsidRPr="004852AF">
        <w:rPr>
          <w:rFonts w:ascii="Book Antiqua" w:hAnsi="Book Antiqua"/>
          <w:sz w:val="24"/>
          <w:szCs w:val="24"/>
        </w:rPr>
        <w:t xml:space="preserve">les femmes </w:t>
      </w:r>
      <w:r w:rsidRPr="004852AF">
        <w:rPr>
          <w:rFonts w:ascii="Book Antiqua" w:hAnsi="Book Antiqua"/>
          <w:sz w:val="24"/>
          <w:szCs w:val="24"/>
        </w:rPr>
        <w:t xml:space="preserve"> âgées de 30-44 ans et de 11,9% parmi les 45 ans et plus. Parmi </w:t>
      </w:r>
      <w:r w:rsidR="00823540" w:rsidRPr="004852AF">
        <w:rPr>
          <w:rFonts w:ascii="Book Antiqua" w:hAnsi="Book Antiqua"/>
          <w:sz w:val="24"/>
          <w:szCs w:val="24"/>
        </w:rPr>
        <w:t xml:space="preserve">les femmes </w:t>
      </w:r>
      <w:r w:rsidRPr="004852AF">
        <w:rPr>
          <w:rFonts w:ascii="Book Antiqua" w:hAnsi="Book Antiqua"/>
          <w:sz w:val="24"/>
          <w:szCs w:val="24"/>
        </w:rPr>
        <w:t>déclarant comme raison le refus du mari, ces proportions sont respectivement de 22,3%, 18,2% et 7,2%.</w:t>
      </w:r>
    </w:p>
    <w:p w:rsidR="00042E47" w:rsidRPr="004852AF" w:rsidRDefault="00042E47" w:rsidP="004254B8">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Parmi les femmes qui détiennent un diplôme de niveau supérieur, la proportion de celles disposées à intégrer le marché de travail atteint 43,1% parmi celles </w:t>
      </w:r>
      <w:r w:rsidR="00823540" w:rsidRPr="004852AF">
        <w:rPr>
          <w:rFonts w:ascii="Book Antiqua" w:hAnsi="Book Antiqua"/>
          <w:sz w:val="24"/>
          <w:szCs w:val="24"/>
        </w:rPr>
        <w:t xml:space="preserve">dont la raison avancée </w:t>
      </w:r>
      <w:r w:rsidRPr="004852AF">
        <w:rPr>
          <w:rFonts w:ascii="Book Antiqua" w:hAnsi="Book Antiqua"/>
          <w:sz w:val="24"/>
          <w:szCs w:val="24"/>
        </w:rPr>
        <w:t xml:space="preserve"> </w:t>
      </w:r>
      <w:r w:rsidR="00823540" w:rsidRPr="004852AF">
        <w:rPr>
          <w:rFonts w:ascii="Book Antiqua" w:hAnsi="Book Antiqua"/>
          <w:sz w:val="24"/>
          <w:szCs w:val="24"/>
        </w:rPr>
        <w:t xml:space="preserve">est le refus du </w:t>
      </w:r>
      <w:r w:rsidRPr="004852AF">
        <w:rPr>
          <w:rFonts w:ascii="Book Antiqua" w:hAnsi="Book Antiqua"/>
          <w:sz w:val="24"/>
          <w:szCs w:val="24"/>
        </w:rPr>
        <w:t xml:space="preserve">père ou </w:t>
      </w:r>
      <w:r w:rsidR="00823540" w:rsidRPr="004852AF">
        <w:rPr>
          <w:rFonts w:ascii="Book Antiqua" w:hAnsi="Book Antiqua"/>
          <w:sz w:val="24"/>
          <w:szCs w:val="24"/>
        </w:rPr>
        <w:t>d'</w:t>
      </w:r>
      <w:r w:rsidRPr="004852AF">
        <w:rPr>
          <w:rFonts w:ascii="Book Antiqua" w:hAnsi="Book Antiqua"/>
          <w:sz w:val="24"/>
          <w:szCs w:val="24"/>
        </w:rPr>
        <w:t xml:space="preserve">un membre de la famille, 29,8% </w:t>
      </w:r>
      <w:r w:rsidR="00823540" w:rsidRPr="004852AF">
        <w:rPr>
          <w:rFonts w:ascii="Book Antiqua" w:hAnsi="Book Antiqua"/>
          <w:sz w:val="24"/>
          <w:szCs w:val="24"/>
        </w:rPr>
        <w:t xml:space="preserve">le refus du </w:t>
      </w:r>
      <w:r w:rsidRPr="004852AF">
        <w:rPr>
          <w:rFonts w:ascii="Book Antiqua" w:hAnsi="Book Antiqua"/>
          <w:sz w:val="24"/>
          <w:szCs w:val="24"/>
        </w:rPr>
        <w:t>mari et 28,6%  l’éducation des enfants et les tâches domestiques.</w:t>
      </w:r>
    </w:p>
    <w:p w:rsidR="00042E47" w:rsidRPr="004852AF" w:rsidRDefault="00042E47"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 xml:space="preserve">caractéristiques des entrepreneurs </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Dans cette note, on désigne par entrepreneurs, les catégories d’actifs occupés pour lesquelles la situation dans la profession est soit employeur, indépendant, associé ou salarié gérant. Leur nombre, selon les résultats de l’enquête, s’élève, en 2017, à 3.668.000 personnes, ce qui représente 34,3% de l’ensemble des actifs occupés âgés de 15 ans et plus. Cette proportion est de 39,4% pour les hommes contre 17,4% pour les femmes et de 31,4% en milieu urbain contre 37,8% en milieu rural. </w:t>
      </w:r>
    </w:p>
    <w:p w:rsidR="00042E47" w:rsidRPr="004852AF" w:rsidRDefault="00042E47" w:rsidP="0065005E">
      <w:pPr>
        <w:pStyle w:val="Corpsdetexte2"/>
        <w:bidi w:val="0"/>
        <w:spacing w:before="120" w:after="120"/>
        <w:jc w:val="both"/>
        <w:rPr>
          <w:rFonts w:ascii="Book Antiqua" w:hAnsi="Book Antiqua"/>
          <w:sz w:val="24"/>
          <w:szCs w:val="24"/>
        </w:rPr>
      </w:pPr>
      <w:r w:rsidRPr="004852AF">
        <w:rPr>
          <w:rFonts w:ascii="Book Antiqua" w:hAnsi="Book Antiqua"/>
          <w:sz w:val="24"/>
          <w:szCs w:val="24"/>
        </w:rPr>
        <w:t>Un peu plus de 7 entrepreneurs sur 10 (71,2%) sont installés dans 5 régions à savoir Casablanca-Settat (20,4%), Marrakech-Safi (14,0%), Rabat-Salé-Kénitra (12,7%), Fès-Meknès (12,1%) et Tanger-Tétouan-Al Hoceima (11,9%).</w:t>
      </w:r>
    </w:p>
    <w:p w:rsidR="00042E47" w:rsidRPr="004852AF" w:rsidRDefault="00042E47" w:rsidP="00042E47">
      <w:pPr>
        <w:bidi w:val="0"/>
        <w:spacing w:before="240" w:after="240" w:line="276" w:lineRule="auto"/>
        <w:jc w:val="both"/>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Près de 8 entrepreneurs sur 10 sont des indépendants et 9 sur 10 sont de sexe masculin</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Selon le statut professionnel, la majorité des entrepreneurs (86,9%) sont des indépendants, 80,2% en milieu urbain et 93,7% en milieu rural. Les autres catégories sont les employeurs (7,2%), les associés (5,5%) et les salariés gérants (0,5%).</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Près de 9 entrepreneurs sur 10 (88,2%) sont des hommes (90,4% en milieu urbain et 86,0% en milieu rural) et 1 sur 10 (11,8%) est une femme (9,6% dans les villes et 14,0% à la campagne).</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Un entrepreneur sur 2 est âgé de 45 ans et plus (49,6%), 4 sur 10 sont âgés de 30 à 44 ans (39,9%) alors que le dixième ont moins de 29 ans (10,5%).</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Une proportion relativement élevée des entrepreneurs ne dispose d’aucun diplôme (69,5%). Près du quart d’entre eux (24,2%) ont un diplôme de niveau moyen et seulement 6,3% un diplôme de niveau supérieur.</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Selon le secteur d’activité, 38,9% des entrepreneurs exercent dans l’agriculture, forêts et pêche (73,6% en milieu rural et 4,6% en milieu urbain) et 45,1% dans le secteur des services (70,4% dans les villes et 19,5% à la campagne). Le reste des entrepreneurs se répartit entre l’industrie y compris l’artisanat (8,3%) et la construction (7,7%).</w:t>
      </w:r>
    </w:p>
    <w:p w:rsidR="00042E47" w:rsidRPr="004852AF" w:rsidRDefault="00042E47" w:rsidP="00042E47">
      <w:pPr>
        <w:bidi w:val="0"/>
        <w:spacing w:before="240" w:after="240" w:line="276" w:lineRule="auto"/>
        <w:jc w:val="both"/>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La majorité des entrepreneurs gèrent des unités de petites tailles et ne détiennent pas de comptabilité</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Il est à relever que 98,2% des entrepreneurs gèrent des unités économiques de taille ne dépassant pas 5 employés (97,4% en milieu urbain et 99,0% en milieu rural) et 3% seulement détiennent une comptabilité ; 5,7% en milieu urbain et 0,2% en milieu rural ; 2,9% parmi les hommes et 3,7% parmi les femmes. La part des entrepreneurs ayant une comptabilité s’améliore avec le niveau d’enseignement ou de formation passant, ainsi, de 0,5% pour les sans diplôme à 31,6% pour ceux disposant d’un diplôme de niveau supérieur.</w:t>
      </w:r>
    </w:p>
    <w:p w:rsidR="00075144" w:rsidRPr="004852AF" w:rsidRDefault="00075144" w:rsidP="00042E47">
      <w:pPr>
        <w:bidi w:val="0"/>
        <w:spacing w:before="240" w:after="240" w:line="276" w:lineRule="auto"/>
        <w:jc w:val="both"/>
        <w:rPr>
          <w:rFonts w:ascii="Book Antiqua" w:hAnsi="Book Antiqua" w:cs="Times New Roman"/>
          <w:noProof w:val="0"/>
          <w:color w:val="0070C0"/>
          <w:sz w:val="24"/>
          <w:szCs w:val="24"/>
        </w:rPr>
      </w:pPr>
    </w:p>
    <w:p w:rsidR="00042E47" w:rsidRPr="004852AF" w:rsidRDefault="00042E47" w:rsidP="00075144">
      <w:pPr>
        <w:bidi w:val="0"/>
        <w:spacing w:before="240" w:after="240" w:line="276" w:lineRule="auto"/>
        <w:jc w:val="both"/>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lastRenderedPageBreak/>
        <w:t xml:space="preserve">Les entrepreneurs invoquent les procédures administratives et l’accès au financement comme obstacles à la création des activités économiques </w:t>
      </w:r>
    </w:p>
    <w:p w:rsidR="00042E47" w:rsidRPr="004852AF" w:rsidRDefault="00042E47"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Un entrepreneur détenant une comptabilité sur 2 (51,8%) n’a pas rencontré de difficultés majeures au moment de la création de son unité ou du lancement de son activité, 52,3% parmi les hommes et 48,9% parmi les femmes. Les entrepreneurs ayant déclaré avoir rencontré des difficultés invoquent, pour 42,5% d'entre eux, la complexité des procédures administratives (42,8% en milieu urbain et 35,7% en milieu rural), le financement pour 41,5% (41,0% en milieu urbain et 52,4% en milieu rural), l’accès au foncier (9,9%) notamment en milieu urbain (10,3%), le manque de main d'œuvre qualifiée (2,1%) et, enfin, le népotisme (1,7%).</w:t>
      </w:r>
    </w:p>
    <w:p w:rsidR="00042E47" w:rsidRPr="004852AF" w:rsidRDefault="00042E47" w:rsidP="00042E47"/>
    <w:p w:rsidR="00B84C65" w:rsidRPr="004852AF" w:rsidRDefault="00B84C65"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t xml:space="preserve">couverture du système de retraite </w:t>
      </w:r>
    </w:p>
    <w:p w:rsidR="00B84C65" w:rsidRPr="004852AF" w:rsidRDefault="00B84C65" w:rsidP="00B84C65">
      <w:pPr>
        <w:tabs>
          <w:tab w:val="left" w:pos="5556"/>
        </w:tabs>
        <w:bidi w:val="0"/>
        <w:spacing w:before="240" w:after="240"/>
        <w:jc w:val="both"/>
        <w:rPr>
          <w:rFonts w:ascii="Book Antiqua" w:hAnsi="Book Antiqua" w:cs="Times New Roman"/>
          <w:color w:val="0070C0"/>
          <w:sz w:val="24"/>
          <w:szCs w:val="24"/>
        </w:rPr>
      </w:pPr>
      <w:r w:rsidRPr="004852AF">
        <w:rPr>
          <w:rFonts w:ascii="Book Antiqua" w:hAnsi="Book Antiqua" w:cs="Times New Roman"/>
          <w:color w:val="0070C0"/>
          <w:sz w:val="24"/>
          <w:szCs w:val="24"/>
        </w:rPr>
        <w:t xml:space="preserve">Le système de retraite couvre à peine 2 actifs occupés âgés de 15 ans et plus sur 10 avec d'importantes disparités entre milieu de résidence et régions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Les données fournies par l’enquête nationale sur l’emploi au titre de l’année 2017, montrent que le taux de couverture des actifs occupés âgés de 15 ans et plus par le système de retraite atteint 21% au niveau national, 33% en milieu urbain et 6% en milieu rural. </w:t>
      </w:r>
    </w:p>
    <w:p w:rsidR="00B84C65" w:rsidRPr="004852AF" w:rsidRDefault="0065005E"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w:t>
      </w:r>
      <w:r w:rsidR="00B84C65" w:rsidRPr="004852AF">
        <w:rPr>
          <w:rFonts w:ascii="Book Antiqua" w:hAnsi="Book Antiqua"/>
          <w:sz w:val="24"/>
          <w:szCs w:val="24"/>
        </w:rPr>
        <w:t>a moitié des régions affiche un taux de couverture inférieur à la moyenne nationale. La région d’Eddakhla-Oued Eddahab enregistre le taux le plus élevé avec 43,7%, suivie de Laayoune-Sakia El Hamra (37,8%), de Casablanca-Settat (31,7%) et, enfin, de Rabat-Salé-Kénitra (25,8%). La région de Béni Mellal-Khénifra se positionne en dernière position avec un taux de 11,3%.</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Le taux de couverture du système de retraite s’établit presque au même niveau, aussi bien pour les actifs occupés masculins que féminins, soit respectivement 20,5% et 21,8%. Selon l’âge, ce taux passe de 13,2% pour les jeunes âgés de 15 à 29 ans à 23,2% pour les actifs  adultes âgés de 30 ans et plus.</w:t>
      </w:r>
    </w:p>
    <w:p w:rsidR="00B84C65" w:rsidRPr="004852AF" w:rsidRDefault="00B84C65" w:rsidP="00B84C65">
      <w:pPr>
        <w:tabs>
          <w:tab w:val="left" w:pos="5556"/>
        </w:tabs>
        <w:bidi w:val="0"/>
        <w:spacing w:before="240" w:after="240"/>
        <w:jc w:val="both"/>
        <w:rPr>
          <w:rFonts w:ascii="Book Antiqua" w:hAnsi="Book Antiqua" w:cs="Times New Roman"/>
          <w:color w:val="0070C0"/>
          <w:sz w:val="24"/>
          <w:szCs w:val="24"/>
        </w:rPr>
      </w:pPr>
      <w:r w:rsidRPr="004852AF">
        <w:rPr>
          <w:rFonts w:ascii="Book Antiqua" w:hAnsi="Book Antiqua" w:cs="Times New Roman"/>
          <w:color w:val="0070C0"/>
          <w:sz w:val="24"/>
          <w:szCs w:val="24"/>
        </w:rPr>
        <w:t>Le niveau de diplôme et le secteur d’activité restent des facteurs déterminants dans la couverture du système de retraite</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 taux de couverture des actifs occupés connait, à l’échelle nationale, une augmentation substantielle selon le niveau de diplôme. De 8,3% pour les actifs n’ayant aucun diplôme, à 22,3% pour ceux ayant un diplôme de niveau moyen pour culminer à 71,6% pour les diplômés du niveau supérieur. </w:t>
      </w:r>
    </w:p>
    <w:p w:rsidR="00075144"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Au niveau national, le taux de couverture du système de retraite varie considérablement selon le secteur d’activité économique. Il passe de 4,5% parmi les actifs excerçant dans le secteur de l’agriculture, forêt et pêche, à 8,8% dans les BTP, puis à 33% dans les services, pour atteindre 36,9%, comme valeur maximale, dans le secteur de l’industrie y compris l’artisanat. </w:t>
      </w:r>
    </w:p>
    <w:p w:rsidR="00075144" w:rsidRPr="004852AF" w:rsidRDefault="00075144">
      <w:pPr>
        <w:bidi w:val="0"/>
        <w:rPr>
          <w:rFonts w:ascii="Book Antiqua" w:hAnsi="Book Antiqua" w:cs="Simplified Arabic"/>
          <w:noProof w:val="0"/>
          <w:sz w:val="24"/>
          <w:szCs w:val="24"/>
        </w:rPr>
      </w:pPr>
      <w:r w:rsidRPr="004852AF">
        <w:rPr>
          <w:rFonts w:ascii="Book Antiqua" w:hAnsi="Book Antiqua"/>
          <w:sz w:val="24"/>
          <w:szCs w:val="24"/>
        </w:rPr>
        <w:br w:type="page"/>
      </w:r>
    </w:p>
    <w:p w:rsidR="00B84C65" w:rsidRPr="004852AF" w:rsidRDefault="00B84C65" w:rsidP="00DE69B7">
      <w:pPr>
        <w:pStyle w:val="Paragraphedeliste"/>
        <w:numPr>
          <w:ilvl w:val="0"/>
          <w:numId w:val="35"/>
        </w:numPr>
        <w:tabs>
          <w:tab w:val="left" w:pos="5556"/>
        </w:tabs>
        <w:spacing w:before="120" w:after="120"/>
        <w:jc w:val="both"/>
        <w:rPr>
          <w:rFonts w:ascii="Book Antiqua" w:hAnsi="Book Antiqua"/>
          <w:b/>
          <w:bCs/>
          <w:i/>
          <w:iCs/>
          <w:smallCaps/>
          <w:color w:val="632423" w:themeColor="accent2" w:themeShade="80"/>
          <w:sz w:val="24"/>
          <w:szCs w:val="24"/>
          <w:u w:val="single"/>
          <w:lang w:val="fr-FR"/>
        </w:rPr>
      </w:pPr>
      <w:r w:rsidRPr="004852AF">
        <w:rPr>
          <w:rFonts w:ascii="Book Antiqua" w:hAnsi="Book Antiqua"/>
          <w:b/>
          <w:bCs/>
          <w:i/>
          <w:iCs/>
          <w:smallCaps/>
          <w:color w:val="632423" w:themeColor="accent2" w:themeShade="80"/>
          <w:sz w:val="24"/>
          <w:szCs w:val="24"/>
          <w:u w:val="single"/>
          <w:lang w:val="fr-FR"/>
        </w:rPr>
        <w:lastRenderedPageBreak/>
        <w:t>Caractéristiques des immigrés installés au Maroc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Pour mieux éclairer la situation des immigrés installés au Maroc par rapport aux questions relatives à l'activité et à l'emploi, l’enquête nationale sur l’emploi a intégré quelques questions dans l'objectif d’appréhender la nature des flux migratoires à destination de notre pays, de mesurer le potentiel économique des immigrants, d’évaluer leur insertion dans le marché du travail et d'intégration dans la société marocaine.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Il est à signaler, toutefois, que les données issues de cette enquête ne permettent de renseigner que sur les structures ayant trait aux caractéristiques démographiques et socio-économiques des immigrants et non sur leur volume, du fait que l'enquête est représentative des ménages ordinaires résidant sur le territoire national alors qu'une partie non moindre de ces immigrants réside hors des ménages ordinaires.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En 2017, selon les résultats de l'enquête, il ressort que 33.5% des immigrants installés au Maroc sont originaires de pays arabes, 32,5% de pays européens et 27,3% de pays subsahariens non arabes.</w:t>
      </w:r>
    </w:p>
    <w:p w:rsidR="00B84C65" w:rsidRPr="004852AF" w:rsidRDefault="00AD4B85" w:rsidP="00AD4B85">
      <w:pPr>
        <w:bidi w:val="0"/>
        <w:jc w:val="center"/>
        <w:rPr>
          <w:rFonts w:ascii="Book Antiqua" w:hAnsi="Book Antiqua"/>
          <w:b/>
          <w:bCs/>
          <w:sz w:val="22"/>
          <w:szCs w:val="22"/>
        </w:rPr>
      </w:pPr>
      <w:r w:rsidRPr="004852AF">
        <w:rPr>
          <w:rFonts w:ascii="Book Antiqua" w:hAnsi="Book Antiqua" w:cs="Times New Roman"/>
          <w:b/>
          <w:bCs/>
          <w:noProof w:val="0"/>
          <w:sz w:val="22"/>
          <w:szCs w:val="22"/>
        </w:rPr>
        <w:t>Graphique 9 :</w:t>
      </w:r>
      <w:r w:rsidRPr="004852AF">
        <w:rPr>
          <w:rFonts w:ascii="Book Antiqua" w:hAnsi="Book Antiqua" w:cs="Times New Roman"/>
          <w:b/>
          <w:bCs/>
          <w:noProof w:val="0"/>
          <w:sz w:val="24"/>
          <w:szCs w:val="24"/>
        </w:rPr>
        <w:t xml:space="preserve"> </w:t>
      </w:r>
      <w:r w:rsidR="00B84C65" w:rsidRPr="004852AF">
        <w:rPr>
          <w:rFonts w:ascii="Book Antiqua" w:hAnsi="Book Antiqua"/>
          <w:b/>
          <w:bCs/>
          <w:sz w:val="22"/>
          <w:szCs w:val="22"/>
        </w:rPr>
        <w:t xml:space="preserve">Structure des immigrants au Maroc </w:t>
      </w:r>
    </w:p>
    <w:p w:rsidR="00B84C65" w:rsidRPr="004852AF" w:rsidRDefault="00B84C65" w:rsidP="00B84C65">
      <w:pPr>
        <w:bidi w:val="0"/>
        <w:jc w:val="center"/>
        <w:rPr>
          <w:rFonts w:ascii="Book Antiqua" w:hAnsi="Book Antiqua"/>
          <w:b/>
          <w:bCs/>
          <w:sz w:val="22"/>
          <w:szCs w:val="22"/>
        </w:rPr>
      </w:pPr>
      <w:r w:rsidRPr="004852AF">
        <w:rPr>
          <w:rFonts w:ascii="Book Antiqua" w:hAnsi="Book Antiqua"/>
          <w:b/>
          <w:bCs/>
          <w:sz w:val="22"/>
          <w:szCs w:val="22"/>
        </w:rPr>
        <w:t>par nationalité (en%)</w:t>
      </w:r>
    </w:p>
    <w:p w:rsidR="00B84C65" w:rsidRPr="004852AF" w:rsidRDefault="00B84C65" w:rsidP="00B84C65">
      <w:pPr>
        <w:bidi w:val="0"/>
        <w:jc w:val="center"/>
        <w:rPr>
          <w:rFonts w:ascii="Book Antiqua" w:hAnsi="Book Antiqua"/>
          <w:sz w:val="8"/>
          <w:szCs w:val="8"/>
        </w:rPr>
      </w:pPr>
    </w:p>
    <w:p w:rsidR="00B84C65" w:rsidRPr="004852AF" w:rsidRDefault="00B84C65" w:rsidP="00B84C65">
      <w:pPr>
        <w:bidi w:val="0"/>
        <w:jc w:val="center"/>
      </w:pPr>
      <w:r w:rsidRPr="004852AF">
        <w:drawing>
          <wp:inline distT="0" distB="0" distL="0" distR="0">
            <wp:extent cx="4997450" cy="1320800"/>
            <wp:effectExtent l="19050" t="0" r="12700" b="0"/>
            <wp:docPr id="1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4C65" w:rsidRPr="004852AF" w:rsidRDefault="00B84C65" w:rsidP="00DC50D0">
      <w:pPr>
        <w:pStyle w:val="Corpsdetexte2"/>
        <w:bidi w:val="0"/>
        <w:spacing w:before="120" w:after="120"/>
        <w:jc w:val="both"/>
        <w:rPr>
          <w:rFonts w:ascii="Book Antiqua" w:hAnsi="Book Antiqua"/>
          <w:sz w:val="24"/>
          <w:szCs w:val="24"/>
        </w:rPr>
      </w:pPr>
      <w:r w:rsidRPr="004852AF">
        <w:rPr>
          <w:rFonts w:ascii="Book Antiqua" w:hAnsi="Book Antiqua"/>
          <w:sz w:val="24"/>
          <w:szCs w:val="24"/>
        </w:rPr>
        <w:t>Les raisons à l'origine de l'immigration vers notre pays sont, en premier lieu,  d'ordre économique avec une part de 41,4%, d'ordre social, en deuxième lieu, avec 22,4%, pour des considérations liées à la poursuite d'étude ou de formation avec 11</w:t>
      </w:r>
      <w:r w:rsidR="00DC50D0" w:rsidRPr="004852AF">
        <w:rPr>
          <w:rFonts w:ascii="Book Antiqua" w:hAnsi="Book Antiqua"/>
          <w:sz w:val="24"/>
          <w:szCs w:val="24"/>
        </w:rPr>
        <w:t>,7</w:t>
      </w:r>
      <w:r w:rsidRPr="004852AF">
        <w:rPr>
          <w:rFonts w:ascii="Book Antiqua" w:hAnsi="Book Antiqua"/>
          <w:sz w:val="24"/>
          <w:szCs w:val="24"/>
        </w:rPr>
        <w:t>% et, enfin, pour des raisons d'ordre humain avec 8,6%.</w:t>
      </w:r>
    </w:p>
    <w:p w:rsidR="00B84C65" w:rsidRPr="004852AF" w:rsidRDefault="00B84C65" w:rsidP="00075144">
      <w:pPr>
        <w:bidi w:val="0"/>
        <w:spacing w:before="120" w:after="12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Près de 6 immigrants sur 10 sont des hommes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répartition des immigrants installés au Maroc selon le sexe révèle que près de 6 personnes sur 10 (59,3%) sont des hommes et 4 sur 10 sont des femmes (40,7%).</w:t>
      </w:r>
    </w:p>
    <w:p w:rsidR="00B84C65" w:rsidRPr="004852AF" w:rsidRDefault="00AD4B85" w:rsidP="00B84C6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Graphique 10 :</w:t>
      </w:r>
      <w:r w:rsidRPr="004852AF">
        <w:rPr>
          <w:rFonts w:ascii="Book Antiqua" w:hAnsi="Book Antiqua" w:cs="Times New Roman"/>
          <w:b/>
          <w:bCs/>
          <w:noProof w:val="0"/>
          <w:sz w:val="24"/>
          <w:szCs w:val="24"/>
        </w:rPr>
        <w:t xml:space="preserve"> </w:t>
      </w:r>
      <w:r w:rsidR="00B84C65" w:rsidRPr="004852AF">
        <w:rPr>
          <w:rFonts w:ascii="Book Antiqua" w:hAnsi="Book Antiqua" w:cs="Times New Roman"/>
          <w:b/>
          <w:bCs/>
          <w:noProof w:val="0"/>
          <w:sz w:val="22"/>
          <w:szCs w:val="22"/>
        </w:rPr>
        <w:t xml:space="preserve">Structure des immigrants au Maroc  par </w:t>
      </w:r>
    </w:p>
    <w:p w:rsidR="00B84C65" w:rsidRPr="004852AF" w:rsidRDefault="00B84C65" w:rsidP="00B84C6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nationalité et par sexe (en%)</w:t>
      </w:r>
    </w:p>
    <w:p w:rsidR="00B84C65" w:rsidRPr="004852AF" w:rsidRDefault="00B84C65" w:rsidP="00B84C65">
      <w:pPr>
        <w:bidi w:val="0"/>
        <w:jc w:val="center"/>
        <w:rPr>
          <w:rFonts w:ascii="Book Antiqua" w:hAnsi="Book Antiqua" w:cs="Times New Roman"/>
          <w:b/>
          <w:bCs/>
          <w:noProof w:val="0"/>
          <w:sz w:val="12"/>
          <w:szCs w:val="12"/>
        </w:rPr>
      </w:pPr>
    </w:p>
    <w:p w:rsidR="00B84C65" w:rsidRPr="004852AF" w:rsidRDefault="00B84C65" w:rsidP="00B84C65">
      <w:pPr>
        <w:bidi w:val="0"/>
        <w:jc w:val="center"/>
      </w:pPr>
      <w:r w:rsidRPr="004852AF">
        <w:drawing>
          <wp:inline distT="0" distB="0" distL="0" distR="0">
            <wp:extent cx="4768850" cy="1854200"/>
            <wp:effectExtent l="19050" t="0" r="1270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4C65" w:rsidRPr="004852AF" w:rsidRDefault="00B84C65" w:rsidP="0065005E">
      <w:pPr>
        <w:pStyle w:val="Corpsdetexte2"/>
        <w:bidi w:val="0"/>
        <w:spacing w:before="120" w:after="120"/>
        <w:jc w:val="both"/>
        <w:rPr>
          <w:rFonts w:ascii="Book Antiqua" w:hAnsi="Book Antiqua"/>
          <w:sz w:val="24"/>
          <w:szCs w:val="24"/>
        </w:rPr>
      </w:pPr>
      <w:r w:rsidRPr="004852AF">
        <w:rPr>
          <w:rFonts w:ascii="Book Antiqua" w:hAnsi="Book Antiqua"/>
          <w:sz w:val="24"/>
          <w:szCs w:val="24"/>
        </w:rPr>
        <w:lastRenderedPageBreak/>
        <w:t xml:space="preserve">Quelque soit l'origine, la part des immigrants de sexe masculin est toujours plus élevée que celle des femmes. </w:t>
      </w:r>
      <w:r w:rsidR="0065005E" w:rsidRPr="004852AF">
        <w:rPr>
          <w:rFonts w:ascii="Book Antiqua" w:hAnsi="Book Antiqua"/>
          <w:sz w:val="24"/>
          <w:szCs w:val="24"/>
        </w:rPr>
        <w:t xml:space="preserve">Elle a </w:t>
      </w:r>
      <w:r w:rsidRPr="004852AF">
        <w:rPr>
          <w:rFonts w:ascii="Book Antiqua" w:hAnsi="Book Antiqua"/>
          <w:sz w:val="24"/>
          <w:szCs w:val="24"/>
        </w:rPr>
        <w:t>atteint 70,5% pour les immigrants originaires de pays Africains subsahariens non Arabes, 56,0% pour les immigrants venant d'Europe  et 54,2% pour ceux venant de pays Arabes</w:t>
      </w:r>
      <w:r w:rsidR="0065005E" w:rsidRPr="004852AF">
        <w:rPr>
          <w:rFonts w:ascii="Book Antiqua" w:hAnsi="Book Antiqua"/>
          <w:sz w:val="24"/>
          <w:szCs w:val="24"/>
        </w:rPr>
        <w:t>.</w:t>
      </w:r>
    </w:p>
    <w:p w:rsidR="00B84C65" w:rsidRPr="004852AF" w:rsidRDefault="00B84C65" w:rsidP="00B84C65">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La migration touche toutes les tranches d'âges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L'examen selon l'âge des immigrants installés dans notre pays révèle une répartition presque équivalente entre les différents groupe</w:t>
      </w:r>
      <w:r w:rsidR="00592F4A" w:rsidRPr="004852AF">
        <w:rPr>
          <w:rFonts w:ascii="Book Antiqua" w:hAnsi="Book Antiqua"/>
          <w:sz w:val="24"/>
          <w:szCs w:val="24"/>
        </w:rPr>
        <w:t>s</w:t>
      </w:r>
      <w:r w:rsidRPr="004852AF">
        <w:rPr>
          <w:rFonts w:ascii="Book Antiqua" w:hAnsi="Book Antiqua"/>
          <w:sz w:val="24"/>
          <w:szCs w:val="24"/>
        </w:rPr>
        <w:t xml:space="preserve"> d'âge. En effet, 20,2% d'entre eux ont moins de 15 ans, 21,5% sont âgés de 15 à 29 ans, 26,2% de 30 à 44 ans et 32,1% de 45 ans et plus.</w:t>
      </w:r>
    </w:p>
    <w:p w:rsidR="00B84C65" w:rsidRPr="004852AF" w:rsidRDefault="00B84C65" w:rsidP="00B84C65">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Plus de 9 immigrants sur 10 sont dans les villes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Au Maroc, l'immigration est essentiellement un phénomène urbain, 97,7% des immigrants au Maroc  résident, en effet, dans les villes.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Une forte proportion des immigrants (86,9%) est concentrée dans 4 régions à savoir Casablanca-Settat (33,8%), Rabat-Salé-Kenitra (28,0%), Marrakech-Safi (15,2%), et l'Oriental (9,9%).</w:t>
      </w:r>
    </w:p>
    <w:p w:rsidR="00B84C65" w:rsidRPr="004852AF" w:rsidRDefault="00B84C65" w:rsidP="00DC50D0">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t xml:space="preserve">Trois immigrants sur </w:t>
      </w:r>
      <w:r w:rsidR="00DC50D0" w:rsidRPr="004852AF">
        <w:rPr>
          <w:rFonts w:ascii="Book Antiqua" w:hAnsi="Book Antiqua" w:cs="Times New Roman"/>
          <w:noProof w:val="0"/>
          <w:color w:val="0070C0"/>
          <w:sz w:val="24"/>
          <w:szCs w:val="24"/>
        </w:rPr>
        <w:t>4</w:t>
      </w:r>
      <w:r w:rsidRPr="004852AF">
        <w:rPr>
          <w:rFonts w:ascii="Book Antiqua" w:hAnsi="Book Antiqua" w:cs="Times New Roman"/>
          <w:noProof w:val="0"/>
          <w:color w:val="0070C0"/>
          <w:sz w:val="24"/>
          <w:szCs w:val="24"/>
        </w:rPr>
        <w:t xml:space="preserve"> sont diplômés</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part des personnes ayant un diplôme, parmi l'ensemble des immigrants installés au Maroc, est de 75,7%, 54,1% ont un diplôme supérieur et 21,6% un diplôme de niveau moyen. A titre comparatif, la part des personnes ayant un diplôme parmi l'ensemble de la population marocaine est de 43,9%, 32,5% un diplôme de niveau moyen et seulement 11,4% un diplôme de niveau supérieur.</w:t>
      </w:r>
    </w:p>
    <w:p w:rsidR="0067159E" w:rsidRPr="004852AF" w:rsidRDefault="00AD4B85" w:rsidP="0067159E">
      <w:pPr>
        <w:bidi w:val="0"/>
        <w:jc w:val="center"/>
        <w:rPr>
          <w:rFonts w:ascii="Book Antiqua" w:hAnsi="Book Antiqua"/>
          <w:b/>
          <w:bCs/>
          <w:sz w:val="22"/>
          <w:szCs w:val="22"/>
        </w:rPr>
      </w:pPr>
      <w:r w:rsidRPr="004852AF">
        <w:rPr>
          <w:rFonts w:ascii="Book Antiqua" w:hAnsi="Book Antiqua" w:cs="Times New Roman"/>
          <w:b/>
          <w:bCs/>
          <w:noProof w:val="0"/>
          <w:sz w:val="22"/>
          <w:szCs w:val="22"/>
        </w:rPr>
        <w:t>Graphique 11 :</w:t>
      </w:r>
      <w:r w:rsidRPr="004852AF">
        <w:rPr>
          <w:rFonts w:ascii="Book Antiqua" w:hAnsi="Book Antiqua" w:cs="Times New Roman"/>
          <w:b/>
          <w:bCs/>
          <w:noProof w:val="0"/>
          <w:sz w:val="24"/>
          <w:szCs w:val="24"/>
        </w:rPr>
        <w:t xml:space="preserve"> </w:t>
      </w:r>
      <w:r w:rsidR="00B84C65" w:rsidRPr="004852AF">
        <w:rPr>
          <w:rFonts w:ascii="Book Antiqua" w:hAnsi="Book Antiqua"/>
          <w:b/>
          <w:bCs/>
          <w:sz w:val="22"/>
          <w:szCs w:val="22"/>
        </w:rPr>
        <w:t xml:space="preserve">Structure des immigrants au Maroc  par </w:t>
      </w:r>
    </w:p>
    <w:p w:rsidR="00B84C65" w:rsidRPr="004852AF" w:rsidRDefault="00B84C65" w:rsidP="00B84C65">
      <w:pPr>
        <w:bidi w:val="0"/>
        <w:jc w:val="center"/>
        <w:rPr>
          <w:rFonts w:ascii="Book Antiqua" w:hAnsi="Book Antiqua"/>
          <w:b/>
          <w:bCs/>
          <w:sz w:val="22"/>
          <w:szCs w:val="22"/>
        </w:rPr>
      </w:pPr>
      <w:r w:rsidRPr="004852AF">
        <w:rPr>
          <w:rFonts w:ascii="Book Antiqua" w:hAnsi="Book Antiqua"/>
          <w:b/>
          <w:bCs/>
          <w:sz w:val="22"/>
          <w:szCs w:val="22"/>
        </w:rPr>
        <w:t>niveau de diplôme (en%)</w:t>
      </w:r>
    </w:p>
    <w:p w:rsidR="00B84C65" w:rsidRPr="004852AF" w:rsidRDefault="00B84C65" w:rsidP="00B84C65">
      <w:pPr>
        <w:bidi w:val="0"/>
        <w:jc w:val="center"/>
        <w:rPr>
          <w:rFonts w:ascii="Book Antiqua" w:hAnsi="Book Antiqua"/>
          <w:sz w:val="8"/>
          <w:szCs w:val="8"/>
        </w:rPr>
      </w:pPr>
    </w:p>
    <w:p w:rsidR="00B84C65" w:rsidRPr="004852AF" w:rsidRDefault="00B84C65" w:rsidP="00B84C65">
      <w:pPr>
        <w:bidi w:val="0"/>
        <w:jc w:val="center"/>
        <w:rPr>
          <w:b/>
          <w:bCs/>
        </w:rPr>
      </w:pPr>
      <w:r w:rsidRPr="004852AF">
        <w:rPr>
          <w:b/>
          <w:bCs/>
        </w:rPr>
        <w:drawing>
          <wp:inline distT="0" distB="0" distL="0" distR="0">
            <wp:extent cx="4267200" cy="1597025"/>
            <wp:effectExtent l="19050" t="0" r="19050" b="3175"/>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proportion des personnes n'ayant aucun diplôme est de 23,4% parmi les immigrants contre 56,2% parmi l'ensemble de la population.</w:t>
      </w:r>
    </w:p>
    <w:p w:rsidR="00075144" w:rsidRPr="004852AF" w:rsidRDefault="00075144" w:rsidP="00B84C65">
      <w:pPr>
        <w:bidi w:val="0"/>
        <w:spacing w:before="240" w:after="240" w:line="276" w:lineRule="auto"/>
        <w:rPr>
          <w:rFonts w:ascii="Book Antiqua" w:hAnsi="Book Antiqua" w:cs="Times New Roman"/>
          <w:noProof w:val="0"/>
          <w:color w:val="0070C0"/>
          <w:sz w:val="24"/>
          <w:szCs w:val="24"/>
        </w:rPr>
      </w:pPr>
    </w:p>
    <w:p w:rsidR="00075144" w:rsidRPr="004852AF" w:rsidRDefault="00075144" w:rsidP="00075144">
      <w:pPr>
        <w:bidi w:val="0"/>
        <w:spacing w:before="240" w:after="240" w:line="276" w:lineRule="auto"/>
        <w:rPr>
          <w:rFonts w:ascii="Book Antiqua" w:hAnsi="Book Antiqua" w:cs="Times New Roman"/>
          <w:noProof w:val="0"/>
          <w:color w:val="0070C0"/>
          <w:sz w:val="24"/>
          <w:szCs w:val="24"/>
        </w:rPr>
      </w:pPr>
    </w:p>
    <w:p w:rsidR="00B84C65" w:rsidRPr="004852AF" w:rsidRDefault="00B84C65" w:rsidP="00075144">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lastRenderedPageBreak/>
        <w:t xml:space="preserve">Des taux d'activité similaires à ceux relevés parmi l'ensemble de la population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La situation des immigrants installés au Maroc vis à vis du marché du travail est quasiment de même niveau que celle relative à l'ensemble de la population marocaine. Le taux d'activité des immigrants est de 48,9% contre 46,7% pour l'ensemble de la population. Ce taux atteint 64, 2% parmi les hommes et 25,5% parmi les femmes contre respectivement 71,6% et 22,4% pour l'ensemble de la population.</w:t>
      </w:r>
    </w:p>
    <w:p w:rsidR="00B84C65" w:rsidRPr="004852AF" w:rsidRDefault="00AD4B85" w:rsidP="00AD4B8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Graphique</w:t>
      </w:r>
      <w:r w:rsidR="00B84C65" w:rsidRPr="004852AF">
        <w:rPr>
          <w:rFonts w:ascii="Book Antiqua" w:hAnsi="Book Antiqua" w:cs="Times New Roman"/>
          <w:b/>
          <w:bCs/>
          <w:noProof w:val="0"/>
          <w:sz w:val="22"/>
          <w:szCs w:val="22"/>
        </w:rPr>
        <w:t xml:space="preserve"> </w:t>
      </w:r>
      <w:r w:rsidRPr="004852AF">
        <w:rPr>
          <w:rFonts w:ascii="Book Antiqua" w:hAnsi="Book Antiqua" w:cs="Times New Roman"/>
          <w:b/>
          <w:bCs/>
          <w:noProof w:val="0"/>
          <w:sz w:val="22"/>
          <w:szCs w:val="22"/>
        </w:rPr>
        <w:t>12</w:t>
      </w:r>
      <w:r w:rsidR="00B84C65" w:rsidRPr="004852AF">
        <w:rPr>
          <w:rFonts w:ascii="Book Antiqua" w:hAnsi="Book Antiqua" w:cs="Times New Roman"/>
          <w:b/>
          <w:bCs/>
          <w:noProof w:val="0"/>
          <w:sz w:val="22"/>
          <w:szCs w:val="22"/>
        </w:rPr>
        <w:t xml:space="preserve"> : Taux d’activité par nationalité, tranche </w:t>
      </w:r>
    </w:p>
    <w:p w:rsidR="00B84C65" w:rsidRPr="004852AF" w:rsidRDefault="00B84C65" w:rsidP="00B84C65">
      <w:pPr>
        <w:bidi w:val="0"/>
        <w:jc w:val="center"/>
        <w:rPr>
          <w:rFonts w:ascii="Book Antiqua" w:hAnsi="Book Antiqua" w:cs="Times New Roman"/>
          <w:b/>
          <w:bCs/>
          <w:noProof w:val="0"/>
          <w:sz w:val="22"/>
          <w:szCs w:val="22"/>
        </w:rPr>
      </w:pPr>
      <w:r w:rsidRPr="004852AF">
        <w:rPr>
          <w:rFonts w:ascii="Book Antiqua" w:hAnsi="Book Antiqua" w:cs="Times New Roman"/>
          <w:b/>
          <w:bCs/>
          <w:noProof w:val="0"/>
          <w:sz w:val="22"/>
          <w:szCs w:val="22"/>
        </w:rPr>
        <w:t>d’âge et sexe (en%)</w:t>
      </w:r>
    </w:p>
    <w:p w:rsidR="00B84C65" w:rsidRPr="004852AF" w:rsidRDefault="00B84C65" w:rsidP="00B84C65">
      <w:pPr>
        <w:bidi w:val="0"/>
        <w:jc w:val="center"/>
        <w:rPr>
          <w:rFonts w:ascii="Book Antiqua" w:hAnsi="Book Antiqua"/>
          <w:sz w:val="8"/>
          <w:szCs w:val="8"/>
        </w:rPr>
      </w:pPr>
    </w:p>
    <w:p w:rsidR="00B84C65" w:rsidRPr="004852AF" w:rsidRDefault="00B84C65" w:rsidP="00B84C65">
      <w:pPr>
        <w:bidi w:val="0"/>
        <w:jc w:val="center"/>
        <w:rPr>
          <w:color w:val="D99594" w:themeColor="accent2" w:themeTint="99"/>
        </w:rPr>
      </w:pPr>
      <w:r w:rsidRPr="004852AF">
        <w:rPr>
          <w:color w:val="D99594" w:themeColor="accent2" w:themeTint="99"/>
        </w:rPr>
        <w:drawing>
          <wp:inline distT="0" distB="0" distL="0" distR="0">
            <wp:extent cx="4641850" cy="1900555"/>
            <wp:effectExtent l="19050" t="0" r="25400" b="4445"/>
            <wp:docPr id="10"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Selon l'âge, le taux d'activité des immigrants est de 74,4% parmi les personnes âgées de 30 à 44 ans (61,1% pour l'ensemble de la population). Il baisse à 43, 9% parmi les personnes âgées de 15 à 29 ans (38,4% pour l'ensemble de la population) et à 31,5% pour les immigrants de la tranche d'âge 45 ans et plus (42,7% pour l'ensemble de la population).  </w:t>
      </w:r>
    </w:p>
    <w:p w:rsidR="0067159E" w:rsidRPr="004852AF" w:rsidRDefault="00AD4B85" w:rsidP="0067159E">
      <w:pPr>
        <w:bidi w:val="0"/>
        <w:jc w:val="center"/>
        <w:rPr>
          <w:rFonts w:ascii="Book Antiqua" w:hAnsi="Book Antiqua"/>
          <w:b/>
          <w:bCs/>
          <w:sz w:val="22"/>
          <w:szCs w:val="22"/>
        </w:rPr>
      </w:pPr>
      <w:r w:rsidRPr="004852AF">
        <w:rPr>
          <w:rFonts w:ascii="Book Antiqua" w:hAnsi="Book Antiqua" w:cs="Times New Roman"/>
          <w:b/>
          <w:bCs/>
          <w:noProof w:val="0"/>
          <w:sz w:val="22"/>
          <w:szCs w:val="22"/>
        </w:rPr>
        <w:t xml:space="preserve">Graphique 13 </w:t>
      </w:r>
      <w:r w:rsidR="00B84C65" w:rsidRPr="004852AF">
        <w:rPr>
          <w:rFonts w:ascii="Book Antiqua" w:hAnsi="Book Antiqua"/>
          <w:b/>
          <w:bCs/>
          <w:sz w:val="22"/>
          <w:szCs w:val="22"/>
        </w:rPr>
        <w:t xml:space="preserve">: Structure des immigrants au Maroc  par </w:t>
      </w:r>
    </w:p>
    <w:p w:rsidR="00B84C65" w:rsidRPr="004852AF" w:rsidRDefault="00B84C65" w:rsidP="00B84C65">
      <w:pPr>
        <w:bidi w:val="0"/>
        <w:jc w:val="center"/>
        <w:rPr>
          <w:rFonts w:ascii="Book Antiqua" w:hAnsi="Book Antiqua"/>
          <w:b/>
          <w:bCs/>
          <w:sz w:val="22"/>
          <w:szCs w:val="22"/>
        </w:rPr>
      </w:pPr>
      <w:r w:rsidRPr="004852AF">
        <w:rPr>
          <w:rFonts w:ascii="Book Antiqua" w:hAnsi="Book Antiqua"/>
          <w:b/>
          <w:bCs/>
          <w:sz w:val="22"/>
          <w:szCs w:val="22"/>
        </w:rPr>
        <w:t xml:space="preserve">secteurs d’activité </w:t>
      </w:r>
      <w:r w:rsidR="0067159E" w:rsidRPr="004852AF">
        <w:rPr>
          <w:rFonts w:ascii="Book Antiqua" w:hAnsi="Book Antiqua"/>
          <w:b/>
          <w:bCs/>
          <w:sz w:val="22"/>
          <w:szCs w:val="22"/>
        </w:rPr>
        <w:t xml:space="preserve">économique </w:t>
      </w:r>
      <w:r w:rsidRPr="004852AF">
        <w:rPr>
          <w:rFonts w:ascii="Book Antiqua" w:hAnsi="Book Antiqua"/>
          <w:b/>
          <w:bCs/>
          <w:sz w:val="22"/>
          <w:szCs w:val="22"/>
        </w:rPr>
        <w:t>(en %)</w:t>
      </w:r>
    </w:p>
    <w:p w:rsidR="00B84C65" w:rsidRPr="004852AF" w:rsidRDefault="00B84C65" w:rsidP="00B84C65">
      <w:pPr>
        <w:bidi w:val="0"/>
        <w:jc w:val="center"/>
        <w:rPr>
          <w:rFonts w:ascii="Book Antiqua" w:hAnsi="Book Antiqua"/>
          <w:b/>
          <w:bCs/>
          <w:sz w:val="8"/>
          <w:szCs w:val="8"/>
        </w:rPr>
      </w:pPr>
    </w:p>
    <w:p w:rsidR="00B84C65" w:rsidRPr="004852AF" w:rsidRDefault="00B84C65" w:rsidP="00B84C65">
      <w:pPr>
        <w:bidi w:val="0"/>
        <w:jc w:val="center"/>
        <w:rPr>
          <w:color w:val="D99594" w:themeColor="accent2" w:themeTint="99"/>
        </w:rPr>
      </w:pPr>
      <w:r w:rsidRPr="004852AF">
        <w:rPr>
          <w:color w:val="D99594" w:themeColor="accent2" w:themeTint="99"/>
        </w:rPr>
        <w:drawing>
          <wp:inline distT="0" distB="0" distL="0" distR="0">
            <wp:extent cx="4406900" cy="1828800"/>
            <wp:effectExtent l="19050" t="0" r="12700"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84C65" w:rsidRPr="004852AF" w:rsidRDefault="00B84C65" w:rsidP="00DC50D0">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 secteur des services attire la majorité des immigrants puisqu'il s’accapare, à lui seul, 78,5% de la main d’œuvre immigrante suivi du secteur </w:t>
      </w:r>
      <w:r w:rsidR="00DC50D0" w:rsidRPr="004852AF">
        <w:rPr>
          <w:rFonts w:ascii="Book Antiqua" w:hAnsi="Book Antiqua"/>
          <w:sz w:val="24"/>
          <w:szCs w:val="24"/>
        </w:rPr>
        <w:t>de l’industrie y compris l’artisanat</w:t>
      </w:r>
      <w:r w:rsidRPr="004852AF">
        <w:rPr>
          <w:rFonts w:ascii="Book Antiqua" w:hAnsi="Book Antiqua"/>
          <w:sz w:val="24"/>
          <w:szCs w:val="24"/>
        </w:rPr>
        <w:t xml:space="preserve"> (12,0%). </w:t>
      </w:r>
    </w:p>
    <w:p w:rsidR="00FD0008" w:rsidRPr="004852AF" w:rsidRDefault="00FD0008" w:rsidP="00B84C65">
      <w:pPr>
        <w:bidi w:val="0"/>
        <w:spacing w:before="240" w:after="240" w:line="276" w:lineRule="auto"/>
        <w:rPr>
          <w:rFonts w:ascii="Book Antiqua" w:hAnsi="Book Antiqua" w:cs="Times New Roman"/>
          <w:noProof w:val="0"/>
          <w:color w:val="0070C0"/>
          <w:sz w:val="24"/>
          <w:szCs w:val="24"/>
        </w:rPr>
      </w:pPr>
    </w:p>
    <w:p w:rsidR="00FD0008" w:rsidRPr="004852AF" w:rsidRDefault="00FD0008" w:rsidP="00FD0008">
      <w:pPr>
        <w:bidi w:val="0"/>
        <w:spacing w:before="240" w:after="240" w:line="276" w:lineRule="auto"/>
        <w:rPr>
          <w:rFonts w:ascii="Book Antiqua" w:hAnsi="Book Antiqua" w:cs="Times New Roman"/>
          <w:noProof w:val="0"/>
          <w:color w:val="0070C0"/>
          <w:sz w:val="24"/>
          <w:szCs w:val="24"/>
        </w:rPr>
      </w:pPr>
    </w:p>
    <w:p w:rsidR="00FD0008" w:rsidRPr="004852AF" w:rsidRDefault="00FD0008" w:rsidP="00FD0008">
      <w:pPr>
        <w:bidi w:val="0"/>
        <w:spacing w:before="240" w:after="240" w:line="276" w:lineRule="auto"/>
        <w:rPr>
          <w:rFonts w:ascii="Book Antiqua" w:hAnsi="Book Antiqua" w:cs="Times New Roman"/>
          <w:noProof w:val="0"/>
          <w:color w:val="0070C0"/>
          <w:sz w:val="24"/>
          <w:szCs w:val="24"/>
        </w:rPr>
      </w:pPr>
    </w:p>
    <w:p w:rsidR="00B84C65" w:rsidRPr="004852AF" w:rsidRDefault="00B84C65" w:rsidP="00FD0008">
      <w:pPr>
        <w:bidi w:val="0"/>
        <w:spacing w:before="240" w:after="240" w:line="276" w:lineRule="auto"/>
        <w:rPr>
          <w:rFonts w:ascii="Book Antiqua" w:hAnsi="Book Antiqua" w:cs="Times New Roman"/>
          <w:noProof w:val="0"/>
          <w:color w:val="0070C0"/>
          <w:sz w:val="24"/>
          <w:szCs w:val="24"/>
        </w:rPr>
      </w:pPr>
      <w:r w:rsidRPr="004852AF">
        <w:rPr>
          <w:rFonts w:ascii="Book Antiqua" w:hAnsi="Book Antiqua" w:cs="Times New Roman"/>
          <w:noProof w:val="0"/>
          <w:color w:val="0070C0"/>
          <w:sz w:val="24"/>
          <w:szCs w:val="24"/>
        </w:rPr>
        <w:lastRenderedPageBreak/>
        <w:t xml:space="preserve">Des taux de chômage supérieurs à ceux relevés parmi l'ensemble de la population </w:t>
      </w:r>
    </w:p>
    <w:p w:rsidR="00B84C65" w:rsidRPr="004852AF" w:rsidRDefault="00B84C65" w:rsidP="00592F4A">
      <w:pPr>
        <w:pStyle w:val="Corpsdetexte2"/>
        <w:bidi w:val="0"/>
        <w:spacing w:before="120" w:after="120"/>
        <w:jc w:val="both"/>
        <w:rPr>
          <w:rFonts w:ascii="Book Antiqua" w:hAnsi="Book Antiqua"/>
          <w:sz w:val="24"/>
          <w:szCs w:val="24"/>
        </w:rPr>
      </w:pPr>
      <w:r w:rsidRPr="004852AF">
        <w:rPr>
          <w:rFonts w:ascii="Book Antiqua" w:hAnsi="Book Antiqua"/>
          <w:sz w:val="24"/>
          <w:szCs w:val="24"/>
        </w:rPr>
        <w:t xml:space="preserve">Le taux de chômage des immigrants au Maroc est de l'ordre de 18,1% au niveau national. Le chômage affecte particulièrement les femmes (23,4%) plus que les hommes (16,7%) et les jeunes âgés de 15 à 29 ans (34,6%) plus que les personnes âgées de 30 à 44 ans (18,5%) et celles âgées de 45 ans et plus (1,7%). </w:t>
      </w:r>
    </w:p>
    <w:p w:rsidR="00B84C65" w:rsidRPr="004852AF" w:rsidRDefault="00AD4B85" w:rsidP="00AD4B85">
      <w:pPr>
        <w:bidi w:val="0"/>
        <w:jc w:val="center"/>
        <w:rPr>
          <w:rFonts w:ascii="Book Antiqua" w:hAnsi="Book Antiqua"/>
          <w:b/>
          <w:bCs/>
          <w:sz w:val="22"/>
          <w:szCs w:val="22"/>
        </w:rPr>
      </w:pPr>
      <w:r w:rsidRPr="004852AF">
        <w:rPr>
          <w:rFonts w:ascii="Book Antiqua" w:hAnsi="Book Antiqua" w:cs="Times New Roman"/>
          <w:b/>
          <w:bCs/>
          <w:noProof w:val="0"/>
          <w:sz w:val="22"/>
          <w:szCs w:val="22"/>
        </w:rPr>
        <w:t xml:space="preserve">Graphique 14 : </w:t>
      </w:r>
      <w:r w:rsidR="00B84C65" w:rsidRPr="004852AF">
        <w:rPr>
          <w:rFonts w:ascii="Book Antiqua" w:hAnsi="Book Antiqua"/>
          <w:b/>
          <w:bCs/>
          <w:sz w:val="22"/>
          <w:szCs w:val="22"/>
        </w:rPr>
        <w:t>Taux de chômage par tranche d’âge, sexe et nationalité (en%)</w:t>
      </w:r>
    </w:p>
    <w:p w:rsidR="00B84C65" w:rsidRPr="004852AF" w:rsidRDefault="00B84C65" w:rsidP="00B84C65">
      <w:pPr>
        <w:bidi w:val="0"/>
        <w:jc w:val="center"/>
        <w:rPr>
          <w:rFonts w:ascii="Book Antiqua" w:hAnsi="Book Antiqua"/>
          <w:b/>
          <w:bCs/>
          <w:sz w:val="8"/>
          <w:szCs w:val="8"/>
        </w:rPr>
      </w:pPr>
    </w:p>
    <w:p w:rsidR="00B84C65" w:rsidRDefault="00B84C65" w:rsidP="00B84C65">
      <w:pPr>
        <w:bidi w:val="0"/>
        <w:jc w:val="center"/>
        <w:rPr>
          <w:color w:val="D99594" w:themeColor="accent2" w:themeTint="99"/>
        </w:rPr>
      </w:pPr>
      <w:r w:rsidRPr="004852AF">
        <w:rPr>
          <w:color w:val="D99594" w:themeColor="accent2" w:themeTint="99"/>
        </w:rPr>
        <w:drawing>
          <wp:inline distT="0" distB="0" distL="0" distR="0">
            <wp:extent cx="5060950" cy="2076450"/>
            <wp:effectExtent l="19050" t="0" r="25400" b="0"/>
            <wp:docPr id="1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42E47" w:rsidRPr="008538AC" w:rsidRDefault="00B84C65" w:rsidP="00592F4A">
      <w:pPr>
        <w:autoSpaceDE w:val="0"/>
        <w:autoSpaceDN w:val="0"/>
        <w:bidi w:val="0"/>
        <w:adjustRightInd w:val="0"/>
        <w:spacing w:before="240" w:after="240"/>
        <w:rPr>
          <w:rFonts w:ascii="Book Antiqua" w:hAnsi="Book Antiqua" w:cs="Times New Roman"/>
          <w:b/>
          <w:sz w:val="24"/>
          <w:szCs w:val="24"/>
        </w:rPr>
      </w:pPr>
      <w:r w:rsidRPr="008538AC">
        <w:rPr>
          <w:rFonts w:ascii="Book Antiqua" w:hAnsi="Book Antiqua" w:cstheme="majorBidi"/>
          <w:b/>
          <w:bCs/>
          <w:noProof w:val="0"/>
          <w:color w:val="0000FF"/>
          <w:sz w:val="24"/>
          <w:szCs w:val="24"/>
        </w:rPr>
        <w:t xml:space="preserve">     </w:t>
      </w:r>
    </w:p>
    <w:sectPr w:rsidR="00042E47" w:rsidRPr="008538AC" w:rsidSect="00F559A5">
      <w:footerReference w:type="even" r:id="rId22"/>
      <w:footerReference w:type="default" r:id="rId23"/>
      <w:headerReference w:type="first" r:id="rId24"/>
      <w:pgSz w:w="12240" w:h="15840"/>
      <w:pgMar w:top="1134" w:right="1418" w:bottom="1077" w:left="1276" w:header="720"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7C7" w:rsidRDefault="00D667C7" w:rsidP="009B7BDC">
      <w:r>
        <w:separator/>
      </w:r>
    </w:p>
  </w:endnote>
  <w:endnote w:type="continuationSeparator" w:id="1">
    <w:p w:rsidR="00D667C7" w:rsidRDefault="00D667C7"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47D" w:rsidRDefault="007A19A3"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C3747D">
      <w:rPr>
        <w:rStyle w:val="Numrodepage"/>
        <w:rFonts w:cs="Traditional Arabic"/>
      </w:rPr>
      <w:instrText xml:space="preserve">PAGE  </w:instrText>
    </w:r>
    <w:r>
      <w:rPr>
        <w:rStyle w:val="Numrodepage"/>
        <w:rFonts w:cs="Traditional Arabic"/>
      </w:rPr>
      <w:fldChar w:fldCharType="end"/>
    </w:r>
  </w:p>
  <w:p w:rsidR="00C3747D" w:rsidRDefault="00C3747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8182934"/>
      <w:docPartObj>
        <w:docPartGallery w:val="Page Numbers (Bottom of Page)"/>
        <w:docPartUnique/>
      </w:docPartObj>
    </w:sdtPr>
    <w:sdtContent>
      <w:p w:rsidR="00C3747D" w:rsidRDefault="007A19A3">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740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7409">
                <w:txbxContent>
                  <w:p w:rsidR="00C3747D" w:rsidRDefault="007A19A3">
                    <w:pPr>
                      <w:jc w:val="center"/>
                    </w:pPr>
                    <w:fldSimple w:instr=" PAGE    \* MERGEFORMAT ">
                      <w:r w:rsidR="00B75C4C" w:rsidRPr="00B75C4C">
                        <w:rPr>
                          <w:sz w:val="16"/>
                          <w:szCs w:val="16"/>
                          <w:rtl/>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7C7" w:rsidRDefault="00D667C7" w:rsidP="009B7BDC">
      <w:r>
        <w:separator/>
      </w:r>
    </w:p>
  </w:footnote>
  <w:footnote w:type="continuationSeparator" w:id="1">
    <w:p w:rsidR="00D667C7" w:rsidRDefault="00D667C7" w:rsidP="009B7BDC">
      <w:r>
        <w:continuationSeparator/>
      </w:r>
    </w:p>
  </w:footnote>
  <w:footnote w:id="2">
    <w:p w:rsidR="00C3747D" w:rsidRPr="00311472" w:rsidRDefault="00C3747D" w:rsidP="00165223">
      <w:pPr>
        <w:pStyle w:val="Notedebasdepage"/>
        <w:jc w:val="both"/>
        <w:rPr>
          <w:rFonts w:ascii="Book Antiqua" w:hAnsi="Book Antiqua"/>
          <w:sz w:val="18"/>
          <w:szCs w:val="18"/>
        </w:rPr>
      </w:pPr>
      <w:r>
        <w:rPr>
          <w:rFonts w:ascii="Book Antiqua" w:hAnsi="Book Antiqua"/>
          <w:sz w:val="18"/>
          <w:szCs w:val="18"/>
        </w:rPr>
        <w:t>(</w:t>
      </w:r>
      <w:r w:rsidRPr="00B520BF">
        <w:rPr>
          <w:rFonts w:cs="Traditional Arabic"/>
          <w:b/>
          <w:bCs/>
          <w:noProof/>
          <w:color w:val="222222"/>
          <w:sz w:val="22"/>
          <w:szCs w:val="22"/>
          <w:shd w:val="clear" w:color="auto" w:fill="FFFFFF"/>
        </w:rPr>
        <w:footnoteRef/>
      </w:r>
      <w:r>
        <w:rPr>
          <w:rFonts w:ascii="Book Antiqua" w:hAnsi="Book Antiqua"/>
          <w:sz w:val="18"/>
          <w:szCs w:val="18"/>
        </w:rPr>
        <w:t xml:space="preserve">) </w:t>
      </w:r>
      <w:r w:rsidRPr="00311472">
        <w:rPr>
          <w:rFonts w:ascii="Book Antiqua" w:hAnsi="Book Antiqua"/>
          <w:sz w:val="18"/>
          <w:szCs w:val="18"/>
        </w:rPr>
        <w:t>Les diplômes de n</w:t>
      </w:r>
      <w:r w:rsidRPr="00311472">
        <w:rPr>
          <w:rFonts w:ascii="Book Antiqua" w:hAnsi="Book Antiqua"/>
          <w:spacing w:val="-2"/>
          <w:sz w:val="18"/>
          <w:szCs w:val="18"/>
          <w:lang w:eastAsia="en-US"/>
        </w:rPr>
        <w:t>iveau moyen regroupent les certificats de l'enseignement primaire, ceux du secondaire collégial et les diplômes de qualification ou de spécialisation professionnelle.</w:t>
      </w:r>
    </w:p>
  </w:footnote>
  <w:footnote w:id="3">
    <w:p w:rsidR="00C3747D" w:rsidRDefault="00C3747D" w:rsidP="00165223">
      <w:pPr>
        <w:pStyle w:val="Corpsdetexte"/>
        <w:bidi w:val="0"/>
        <w:spacing w:after="0"/>
        <w:jc w:val="both"/>
      </w:pPr>
      <w:r>
        <w:rPr>
          <w:rFonts w:ascii="Book Antiqua" w:hAnsi="Book Antiqua"/>
          <w:sz w:val="18"/>
          <w:szCs w:val="18"/>
        </w:rPr>
        <w:t>(</w:t>
      </w:r>
      <w:r w:rsidRPr="00B520BF">
        <w:rPr>
          <w:b/>
          <w:bCs/>
          <w:color w:val="222222"/>
          <w:sz w:val="22"/>
          <w:szCs w:val="22"/>
          <w:shd w:val="clear" w:color="auto" w:fill="FFFFFF"/>
        </w:rPr>
        <w:footnoteRef/>
      </w:r>
      <w:r>
        <w:rPr>
          <w:rFonts w:ascii="Book Antiqua" w:hAnsi="Book Antiqua"/>
          <w:sz w:val="18"/>
          <w:szCs w:val="18"/>
        </w:rPr>
        <w:t xml:space="preserve">) </w:t>
      </w:r>
      <w:r w:rsidRPr="00311472">
        <w:rPr>
          <w:rFonts w:ascii="Book Antiqua" w:hAnsi="Book Antiqua"/>
          <w:sz w:val="18"/>
          <w:szCs w:val="18"/>
        </w:rPr>
        <w:t>Les diplômes de n</w:t>
      </w:r>
      <w:r w:rsidRPr="00311472">
        <w:rPr>
          <w:rFonts w:ascii="Book Antiqua" w:hAnsi="Book Antiqua"/>
          <w:spacing w:val="-2"/>
          <w:sz w:val="18"/>
          <w:szCs w:val="18"/>
          <w:lang w:eastAsia="en-US"/>
        </w:rPr>
        <w:t>iveau</w:t>
      </w:r>
      <w:r w:rsidRPr="00311472">
        <w:rPr>
          <w:rFonts w:ascii="Book Antiqua" w:hAnsi="Book Antiqua"/>
          <w:sz w:val="18"/>
          <w:szCs w:val="18"/>
        </w:rPr>
        <w:t xml:space="preserve"> supérieur </w:t>
      </w:r>
      <w:r w:rsidRPr="00311472">
        <w:rPr>
          <w:rFonts w:ascii="Book Antiqua" w:hAnsi="Book Antiqua"/>
          <w:spacing w:val="-2"/>
          <w:sz w:val="18"/>
          <w:szCs w:val="18"/>
          <w:lang w:eastAsia="en-US"/>
        </w:rPr>
        <w:t>regroupent les b</w:t>
      </w:r>
      <w:r w:rsidRPr="00311472">
        <w:rPr>
          <w:rFonts w:ascii="Book Antiqua" w:hAnsi="Book Antiqua"/>
          <w:sz w:val="18"/>
          <w:szCs w:val="18"/>
        </w:rPr>
        <w:t>accalauréats, les diplômes de techniciens ou de techniciens</w:t>
      </w:r>
      <w:r>
        <w:rPr>
          <w:rFonts w:ascii="Book Antiqua" w:hAnsi="Book Antiqua"/>
          <w:sz w:val="18"/>
          <w:szCs w:val="18"/>
        </w:rPr>
        <w:t xml:space="preserve"> </w:t>
      </w:r>
      <w:r w:rsidRPr="00311472">
        <w:rPr>
          <w:rFonts w:ascii="Book Antiqua" w:hAnsi="Book Antiqua"/>
          <w:sz w:val="18"/>
          <w:szCs w:val="18"/>
        </w:rPr>
        <w:t>spécialisés et les diplômes d'enseignement supérieur (facultés, grandes écoles et instituts).</w:t>
      </w:r>
    </w:p>
  </w:footnote>
  <w:footnote w:id="4">
    <w:p w:rsidR="00C3747D" w:rsidRDefault="00C3747D" w:rsidP="00122C27">
      <w:pPr>
        <w:pStyle w:val="Notedebasdepage"/>
        <w:jc w:val="both"/>
      </w:pPr>
      <w:r>
        <w:t>(</w:t>
      </w:r>
      <w:r w:rsidRPr="00B520BF">
        <w:rPr>
          <w:rFonts w:cs="Traditional Arabic"/>
          <w:b/>
          <w:bCs/>
          <w:noProof/>
          <w:color w:val="222222"/>
          <w:sz w:val="22"/>
          <w:szCs w:val="22"/>
          <w:shd w:val="clear" w:color="auto" w:fill="FFFFFF"/>
        </w:rPr>
        <w:footnoteRef/>
      </w:r>
      <w:r>
        <w:t>) Selon le code de travail :</w:t>
      </w:r>
    </w:p>
    <w:p w:rsidR="00237502" w:rsidRDefault="00237502" w:rsidP="00122C27">
      <w:pPr>
        <w:pStyle w:val="Notedebasdepage"/>
        <w:ind w:left="426" w:hanging="142"/>
        <w:jc w:val="both"/>
      </w:pPr>
    </w:p>
    <w:p w:rsidR="00C3747D" w:rsidRDefault="00C3747D" w:rsidP="00122C27">
      <w:pPr>
        <w:pStyle w:val="Notedebasdepage"/>
        <w:ind w:left="426" w:hanging="142"/>
        <w:jc w:val="both"/>
      </w:pPr>
      <w:r>
        <w:t>- D</w:t>
      </w:r>
      <w:r w:rsidRPr="00807E6D">
        <w:t>ans les activités non agricoles, est considéré comme travail de nuit tout travail exécuté entre 21 heures et 6 heures.</w:t>
      </w:r>
    </w:p>
    <w:p w:rsidR="00C3747D" w:rsidRDefault="00C3747D" w:rsidP="00122C27">
      <w:pPr>
        <w:pStyle w:val="Notedebasdepage"/>
        <w:ind w:left="426" w:hanging="142"/>
        <w:jc w:val="both"/>
      </w:pPr>
      <w:r>
        <w:t xml:space="preserve">- </w:t>
      </w:r>
      <w:r w:rsidRPr="00807E6D">
        <w:t xml:space="preserve">Dans les activités agricoles, est considéré comme travail de nuit tout travail exécuté entre 20 heures et 5 heures. </w:t>
      </w:r>
    </w:p>
  </w:footnote>
  <w:footnote w:id="5">
    <w:p w:rsidR="00C3747D" w:rsidRPr="004C2EB6" w:rsidRDefault="00C3747D" w:rsidP="00E21B65">
      <w:pPr>
        <w:pStyle w:val="Notedebasdepage"/>
        <w:rPr>
          <w:sz w:val="18"/>
          <w:szCs w:val="18"/>
        </w:rPr>
      </w:pPr>
      <w:r w:rsidRPr="004C2EB6">
        <w:rPr>
          <w:rFonts w:ascii="Book Antiqua" w:hAnsi="Book Antiqua"/>
          <w:sz w:val="18"/>
          <w:szCs w:val="18"/>
        </w:rPr>
        <w:t>(</w:t>
      </w:r>
      <w:r w:rsidRPr="004C2EB6">
        <w:rPr>
          <w:rFonts w:cs="Traditional Arabic"/>
          <w:b/>
          <w:bCs/>
          <w:noProof/>
          <w:color w:val="222222"/>
          <w:sz w:val="18"/>
          <w:szCs w:val="18"/>
          <w:shd w:val="clear" w:color="auto" w:fill="FFFFFF"/>
        </w:rPr>
        <w:footnoteRef/>
      </w:r>
      <w:r w:rsidRPr="004C2EB6">
        <w:rPr>
          <w:rFonts w:ascii="Book Antiqua" w:hAnsi="Book Antiqua"/>
          <w:sz w:val="18"/>
          <w:szCs w:val="18"/>
        </w:rPr>
        <w:t>) Les diplômes de n</w:t>
      </w:r>
      <w:r w:rsidRPr="004C2EB6">
        <w:rPr>
          <w:rFonts w:ascii="Book Antiqua" w:hAnsi="Book Antiqua"/>
          <w:spacing w:val="-2"/>
          <w:sz w:val="18"/>
          <w:szCs w:val="18"/>
          <w:lang w:eastAsia="en-US"/>
        </w:rPr>
        <w:t>iveau</w:t>
      </w:r>
      <w:r w:rsidRPr="004C2EB6">
        <w:rPr>
          <w:rFonts w:ascii="Book Antiqua" w:hAnsi="Book Antiqua"/>
          <w:sz w:val="18"/>
          <w:szCs w:val="18"/>
        </w:rPr>
        <w:t xml:space="preserve"> supérieur </w:t>
      </w:r>
      <w:r w:rsidRPr="004C2EB6">
        <w:rPr>
          <w:rFonts w:ascii="Book Antiqua" w:hAnsi="Book Antiqua"/>
          <w:spacing w:val="-2"/>
          <w:sz w:val="18"/>
          <w:szCs w:val="18"/>
          <w:lang w:eastAsia="en-US"/>
        </w:rPr>
        <w:t>regroupent les b</w:t>
      </w:r>
      <w:r w:rsidRPr="004C2EB6">
        <w:rPr>
          <w:rFonts w:ascii="Book Antiqua" w:hAnsi="Book Antiqua"/>
          <w:sz w:val="18"/>
          <w:szCs w:val="18"/>
        </w:rPr>
        <w:t>accalauréats, les diplômes de techniciens ou de techniciens   spécialisés et les diplômes d'enseignement supérieur (facultés, grandes écoles et instituts).</w:t>
      </w:r>
    </w:p>
  </w:footnote>
  <w:footnote w:id="6">
    <w:p w:rsidR="00C3747D" w:rsidRPr="004C2EB6" w:rsidRDefault="00C3747D" w:rsidP="00E21B65">
      <w:pPr>
        <w:pStyle w:val="Notedebasdepage"/>
        <w:rPr>
          <w:sz w:val="18"/>
          <w:szCs w:val="18"/>
          <w:rtl/>
        </w:rPr>
      </w:pPr>
      <w:r w:rsidRPr="004C2EB6">
        <w:rPr>
          <w:rFonts w:ascii="Book Antiqua" w:hAnsi="Book Antiqua"/>
          <w:sz w:val="18"/>
          <w:szCs w:val="18"/>
        </w:rPr>
        <w:t>(</w:t>
      </w:r>
      <w:r w:rsidRPr="004C2EB6">
        <w:rPr>
          <w:rFonts w:ascii="Book Antiqua" w:hAnsi="Book Antiqua"/>
          <w:sz w:val="18"/>
          <w:szCs w:val="18"/>
        </w:rPr>
        <w:footnoteRef/>
      </w:r>
      <w:r w:rsidRPr="004C2EB6">
        <w:rPr>
          <w:rFonts w:ascii="Book Antiqua" w:hAnsi="Book Antiqua"/>
          <w:sz w:val="18"/>
          <w:szCs w:val="18"/>
        </w:rPr>
        <w:t>)</w:t>
      </w:r>
      <w:r w:rsidRPr="004C2EB6">
        <w:rPr>
          <w:sz w:val="18"/>
          <w:szCs w:val="18"/>
        </w:rPr>
        <w:t xml:space="preserve"> </w:t>
      </w:r>
      <w:r w:rsidRPr="004C2EB6">
        <w:rPr>
          <w:rFonts w:ascii="Book Antiqua" w:hAnsi="Book Antiqua"/>
          <w:sz w:val="18"/>
          <w:szCs w:val="18"/>
        </w:rPr>
        <w:t>Les diplômes de niveau moyen regroupent les certificats de l'enseignement primaire, ceux du secondaire collégial et les diplômes de qualification ou de spécialisation professionnelle.</w:t>
      </w:r>
      <w:r w:rsidRPr="004C2EB6">
        <w:rPr>
          <w:rFonts w:hint="cs"/>
          <w:sz w:val="18"/>
          <w:szCs w:val="18"/>
          <w:rtl/>
        </w:rPr>
        <w:t xml:space="preserve"> </w:t>
      </w:r>
    </w:p>
  </w:footnote>
  <w:footnote w:id="7">
    <w:p w:rsidR="00C3747D" w:rsidRDefault="00C3747D" w:rsidP="00042E47">
      <w:pPr>
        <w:pStyle w:val="Notedebasdepage"/>
      </w:pPr>
      <w:r>
        <w:rPr>
          <w:rStyle w:val="Appelnotedebasdep"/>
        </w:rPr>
        <w:footnoteRef/>
      </w:r>
      <w:r>
        <w:t xml:space="preserve"> Sont exclus les certificats et diplômes primaires et secondaires.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A5" w:rsidRDefault="00F559A5">
    <w:pPr>
      <w:pStyle w:val="En-tte"/>
    </w:pPr>
    <w:r w:rsidRPr="00F559A5">
      <w:rPr>
        <w:rtl/>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569200" cy="9588500"/>
          <wp:effectExtent l="0" t="0" r="0" b="0"/>
          <wp:wrapNone/>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871"/>
                  <a:stretch>
                    <a:fillRect/>
                  </a:stretch>
                </pic:blipFill>
                <pic:spPr bwMode="auto">
                  <a:xfrm>
                    <a:off x="0" y="0"/>
                    <a:ext cx="7562850" cy="95865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6D377E8"/>
    <w:multiLevelType w:val="hybridMultilevel"/>
    <w:tmpl w:val="10EC85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490DED"/>
    <w:multiLevelType w:val="hybridMultilevel"/>
    <w:tmpl w:val="32160778"/>
    <w:lvl w:ilvl="0" w:tplc="047C7932">
      <w:start w:val="1"/>
      <w:numFmt w:val="decimal"/>
      <w:lvlText w:val="%1."/>
      <w:lvlJc w:val="left"/>
      <w:pPr>
        <w:ind w:left="720" w:hanging="360"/>
      </w:pPr>
      <w:rPr>
        <w:rFonts w:cs="Times New Roman" w:hint="default"/>
        <w:i w:val="0"/>
        <w:color w:val="632423" w:themeColor="accent2" w:themeShade="8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72342FE"/>
    <w:multiLevelType w:val="hybridMultilevel"/>
    <w:tmpl w:val="C588AE26"/>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175ABC"/>
    <w:multiLevelType w:val="hybridMultilevel"/>
    <w:tmpl w:val="817CEBEA"/>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FD35AB"/>
    <w:multiLevelType w:val="hybridMultilevel"/>
    <w:tmpl w:val="7F0C6A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957D3C"/>
    <w:multiLevelType w:val="hybridMultilevel"/>
    <w:tmpl w:val="23E428B2"/>
    <w:lvl w:ilvl="0" w:tplc="AB0EE586">
      <w:start w:val="1"/>
      <w:numFmt w:val="decimal"/>
      <w:lvlText w:val="%1."/>
      <w:lvlJc w:val="left"/>
      <w:pPr>
        <w:ind w:left="720" w:hanging="360"/>
      </w:pPr>
      <w:rPr>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4355DCB"/>
    <w:multiLevelType w:val="hybridMultilevel"/>
    <w:tmpl w:val="8A9274B6"/>
    <w:lvl w:ilvl="0" w:tplc="EAF2E300">
      <w:start w:val="1"/>
      <w:numFmt w:val="decimal"/>
      <w:lvlText w:val="%1."/>
      <w:lvlJc w:val="left"/>
      <w:pPr>
        <w:ind w:left="720" w:hanging="360"/>
      </w:pPr>
      <w:rPr>
        <w:color w:val="632423" w:themeColor="accent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A5282C"/>
    <w:multiLevelType w:val="hybridMultilevel"/>
    <w:tmpl w:val="9900090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7C6427F"/>
    <w:multiLevelType w:val="hybridMultilevel"/>
    <w:tmpl w:val="9C04E350"/>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239D6"/>
    <w:multiLevelType w:val="hybridMultilevel"/>
    <w:tmpl w:val="27E2970E"/>
    <w:lvl w:ilvl="0" w:tplc="040C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E422A4"/>
    <w:multiLevelType w:val="hybridMultilevel"/>
    <w:tmpl w:val="48C066DE"/>
    <w:lvl w:ilvl="0" w:tplc="69F423B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2F56D4"/>
    <w:multiLevelType w:val="hybridMultilevel"/>
    <w:tmpl w:val="75526C8C"/>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FF37AC"/>
    <w:multiLevelType w:val="hybridMultilevel"/>
    <w:tmpl w:val="F05A2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147191"/>
    <w:multiLevelType w:val="hybridMultilevel"/>
    <w:tmpl w:val="42C860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6370EBB"/>
    <w:multiLevelType w:val="hybridMultilevel"/>
    <w:tmpl w:val="C588AE26"/>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054A37"/>
    <w:multiLevelType w:val="hybridMultilevel"/>
    <w:tmpl w:val="23E428B2"/>
    <w:lvl w:ilvl="0" w:tplc="AB0EE586">
      <w:start w:val="1"/>
      <w:numFmt w:val="decimal"/>
      <w:lvlText w:val="%1."/>
      <w:lvlJc w:val="left"/>
      <w:pPr>
        <w:ind w:left="720" w:hanging="360"/>
      </w:pPr>
      <w:rPr>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1">
    <w:nsid w:val="77AD08C2"/>
    <w:multiLevelType w:val="hybridMultilevel"/>
    <w:tmpl w:val="5100F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1D55F0"/>
    <w:multiLevelType w:val="hybridMultilevel"/>
    <w:tmpl w:val="539E41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6"/>
  </w:num>
  <w:num w:numId="4">
    <w:abstractNumId w:val="2"/>
  </w:num>
  <w:num w:numId="5">
    <w:abstractNumId w:val="3"/>
  </w:num>
  <w:num w:numId="6">
    <w:abstractNumId w:val="11"/>
  </w:num>
  <w:num w:numId="7">
    <w:abstractNumId w:val="0"/>
  </w:num>
  <w:num w:numId="8">
    <w:abstractNumId w:val="18"/>
  </w:num>
  <w:num w:numId="9">
    <w:abstractNumId w:val="8"/>
  </w:num>
  <w:num w:numId="10">
    <w:abstractNumId w:val="33"/>
  </w:num>
  <w:num w:numId="11">
    <w:abstractNumId w:val="23"/>
  </w:num>
  <w:num w:numId="12">
    <w:abstractNumId w:val="20"/>
  </w:num>
  <w:num w:numId="13">
    <w:abstractNumId w:val="13"/>
  </w:num>
  <w:num w:numId="14">
    <w:abstractNumId w:val="22"/>
  </w:num>
  <w:num w:numId="15">
    <w:abstractNumId w:val="1"/>
  </w:num>
  <w:num w:numId="16">
    <w:abstractNumId w:val="12"/>
  </w:num>
  <w:num w:numId="17">
    <w:abstractNumId w:val="19"/>
  </w:num>
  <w:num w:numId="18">
    <w:abstractNumId w:val="24"/>
  </w:num>
  <w:num w:numId="19">
    <w:abstractNumId w:val="28"/>
  </w:num>
  <w:num w:numId="20">
    <w:abstractNumId w:val="31"/>
  </w:num>
  <w:num w:numId="21">
    <w:abstractNumId w:val="26"/>
  </w:num>
  <w:num w:numId="22">
    <w:abstractNumId w:val="34"/>
  </w:num>
  <w:num w:numId="23">
    <w:abstractNumId w:val="21"/>
  </w:num>
  <w:num w:numId="24">
    <w:abstractNumId w:val="16"/>
  </w:num>
  <w:num w:numId="25">
    <w:abstractNumId w:val="4"/>
  </w:num>
  <w:num w:numId="26">
    <w:abstractNumId w:val="15"/>
  </w:num>
  <w:num w:numId="27">
    <w:abstractNumId w:val="14"/>
  </w:num>
  <w:num w:numId="28">
    <w:abstractNumId w:val="29"/>
  </w:num>
  <w:num w:numId="29">
    <w:abstractNumId w:val="10"/>
  </w:num>
  <w:num w:numId="30">
    <w:abstractNumId w:val="17"/>
  </w:num>
  <w:num w:numId="31">
    <w:abstractNumId w:val="25"/>
  </w:num>
  <w:num w:numId="32">
    <w:abstractNumId w:val="9"/>
  </w:num>
  <w:num w:numId="33">
    <w:abstractNumId w:val="7"/>
  </w:num>
  <w:num w:numId="34">
    <w:abstractNumId w:val="27"/>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hdrShapeDefaults>
    <o:shapedefaults v:ext="edit" spidmax="36866"/>
    <o:shapelayout v:ext="edit">
      <o:idmap v:ext="edit" data="17"/>
    </o:shapelayout>
  </w:hdrShapeDefaults>
  <w:footnotePr>
    <w:footnote w:id="0"/>
    <w:footnote w:id="1"/>
  </w:footnotePr>
  <w:endnotePr>
    <w:endnote w:id="0"/>
    <w:endnote w:id="1"/>
  </w:endnotePr>
  <w:compat/>
  <w:rsids>
    <w:rsidRoot w:val="009B7BDC"/>
    <w:rsid w:val="000015A4"/>
    <w:rsid w:val="00001FAA"/>
    <w:rsid w:val="000036D5"/>
    <w:rsid w:val="00004F06"/>
    <w:rsid w:val="000067CA"/>
    <w:rsid w:val="00011D3D"/>
    <w:rsid w:val="00013BA3"/>
    <w:rsid w:val="00014582"/>
    <w:rsid w:val="00014CF6"/>
    <w:rsid w:val="000202F5"/>
    <w:rsid w:val="00021FCB"/>
    <w:rsid w:val="0002267C"/>
    <w:rsid w:val="000232B7"/>
    <w:rsid w:val="00024B90"/>
    <w:rsid w:val="000270BA"/>
    <w:rsid w:val="00027516"/>
    <w:rsid w:val="0003105E"/>
    <w:rsid w:val="00031FF6"/>
    <w:rsid w:val="000321DC"/>
    <w:rsid w:val="00032ECC"/>
    <w:rsid w:val="00033B76"/>
    <w:rsid w:val="00034227"/>
    <w:rsid w:val="0003474C"/>
    <w:rsid w:val="0003694C"/>
    <w:rsid w:val="000371EE"/>
    <w:rsid w:val="00041238"/>
    <w:rsid w:val="00041421"/>
    <w:rsid w:val="00041CFC"/>
    <w:rsid w:val="00042E47"/>
    <w:rsid w:val="00045ADB"/>
    <w:rsid w:val="00050424"/>
    <w:rsid w:val="000504B2"/>
    <w:rsid w:val="00050A74"/>
    <w:rsid w:val="00051B7D"/>
    <w:rsid w:val="00053261"/>
    <w:rsid w:val="000535DC"/>
    <w:rsid w:val="00053C02"/>
    <w:rsid w:val="00053E33"/>
    <w:rsid w:val="0005515C"/>
    <w:rsid w:val="0005563D"/>
    <w:rsid w:val="000602F1"/>
    <w:rsid w:val="00061F04"/>
    <w:rsid w:val="00062969"/>
    <w:rsid w:val="00062E65"/>
    <w:rsid w:val="00070C32"/>
    <w:rsid w:val="00072D21"/>
    <w:rsid w:val="00075144"/>
    <w:rsid w:val="000777D9"/>
    <w:rsid w:val="00077CA6"/>
    <w:rsid w:val="00080969"/>
    <w:rsid w:val="000818D5"/>
    <w:rsid w:val="00083DF9"/>
    <w:rsid w:val="0008797F"/>
    <w:rsid w:val="00087A04"/>
    <w:rsid w:val="000900D2"/>
    <w:rsid w:val="00092F8D"/>
    <w:rsid w:val="00093F6E"/>
    <w:rsid w:val="000941F7"/>
    <w:rsid w:val="000956F4"/>
    <w:rsid w:val="00095E28"/>
    <w:rsid w:val="00095F91"/>
    <w:rsid w:val="00096A55"/>
    <w:rsid w:val="00097663"/>
    <w:rsid w:val="000A1756"/>
    <w:rsid w:val="000A2BD0"/>
    <w:rsid w:val="000A7F83"/>
    <w:rsid w:val="000B015B"/>
    <w:rsid w:val="000B020E"/>
    <w:rsid w:val="000B03F8"/>
    <w:rsid w:val="000B0723"/>
    <w:rsid w:val="000B0787"/>
    <w:rsid w:val="000B1147"/>
    <w:rsid w:val="000B11D7"/>
    <w:rsid w:val="000B22E0"/>
    <w:rsid w:val="000B4082"/>
    <w:rsid w:val="000B40A9"/>
    <w:rsid w:val="000B7C44"/>
    <w:rsid w:val="000C0A3F"/>
    <w:rsid w:val="000C14C7"/>
    <w:rsid w:val="000C1515"/>
    <w:rsid w:val="000C333C"/>
    <w:rsid w:val="000C3880"/>
    <w:rsid w:val="000C3F2F"/>
    <w:rsid w:val="000C67DE"/>
    <w:rsid w:val="000C77C1"/>
    <w:rsid w:val="000D0265"/>
    <w:rsid w:val="000D14F9"/>
    <w:rsid w:val="000D1994"/>
    <w:rsid w:val="000D2029"/>
    <w:rsid w:val="000D32D4"/>
    <w:rsid w:val="000D3D51"/>
    <w:rsid w:val="000D4E21"/>
    <w:rsid w:val="000D620D"/>
    <w:rsid w:val="000D66F8"/>
    <w:rsid w:val="000D6D42"/>
    <w:rsid w:val="000D6E13"/>
    <w:rsid w:val="000E173A"/>
    <w:rsid w:val="000E3423"/>
    <w:rsid w:val="000E35C2"/>
    <w:rsid w:val="000E3932"/>
    <w:rsid w:val="000E520F"/>
    <w:rsid w:val="000E7103"/>
    <w:rsid w:val="000F06FA"/>
    <w:rsid w:val="000F0F08"/>
    <w:rsid w:val="000F2AC1"/>
    <w:rsid w:val="000F5277"/>
    <w:rsid w:val="00100B48"/>
    <w:rsid w:val="00103D01"/>
    <w:rsid w:val="00104C01"/>
    <w:rsid w:val="00105507"/>
    <w:rsid w:val="00105DC6"/>
    <w:rsid w:val="00105F5B"/>
    <w:rsid w:val="00106903"/>
    <w:rsid w:val="0010723B"/>
    <w:rsid w:val="00107266"/>
    <w:rsid w:val="001079B3"/>
    <w:rsid w:val="001142FC"/>
    <w:rsid w:val="001149F3"/>
    <w:rsid w:val="00115E39"/>
    <w:rsid w:val="00116D89"/>
    <w:rsid w:val="00117441"/>
    <w:rsid w:val="00121E86"/>
    <w:rsid w:val="00122067"/>
    <w:rsid w:val="00122C27"/>
    <w:rsid w:val="00124191"/>
    <w:rsid w:val="00125A7B"/>
    <w:rsid w:val="00125FA8"/>
    <w:rsid w:val="001276C8"/>
    <w:rsid w:val="00130230"/>
    <w:rsid w:val="00130F02"/>
    <w:rsid w:val="00134887"/>
    <w:rsid w:val="00136051"/>
    <w:rsid w:val="00136EF4"/>
    <w:rsid w:val="001370F6"/>
    <w:rsid w:val="00137512"/>
    <w:rsid w:val="001377D7"/>
    <w:rsid w:val="00141451"/>
    <w:rsid w:val="00141B87"/>
    <w:rsid w:val="00143672"/>
    <w:rsid w:val="0014456F"/>
    <w:rsid w:val="00145712"/>
    <w:rsid w:val="00145F6F"/>
    <w:rsid w:val="001473F7"/>
    <w:rsid w:val="00150331"/>
    <w:rsid w:val="00155156"/>
    <w:rsid w:val="0015532D"/>
    <w:rsid w:val="00155475"/>
    <w:rsid w:val="001567BD"/>
    <w:rsid w:val="001572AE"/>
    <w:rsid w:val="00162307"/>
    <w:rsid w:val="00162668"/>
    <w:rsid w:val="001632B1"/>
    <w:rsid w:val="001642D5"/>
    <w:rsid w:val="00165223"/>
    <w:rsid w:val="00166584"/>
    <w:rsid w:val="00167332"/>
    <w:rsid w:val="001702E4"/>
    <w:rsid w:val="00172C3B"/>
    <w:rsid w:val="00172F3B"/>
    <w:rsid w:val="0017384A"/>
    <w:rsid w:val="00176A6B"/>
    <w:rsid w:val="00177E79"/>
    <w:rsid w:val="00180F59"/>
    <w:rsid w:val="00182B14"/>
    <w:rsid w:val="00183B22"/>
    <w:rsid w:val="0018438F"/>
    <w:rsid w:val="0019195D"/>
    <w:rsid w:val="00191D38"/>
    <w:rsid w:val="00192C7A"/>
    <w:rsid w:val="00193E74"/>
    <w:rsid w:val="0019422A"/>
    <w:rsid w:val="00196031"/>
    <w:rsid w:val="00197DD9"/>
    <w:rsid w:val="001A1000"/>
    <w:rsid w:val="001A26CC"/>
    <w:rsid w:val="001A2FBA"/>
    <w:rsid w:val="001A41FD"/>
    <w:rsid w:val="001A5213"/>
    <w:rsid w:val="001A57B8"/>
    <w:rsid w:val="001A79E3"/>
    <w:rsid w:val="001B752F"/>
    <w:rsid w:val="001C1C98"/>
    <w:rsid w:val="001C2022"/>
    <w:rsid w:val="001C2B79"/>
    <w:rsid w:val="001C3191"/>
    <w:rsid w:val="001C369C"/>
    <w:rsid w:val="001C477B"/>
    <w:rsid w:val="001D056F"/>
    <w:rsid w:val="001D0B3C"/>
    <w:rsid w:val="001D6147"/>
    <w:rsid w:val="001D6423"/>
    <w:rsid w:val="001D69C5"/>
    <w:rsid w:val="001D6C2B"/>
    <w:rsid w:val="001E20B9"/>
    <w:rsid w:val="001E29FB"/>
    <w:rsid w:val="001E3468"/>
    <w:rsid w:val="001E5A43"/>
    <w:rsid w:val="001E6700"/>
    <w:rsid w:val="001E6B87"/>
    <w:rsid w:val="001E6DC0"/>
    <w:rsid w:val="001F0CDE"/>
    <w:rsid w:val="001F2384"/>
    <w:rsid w:val="001F5D2F"/>
    <w:rsid w:val="001F7274"/>
    <w:rsid w:val="00200153"/>
    <w:rsid w:val="002003B8"/>
    <w:rsid w:val="00200DD0"/>
    <w:rsid w:val="00201055"/>
    <w:rsid w:val="00203B9A"/>
    <w:rsid w:val="00204404"/>
    <w:rsid w:val="00204EF8"/>
    <w:rsid w:val="00205B08"/>
    <w:rsid w:val="00206359"/>
    <w:rsid w:val="0020642E"/>
    <w:rsid w:val="00207BA8"/>
    <w:rsid w:val="0021116C"/>
    <w:rsid w:val="00212B1D"/>
    <w:rsid w:val="00213DF5"/>
    <w:rsid w:val="00217F37"/>
    <w:rsid w:val="00224A26"/>
    <w:rsid w:val="00226434"/>
    <w:rsid w:val="002266DF"/>
    <w:rsid w:val="00232484"/>
    <w:rsid w:val="002335AD"/>
    <w:rsid w:val="002335BD"/>
    <w:rsid w:val="002362C2"/>
    <w:rsid w:val="00237502"/>
    <w:rsid w:val="002401EC"/>
    <w:rsid w:val="00240C92"/>
    <w:rsid w:val="002418DA"/>
    <w:rsid w:val="00243F71"/>
    <w:rsid w:val="00244174"/>
    <w:rsid w:val="00244488"/>
    <w:rsid w:val="00245679"/>
    <w:rsid w:val="00245D10"/>
    <w:rsid w:val="00246DBB"/>
    <w:rsid w:val="00246FAD"/>
    <w:rsid w:val="0024749E"/>
    <w:rsid w:val="00247C96"/>
    <w:rsid w:val="0025078F"/>
    <w:rsid w:val="002528E6"/>
    <w:rsid w:val="00253C9D"/>
    <w:rsid w:val="002541A4"/>
    <w:rsid w:val="00260506"/>
    <w:rsid w:val="00262DE6"/>
    <w:rsid w:val="002658D2"/>
    <w:rsid w:val="00265F93"/>
    <w:rsid w:val="00266EC8"/>
    <w:rsid w:val="002740C0"/>
    <w:rsid w:val="0027498B"/>
    <w:rsid w:val="002751AD"/>
    <w:rsid w:val="00280727"/>
    <w:rsid w:val="002904B2"/>
    <w:rsid w:val="002904D5"/>
    <w:rsid w:val="00291E1C"/>
    <w:rsid w:val="002927C0"/>
    <w:rsid w:val="0029702A"/>
    <w:rsid w:val="00297F0C"/>
    <w:rsid w:val="002A3926"/>
    <w:rsid w:val="002A705A"/>
    <w:rsid w:val="002B4A90"/>
    <w:rsid w:val="002B60F4"/>
    <w:rsid w:val="002B6766"/>
    <w:rsid w:val="002B7327"/>
    <w:rsid w:val="002C0306"/>
    <w:rsid w:val="002C0E45"/>
    <w:rsid w:val="002C5B2F"/>
    <w:rsid w:val="002C6F14"/>
    <w:rsid w:val="002D011D"/>
    <w:rsid w:val="002D215C"/>
    <w:rsid w:val="002D3A05"/>
    <w:rsid w:val="002E3D9E"/>
    <w:rsid w:val="002E5331"/>
    <w:rsid w:val="002E5E89"/>
    <w:rsid w:val="002F0097"/>
    <w:rsid w:val="002F0F38"/>
    <w:rsid w:val="002F1DDA"/>
    <w:rsid w:val="002F2041"/>
    <w:rsid w:val="002F5A6D"/>
    <w:rsid w:val="002F61B0"/>
    <w:rsid w:val="002F6965"/>
    <w:rsid w:val="002F77EA"/>
    <w:rsid w:val="003009BE"/>
    <w:rsid w:val="00300A13"/>
    <w:rsid w:val="003016C7"/>
    <w:rsid w:val="00301C9F"/>
    <w:rsid w:val="00303836"/>
    <w:rsid w:val="00303C6A"/>
    <w:rsid w:val="00303D9A"/>
    <w:rsid w:val="00307067"/>
    <w:rsid w:val="0030747B"/>
    <w:rsid w:val="00310647"/>
    <w:rsid w:val="00311472"/>
    <w:rsid w:val="0031272B"/>
    <w:rsid w:val="003147DC"/>
    <w:rsid w:val="003149C8"/>
    <w:rsid w:val="00314C71"/>
    <w:rsid w:val="0031789D"/>
    <w:rsid w:val="00321589"/>
    <w:rsid w:val="00322F85"/>
    <w:rsid w:val="003234EF"/>
    <w:rsid w:val="003243C6"/>
    <w:rsid w:val="00324D85"/>
    <w:rsid w:val="00326668"/>
    <w:rsid w:val="0033138F"/>
    <w:rsid w:val="003327AC"/>
    <w:rsid w:val="00332FCB"/>
    <w:rsid w:val="003336CF"/>
    <w:rsid w:val="003339D0"/>
    <w:rsid w:val="00333E03"/>
    <w:rsid w:val="00335229"/>
    <w:rsid w:val="003357ED"/>
    <w:rsid w:val="003406FA"/>
    <w:rsid w:val="00343D45"/>
    <w:rsid w:val="00344374"/>
    <w:rsid w:val="00346C90"/>
    <w:rsid w:val="00350E17"/>
    <w:rsid w:val="0035192E"/>
    <w:rsid w:val="0035285B"/>
    <w:rsid w:val="00353F5C"/>
    <w:rsid w:val="00354F8F"/>
    <w:rsid w:val="003559CF"/>
    <w:rsid w:val="00356D69"/>
    <w:rsid w:val="0035750D"/>
    <w:rsid w:val="0036114C"/>
    <w:rsid w:val="00365E1C"/>
    <w:rsid w:val="00365F31"/>
    <w:rsid w:val="00366F24"/>
    <w:rsid w:val="00370166"/>
    <w:rsid w:val="00370945"/>
    <w:rsid w:val="00371790"/>
    <w:rsid w:val="00377111"/>
    <w:rsid w:val="00381928"/>
    <w:rsid w:val="00381AD3"/>
    <w:rsid w:val="003821F6"/>
    <w:rsid w:val="0038352E"/>
    <w:rsid w:val="00387079"/>
    <w:rsid w:val="003916BC"/>
    <w:rsid w:val="00391E0C"/>
    <w:rsid w:val="00392DE5"/>
    <w:rsid w:val="003947EF"/>
    <w:rsid w:val="003974FC"/>
    <w:rsid w:val="0039754C"/>
    <w:rsid w:val="003A3E70"/>
    <w:rsid w:val="003A41F5"/>
    <w:rsid w:val="003A4FA4"/>
    <w:rsid w:val="003B1344"/>
    <w:rsid w:val="003B14DA"/>
    <w:rsid w:val="003B14FB"/>
    <w:rsid w:val="003B2C21"/>
    <w:rsid w:val="003B3864"/>
    <w:rsid w:val="003B3E33"/>
    <w:rsid w:val="003B532C"/>
    <w:rsid w:val="003B6BD1"/>
    <w:rsid w:val="003C1C1A"/>
    <w:rsid w:val="003C41FD"/>
    <w:rsid w:val="003C7C3E"/>
    <w:rsid w:val="003D4150"/>
    <w:rsid w:val="003D46ED"/>
    <w:rsid w:val="003D6CF1"/>
    <w:rsid w:val="003D7C3C"/>
    <w:rsid w:val="003E021C"/>
    <w:rsid w:val="003E0955"/>
    <w:rsid w:val="003E0AB3"/>
    <w:rsid w:val="003E31D5"/>
    <w:rsid w:val="003E439F"/>
    <w:rsid w:val="003E551D"/>
    <w:rsid w:val="003E5801"/>
    <w:rsid w:val="003E663D"/>
    <w:rsid w:val="003E69E3"/>
    <w:rsid w:val="00401B35"/>
    <w:rsid w:val="00402747"/>
    <w:rsid w:val="00402C0A"/>
    <w:rsid w:val="00404897"/>
    <w:rsid w:val="004058D1"/>
    <w:rsid w:val="00407137"/>
    <w:rsid w:val="00407321"/>
    <w:rsid w:val="00410F01"/>
    <w:rsid w:val="00411874"/>
    <w:rsid w:val="00415FC5"/>
    <w:rsid w:val="00416531"/>
    <w:rsid w:val="00416BCB"/>
    <w:rsid w:val="0042300F"/>
    <w:rsid w:val="004239C2"/>
    <w:rsid w:val="004254B8"/>
    <w:rsid w:val="00430900"/>
    <w:rsid w:val="00436005"/>
    <w:rsid w:val="00443063"/>
    <w:rsid w:val="004438FD"/>
    <w:rsid w:val="004446EF"/>
    <w:rsid w:val="0044517B"/>
    <w:rsid w:val="00450554"/>
    <w:rsid w:val="004507A2"/>
    <w:rsid w:val="004508A6"/>
    <w:rsid w:val="00451EA7"/>
    <w:rsid w:val="00452148"/>
    <w:rsid w:val="00455DCB"/>
    <w:rsid w:val="00455DD5"/>
    <w:rsid w:val="00457E00"/>
    <w:rsid w:val="00461B8C"/>
    <w:rsid w:val="004624DA"/>
    <w:rsid w:val="0046280A"/>
    <w:rsid w:val="00463923"/>
    <w:rsid w:val="0046540F"/>
    <w:rsid w:val="00466A26"/>
    <w:rsid w:val="0047003F"/>
    <w:rsid w:val="004714A7"/>
    <w:rsid w:val="00471CC8"/>
    <w:rsid w:val="00473081"/>
    <w:rsid w:val="004730E4"/>
    <w:rsid w:val="00473D2A"/>
    <w:rsid w:val="00475616"/>
    <w:rsid w:val="00475ADB"/>
    <w:rsid w:val="00480436"/>
    <w:rsid w:val="004818EB"/>
    <w:rsid w:val="00481FF6"/>
    <w:rsid w:val="00482CD8"/>
    <w:rsid w:val="0048324E"/>
    <w:rsid w:val="004850F2"/>
    <w:rsid w:val="00485161"/>
    <w:rsid w:val="004852AF"/>
    <w:rsid w:val="00485825"/>
    <w:rsid w:val="004865A5"/>
    <w:rsid w:val="00486714"/>
    <w:rsid w:val="00486A69"/>
    <w:rsid w:val="00493056"/>
    <w:rsid w:val="004949BA"/>
    <w:rsid w:val="0049522F"/>
    <w:rsid w:val="00497DE5"/>
    <w:rsid w:val="004A1C93"/>
    <w:rsid w:val="004A3499"/>
    <w:rsid w:val="004A3846"/>
    <w:rsid w:val="004A4441"/>
    <w:rsid w:val="004A44FB"/>
    <w:rsid w:val="004A6379"/>
    <w:rsid w:val="004A6B2B"/>
    <w:rsid w:val="004A76B1"/>
    <w:rsid w:val="004A78A5"/>
    <w:rsid w:val="004B1246"/>
    <w:rsid w:val="004B57CB"/>
    <w:rsid w:val="004C3146"/>
    <w:rsid w:val="004C3E90"/>
    <w:rsid w:val="004C65BB"/>
    <w:rsid w:val="004D0EB3"/>
    <w:rsid w:val="004D5F28"/>
    <w:rsid w:val="004D5FBA"/>
    <w:rsid w:val="004E191F"/>
    <w:rsid w:val="004E591D"/>
    <w:rsid w:val="004E5E21"/>
    <w:rsid w:val="004E5F1B"/>
    <w:rsid w:val="004E675B"/>
    <w:rsid w:val="004E7236"/>
    <w:rsid w:val="004F1682"/>
    <w:rsid w:val="004F19A4"/>
    <w:rsid w:val="004F377E"/>
    <w:rsid w:val="004F46D9"/>
    <w:rsid w:val="004F7EDC"/>
    <w:rsid w:val="005049E1"/>
    <w:rsid w:val="00505A9E"/>
    <w:rsid w:val="0051011B"/>
    <w:rsid w:val="005107C6"/>
    <w:rsid w:val="0051130A"/>
    <w:rsid w:val="005146C1"/>
    <w:rsid w:val="00515FF7"/>
    <w:rsid w:val="00516A0D"/>
    <w:rsid w:val="005206DF"/>
    <w:rsid w:val="0052091E"/>
    <w:rsid w:val="0052168E"/>
    <w:rsid w:val="0052199A"/>
    <w:rsid w:val="00522B80"/>
    <w:rsid w:val="00526EC4"/>
    <w:rsid w:val="005271FB"/>
    <w:rsid w:val="0053115F"/>
    <w:rsid w:val="0053260B"/>
    <w:rsid w:val="00532C03"/>
    <w:rsid w:val="00532C83"/>
    <w:rsid w:val="00534907"/>
    <w:rsid w:val="00535072"/>
    <w:rsid w:val="00535CDB"/>
    <w:rsid w:val="005379B4"/>
    <w:rsid w:val="005450D3"/>
    <w:rsid w:val="00545734"/>
    <w:rsid w:val="0054799F"/>
    <w:rsid w:val="00551DEF"/>
    <w:rsid w:val="0055311A"/>
    <w:rsid w:val="00553EAF"/>
    <w:rsid w:val="00556660"/>
    <w:rsid w:val="00556692"/>
    <w:rsid w:val="00556844"/>
    <w:rsid w:val="005575CD"/>
    <w:rsid w:val="00560D4E"/>
    <w:rsid w:val="00561BBC"/>
    <w:rsid w:val="00562615"/>
    <w:rsid w:val="00567C6D"/>
    <w:rsid w:val="005712EB"/>
    <w:rsid w:val="00572032"/>
    <w:rsid w:val="0057242B"/>
    <w:rsid w:val="00573B4F"/>
    <w:rsid w:val="005757FC"/>
    <w:rsid w:val="0058340E"/>
    <w:rsid w:val="0058396E"/>
    <w:rsid w:val="0058541B"/>
    <w:rsid w:val="00586D40"/>
    <w:rsid w:val="00586FB3"/>
    <w:rsid w:val="0058746A"/>
    <w:rsid w:val="00587F1E"/>
    <w:rsid w:val="005918BE"/>
    <w:rsid w:val="00592218"/>
    <w:rsid w:val="00592C17"/>
    <w:rsid w:val="00592F4A"/>
    <w:rsid w:val="00593846"/>
    <w:rsid w:val="0059568E"/>
    <w:rsid w:val="00595BCE"/>
    <w:rsid w:val="005963A3"/>
    <w:rsid w:val="00596488"/>
    <w:rsid w:val="0059727A"/>
    <w:rsid w:val="005A0A3E"/>
    <w:rsid w:val="005A1AC8"/>
    <w:rsid w:val="005A4E3E"/>
    <w:rsid w:val="005A7645"/>
    <w:rsid w:val="005B36A7"/>
    <w:rsid w:val="005B4074"/>
    <w:rsid w:val="005B4762"/>
    <w:rsid w:val="005B59B0"/>
    <w:rsid w:val="005C004D"/>
    <w:rsid w:val="005C4A2E"/>
    <w:rsid w:val="005C4D04"/>
    <w:rsid w:val="005C4D7A"/>
    <w:rsid w:val="005C4DC4"/>
    <w:rsid w:val="005D0BB3"/>
    <w:rsid w:val="005D1F4F"/>
    <w:rsid w:val="005D2D4F"/>
    <w:rsid w:val="005D3E76"/>
    <w:rsid w:val="005D3FBE"/>
    <w:rsid w:val="005D6498"/>
    <w:rsid w:val="005D75FA"/>
    <w:rsid w:val="005D7925"/>
    <w:rsid w:val="005D7C6C"/>
    <w:rsid w:val="005E3B8E"/>
    <w:rsid w:val="005E5DBB"/>
    <w:rsid w:val="005E6EBB"/>
    <w:rsid w:val="005F27BD"/>
    <w:rsid w:val="005F436C"/>
    <w:rsid w:val="005F4871"/>
    <w:rsid w:val="005F5A75"/>
    <w:rsid w:val="005F745D"/>
    <w:rsid w:val="00600239"/>
    <w:rsid w:val="006022C1"/>
    <w:rsid w:val="00607EFC"/>
    <w:rsid w:val="006104CC"/>
    <w:rsid w:val="0061151B"/>
    <w:rsid w:val="006147D1"/>
    <w:rsid w:val="00614CE6"/>
    <w:rsid w:val="006158A0"/>
    <w:rsid w:val="00617A07"/>
    <w:rsid w:val="00621116"/>
    <w:rsid w:val="00621B0E"/>
    <w:rsid w:val="0062483C"/>
    <w:rsid w:val="00625C02"/>
    <w:rsid w:val="0062649B"/>
    <w:rsid w:val="00631629"/>
    <w:rsid w:val="00632FC8"/>
    <w:rsid w:val="00633B4C"/>
    <w:rsid w:val="00634C97"/>
    <w:rsid w:val="00635833"/>
    <w:rsid w:val="006365E6"/>
    <w:rsid w:val="006369B4"/>
    <w:rsid w:val="0064010A"/>
    <w:rsid w:val="006424B5"/>
    <w:rsid w:val="00645857"/>
    <w:rsid w:val="0064685F"/>
    <w:rsid w:val="00646968"/>
    <w:rsid w:val="0065005E"/>
    <w:rsid w:val="00651616"/>
    <w:rsid w:val="0065328B"/>
    <w:rsid w:val="00654DE5"/>
    <w:rsid w:val="006554F1"/>
    <w:rsid w:val="00656156"/>
    <w:rsid w:val="00657C7A"/>
    <w:rsid w:val="0066326E"/>
    <w:rsid w:val="00664BB5"/>
    <w:rsid w:val="006656EC"/>
    <w:rsid w:val="00665ACB"/>
    <w:rsid w:val="0066661D"/>
    <w:rsid w:val="006668EC"/>
    <w:rsid w:val="006705AE"/>
    <w:rsid w:val="0067159E"/>
    <w:rsid w:val="00672098"/>
    <w:rsid w:val="00672B4E"/>
    <w:rsid w:val="0067620B"/>
    <w:rsid w:val="00676D3F"/>
    <w:rsid w:val="00676FA5"/>
    <w:rsid w:val="00680F7F"/>
    <w:rsid w:val="00681EB8"/>
    <w:rsid w:val="00685A09"/>
    <w:rsid w:val="00692D50"/>
    <w:rsid w:val="00694895"/>
    <w:rsid w:val="00694C10"/>
    <w:rsid w:val="006A0743"/>
    <w:rsid w:val="006A2722"/>
    <w:rsid w:val="006A6C59"/>
    <w:rsid w:val="006A7914"/>
    <w:rsid w:val="006A7A6F"/>
    <w:rsid w:val="006B01AA"/>
    <w:rsid w:val="006B076E"/>
    <w:rsid w:val="006B1681"/>
    <w:rsid w:val="006B2DCD"/>
    <w:rsid w:val="006B4380"/>
    <w:rsid w:val="006B54BC"/>
    <w:rsid w:val="006B5E31"/>
    <w:rsid w:val="006B728A"/>
    <w:rsid w:val="006C0EFF"/>
    <w:rsid w:val="006C27F1"/>
    <w:rsid w:val="006C41C1"/>
    <w:rsid w:val="006C4C4B"/>
    <w:rsid w:val="006C52C7"/>
    <w:rsid w:val="006D2076"/>
    <w:rsid w:val="006D2C13"/>
    <w:rsid w:val="006D2DA8"/>
    <w:rsid w:val="006D3A5A"/>
    <w:rsid w:val="006D3CA9"/>
    <w:rsid w:val="006D45FB"/>
    <w:rsid w:val="006D48DF"/>
    <w:rsid w:val="006D689B"/>
    <w:rsid w:val="006D6CA2"/>
    <w:rsid w:val="006D78AE"/>
    <w:rsid w:val="006D7CAE"/>
    <w:rsid w:val="006E0314"/>
    <w:rsid w:val="006E247C"/>
    <w:rsid w:val="006E2D69"/>
    <w:rsid w:val="006E7126"/>
    <w:rsid w:val="006F089A"/>
    <w:rsid w:val="006F12EA"/>
    <w:rsid w:val="006F1B18"/>
    <w:rsid w:val="006F2AD2"/>
    <w:rsid w:val="006F30DB"/>
    <w:rsid w:val="006F3794"/>
    <w:rsid w:val="006F3A59"/>
    <w:rsid w:val="00700EDE"/>
    <w:rsid w:val="007031F3"/>
    <w:rsid w:val="00706C8C"/>
    <w:rsid w:val="007074DC"/>
    <w:rsid w:val="00711D60"/>
    <w:rsid w:val="00712D4F"/>
    <w:rsid w:val="00713ABE"/>
    <w:rsid w:val="00716A57"/>
    <w:rsid w:val="00720F88"/>
    <w:rsid w:val="00722E2B"/>
    <w:rsid w:val="00723961"/>
    <w:rsid w:val="00723E86"/>
    <w:rsid w:val="00725405"/>
    <w:rsid w:val="0072639B"/>
    <w:rsid w:val="007277B9"/>
    <w:rsid w:val="0073004D"/>
    <w:rsid w:val="00732456"/>
    <w:rsid w:val="00734C10"/>
    <w:rsid w:val="007363FB"/>
    <w:rsid w:val="00737133"/>
    <w:rsid w:val="007403B9"/>
    <w:rsid w:val="00740F5B"/>
    <w:rsid w:val="007416B0"/>
    <w:rsid w:val="007417C8"/>
    <w:rsid w:val="00741AC5"/>
    <w:rsid w:val="00742B5A"/>
    <w:rsid w:val="00743362"/>
    <w:rsid w:val="007448F5"/>
    <w:rsid w:val="00745765"/>
    <w:rsid w:val="00745D4F"/>
    <w:rsid w:val="00746978"/>
    <w:rsid w:val="0074699D"/>
    <w:rsid w:val="00747AA9"/>
    <w:rsid w:val="007504F7"/>
    <w:rsid w:val="0075061D"/>
    <w:rsid w:val="00751D92"/>
    <w:rsid w:val="00752217"/>
    <w:rsid w:val="0075243B"/>
    <w:rsid w:val="007529A1"/>
    <w:rsid w:val="007575D6"/>
    <w:rsid w:val="00760EE0"/>
    <w:rsid w:val="00764681"/>
    <w:rsid w:val="00767144"/>
    <w:rsid w:val="007717FA"/>
    <w:rsid w:val="00771C0C"/>
    <w:rsid w:val="00771C92"/>
    <w:rsid w:val="007723E6"/>
    <w:rsid w:val="007747E3"/>
    <w:rsid w:val="007749F3"/>
    <w:rsid w:val="007753FD"/>
    <w:rsid w:val="00776830"/>
    <w:rsid w:val="007818E7"/>
    <w:rsid w:val="00782201"/>
    <w:rsid w:val="00782432"/>
    <w:rsid w:val="007827E6"/>
    <w:rsid w:val="0078318D"/>
    <w:rsid w:val="007853EB"/>
    <w:rsid w:val="00785A77"/>
    <w:rsid w:val="00785A8C"/>
    <w:rsid w:val="00785D09"/>
    <w:rsid w:val="00786E25"/>
    <w:rsid w:val="00787BD5"/>
    <w:rsid w:val="00791326"/>
    <w:rsid w:val="00791A93"/>
    <w:rsid w:val="00791E2E"/>
    <w:rsid w:val="00791E7E"/>
    <w:rsid w:val="00793247"/>
    <w:rsid w:val="00793CEB"/>
    <w:rsid w:val="007A0CE7"/>
    <w:rsid w:val="007A1048"/>
    <w:rsid w:val="007A19A3"/>
    <w:rsid w:val="007A2D64"/>
    <w:rsid w:val="007A3FBB"/>
    <w:rsid w:val="007A4F6D"/>
    <w:rsid w:val="007A54E5"/>
    <w:rsid w:val="007A6A56"/>
    <w:rsid w:val="007A7447"/>
    <w:rsid w:val="007B126F"/>
    <w:rsid w:val="007B12DE"/>
    <w:rsid w:val="007B41B8"/>
    <w:rsid w:val="007B758E"/>
    <w:rsid w:val="007C196B"/>
    <w:rsid w:val="007C30FE"/>
    <w:rsid w:val="007C37A3"/>
    <w:rsid w:val="007C7C67"/>
    <w:rsid w:val="007D10CB"/>
    <w:rsid w:val="007D3350"/>
    <w:rsid w:val="007D41EF"/>
    <w:rsid w:val="007D5A6D"/>
    <w:rsid w:val="007D6A1E"/>
    <w:rsid w:val="007E12C3"/>
    <w:rsid w:val="007E260A"/>
    <w:rsid w:val="007E592B"/>
    <w:rsid w:val="007E726B"/>
    <w:rsid w:val="007F00DF"/>
    <w:rsid w:val="007F16AC"/>
    <w:rsid w:val="007F172F"/>
    <w:rsid w:val="007F5765"/>
    <w:rsid w:val="007F67B1"/>
    <w:rsid w:val="007F721B"/>
    <w:rsid w:val="008003D8"/>
    <w:rsid w:val="0080184C"/>
    <w:rsid w:val="00804DAA"/>
    <w:rsid w:val="00807696"/>
    <w:rsid w:val="00810127"/>
    <w:rsid w:val="00810A54"/>
    <w:rsid w:val="00812D50"/>
    <w:rsid w:val="008146CB"/>
    <w:rsid w:val="0082182A"/>
    <w:rsid w:val="008226F6"/>
    <w:rsid w:val="00822B6A"/>
    <w:rsid w:val="00823540"/>
    <w:rsid w:val="00823B59"/>
    <w:rsid w:val="00824645"/>
    <w:rsid w:val="008252BB"/>
    <w:rsid w:val="00826974"/>
    <w:rsid w:val="008269E3"/>
    <w:rsid w:val="00830B40"/>
    <w:rsid w:val="00832E39"/>
    <w:rsid w:val="0083314E"/>
    <w:rsid w:val="00837DDF"/>
    <w:rsid w:val="00840CB8"/>
    <w:rsid w:val="00842D0F"/>
    <w:rsid w:val="0084327E"/>
    <w:rsid w:val="00843345"/>
    <w:rsid w:val="00845ACE"/>
    <w:rsid w:val="008461D4"/>
    <w:rsid w:val="00846616"/>
    <w:rsid w:val="008475C9"/>
    <w:rsid w:val="00847DF6"/>
    <w:rsid w:val="00852079"/>
    <w:rsid w:val="008521F8"/>
    <w:rsid w:val="008538AC"/>
    <w:rsid w:val="00853E6F"/>
    <w:rsid w:val="00854E8C"/>
    <w:rsid w:val="00855EAB"/>
    <w:rsid w:val="008575D2"/>
    <w:rsid w:val="00857F9F"/>
    <w:rsid w:val="00860F68"/>
    <w:rsid w:val="00862464"/>
    <w:rsid w:val="00863346"/>
    <w:rsid w:val="00864554"/>
    <w:rsid w:val="00866FDE"/>
    <w:rsid w:val="00867ECB"/>
    <w:rsid w:val="00871479"/>
    <w:rsid w:val="008719DC"/>
    <w:rsid w:val="00872CCC"/>
    <w:rsid w:val="00873B48"/>
    <w:rsid w:val="00873FB9"/>
    <w:rsid w:val="00876BD4"/>
    <w:rsid w:val="0088130F"/>
    <w:rsid w:val="00885B33"/>
    <w:rsid w:val="00887308"/>
    <w:rsid w:val="00887424"/>
    <w:rsid w:val="00887BFD"/>
    <w:rsid w:val="00891862"/>
    <w:rsid w:val="00892C5F"/>
    <w:rsid w:val="00893381"/>
    <w:rsid w:val="008964E5"/>
    <w:rsid w:val="008A1B54"/>
    <w:rsid w:val="008A66DD"/>
    <w:rsid w:val="008B0CB8"/>
    <w:rsid w:val="008B20FA"/>
    <w:rsid w:val="008B2A79"/>
    <w:rsid w:val="008B2D3F"/>
    <w:rsid w:val="008B3AF1"/>
    <w:rsid w:val="008B52E6"/>
    <w:rsid w:val="008B76A2"/>
    <w:rsid w:val="008C0C61"/>
    <w:rsid w:val="008C1350"/>
    <w:rsid w:val="008C2987"/>
    <w:rsid w:val="008C326A"/>
    <w:rsid w:val="008C428E"/>
    <w:rsid w:val="008C44D7"/>
    <w:rsid w:val="008C451D"/>
    <w:rsid w:val="008C5A6B"/>
    <w:rsid w:val="008C74AD"/>
    <w:rsid w:val="008C7604"/>
    <w:rsid w:val="008D2488"/>
    <w:rsid w:val="008D32FF"/>
    <w:rsid w:val="008D455D"/>
    <w:rsid w:val="008D5AF7"/>
    <w:rsid w:val="008D6077"/>
    <w:rsid w:val="008D6162"/>
    <w:rsid w:val="008E04FB"/>
    <w:rsid w:val="008E0569"/>
    <w:rsid w:val="008E2DEE"/>
    <w:rsid w:val="008E5B0A"/>
    <w:rsid w:val="008E6B8F"/>
    <w:rsid w:val="008E7CB8"/>
    <w:rsid w:val="008F02AB"/>
    <w:rsid w:val="008F3F93"/>
    <w:rsid w:val="008F5F11"/>
    <w:rsid w:val="009029E2"/>
    <w:rsid w:val="00902A5B"/>
    <w:rsid w:val="00903C80"/>
    <w:rsid w:val="00905EF1"/>
    <w:rsid w:val="00906579"/>
    <w:rsid w:val="00907294"/>
    <w:rsid w:val="00907776"/>
    <w:rsid w:val="009143D9"/>
    <w:rsid w:val="00915E14"/>
    <w:rsid w:val="00917619"/>
    <w:rsid w:val="00917700"/>
    <w:rsid w:val="00923A85"/>
    <w:rsid w:val="00924CEE"/>
    <w:rsid w:val="00925EC2"/>
    <w:rsid w:val="00934160"/>
    <w:rsid w:val="0093445A"/>
    <w:rsid w:val="00935004"/>
    <w:rsid w:val="00936097"/>
    <w:rsid w:val="00936FF7"/>
    <w:rsid w:val="009421DB"/>
    <w:rsid w:val="009430FC"/>
    <w:rsid w:val="00943444"/>
    <w:rsid w:val="0094430D"/>
    <w:rsid w:val="0094509D"/>
    <w:rsid w:val="00945675"/>
    <w:rsid w:val="0094638B"/>
    <w:rsid w:val="00947677"/>
    <w:rsid w:val="009477D2"/>
    <w:rsid w:val="0095022F"/>
    <w:rsid w:val="009507C1"/>
    <w:rsid w:val="00951269"/>
    <w:rsid w:val="00952068"/>
    <w:rsid w:val="00952C7D"/>
    <w:rsid w:val="009539AD"/>
    <w:rsid w:val="00955515"/>
    <w:rsid w:val="009576FF"/>
    <w:rsid w:val="00957B36"/>
    <w:rsid w:val="00957FC4"/>
    <w:rsid w:val="00960353"/>
    <w:rsid w:val="00960C43"/>
    <w:rsid w:val="00961BF9"/>
    <w:rsid w:val="009624A6"/>
    <w:rsid w:val="00962EDB"/>
    <w:rsid w:val="00963940"/>
    <w:rsid w:val="00965D03"/>
    <w:rsid w:val="009677B6"/>
    <w:rsid w:val="00972E9C"/>
    <w:rsid w:val="00973017"/>
    <w:rsid w:val="00973CF3"/>
    <w:rsid w:val="00974FAC"/>
    <w:rsid w:val="00975662"/>
    <w:rsid w:val="00976A52"/>
    <w:rsid w:val="00976D3D"/>
    <w:rsid w:val="009813C9"/>
    <w:rsid w:val="00981804"/>
    <w:rsid w:val="00982928"/>
    <w:rsid w:val="00986BE9"/>
    <w:rsid w:val="00986DC4"/>
    <w:rsid w:val="00987679"/>
    <w:rsid w:val="00987B4B"/>
    <w:rsid w:val="00987CBD"/>
    <w:rsid w:val="00990ABF"/>
    <w:rsid w:val="00991146"/>
    <w:rsid w:val="00993A35"/>
    <w:rsid w:val="00995C68"/>
    <w:rsid w:val="009970C7"/>
    <w:rsid w:val="009A0C9A"/>
    <w:rsid w:val="009A2E65"/>
    <w:rsid w:val="009B0FC9"/>
    <w:rsid w:val="009B1B4B"/>
    <w:rsid w:val="009B30F8"/>
    <w:rsid w:val="009B36F5"/>
    <w:rsid w:val="009B3CCA"/>
    <w:rsid w:val="009B5B12"/>
    <w:rsid w:val="009B5D75"/>
    <w:rsid w:val="009B71F3"/>
    <w:rsid w:val="009B74A6"/>
    <w:rsid w:val="009B7BDC"/>
    <w:rsid w:val="009C0396"/>
    <w:rsid w:val="009C22A4"/>
    <w:rsid w:val="009C2C7D"/>
    <w:rsid w:val="009C2E76"/>
    <w:rsid w:val="009C3B34"/>
    <w:rsid w:val="009C3EFD"/>
    <w:rsid w:val="009C6C3B"/>
    <w:rsid w:val="009D0019"/>
    <w:rsid w:val="009D1417"/>
    <w:rsid w:val="009D1F8E"/>
    <w:rsid w:val="009E0022"/>
    <w:rsid w:val="009E6715"/>
    <w:rsid w:val="009E7397"/>
    <w:rsid w:val="009E7C97"/>
    <w:rsid w:val="009F0E9E"/>
    <w:rsid w:val="009F12F5"/>
    <w:rsid w:val="009F1C48"/>
    <w:rsid w:val="009F2CF0"/>
    <w:rsid w:val="009F49C5"/>
    <w:rsid w:val="009F4CE2"/>
    <w:rsid w:val="009F58FE"/>
    <w:rsid w:val="009F5BFE"/>
    <w:rsid w:val="009F5E3E"/>
    <w:rsid w:val="009F70B6"/>
    <w:rsid w:val="009F7607"/>
    <w:rsid w:val="009F7CBB"/>
    <w:rsid w:val="00A0113F"/>
    <w:rsid w:val="00A0226B"/>
    <w:rsid w:val="00A02809"/>
    <w:rsid w:val="00A036A5"/>
    <w:rsid w:val="00A04014"/>
    <w:rsid w:val="00A06968"/>
    <w:rsid w:val="00A06F61"/>
    <w:rsid w:val="00A071A7"/>
    <w:rsid w:val="00A079D5"/>
    <w:rsid w:val="00A07B8A"/>
    <w:rsid w:val="00A11B53"/>
    <w:rsid w:val="00A124E7"/>
    <w:rsid w:val="00A143A0"/>
    <w:rsid w:val="00A144F2"/>
    <w:rsid w:val="00A16E9C"/>
    <w:rsid w:val="00A214E5"/>
    <w:rsid w:val="00A239B8"/>
    <w:rsid w:val="00A24E4D"/>
    <w:rsid w:val="00A26394"/>
    <w:rsid w:val="00A307B4"/>
    <w:rsid w:val="00A31234"/>
    <w:rsid w:val="00A32CBF"/>
    <w:rsid w:val="00A33BF2"/>
    <w:rsid w:val="00A3468F"/>
    <w:rsid w:val="00A3669C"/>
    <w:rsid w:val="00A43641"/>
    <w:rsid w:val="00A4441B"/>
    <w:rsid w:val="00A45ACE"/>
    <w:rsid w:val="00A4700B"/>
    <w:rsid w:val="00A50A98"/>
    <w:rsid w:val="00A50E6D"/>
    <w:rsid w:val="00A54037"/>
    <w:rsid w:val="00A542DA"/>
    <w:rsid w:val="00A55B76"/>
    <w:rsid w:val="00A57935"/>
    <w:rsid w:val="00A57BAB"/>
    <w:rsid w:val="00A63AA2"/>
    <w:rsid w:val="00A6451A"/>
    <w:rsid w:val="00A651A0"/>
    <w:rsid w:val="00A65800"/>
    <w:rsid w:val="00A6695B"/>
    <w:rsid w:val="00A67B03"/>
    <w:rsid w:val="00A71650"/>
    <w:rsid w:val="00A71A3F"/>
    <w:rsid w:val="00A7731C"/>
    <w:rsid w:val="00A809D4"/>
    <w:rsid w:val="00A80F1F"/>
    <w:rsid w:val="00A822B6"/>
    <w:rsid w:val="00A82335"/>
    <w:rsid w:val="00A83E30"/>
    <w:rsid w:val="00A84215"/>
    <w:rsid w:val="00A84394"/>
    <w:rsid w:val="00A84CA1"/>
    <w:rsid w:val="00A854F3"/>
    <w:rsid w:val="00A85D11"/>
    <w:rsid w:val="00A878E6"/>
    <w:rsid w:val="00A879BC"/>
    <w:rsid w:val="00A90968"/>
    <w:rsid w:val="00A91B4F"/>
    <w:rsid w:val="00A937D3"/>
    <w:rsid w:val="00A94292"/>
    <w:rsid w:val="00A96484"/>
    <w:rsid w:val="00A96E22"/>
    <w:rsid w:val="00A9777E"/>
    <w:rsid w:val="00AA0C4A"/>
    <w:rsid w:val="00AA3665"/>
    <w:rsid w:val="00AA468F"/>
    <w:rsid w:val="00AA5005"/>
    <w:rsid w:val="00AA559F"/>
    <w:rsid w:val="00AA6DFA"/>
    <w:rsid w:val="00AB0075"/>
    <w:rsid w:val="00AB2206"/>
    <w:rsid w:val="00AB30CE"/>
    <w:rsid w:val="00AB31F8"/>
    <w:rsid w:val="00AB33E6"/>
    <w:rsid w:val="00AB4C6C"/>
    <w:rsid w:val="00AB5675"/>
    <w:rsid w:val="00AC0687"/>
    <w:rsid w:val="00AC0AA6"/>
    <w:rsid w:val="00AC0F7F"/>
    <w:rsid w:val="00AC14CA"/>
    <w:rsid w:val="00AC22EF"/>
    <w:rsid w:val="00AC2330"/>
    <w:rsid w:val="00AC27CD"/>
    <w:rsid w:val="00AC712C"/>
    <w:rsid w:val="00AD0776"/>
    <w:rsid w:val="00AD08C6"/>
    <w:rsid w:val="00AD2408"/>
    <w:rsid w:val="00AD2EAE"/>
    <w:rsid w:val="00AD4B85"/>
    <w:rsid w:val="00AD535D"/>
    <w:rsid w:val="00AD578E"/>
    <w:rsid w:val="00AD79F9"/>
    <w:rsid w:val="00AE04B1"/>
    <w:rsid w:val="00AE0C0F"/>
    <w:rsid w:val="00AE20A8"/>
    <w:rsid w:val="00AE2160"/>
    <w:rsid w:val="00AE27B6"/>
    <w:rsid w:val="00AE2E62"/>
    <w:rsid w:val="00AE7038"/>
    <w:rsid w:val="00AE73E1"/>
    <w:rsid w:val="00AE7C2B"/>
    <w:rsid w:val="00AF3DB7"/>
    <w:rsid w:val="00AF4F4B"/>
    <w:rsid w:val="00AF6AE6"/>
    <w:rsid w:val="00AF73D4"/>
    <w:rsid w:val="00B014CA"/>
    <w:rsid w:val="00B045D3"/>
    <w:rsid w:val="00B04CDD"/>
    <w:rsid w:val="00B0628E"/>
    <w:rsid w:val="00B10715"/>
    <w:rsid w:val="00B10C0D"/>
    <w:rsid w:val="00B11211"/>
    <w:rsid w:val="00B1139E"/>
    <w:rsid w:val="00B20553"/>
    <w:rsid w:val="00B20A2A"/>
    <w:rsid w:val="00B20A66"/>
    <w:rsid w:val="00B21E73"/>
    <w:rsid w:val="00B229B7"/>
    <w:rsid w:val="00B24851"/>
    <w:rsid w:val="00B2485D"/>
    <w:rsid w:val="00B25FE4"/>
    <w:rsid w:val="00B26924"/>
    <w:rsid w:val="00B27800"/>
    <w:rsid w:val="00B30B07"/>
    <w:rsid w:val="00B33A95"/>
    <w:rsid w:val="00B33D27"/>
    <w:rsid w:val="00B3471A"/>
    <w:rsid w:val="00B35F84"/>
    <w:rsid w:val="00B40C98"/>
    <w:rsid w:val="00B42C52"/>
    <w:rsid w:val="00B43912"/>
    <w:rsid w:val="00B43B01"/>
    <w:rsid w:val="00B441A2"/>
    <w:rsid w:val="00B44FE1"/>
    <w:rsid w:val="00B45519"/>
    <w:rsid w:val="00B46596"/>
    <w:rsid w:val="00B46A66"/>
    <w:rsid w:val="00B4741F"/>
    <w:rsid w:val="00B525D5"/>
    <w:rsid w:val="00B53AF8"/>
    <w:rsid w:val="00B56B31"/>
    <w:rsid w:val="00B57BF8"/>
    <w:rsid w:val="00B63C22"/>
    <w:rsid w:val="00B6404D"/>
    <w:rsid w:val="00B65171"/>
    <w:rsid w:val="00B678F1"/>
    <w:rsid w:val="00B70BAB"/>
    <w:rsid w:val="00B71EDC"/>
    <w:rsid w:val="00B73CFD"/>
    <w:rsid w:val="00B75A29"/>
    <w:rsid w:val="00B75C4C"/>
    <w:rsid w:val="00B75F84"/>
    <w:rsid w:val="00B76473"/>
    <w:rsid w:val="00B7782D"/>
    <w:rsid w:val="00B8005E"/>
    <w:rsid w:val="00B83965"/>
    <w:rsid w:val="00B84C65"/>
    <w:rsid w:val="00B84CBD"/>
    <w:rsid w:val="00B84F13"/>
    <w:rsid w:val="00B86CCF"/>
    <w:rsid w:val="00B87D64"/>
    <w:rsid w:val="00B916DF"/>
    <w:rsid w:val="00B91C03"/>
    <w:rsid w:val="00B920A2"/>
    <w:rsid w:val="00B937F1"/>
    <w:rsid w:val="00B93D1C"/>
    <w:rsid w:val="00B9427F"/>
    <w:rsid w:val="00B9590F"/>
    <w:rsid w:val="00B96570"/>
    <w:rsid w:val="00B9685E"/>
    <w:rsid w:val="00B96CCA"/>
    <w:rsid w:val="00B974F9"/>
    <w:rsid w:val="00BA20F0"/>
    <w:rsid w:val="00BA3EA9"/>
    <w:rsid w:val="00BA4E21"/>
    <w:rsid w:val="00BA59DF"/>
    <w:rsid w:val="00BA6D89"/>
    <w:rsid w:val="00BA6DCD"/>
    <w:rsid w:val="00BB07CD"/>
    <w:rsid w:val="00BC39F5"/>
    <w:rsid w:val="00BC6BAE"/>
    <w:rsid w:val="00BC7ECE"/>
    <w:rsid w:val="00BD0F4F"/>
    <w:rsid w:val="00BD52C1"/>
    <w:rsid w:val="00BD760A"/>
    <w:rsid w:val="00BE105F"/>
    <w:rsid w:val="00BE173C"/>
    <w:rsid w:val="00BE6644"/>
    <w:rsid w:val="00BF112D"/>
    <w:rsid w:val="00BF1DA0"/>
    <w:rsid w:val="00BF2983"/>
    <w:rsid w:val="00BF2BCE"/>
    <w:rsid w:val="00BF365E"/>
    <w:rsid w:val="00BF37D5"/>
    <w:rsid w:val="00BF5242"/>
    <w:rsid w:val="00BF59F4"/>
    <w:rsid w:val="00BF75D5"/>
    <w:rsid w:val="00C01D64"/>
    <w:rsid w:val="00C01DF2"/>
    <w:rsid w:val="00C02E6F"/>
    <w:rsid w:val="00C04A41"/>
    <w:rsid w:val="00C04EB8"/>
    <w:rsid w:val="00C05871"/>
    <w:rsid w:val="00C1090E"/>
    <w:rsid w:val="00C12BB5"/>
    <w:rsid w:val="00C20340"/>
    <w:rsid w:val="00C21964"/>
    <w:rsid w:val="00C23080"/>
    <w:rsid w:val="00C23AED"/>
    <w:rsid w:val="00C24553"/>
    <w:rsid w:val="00C24CED"/>
    <w:rsid w:val="00C2526E"/>
    <w:rsid w:val="00C256FA"/>
    <w:rsid w:val="00C25D5D"/>
    <w:rsid w:val="00C26A14"/>
    <w:rsid w:val="00C26EB7"/>
    <w:rsid w:val="00C31A0B"/>
    <w:rsid w:val="00C32F4C"/>
    <w:rsid w:val="00C33281"/>
    <w:rsid w:val="00C340BE"/>
    <w:rsid w:val="00C3531D"/>
    <w:rsid w:val="00C3747D"/>
    <w:rsid w:val="00C40001"/>
    <w:rsid w:val="00C412DC"/>
    <w:rsid w:val="00C42C7E"/>
    <w:rsid w:val="00C4323B"/>
    <w:rsid w:val="00C46B55"/>
    <w:rsid w:val="00C46DE0"/>
    <w:rsid w:val="00C508D9"/>
    <w:rsid w:val="00C520A7"/>
    <w:rsid w:val="00C52E95"/>
    <w:rsid w:val="00C534A2"/>
    <w:rsid w:val="00C54DDB"/>
    <w:rsid w:val="00C56D59"/>
    <w:rsid w:val="00C611F6"/>
    <w:rsid w:val="00C6374D"/>
    <w:rsid w:val="00C63ABB"/>
    <w:rsid w:val="00C64164"/>
    <w:rsid w:val="00C6603F"/>
    <w:rsid w:val="00C66730"/>
    <w:rsid w:val="00C6785E"/>
    <w:rsid w:val="00C710E4"/>
    <w:rsid w:val="00C71F01"/>
    <w:rsid w:val="00C72658"/>
    <w:rsid w:val="00C75A0F"/>
    <w:rsid w:val="00C76005"/>
    <w:rsid w:val="00C76B7A"/>
    <w:rsid w:val="00C77C45"/>
    <w:rsid w:val="00C81DFD"/>
    <w:rsid w:val="00C83A4C"/>
    <w:rsid w:val="00C85BBF"/>
    <w:rsid w:val="00C85F15"/>
    <w:rsid w:val="00C871B7"/>
    <w:rsid w:val="00C91CA4"/>
    <w:rsid w:val="00C928F5"/>
    <w:rsid w:val="00C954B1"/>
    <w:rsid w:val="00C9556F"/>
    <w:rsid w:val="00C9721C"/>
    <w:rsid w:val="00CA1B1C"/>
    <w:rsid w:val="00CA20AB"/>
    <w:rsid w:val="00CA23A0"/>
    <w:rsid w:val="00CA2DE6"/>
    <w:rsid w:val="00CA3CD3"/>
    <w:rsid w:val="00CA5047"/>
    <w:rsid w:val="00CA615A"/>
    <w:rsid w:val="00CA771E"/>
    <w:rsid w:val="00CA7DEB"/>
    <w:rsid w:val="00CB16CC"/>
    <w:rsid w:val="00CB42CC"/>
    <w:rsid w:val="00CB56CE"/>
    <w:rsid w:val="00CB6AA8"/>
    <w:rsid w:val="00CB72B9"/>
    <w:rsid w:val="00CB7F45"/>
    <w:rsid w:val="00CC008D"/>
    <w:rsid w:val="00CC2DEA"/>
    <w:rsid w:val="00CC2E3A"/>
    <w:rsid w:val="00CC4D8F"/>
    <w:rsid w:val="00CC66CB"/>
    <w:rsid w:val="00CC6C4F"/>
    <w:rsid w:val="00CD1E69"/>
    <w:rsid w:val="00CD6C0E"/>
    <w:rsid w:val="00CE004D"/>
    <w:rsid w:val="00CE0586"/>
    <w:rsid w:val="00CE16AF"/>
    <w:rsid w:val="00CE43E0"/>
    <w:rsid w:val="00CE47CD"/>
    <w:rsid w:val="00CE4BF2"/>
    <w:rsid w:val="00CE5A31"/>
    <w:rsid w:val="00CE5DDF"/>
    <w:rsid w:val="00CE5FFA"/>
    <w:rsid w:val="00CE7038"/>
    <w:rsid w:val="00CF0D64"/>
    <w:rsid w:val="00CF143B"/>
    <w:rsid w:val="00CF16AB"/>
    <w:rsid w:val="00CF1AFC"/>
    <w:rsid w:val="00CF1EBE"/>
    <w:rsid w:val="00CF24B8"/>
    <w:rsid w:val="00CF6CD1"/>
    <w:rsid w:val="00D0055D"/>
    <w:rsid w:val="00D01AB5"/>
    <w:rsid w:val="00D02100"/>
    <w:rsid w:val="00D03CC1"/>
    <w:rsid w:val="00D12A12"/>
    <w:rsid w:val="00D1318D"/>
    <w:rsid w:val="00D13F41"/>
    <w:rsid w:val="00D14015"/>
    <w:rsid w:val="00D14C18"/>
    <w:rsid w:val="00D153BD"/>
    <w:rsid w:val="00D1642D"/>
    <w:rsid w:val="00D17614"/>
    <w:rsid w:val="00D21548"/>
    <w:rsid w:val="00D2180A"/>
    <w:rsid w:val="00D22359"/>
    <w:rsid w:val="00D23E3C"/>
    <w:rsid w:val="00D253CD"/>
    <w:rsid w:val="00D258AE"/>
    <w:rsid w:val="00D26A55"/>
    <w:rsid w:val="00D30F58"/>
    <w:rsid w:val="00D320E9"/>
    <w:rsid w:val="00D32161"/>
    <w:rsid w:val="00D32454"/>
    <w:rsid w:val="00D336F8"/>
    <w:rsid w:val="00D349A6"/>
    <w:rsid w:val="00D40DAA"/>
    <w:rsid w:val="00D41F27"/>
    <w:rsid w:val="00D42077"/>
    <w:rsid w:val="00D44710"/>
    <w:rsid w:val="00D45EF9"/>
    <w:rsid w:val="00D46545"/>
    <w:rsid w:val="00D52920"/>
    <w:rsid w:val="00D53BC6"/>
    <w:rsid w:val="00D57840"/>
    <w:rsid w:val="00D57D57"/>
    <w:rsid w:val="00D609E1"/>
    <w:rsid w:val="00D60B57"/>
    <w:rsid w:val="00D61357"/>
    <w:rsid w:val="00D613A4"/>
    <w:rsid w:val="00D61C4D"/>
    <w:rsid w:val="00D61CF9"/>
    <w:rsid w:val="00D6645A"/>
    <w:rsid w:val="00D667C7"/>
    <w:rsid w:val="00D6770D"/>
    <w:rsid w:val="00D702F1"/>
    <w:rsid w:val="00D71BF8"/>
    <w:rsid w:val="00D72162"/>
    <w:rsid w:val="00D726D5"/>
    <w:rsid w:val="00D74D73"/>
    <w:rsid w:val="00D754A8"/>
    <w:rsid w:val="00D75E66"/>
    <w:rsid w:val="00D808D0"/>
    <w:rsid w:val="00D809B3"/>
    <w:rsid w:val="00D837A7"/>
    <w:rsid w:val="00D839C6"/>
    <w:rsid w:val="00D84D9C"/>
    <w:rsid w:val="00D850B6"/>
    <w:rsid w:val="00D85A96"/>
    <w:rsid w:val="00D863E7"/>
    <w:rsid w:val="00D86869"/>
    <w:rsid w:val="00D86972"/>
    <w:rsid w:val="00D926EA"/>
    <w:rsid w:val="00DA254E"/>
    <w:rsid w:val="00DA6A9A"/>
    <w:rsid w:val="00DB4F6D"/>
    <w:rsid w:val="00DB5026"/>
    <w:rsid w:val="00DB539C"/>
    <w:rsid w:val="00DB55EC"/>
    <w:rsid w:val="00DB64E6"/>
    <w:rsid w:val="00DB6B54"/>
    <w:rsid w:val="00DB6C48"/>
    <w:rsid w:val="00DB7086"/>
    <w:rsid w:val="00DC170F"/>
    <w:rsid w:val="00DC339F"/>
    <w:rsid w:val="00DC50D0"/>
    <w:rsid w:val="00DC5784"/>
    <w:rsid w:val="00DD07EC"/>
    <w:rsid w:val="00DD0BF2"/>
    <w:rsid w:val="00DD32F8"/>
    <w:rsid w:val="00DD59A9"/>
    <w:rsid w:val="00DD64F7"/>
    <w:rsid w:val="00DE0504"/>
    <w:rsid w:val="00DE5A91"/>
    <w:rsid w:val="00DE6548"/>
    <w:rsid w:val="00DE69B7"/>
    <w:rsid w:val="00DE6DAC"/>
    <w:rsid w:val="00DF00DB"/>
    <w:rsid w:val="00DF1503"/>
    <w:rsid w:val="00DF1A6A"/>
    <w:rsid w:val="00DF32EE"/>
    <w:rsid w:val="00DF44AC"/>
    <w:rsid w:val="00DF5CD2"/>
    <w:rsid w:val="00DF780D"/>
    <w:rsid w:val="00E02692"/>
    <w:rsid w:val="00E03282"/>
    <w:rsid w:val="00E038D2"/>
    <w:rsid w:val="00E03F2C"/>
    <w:rsid w:val="00E0682C"/>
    <w:rsid w:val="00E10ACC"/>
    <w:rsid w:val="00E17018"/>
    <w:rsid w:val="00E207B2"/>
    <w:rsid w:val="00E21B65"/>
    <w:rsid w:val="00E238DB"/>
    <w:rsid w:val="00E24B56"/>
    <w:rsid w:val="00E2690E"/>
    <w:rsid w:val="00E26D88"/>
    <w:rsid w:val="00E2711D"/>
    <w:rsid w:val="00E314CE"/>
    <w:rsid w:val="00E31771"/>
    <w:rsid w:val="00E32B68"/>
    <w:rsid w:val="00E33AE0"/>
    <w:rsid w:val="00E348E0"/>
    <w:rsid w:val="00E34FEA"/>
    <w:rsid w:val="00E40677"/>
    <w:rsid w:val="00E40965"/>
    <w:rsid w:val="00E40EF5"/>
    <w:rsid w:val="00E4547C"/>
    <w:rsid w:val="00E45B5D"/>
    <w:rsid w:val="00E52237"/>
    <w:rsid w:val="00E5283D"/>
    <w:rsid w:val="00E5417B"/>
    <w:rsid w:val="00E54B24"/>
    <w:rsid w:val="00E54FD7"/>
    <w:rsid w:val="00E56412"/>
    <w:rsid w:val="00E56570"/>
    <w:rsid w:val="00E56FD0"/>
    <w:rsid w:val="00E60BF2"/>
    <w:rsid w:val="00E63C59"/>
    <w:rsid w:val="00E65F06"/>
    <w:rsid w:val="00E664DA"/>
    <w:rsid w:val="00E700E1"/>
    <w:rsid w:val="00E71337"/>
    <w:rsid w:val="00E71773"/>
    <w:rsid w:val="00E73880"/>
    <w:rsid w:val="00E74D6D"/>
    <w:rsid w:val="00E77DE9"/>
    <w:rsid w:val="00E818CB"/>
    <w:rsid w:val="00E84086"/>
    <w:rsid w:val="00E84837"/>
    <w:rsid w:val="00E860F3"/>
    <w:rsid w:val="00E90667"/>
    <w:rsid w:val="00E90E9F"/>
    <w:rsid w:val="00E948CC"/>
    <w:rsid w:val="00E95128"/>
    <w:rsid w:val="00E953D1"/>
    <w:rsid w:val="00E968EC"/>
    <w:rsid w:val="00E9705E"/>
    <w:rsid w:val="00EA0115"/>
    <w:rsid w:val="00EA0434"/>
    <w:rsid w:val="00EA1313"/>
    <w:rsid w:val="00EA1C1B"/>
    <w:rsid w:val="00EA630C"/>
    <w:rsid w:val="00EA65BF"/>
    <w:rsid w:val="00EA7622"/>
    <w:rsid w:val="00EB06E0"/>
    <w:rsid w:val="00EB0F6E"/>
    <w:rsid w:val="00EB32E6"/>
    <w:rsid w:val="00EB3C18"/>
    <w:rsid w:val="00EB44A3"/>
    <w:rsid w:val="00EB48C5"/>
    <w:rsid w:val="00EB4CBA"/>
    <w:rsid w:val="00EB57FE"/>
    <w:rsid w:val="00EB5B54"/>
    <w:rsid w:val="00EB5C02"/>
    <w:rsid w:val="00EC0FF4"/>
    <w:rsid w:val="00EC130F"/>
    <w:rsid w:val="00EC1B56"/>
    <w:rsid w:val="00EC3BB7"/>
    <w:rsid w:val="00EC49A3"/>
    <w:rsid w:val="00EC5169"/>
    <w:rsid w:val="00EC6093"/>
    <w:rsid w:val="00EC6FB2"/>
    <w:rsid w:val="00ED4A11"/>
    <w:rsid w:val="00ED5807"/>
    <w:rsid w:val="00ED689B"/>
    <w:rsid w:val="00ED6F03"/>
    <w:rsid w:val="00ED6F17"/>
    <w:rsid w:val="00ED7017"/>
    <w:rsid w:val="00ED7C0C"/>
    <w:rsid w:val="00EE0858"/>
    <w:rsid w:val="00EE1147"/>
    <w:rsid w:val="00EE1528"/>
    <w:rsid w:val="00EE2796"/>
    <w:rsid w:val="00EE2ED7"/>
    <w:rsid w:val="00EF1238"/>
    <w:rsid w:val="00EF439F"/>
    <w:rsid w:val="00EF5F95"/>
    <w:rsid w:val="00EF652D"/>
    <w:rsid w:val="00F03802"/>
    <w:rsid w:val="00F043B0"/>
    <w:rsid w:val="00F05958"/>
    <w:rsid w:val="00F06FB3"/>
    <w:rsid w:val="00F07620"/>
    <w:rsid w:val="00F10756"/>
    <w:rsid w:val="00F12537"/>
    <w:rsid w:val="00F1273B"/>
    <w:rsid w:val="00F15554"/>
    <w:rsid w:val="00F1560B"/>
    <w:rsid w:val="00F16A39"/>
    <w:rsid w:val="00F21D73"/>
    <w:rsid w:val="00F228CA"/>
    <w:rsid w:val="00F22D05"/>
    <w:rsid w:val="00F24677"/>
    <w:rsid w:val="00F24FAC"/>
    <w:rsid w:val="00F26674"/>
    <w:rsid w:val="00F27146"/>
    <w:rsid w:val="00F2715A"/>
    <w:rsid w:val="00F3162B"/>
    <w:rsid w:val="00F36892"/>
    <w:rsid w:val="00F36F1A"/>
    <w:rsid w:val="00F41D9E"/>
    <w:rsid w:val="00F427D1"/>
    <w:rsid w:val="00F43640"/>
    <w:rsid w:val="00F436F6"/>
    <w:rsid w:val="00F441BF"/>
    <w:rsid w:val="00F46A28"/>
    <w:rsid w:val="00F472B4"/>
    <w:rsid w:val="00F506B6"/>
    <w:rsid w:val="00F515E6"/>
    <w:rsid w:val="00F528B5"/>
    <w:rsid w:val="00F52909"/>
    <w:rsid w:val="00F55849"/>
    <w:rsid w:val="00F559A5"/>
    <w:rsid w:val="00F6141E"/>
    <w:rsid w:val="00F64061"/>
    <w:rsid w:val="00F65377"/>
    <w:rsid w:val="00F65753"/>
    <w:rsid w:val="00F67337"/>
    <w:rsid w:val="00F7394C"/>
    <w:rsid w:val="00F73AE2"/>
    <w:rsid w:val="00F7409C"/>
    <w:rsid w:val="00F74A53"/>
    <w:rsid w:val="00F75AF5"/>
    <w:rsid w:val="00F76C31"/>
    <w:rsid w:val="00F80046"/>
    <w:rsid w:val="00F80B08"/>
    <w:rsid w:val="00F821AB"/>
    <w:rsid w:val="00F83AF7"/>
    <w:rsid w:val="00F83B82"/>
    <w:rsid w:val="00F8550D"/>
    <w:rsid w:val="00F90B74"/>
    <w:rsid w:val="00F933AC"/>
    <w:rsid w:val="00F94AE8"/>
    <w:rsid w:val="00F96099"/>
    <w:rsid w:val="00FA0856"/>
    <w:rsid w:val="00FA4108"/>
    <w:rsid w:val="00FA4487"/>
    <w:rsid w:val="00FA663C"/>
    <w:rsid w:val="00FA7631"/>
    <w:rsid w:val="00FB00DD"/>
    <w:rsid w:val="00FB065E"/>
    <w:rsid w:val="00FB0CC2"/>
    <w:rsid w:val="00FB11FD"/>
    <w:rsid w:val="00FB16F0"/>
    <w:rsid w:val="00FB2821"/>
    <w:rsid w:val="00FB2D8A"/>
    <w:rsid w:val="00FB658F"/>
    <w:rsid w:val="00FC55F9"/>
    <w:rsid w:val="00FC75E9"/>
    <w:rsid w:val="00FC7C9C"/>
    <w:rsid w:val="00FD0008"/>
    <w:rsid w:val="00FD0DD6"/>
    <w:rsid w:val="00FD1555"/>
    <w:rsid w:val="00FD25BA"/>
    <w:rsid w:val="00FD29D8"/>
    <w:rsid w:val="00FD363F"/>
    <w:rsid w:val="00FD478A"/>
    <w:rsid w:val="00FD5ACC"/>
    <w:rsid w:val="00FD729C"/>
    <w:rsid w:val="00FD7AFB"/>
    <w:rsid w:val="00FE0EDA"/>
    <w:rsid w:val="00FE0F2C"/>
    <w:rsid w:val="00FE2FDA"/>
    <w:rsid w:val="00FE30FC"/>
    <w:rsid w:val="00FE46E4"/>
    <w:rsid w:val="00FE678F"/>
    <w:rsid w:val="00FE6F38"/>
    <w:rsid w:val="00FF4B28"/>
    <w:rsid w:val="00FF6CE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uiPriority w:val="9"/>
    <w:semiHidden/>
    <w:unhideWhenUsed/>
    <w:qFormat/>
    <w:rsid w:val="009C2E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semiHidden/>
    <w:unhideWhenUsed/>
    <w:rsid w:val="009B7BDC"/>
    <w:pPr>
      <w:spacing w:after="120"/>
    </w:pPr>
  </w:style>
  <w:style w:type="character" w:customStyle="1" w:styleId="CorpsdetexteCar">
    <w:name w:val="Corps de texte Car"/>
    <w:basedOn w:val="Policepardfaut"/>
    <w:link w:val="Corpsdetexte"/>
    <w:uiPriority w:val="99"/>
    <w:semiHidden/>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styleId="Sansinterligne">
    <w:name w:val="No Spacing"/>
    <w:uiPriority w:val="1"/>
    <w:qFormat/>
    <w:rsid w:val="00DF1A6A"/>
    <w:pPr>
      <w:bidi/>
    </w:pPr>
    <w:rPr>
      <w:rFonts w:ascii="Times New Roman" w:eastAsia="Times New Roman" w:hAnsi="Times New Roman" w:cs="Traditional Arabic"/>
      <w:noProof/>
    </w:rPr>
  </w:style>
  <w:style w:type="character" w:customStyle="1" w:styleId="Titre3Car">
    <w:name w:val="Titre 3 Car"/>
    <w:basedOn w:val="Policepardfaut"/>
    <w:link w:val="Titre3"/>
    <w:uiPriority w:val="9"/>
    <w:semiHidden/>
    <w:rsid w:val="009C2E76"/>
    <w:rPr>
      <w:rFonts w:asciiTheme="majorHAnsi" w:eastAsiaTheme="majorEastAsia" w:hAnsiTheme="majorHAnsi" w:cstheme="majorBidi"/>
      <w:b/>
      <w:bCs/>
      <w:noProof/>
      <w:color w:val="4F81BD" w:themeColor="accent1"/>
    </w:rPr>
  </w:style>
  <w:style w:type="paragraph" w:customStyle="1" w:styleId="Paragraphedeliste2">
    <w:name w:val="Paragraphe de liste2"/>
    <w:basedOn w:val="Normal"/>
    <w:rsid w:val="00E45B5D"/>
    <w:pPr>
      <w:bidi w:val="0"/>
      <w:ind w:left="720"/>
    </w:pPr>
    <w:rPr>
      <w:rFonts w:cs="Times New Roman"/>
      <w:noProof w:val="0"/>
      <w:sz w:val="24"/>
      <w:szCs w:val="24"/>
    </w:rPr>
  </w:style>
  <w:style w:type="table" w:styleId="Grilledutableau">
    <w:name w:val="Table Grid"/>
    <w:basedOn w:val="TableauNormal"/>
    <w:uiPriority w:val="59"/>
    <w:rsid w:val="005B59B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2419197">
      <w:bodyDiv w:val="1"/>
      <w:marLeft w:val="0"/>
      <w:marRight w:val="0"/>
      <w:marTop w:val="0"/>
      <w:marBottom w:val="0"/>
      <w:divBdr>
        <w:top w:val="none" w:sz="0" w:space="0" w:color="auto"/>
        <w:left w:val="none" w:sz="0" w:space="0" w:color="auto"/>
        <w:bottom w:val="none" w:sz="0" w:space="0" w:color="auto"/>
        <w:right w:val="none" w:sz="0" w:space="0" w:color="auto"/>
      </w:divBdr>
    </w:div>
    <w:div w:id="1045981931">
      <w:bodyDiv w:val="1"/>
      <w:marLeft w:val="0"/>
      <w:marRight w:val="0"/>
      <w:marTop w:val="0"/>
      <w:marBottom w:val="0"/>
      <w:divBdr>
        <w:top w:val="none" w:sz="0" w:space="0" w:color="auto"/>
        <w:left w:val="none" w:sz="0" w:space="0" w:color="auto"/>
        <w:bottom w:val="none" w:sz="0" w:space="0" w:color="auto"/>
        <w:right w:val="none" w:sz="0" w:space="0" w:color="auto"/>
      </w:divBdr>
    </w:div>
    <w:div w:id="1279679406">
      <w:bodyDiv w:val="1"/>
      <w:marLeft w:val="0"/>
      <w:marRight w:val="0"/>
      <w:marTop w:val="0"/>
      <w:marBottom w:val="0"/>
      <w:divBdr>
        <w:top w:val="none" w:sz="0" w:space="0" w:color="auto"/>
        <w:left w:val="none" w:sz="0" w:space="0" w:color="auto"/>
        <w:bottom w:val="none" w:sz="0" w:space="0" w:color="auto"/>
        <w:right w:val="none" w:sz="0" w:space="0" w:color="auto"/>
      </w:divBdr>
    </w:div>
    <w:div w:id="1457330176">
      <w:bodyDiv w:val="1"/>
      <w:marLeft w:val="0"/>
      <w:marRight w:val="0"/>
      <w:marTop w:val="0"/>
      <w:marBottom w:val="0"/>
      <w:divBdr>
        <w:top w:val="none" w:sz="0" w:space="0" w:color="auto"/>
        <w:left w:val="none" w:sz="0" w:space="0" w:color="auto"/>
        <w:bottom w:val="none" w:sz="0" w:space="0" w:color="auto"/>
        <w:right w:val="none" w:sz="0" w:space="0" w:color="auto"/>
      </w:divBdr>
    </w:div>
    <w:div w:id="1534347571">
      <w:bodyDiv w:val="1"/>
      <w:marLeft w:val="0"/>
      <w:marRight w:val="0"/>
      <w:marTop w:val="0"/>
      <w:marBottom w:val="0"/>
      <w:divBdr>
        <w:top w:val="none" w:sz="0" w:space="0" w:color="auto"/>
        <w:left w:val="none" w:sz="0" w:space="0" w:color="auto"/>
        <w:bottom w:val="none" w:sz="0" w:space="0" w:color="auto"/>
        <w:right w:val="none" w:sz="0" w:space="0" w:color="auto"/>
      </w:divBdr>
    </w:div>
    <w:div w:id="1584031027">
      <w:bodyDiv w:val="1"/>
      <w:marLeft w:val="0"/>
      <w:marRight w:val="0"/>
      <w:marTop w:val="0"/>
      <w:marBottom w:val="0"/>
      <w:divBdr>
        <w:top w:val="none" w:sz="0" w:space="0" w:color="auto"/>
        <w:left w:val="none" w:sz="0" w:space="0" w:color="auto"/>
        <w:bottom w:val="none" w:sz="0" w:space="0" w:color="auto"/>
        <w:right w:val="none" w:sz="0" w:space="0" w:color="auto"/>
      </w:divBdr>
    </w:div>
    <w:div w:id="1610547777">
      <w:bodyDiv w:val="1"/>
      <w:marLeft w:val="0"/>
      <w:marRight w:val="0"/>
      <w:marTop w:val="0"/>
      <w:marBottom w:val="0"/>
      <w:divBdr>
        <w:top w:val="none" w:sz="0" w:space="0" w:color="auto"/>
        <w:left w:val="none" w:sz="0" w:space="0" w:color="auto"/>
        <w:bottom w:val="none" w:sz="0" w:space="0" w:color="auto"/>
        <w:right w:val="none" w:sz="0" w:space="0" w:color="auto"/>
      </w:divBdr>
    </w:div>
    <w:div w:id="1641884901">
      <w:bodyDiv w:val="1"/>
      <w:marLeft w:val="0"/>
      <w:marRight w:val="0"/>
      <w:marTop w:val="0"/>
      <w:marBottom w:val="0"/>
      <w:divBdr>
        <w:top w:val="none" w:sz="0" w:space="0" w:color="auto"/>
        <w:left w:val="none" w:sz="0" w:space="0" w:color="auto"/>
        <w:bottom w:val="none" w:sz="0" w:space="0" w:color="auto"/>
        <w:right w:val="none" w:sz="0" w:space="0" w:color="auto"/>
      </w:divBdr>
    </w:div>
    <w:div w:id="1751656481">
      <w:bodyDiv w:val="1"/>
      <w:marLeft w:val="0"/>
      <w:marRight w:val="0"/>
      <w:marTop w:val="0"/>
      <w:marBottom w:val="0"/>
      <w:divBdr>
        <w:top w:val="none" w:sz="0" w:space="0" w:color="auto"/>
        <w:left w:val="none" w:sz="0" w:space="0" w:color="auto"/>
        <w:bottom w:val="none" w:sz="0" w:space="0" w:color="auto"/>
        <w:right w:val="none" w:sz="0" w:space="0" w:color="auto"/>
      </w:divBdr>
    </w:div>
    <w:div w:id="20280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ote%20emploi%20nouvelles%20variables\Graphiques%20et%20tableaux.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rimestre%204%202017\Traitement%20ann&#233;e%202017\Retro%20%20ann&#233;e%202016\couplage%202017\Ann&#233;e__2017__-var-trim_4__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msung\Desktop\emploi\annuel\Classeu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amsung\Desktop\emploi\annuel\Classeu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ihniki\Desktop\Ad&#233;quation%20formation%20emploi\Ad&#233;quation%20F-E%20Naima\Dipl&#244;mes%20les%20plus%20&#233;lev&#233;s_ann&#233;e__2017__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Nouvelles%20dimensions_prescolaire\Pr&#233;scolaire_ann&#233;e__2017__3.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mansouri\Desktop\HCP\09%20th&#233;matiques\2017%20migration\Immigr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Feuil1!$B$1</c:f>
              <c:strCache>
                <c:ptCount val="1"/>
                <c:pt idx="0">
                  <c:v>Masculin</c:v>
                </c:pt>
              </c:strCache>
            </c:strRef>
          </c:tx>
          <c:dLbls>
            <c:dLbl>
              <c:idx val="6"/>
              <c:layout>
                <c:manualLayout>
                  <c:x val="-3.9938551236915068E-3"/>
                  <c:y val="0"/>
                </c:manualLayout>
              </c:layout>
              <c:showVal val="1"/>
            </c:dLbl>
            <c:dLbl>
              <c:idx val="9"/>
              <c:layout>
                <c:manualLayout>
                  <c:x val="-7.9877102473831594E-3"/>
                  <c:y val="0"/>
                </c:manualLayout>
              </c:layout>
              <c:showVal val="1"/>
            </c:dLbl>
            <c:delete val="1"/>
          </c:dLbls>
          <c:cat>
            <c:strRef>
              <c:f>Feuil1!$A$2:$A$13</c:f>
              <c:strCache>
                <c:ptCount val="12"/>
                <c:pt idx="0">
                  <c:v>Casablanca-Settat</c:v>
                </c:pt>
                <c:pt idx="1">
                  <c:v>Laayoune-Sakia El Hamra</c:v>
                </c:pt>
                <c:pt idx="2">
                  <c:v>Rabat-Salé-Kénitra</c:v>
                </c:pt>
                <c:pt idx="3">
                  <c:v>Guelmim-Oued Noun</c:v>
                </c:pt>
                <c:pt idx="4">
                  <c:v>Souss-Massa</c:v>
                </c:pt>
                <c:pt idx="5">
                  <c:v>Fès-Meknès</c:v>
                </c:pt>
                <c:pt idx="6">
                  <c:v>Eddakhla-Oued Eddahab</c:v>
                </c:pt>
                <c:pt idx="7">
                  <c:v>Tanger-Tétouan-Al Hoceima</c:v>
                </c:pt>
                <c:pt idx="8">
                  <c:v>Drâa-Tafilalet</c:v>
                </c:pt>
                <c:pt idx="9">
                  <c:v>Oriental</c:v>
                </c:pt>
                <c:pt idx="10">
                  <c:v>Marrakech-Safi</c:v>
                </c:pt>
                <c:pt idx="11">
                  <c:v>Béni Mellal-Khénifra</c:v>
                </c:pt>
              </c:strCache>
            </c:strRef>
          </c:cat>
          <c:val>
            <c:numRef>
              <c:f>Feuil1!$B$2:$B$13</c:f>
              <c:numCache>
                <c:formatCode>#,##0.0</c:formatCode>
                <c:ptCount val="12"/>
                <c:pt idx="0">
                  <c:v>13.056270812277706</c:v>
                </c:pt>
                <c:pt idx="1">
                  <c:v>12.936563320373498</c:v>
                </c:pt>
                <c:pt idx="2">
                  <c:v>13.976770240526674</c:v>
                </c:pt>
                <c:pt idx="3">
                  <c:v>14.767810787424295</c:v>
                </c:pt>
                <c:pt idx="4">
                  <c:v>13.832153961616818</c:v>
                </c:pt>
                <c:pt idx="5">
                  <c:v>13.478278472812551</c:v>
                </c:pt>
                <c:pt idx="6">
                  <c:v>7.5167979890752674</c:v>
                </c:pt>
                <c:pt idx="7">
                  <c:v>12.517280514426124</c:v>
                </c:pt>
                <c:pt idx="8">
                  <c:v>9.478511847195362</c:v>
                </c:pt>
                <c:pt idx="9">
                  <c:v>16.768599732654589</c:v>
                </c:pt>
                <c:pt idx="10">
                  <c:v>11.733572427359045</c:v>
                </c:pt>
                <c:pt idx="11">
                  <c:v>11.509638099775676</c:v>
                </c:pt>
              </c:numCache>
            </c:numRef>
          </c:val>
        </c:ser>
        <c:ser>
          <c:idx val="1"/>
          <c:order val="1"/>
          <c:tx>
            <c:strRef>
              <c:f>Feuil1!$C$1</c:f>
              <c:strCache>
                <c:ptCount val="1"/>
                <c:pt idx="0">
                  <c:v>Féminin</c:v>
                </c:pt>
              </c:strCache>
            </c:strRef>
          </c:tx>
          <c:dLbls>
            <c:showVal val="1"/>
          </c:dLbls>
          <c:cat>
            <c:strRef>
              <c:f>Feuil1!$A$2:$A$13</c:f>
              <c:strCache>
                <c:ptCount val="12"/>
                <c:pt idx="0">
                  <c:v>Casablanca-Settat</c:v>
                </c:pt>
                <c:pt idx="1">
                  <c:v>Laayoune-Sakia El Hamra</c:v>
                </c:pt>
                <c:pt idx="2">
                  <c:v>Rabat-Salé-Kénitra</c:v>
                </c:pt>
                <c:pt idx="3">
                  <c:v>Guelmim-Oued Noun</c:v>
                </c:pt>
                <c:pt idx="4">
                  <c:v>Souss-Massa</c:v>
                </c:pt>
                <c:pt idx="5">
                  <c:v>Fès-Meknès</c:v>
                </c:pt>
                <c:pt idx="6">
                  <c:v>Eddakhla-Oued Eddahab</c:v>
                </c:pt>
                <c:pt idx="7">
                  <c:v>Tanger-Tétouan-Al Hoceima</c:v>
                </c:pt>
                <c:pt idx="8">
                  <c:v>Drâa-Tafilalet</c:v>
                </c:pt>
                <c:pt idx="9">
                  <c:v>Oriental</c:v>
                </c:pt>
                <c:pt idx="10">
                  <c:v>Marrakech-Safi</c:v>
                </c:pt>
                <c:pt idx="11">
                  <c:v>Béni Mellal-Khénifra</c:v>
                </c:pt>
              </c:strCache>
            </c:strRef>
          </c:cat>
          <c:val>
            <c:numRef>
              <c:f>Feuil1!$C$2:$C$13</c:f>
              <c:numCache>
                <c:formatCode>#,##0.0</c:formatCode>
                <c:ptCount val="12"/>
                <c:pt idx="0">
                  <c:v>34.57168432886585</c:v>
                </c:pt>
                <c:pt idx="1">
                  <c:v>35.726245290916928</c:v>
                </c:pt>
                <c:pt idx="2">
                  <c:v>39.400012364505663</c:v>
                </c:pt>
                <c:pt idx="3">
                  <c:v>43.111213470494896</c:v>
                </c:pt>
                <c:pt idx="4">
                  <c:v>45.549021413215819</c:v>
                </c:pt>
                <c:pt idx="5">
                  <c:v>46.500502690221289</c:v>
                </c:pt>
                <c:pt idx="6">
                  <c:v>46.65893047094093</c:v>
                </c:pt>
                <c:pt idx="7">
                  <c:v>47.889929331826146</c:v>
                </c:pt>
                <c:pt idx="8">
                  <c:v>53.476398123545962</c:v>
                </c:pt>
                <c:pt idx="9">
                  <c:v>53.606345417474763</c:v>
                </c:pt>
                <c:pt idx="10">
                  <c:v>54.963038440516506</c:v>
                </c:pt>
                <c:pt idx="11">
                  <c:v>55.102040816326635</c:v>
                </c:pt>
              </c:numCache>
            </c:numRef>
          </c:val>
        </c:ser>
        <c:ser>
          <c:idx val="2"/>
          <c:order val="2"/>
          <c:tx>
            <c:strRef>
              <c:f>Feuil1!$D$1</c:f>
              <c:strCache>
                <c:ptCount val="1"/>
                <c:pt idx="0">
                  <c:v>Les deux sexes</c:v>
                </c:pt>
              </c:strCache>
            </c:strRef>
          </c:tx>
          <c:dLbls>
            <c:dLbl>
              <c:idx val="6"/>
              <c:layout>
                <c:manualLayout>
                  <c:x val="1.3978492932920528E-2"/>
                  <c:y val="8.4347103606801695E-3"/>
                </c:manualLayout>
              </c:layout>
              <c:showVal val="1"/>
            </c:dLbl>
            <c:dLbl>
              <c:idx val="9"/>
              <c:layout>
                <c:manualLayout>
                  <c:x val="1.9969275618458134E-2"/>
                  <c:y val="1.9329321282590519E-17"/>
                </c:manualLayout>
              </c:layout>
              <c:showVal val="1"/>
            </c:dLbl>
            <c:delete val="1"/>
          </c:dLbls>
          <c:cat>
            <c:strRef>
              <c:f>Feuil1!$A$2:$A$13</c:f>
              <c:strCache>
                <c:ptCount val="12"/>
                <c:pt idx="0">
                  <c:v>Casablanca-Settat</c:v>
                </c:pt>
                <c:pt idx="1">
                  <c:v>Laayoune-Sakia El Hamra</c:v>
                </c:pt>
                <c:pt idx="2">
                  <c:v>Rabat-Salé-Kénitra</c:v>
                </c:pt>
                <c:pt idx="3">
                  <c:v>Guelmim-Oued Noun</c:v>
                </c:pt>
                <c:pt idx="4">
                  <c:v>Souss-Massa</c:v>
                </c:pt>
                <c:pt idx="5">
                  <c:v>Fès-Meknès</c:v>
                </c:pt>
                <c:pt idx="6">
                  <c:v>Eddakhla-Oued Eddahab</c:v>
                </c:pt>
                <c:pt idx="7">
                  <c:v>Tanger-Tétouan-Al Hoceima</c:v>
                </c:pt>
                <c:pt idx="8">
                  <c:v>Drâa-Tafilalet</c:v>
                </c:pt>
                <c:pt idx="9">
                  <c:v>Oriental</c:v>
                </c:pt>
                <c:pt idx="10">
                  <c:v>Marrakech-Safi</c:v>
                </c:pt>
                <c:pt idx="11">
                  <c:v>Béni Mellal-Khénifra</c:v>
                </c:pt>
              </c:strCache>
            </c:strRef>
          </c:cat>
          <c:val>
            <c:numRef>
              <c:f>Feuil1!$D$2:$D$13</c:f>
              <c:numCache>
                <c:formatCode>#,##0.0</c:formatCode>
                <c:ptCount val="12"/>
                <c:pt idx="0">
                  <c:v>23.598535312152677</c:v>
                </c:pt>
                <c:pt idx="1">
                  <c:v>24.055070539984023</c:v>
                </c:pt>
                <c:pt idx="2">
                  <c:v>26.443682609618289</c:v>
                </c:pt>
                <c:pt idx="3">
                  <c:v>30.527454077204347</c:v>
                </c:pt>
                <c:pt idx="4">
                  <c:v>30.559467282596508</c:v>
                </c:pt>
                <c:pt idx="5">
                  <c:v>29.799313891311751</c:v>
                </c:pt>
                <c:pt idx="6">
                  <c:v>20.562072966352979</c:v>
                </c:pt>
                <c:pt idx="7">
                  <c:v>28.98600488316265</c:v>
                </c:pt>
                <c:pt idx="8">
                  <c:v>33.373493975903443</c:v>
                </c:pt>
                <c:pt idx="9">
                  <c:v>34.425576949663288</c:v>
                </c:pt>
                <c:pt idx="10">
                  <c:v>33.394054301894904</c:v>
                </c:pt>
                <c:pt idx="11">
                  <c:v>34.222155661577467</c:v>
                </c:pt>
              </c:numCache>
            </c:numRef>
          </c:val>
        </c:ser>
        <c:axId val="100840960"/>
        <c:axId val="100842496"/>
      </c:barChart>
      <c:catAx>
        <c:axId val="100840960"/>
        <c:scaling>
          <c:orientation val="minMax"/>
        </c:scaling>
        <c:axPos val="b"/>
        <c:tickLblPos val="nextTo"/>
        <c:crossAx val="100842496"/>
        <c:crosses val="autoZero"/>
        <c:auto val="1"/>
        <c:lblAlgn val="ctr"/>
        <c:lblOffset val="100"/>
      </c:catAx>
      <c:valAx>
        <c:axId val="100842496"/>
        <c:scaling>
          <c:orientation val="minMax"/>
        </c:scaling>
        <c:delete val="1"/>
        <c:axPos val="l"/>
        <c:numFmt formatCode="#,##0.0" sourceLinked="1"/>
        <c:tickLblPos val="none"/>
        <c:crossAx val="100840960"/>
        <c:crosses val="autoZero"/>
        <c:crossBetween val="between"/>
      </c:valAx>
    </c:plotArea>
    <c:legend>
      <c:legendPos val="b"/>
    </c:legend>
    <c:plotVisOnly val="1"/>
  </c:chart>
  <c:txPr>
    <a:bodyPr/>
    <a:lstStyle/>
    <a:p>
      <a:pPr>
        <a:defRPr sz="900">
          <a:latin typeface="Book Antiqua" pitchFamily="18" charset="0"/>
          <a:cs typeface="Times New Roman" pitchFamily="18" charset="0"/>
        </a:defRPr>
      </a:pPr>
      <a:endParaRPr lang="fr-F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style val="11"/>
  <c:chart>
    <c:autoTitleDeleted val="1"/>
    <c:plotArea>
      <c:layout/>
      <c:barChart>
        <c:barDir val="col"/>
        <c:grouping val="percentStacked"/>
        <c:ser>
          <c:idx val="0"/>
          <c:order val="0"/>
          <c:tx>
            <c:strRef>
              <c:f>Feuil1!$AE$79</c:f>
              <c:strCache>
                <c:ptCount val="1"/>
                <c:pt idx="0">
                  <c:v>Masculin</c:v>
                </c:pt>
              </c:strCache>
            </c:strRef>
          </c:tx>
          <c:dLbls>
            <c:numFmt formatCode="#,##0.0" sourceLinked="0"/>
            <c:showVal val="1"/>
          </c:dLbls>
          <c:cat>
            <c:strRef>
              <c:f>Feuil1!$AD$80:$AD$84</c:f>
              <c:strCache>
                <c:ptCount val="5"/>
                <c:pt idx="0">
                  <c:v>Arabe</c:v>
                </c:pt>
                <c:pt idx="1">
                  <c:v>Subsaharien non arabe</c:v>
                </c:pt>
                <c:pt idx="2">
                  <c:v>Européen</c:v>
                </c:pt>
                <c:pt idx="3">
                  <c:v>Autre</c:v>
                </c:pt>
                <c:pt idx="4">
                  <c:v>Total</c:v>
                </c:pt>
              </c:strCache>
            </c:strRef>
          </c:cat>
          <c:val>
            <c:numRef>
              <c:f>Feuil1!$AE$80:$AE$84</c:f>
              <c:numCache>
                <c:formatCode>#,##0.0</c:formatCode>
                <c:ptCount val="5"/>
                <c:pt idx="0">
                  <c:v>54.201271550489722</c:v>
                </c:pt>
                <c:pt idx="1">
                  <c:v>70.472635063745855</c:v>
                </c:pt>
                <c:pt idx="2">
                  <c:v>55.984144826361998</c:v>
                </c:pt>
                <c:pt idx="3">
                  <c:v>55.218377765173003</c:v>
                </c:pt>
                <c:pt idx="4">
                  <c:v>59.283862916386674</c:v>
                </c:pt>
              </c:numCache>
            </c:numRef>
          </c:val>
        </c:ser>
        <c:ser>
          <c:idx val="1"/>
          <c:order val="1"/>
          <c:tx>
            <c:strRef>
              <c:f>Feuil1!$AF$79</c:f>
              <c:strCache>
                <c:ptCount val="1"/>
                <c:pt idx="0">
                  <c:v>Féminin</c:v>
                </c:pt>
              </c:strCache>
            </c:strRef>
          </c:tx>
          <c:spPr>
            <a:solidFill>
              <a:schemeClr val="accent6">
                <a:lumMod val="60000"/>
                <a:lumOff val="40000"/>
              </a:schemeClr>
            </a:solidFill>
          </c:spPr>
          <c:dLbls>
            <c:showVal val="1"/>
          </c:dLbls>
          <c:cat>
            <c:strRef>
              <c:f>Feuil1!$AD$80:$AD$84</c:f>
              <c:strCache>
                <c:ptCount val="5"/>
                <c:pt idx="0">
                  <c:v>Arabe</c:v>
                </c:pt>
                <c:pt idx="1">
                  <c:v>Subsaharien non arabe</c:v>
                </c:pt>
                <c:pt idx="2">
                  <c:v>Européen</c:v>
                </c:pt>
                <c:pt idx="3">
                  <c:v>Autre</c:v>
                </c:pt>
                <c:pt idx="4">
                  <c:v>Total</c:v>
                </c:pt>
              </c:strCache>
            </c:strRef>
          </c:cat>
          <c:val>
            <c:numRef>
              <c:f>Feuil1!$AF$80:$AF$84</c:f>
              <c:numCache>
                <c:formatCode>#,##0.0</c:formatCode>
                <c:ptCount val="5"/>
                <c:pt idx="0">
                  <c:v>45.798728449510413</c:v>
                </c:pt>
                <c:pt idx="1">
                  <c:v>29.527364936254138</c:v>
                </c:pt>
                <c:pt idx="2">
                  <c:v>44.015855173637796</c:v>
                </c:pt>
                <c:pt idx="3">
                  <c:v>44.781622234827012</c:v>
                </c:pt>
                <c:pt idx="4">
                  <c:v>40.71613708361285</c:v>
                </c:pt>
              </c:numCache>
            </c:numRef>
          </c:val>
        </c:ser>
        <c:dLbls>
          <c:showVal val="1"/>
        </c:dLbls>
        <c:gapWidth val="95"/>
        <c:overlap val="100"/>
        <c:axId val="141657984"/>
        <c:axId val="142131200"/>
      </c:barChart>
      <c:catAx>
        <c:axId val="141657984"/>
        <c:scaling>
          <c:orientation val="minMax"/>
        </c:scaling>
        <c:axPos val="b"/>
        <c:majorTickMark val="none"/>
        <c:tickLblPos val="nextTo"/>
        <c:crossAx val="142131200"/>
        <c:crosses val="autoZero"/>
        <c:auto val="1"/>
        <c:lblAlgn val="ctr"/>
        <c:lblOffset val="100"/>
      </c:catAx>
      <c:valAx>
        <c:axId val="142131200"/>
        <c:scaling>
          <c:orientation val="minMax"/>
        </c:scaling>
        <c:delete val="1"/>
        <c:axPos val="l"/>
        <c:numFmt formatCode="0%" sourceLinked="1"/>
        <c:majorTickMark val="none"/>
        <c:tickLblPos val="none"/>
        <c:crossAx val="141657984"/>
        <c:crosses val="autoZero"/>
        <c:crossBetween val="between"/>
      </c:valAx>
    </c:plotArea>
    <c:legend>
      <c:legendPos val="t"/>
    </c:legend>
    <c:plotVisOnly val="1"/>
  </c:chart>
  <c:spPr>
    <a:ln w="3175"/>
  </c:spPr>
  <c:txPr>
    <a:bodyPr/>
    <a:lstStyle/>
    <a:p>
      <a:pPr>
        <a:defRPr sz="900">
          <a:latin typeface="Book Antiqua" pitchFamily="18" charset="0"/>
        </a:defRPr>
      </a:pPr>
      <a:endParaRPr lang="fr-F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plotArea>
      <c:layout/>
      <c:doughnutChart>
        <c:varyColors val="1"/>
        <c:ser>
          <c:idx val="0"/>
          <c:order val="0"/>
          <c:dPt>
            <c:idx val="2"/>
            <c:spPr>
              <a:solidFill>
                <a:schemeClr val="accent3">
                  <a:lumMod val="60000"/>
                  <a:lumOff val="40000"/>
                </a:schemeClr>
              </a:solidFill>
            </c:spPr>
          </c:dPt>
          <c:dLbls>
            <c:numFmt formatCode="#,##0.0" sourceLinked="0"/>
            <c:showVal val="1"/>
            <c:showLeaderLines val="1"/>
          </c:dLbls>
          <c:cat>
            <c:strRef>
              <c:f>Feuil1!$P$51:$P$53</c:f>
              <c:strCache>
                <c:ptCount val="3"/>
                <c:pt idx="0">
                  <c:v>Sans diplôme</c:v>
                </c:pt>
                <c:pt idx="1">
                  <c:v>Niveau moyen</c:v>
                </c:pt>
                <c:pt idx="2">
                  <c:v>Niveau supérieur</c:v>
                </c:pt>
              </c:strCache>
            </c:strRef>
          </c:cat>
          <c:val>
            <c:numRef>
              <c:f>Feuil1!$Q$51:$Q$53</c:f>
              <c:numCache>
                <c:formatCode>#,##0.0</c:formatCode>
                <c:ptCount val="3"/>
                <c:pt idx="0">
                  <c:v>23.449707815141966</c:v>
                </c:pt>
                <c:pt idx="1">
                  <c:v>21.632382216323585</c:v>
                </c:pt>
                <c:pt idx="2">
                  <c:v>54.061690605132995</c:v>
                </c:pt>
              </c:numCache>
            </c:numRef>
          </c:val>
        </c:ser>
        <c:firstSliceAng val="0"/>
        <c:holeSize val="50"/>
      </c:doughnutChart>
    </c:plotArea>
    <c:legend>
      <c:legendPos val="r"/>
    </c:legend>
    <c:plotVisOnly val="1"/>
  </c:chart>
  <c:spPr>
    <a:solidFill>
      <a:schemeClr val="lt1"/>
    </a:solidFill>
    <a:ln w="12700" cap="flat" cmpd="sng" algn="ctr">
      <a:solidFill>
        <a:schemeClr val="dk1"/>
      </a:solidFill>
      <a:prstDash val="solid"/>
    </a:ln>
    <a:effectLst/>
  </c:spPr>
  <c:txPr>
    <a:bodyPr/>
    <a:lstStyle/>
    <a:p>
      <a:pPr>
        <a:defRPr sz="900">
          <a:solidFill>
            <a:schemeClr val="dk1"/>
          </a:solidFill>
          <a:latin typeface="Book Antiqua" pitchFamily="18" charset="0"/>
          <a:ea typeface="+mn-ea"/>
          <a:cs typeface="+mn-cs"/>
        </a:defRPr>
      </a:pPr>
      <a:endParaRPr lang="fr-FR"/>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style val="12"/>
  <c:chart>
    <c:autoTitleDeleted val="1"/>
    <c:plotArea>
      <c:layout/>
      <c:barChart>
        <c:barDir val="col"/>
        <c:grouping val="clustered"/>
        <c:ser>
          <c:idx val="0"/>
          <c:order val="0"/>
          <c:tx>
            <c:strRef>
              <c:f>Feuil1!$I$106</c:f>
              <c:strCache>
                <c:ptCount val="1"/>
                <c:pt idx="0">
                  <c:v>Marocaine</c:v>
                </c:pt>
              </c:strCache>
            </c:strRef>
          </c:tx>
          <c:dLbls>
            <c:txPr>
              <a:bodyPr/>
              <a:lstStyle/>
              <a:p>
                <a:pPr>
                  <a:defRPr sz="700"/>
                </a:pPr>
                <a:endParaRPr lang="fr-FR"/>
              </a:p>
            </c:txPr>
            <c:showVal val="1"/>
          </c:dLbls>
          <c:cat>
            <c:strRef>
              <c:f>Feuil1!$H$107:$H$112</c:f>
              <c:strCache>
                <c:ptCount val="6"/>
                <c:pt idx="0">
                  <c:v>15 - 29 ans</c:v>
                </c:pt>
                <c:pt idx="1">
                  <c:v>30 - 44 ans</c:v>
                </c:pt>
                <c:pt idx="2">
                  <c:v>45 ans et plus</c:v>
                </c:pt>
                <c:pt idx="3">
                  <c:v>Masculin</c:v>
                </c:pt>
                <c:pt idx="4">
                  <c:v>Féminin</c:v>
                </c:pt>
                <c:pt idx="5">
                  <c:v>Total</c:v>
                </c:pt>
              </c:strCache>
            </c:strRef>
          </c:cat>
          <c:val>
            <c:numRef>
              <c:f>Feuil1!$I$107:$I$112</c:f>
              <c:numCache>
                <c:formatCode>#,##0.0</c:formatCode>
                <c:ptCount val="6"/>
                <c:pt idx="0">
                  <c:v>38.363837754072144</c:v>
                </c:pt>
                <c:pt idx="1">
                  <c:v>61.114034100389397</c:v>
                </c:pt>
                <c:pt idx="2">
                  <c:v>42.679951204593969</c:v>
                </c:pt>
                <c:pt idx="3">
                  <c:v>71.646166958771232</c:v>
                </c:pt>
                <c:pt idx="4">
                  <c:v>22.440490296646587</c:v>
                </c:pt>
                <c:pt idx="5">
                  <c:v>46.657003453189894</c:v>
                </c:pt>
              </c:numCache>
            </c:numRef>
          </c:val>
        </c:ser>
        <c:ser>
          <c:idx val="1"/>
          <c:order val="1"/>
          <c:tx>
            <c:strRef>
              <c:f>Feuil1!$J$106</c:f>
              <c:strCache>
                <c:ptCount val="1"/>
                <c:pt idx="0">
                  <c:v>Etrangère</c:v>
                </c:pt>
              </c:strCache>
            </c:strRef>
          </c:tx>
          <c:dLbls>
            <c:txPr>
              <a:bodyPr/>
              <a:lstStyle/>
              <a:p>
                <a:pPr>
                  <a:defRPr sz="700"/>
                </a:pPr>
                <a:endParaRPr lang="fr-FR"/>
              </a:p>
            </c:txPr>
            <c:showVal val="1"/>
          </c:dLbls>
          <c:cat>
            <c:strRef>
              <c:f>Feuil1!$H$107:$H$112</c:f>
              <c:strCache>
                <c:ptCount val="6"/>
                <c:pt idx="0">
                  <c:v>15 - 29 ans</c:v>
                </c:pt>
                <c:pt idx="1">
                  <c:v>30 - 44 ans</c:v>
                </c:pt>
                <c:pt idx="2">
                  <c:v>45 ans et plus</c:v>
                </c:pt>
                <c:pt idx="3">
                  <c:v>Masculin</c:v>
                </c:pt>
                <c:pt idx="4">
                  <c:v>Féminin</c:v>
                </c:pt>
                <c:pt idx="5">
                  <c:v>Total</c:v>
                </c:pt>
              </c:strCache>
            </c:strRef>
          </c:cat>
          <c:val>
            <c:numRef>
              <c:f>Feuil1!$J$107:$J$112</c:f>
              <c:numCache>
                <c:formatCode>#,##0.0</c:formatCode>
                <c:ptCount val="6"/>
                <c:pt idx="0">
                  <c:v>43.853080146205997</c:v>
                </c:pt>
                <c:pt idx="1">
                  <c:v>74.425076900541058</c:v>
                </c:pt>
                <c:pt idx="2">
                  <c:v>31.499551032624929</c:v>
                </c:pt>
                <c:pt idx="3">
                  <c:v>64.160610032169558</c:v>
                </c:pt>
                <c:pt idx="4">
                  <c:v>25.541257547112288</c:v>
                </c:pt>
                <c:pt idx="5">
                  <c:v>48.92967096401771</c:v>
                </c:pt>
              </c:numCache>
            </c:numRef>
          </c:val>
        </c:ser>
        <c:dLbls>
          <c:showVal val="1"/>
        </c:dLbls>
        <c:overlap val="-25"/>
        <c:axId val="51495680"/>
        <c:axId val="51497216"/>
      </c:barChart>
      <c:catAx>
        <c:axId val="51495680"/>
        <c:scaling>
          <c:orientation val="minMax"/>
        </c:scaling>
        <c:axPos val="b"/>
        <c:majorTickMark val="none"/>
        <c:tickLblPos val="nextTo"/>
        <c:txPr>
          <a:bodyPr/>
          <a:lstStyle/>
          <a:p>
            <a:pPr>
              <a:defRPr sz="600"/>
            </a:pPr>
            <a:endParaRPr lang="fr-FR"/>
          </a:p>
        </c:txPr>
        <c:crossAx val="51497216"/>
        <c:crosses val="autoZero"/>
        <c:auto val="1"/>
        <c:lblAlgn val="ctr"/>
        <c:lblOffset val="100"/>
      </c:catAx>
      <c:valAx>
        <c:axId val="51497216"/>
        <c:scaling>
          <c:orientation val="minMax"/>
        </c:scaling>
        <c:delete val="1"/>
        <c:axPos val="l"/>
        <c:numFmt formatCode="#,##0.0" sourceLinked="1"/>
        <c:tickLblPos val="none"/>
        <c:crossAx val="51495680"/>
        <c:crosses val="autoZero"/>
        <c:crossBetween val="between"/>
      </c:valAx>
    </c:plotArea>
    <c:legend>
      <c:legendPos val="t"/>
      <c:txPr>
        <a:bodyPr/>
        <a:lstStyle/>
        <a:p>
          <a:pPr>
            <a:defRPr sz="600"/>
          </a:pPr>
          <a:endParaRPr lang="fr-FR"/>
        </a:p>
      </c:txPr>
    </c:legend>
    <c:plotVisOnly val="1"/>
  </c:chart>
  <c:txPr>
    <a:bodyPr/>
    <a:lstStyle/>
    <a:p>
      <a:pPr>
        <a:defRPr sz="900">
          <a:latin typeface="Book Antiqua" pitchFamily="18" charset="0"/>
        </a:defRPr>
      </a:pPr>
      <a:endParaRPr lang="fr-FR"/>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doughnutChart>
        <c:varyColors val="1"/>
        <c:ser>
          <c:idx val="0"/>
          <c:order val="0"/>
          <c:dPt>
            <c:idx val="3"/>
            <c:spPr>
              <a:solidFill>
                <a:schemeClr val="accent5">
                  <a:lumMod val="75000"/>
                </a:schemeClr>
              </a:solidFill>
            </c:spPr>
          </c:dPt>
          <c:dLbls>
            <c:numFmt formatCode="#,##0.0" sourceLinked="0"/>
            <c:showVal val="1"/>
            <c:showLeaderLines val="1"/>
          </c:dLbls>
          <c:cat>
            <c:strRef>
              <c:f>Feuil1!$T$57:$T$60</c:f>
              <c:strCache>
                <c:ptCount val="4"/>
                <c:pt idx="0">
                  <c:v> Agriculture, forêt et pêche</c:v>
                </c:pt>
                <c:pt idx="1">
                  <c:v>Industrie y compris l'artisanat</c:v>
                </c:pt>
                <c:pt idx="2">
                  <c:v>BTP</c:v>
                </c:pt>
                <c:pt idx="3">
                  <c:v>Services</c:v>
                </c:pt>
              </c:strCache>
            </c:strRef>
          </c:cat>
          <c:val>
            <c:numRef>
              <c:f>Feuil1!$U$57:$U$60</c:f>
              <c:numCache>
                <c:formatCode>#,##0.0</c:formatCode>
                <c:ptCount val="4"/>
                <c:pt idx="0">
                  <c:v>0</c:v>
                </c:pt>
                <c:pt idx="1">
                  <c:v>11.971197119711972</c:v>
                </c:pt>
                <c:pt idx="2">
                  <c:v>8.9348934893489353</c:v>
                </c:pt>
                <c:pt idx="3">
                  <c:v>78.547854785479558</c:v>
                </c:pt>
              </c:numCache>
            </c:numRef>
          </c:val>
        </c:ser>
        <c:dLbls>
          <c:showPercent val="1"/>
        </c:dLbls>
        <c:firstSliceAng val="0"/>
        <c:holeSize val="50"/>
      </c:doughnutChart>
    </c:plotArea>
    <c:legend>
      <c:legendPos val="r"/>
      <c:txPr>
        <a:bodyPr/>
        <a:lstStyle/>
        <a:p>
          <a:pPr rtl="0">
            <a:defRPr/>
          </a:pPr>
          <a:endParaRPr lang="fr-FR"/>
        </a:p>
      </c:txPr>
    </c:legend>
    <c:plotVisOnly val="1"/>
  </c:chart>
  <c:spPr>
    <a:solidFill>
      <a:schemeClr val="lt1"/>
    </a:solidFill>
    <a:ln w="25400" cap="flat" cmpd="sng" algn="ctr">
      <a:solidFill>
        <a:schemeClr val="dk1"/>
      </a:solidFill>
      <a:prstDash val="solid"/>
    </a:ln>
    <a:effectLst/>
  </c:spPr>
  <c:txPr>
    <a:bodyPr/>
    <a:lstStyle/>
    <a:p>
      <a:pPr>
        <a:defRPr sz="900">
          <a:solidFill>
            <a:schemeClr val="dk1"/>
          </a:solidFill>
          <a:latin typeface="Book Antiqua" pitchFamily="18" charset="0"/>
          <a:ea typeface="+mn-ea"/>
          <a:cs typeface="+mn-cs"/>
        </a:defRPr>
      </a:pPr>
      <a:endParaRPr lang="fr-FR"/>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fr-FR"/>
  <c:style val="11"/>
  <c:chart>
    <c:autoTitleDeleted val="1"/>
    <c:plotArea>
      <c:layout/>
      <c:barChart>
        <c:barDir val="col"/>
        <c:grouping val="clustered"/>
        <c:ser>
          <c:idx val="0"/>
          <c:order val="0"/>
          <c:tx>
            <c:strRef>
              <c:f>Feuil1!$M$113</c:f>
              <c:strCache>
                <c:ptCount val="1"/>
                <c:pt idx="0">
                  <c:v>Marocaine</c:v>
                </c:pt>
              </c:strCache>
            </c:strRef>
          </c:tx>
          <c:dLbls>
            <c:showVal val="1"/>
          </c:dLbls>
          <c:cat>
            <c:strRef>
              <c:f>Feuil1!$L$114:$L$119</c:f>
              <c:strCache>
                <c:ptCount val="6"/>
                <c:pt idx="0">
                  <c:v>15 - 29 ans</c:v>
                </c:pt>
                <c:pt idx="1">
                  <c:v>30 - 44 ans</c:v>
                </c:pt>
                <c:pt idx="2">
                  <c:v>45 ans et plus</c:v>
                </c:pt>
                <c:pt idx="3">
                  <c:v>Masculin</c:v>
                </c:pt>
                <c:pt idx="4">
                  <c:v>Féminin</c:v>
                </c:pt>
                <c:pt idx="5">
                  <c:v>Total</c:v>
                </c:pt>
              </c:strCache>
            </c:strRef>
          </c:cat>
          <c:val>
            <c:numRef>
              <c:f>Feuil1!$M$114:$M$119</c:f>
              <c:numCache>
                <c:formatCode>#,##0.0</c:formatCode>
                <c:ptCount val="6"/>
                <c:pt idx="0">
                  <c:v>23.5215130113634</c:v>
                </c:pt>
                <c:pt idx="1">
                  <c:v>7.0303256160618952</c:v>
                </c:pt>
                <c:pt idx="2">
                  <c:v>2.4636736761631837</c:v>
                </c:pt>
                <c:pt idx="3">
                  <c:v>8.7447722902932679</c:v>
                </c:pt>
                <c:pt idx="4">
                  <c:v>14.656109187574614</c:v>
                </c:pt>
                <c:pt idx="5">
                  <c:v>10.188666364332351</c:v>
                </c:pt>
              </c:numCache>
            </c:numRef>
          </c:val>
        </c:ser>
        <c:ser>
          <c:idx val="1"/>
          <c:order val="1"/>
          <c:tx>
            <c:strRef>
              <c:f>Feuil1!$N$113</c:f>
              <c:strCache>
                <c:ptCount val="1"/>
                <c:pt idx="0">
                  <c:v>Etrangère</c:v>
                </c:pt>
              </c:strCache>
            </c:strRef>
          </c:tx>
          <c:dLbls>
            <c:showVal val="1"/>
          </c:dLbls>
          <c:cat>
            <c:strRef>
              <c:f>Feuil1!$L$114:$L$119</c:f>
              <c:strCache>
                <c:ptCount val="6"/>
                <c:pt idx="0">
                  <c:v>15 - 29 ans</c:v>
                </c:pt>
                <c:pt idx="1">
                  <c:v>30 - 44 ans</c:v>
                </c:pt>
                <c:pt idx="2">
                  <c:v>45 ans et plus</c:v>
                </c:pt>
                <c:pt idx="3">
                  <c:v>Masculin</c:v>
                </c:pt>
                <c:pt idx="4">
                  <c:v>Féminin</c:v>
                </c:pt>
                <c:pt idx="5">
                  <c:v>Total</c:v>
                </c:pt>
              </c:strCache>
            </c:strRef>
          </c:cat>
          <c:val>
            <c:numRef>
              <c:f>Feuil1!$N$114:$N$119</c:f>
              <c:numCache>
                <c:formatCode>#,##0.0</c:formatCode>
                <c:ptCount val="6"/>
                <c:pt idx="0">
                  <c:v>34.641187233177455</c:v>
                </c:pt>
                <c:pt idx="1">
                  <c:v>18.529816965164329</c:v>
                </c:pt>
                <c:pt idx="2">
                  <c:v>1.7293804637020147</c:v>
                </c:pt>
                <c:pt idx="3">
                  <c:v>16.688331785824786</c:v>
                </c:pt>
                <c:pt idx="4">
                  <c:v>23.447946513849089</c:v>
                </c:pt>
                <c:pt idx="5">
                  <c:v>18.079929213980229</c:v>
                </c:pt>
              </c:numCache>
            </c:numRef>
          </c:val>
        </c:ser>
        <c:dLbls>
          <c:showVal val="1"/>
        </c:dLbls>
        <c:overlap val="-25"/>
        <c:axId val="64861696"/>
        <c:axId val="64863232"/>
      </c:barChart>
      <c:catAx>
        <c:axId val="64861696"/>
        <c:scaling>
          <c:orientation val="minMax"/>
        </c:scaling>
        <c:axPos val="b"/>
        <c:majorTickMark val="none"/>
        <c:tickLblPos val="nextTo"/>
        <c:crossAx val="64863232"/>
        <c:crosses val="autoZero"/>
        <c:auto val="1"/>
        <c:lblAlgn val="ctr"/>
        <c:lblOffset val="100"/>
      </c:catAx>
      <c:valAx>
        <c:axId val="64863232"/>
        <c:scaling>
          <c:orientation val="minMax"/>
        </c:scaling>
        <c:delete val="1"/>
        <c:axPos val="l"/>
        <c:numFmt formatCode="#,##0.0" sourceLinked="1"/>
        <c:tickLblPos val="none"/>
        <c:crossAx val="64861696"/>
        <c:crosses val="autoZero"/>
        <c:crossBetween val="between"/>
      </c:valAx>
    </c:plotArea>
    <c:legend>
      <c:legendPos val="t"/>
    </c:legend>
    <c:plotVisOnly val="1"/>
  </c:chart>
  <c:spPr>
    <a:solidFill>
      <a:schemeClr val="lt1"/>
    </a:solidFill>
    <a:ln w="25400" cap="flat" cmpd="sng" algn="ctr">
      <a:solidFill>
        <a:schemeClr val="dk1"/>
      </a:solidFill>
      <a:prstDash val="solid"/>
    </a:ln>
    <a:effectLst/>
  </c:spPr>
  <c:txPr>
    <a:bodyPr/>
    <a:lstStyle/>
    <a:p>
      <a:pPr>
        <a:defRPr sz="900">
          <a:solidFill>
            <a:schemeClr val="dk1"/>
          </a:solidFill>
          <a:latin typeface="Book Antiqua" pitchFamily="18" charset="0"/>
          <a:ea typeface="+mn-ea"/>
          <a:cs typeface="+mn-cs"/>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graphique!$C$2</c:f>
              <c:strCache>
                <c:ptCount val="1"/>
                <c:pt idx="0">
                  <c:v>Urbain</c:v>
                </c:pt>
              </c:strCache>
            </c:strRef>
          </c:tx>
          <c:dLbls>
            <c:dLbl>
              <c:idx val="0"/>
              <c:layout>
                <c:manualLayout>
                  <c:x val="-9.6269547455808107E-3"/>
                  <c:y val="0"/>
                </c:manualLayout>
              </c:layout>
              <c:showVal val="1"/>
            </c:dLbl>
            <c:dLbl>
              <c:idx val="1"/>
              <c:layout>
                <c:manualLayout>
                  <c:x val="-5.7761728473484878E-3"/>
                  <c:y val="1.2938003194090738E-2"/>
                </c:manualLayout>
              </c:layout>
              <c:showVal val="1"/>
            </c:dLbl>
            <c:dLbl>
              <c:idx val="2"/>
              <c:layout>
                <c:manualLayout>
                  <c:x val="-7.8726517546692139E-3"/>
                  <c:y val="7.6055181123597824E-3"/>
                </c:manualLayout>
              </c:layout>
              <c:showVal val="1"/>
            </c:dLbl>
            <c:dLbl>
              <c:idx val="3"/>
              <c:layout>
                <c:manualLayout>
                  <c:x val="-5.8616966412457713E-3"/>
                  <c:y val="-1.198140335252885E-2"/>
                </c:manualLayout>
              </c:layout>
              <c:showVal val="1"/>
            </c:dLbl>
            <c:dLbl>
              <c:idx val="4"/>
              <c:layout>
                <c:manualLayout>
                  <c:x val="-5.7761728473484878E-3"/>
                  <c:y val="3.6117386625532672E-3"/>
                </c:manualLayout>
              </c:layout>
              <c:showVal val="1"/>
            </c:dLbl>
            <c:dLbl>
              <c:idx val="5"/>
              <c:layout>
                <c:manualLayout>
                  <c:x val="-7.7015637964647108E-3"/>
                  <c:y val="7.2234773251065934E-3"/>
                </c:manualLayout>
              </c:layout>
              <c:showVal val="1"/>
            </c:dLbl>
            <c:dLbl>
              <c:idx val="7"/>
              <c:layout>
                <c:manualLayout>
                  <c:x val="-3.8507818982323767E-3"/>
                  <c:y val="3.6117386625532672E-3"/>
                </c:manualLayout>
              </c:layout>
              <c:showVal val="1"/>
            </c:dLbl>
            <c:dLbl>
              <c:idx val="9"/>
              <c:layout>
                <c:manualLayout>
                  <c:x val="-9.6269547455808107E-3"/>
                  <c:y val="1.2938003194090759E-2"/>
                </c:manualLayout>
              </c:layout>
              <c:showVal val="1"/>
            </c:dLbl>
            <c:txPr>
              <a:bodyPr/>
              <a:lstStyle/>
              <a:p>
                <a:pPr>
                  <a:defRPr sz="800"/>
                </a:pPr>
                <a:endParaRPr lang="fr-FR"/>
              </a:p>
            </c:txPr>
            <c:showVal val="1"/>
          </c:dLbls>
          <c:cat>
            <c:strRef>
              <c:f>graphique!$B$3:$B$12</c:f>
              <c:strCache>
                <c:ptCount val="10"/>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Régions du Sud</c:v>
                </c:pt>
              </c:strCache>
            </c:strRef>
          </c:cat>
          <c:val>
            <c:numRef>
              <c:f>graphique!$C$3:$C$12</c:f>
              <c:numCache>
                <c:formatCode>#,##0.0</c:formatCode>
                <c:ptCount val="10"/>
                <c:pt idx="0">
                  <c:v>42.643411984050672</c:v>
                </c:pt>
                <c:pt idx="1">
                  <c:v>42.136761833756246</c:v>
                </c:pt>
                <c:pt idx="2">
                  <c:v>37.670161454586093</c:v>
                </c:pt>
                <c:pt idx="3">
                  <c:v>43.607511035876733</c:v>
                </c:pt>
                <c:pt idx="4">
                  <c:v>37.372954867160594</c:v>
                </c:pt>
                <c:pt idx="5">
                  <c:v>45.757385611018954</c:v>
                </c:pt>
                <c:pt idx="6">
                  <c:v>42.719310697720402</c:v>
                </c:pt>
                <c:pt idx="7">
                  <c:v>35.544070497059245</c:v>
                </c:pt>
                <c:pt idx="8">
                  <c:v>41.840293093948944</c:v>
                </c:pt>
                <c:pt idx="9">
                  <c:v>42.476130612713241</c:v>
                </c:pt>
              </c:numCache>
            </c:numRef>
          </c:val>
        </c:ser>
        <c:ser>
          <c:idx val="1"/>
          <c:order val="1"/>
          <c:tx>
            <c:strRef>
              <c:f>graphique!$D$2</c:f>
              <c:strCache>
                <c:ptCount val="1"/>
                <c:pt idx="0">
                  <c:v>Rural</c:v>
                </c:pt>
              </c:strCache>
            </c:strRef>
          </c:tx>
          <c:dLbls>
            <c:dLbl>
              <c:idx val="5"/>
              <c:layout>
                <c:manualLayout>
                  <c:x val="0"/>
                  <c:y val="1.5975204470038317E-2"/>
                </c:manualLayout>
              </c:layout>
              <c:showVal val="1"/>
            </c:dLbl>
            <c:dLbl>
              <c:idx val="8"/>
              <c:layout>
                <c:manualLayout>
                  <c:x val="0"/>
                  <c:y val="-1.7250670925454355E-2"/>
                </c:manualLayout>
              </c:layout>
              <c:showVal val="1"/>
            </c:dLbl>
            <c:dLbl>
              <c:idx val="9"/>
              <c:layout>
                <c:manualLayout>
                  <c:x val="2.0109551134233987E-3"/>
                  <c:y val="7.9876022350192366E-3"/>
                </c:manualLayout>
              </c:layout>
              <c:showVal val="1"/>
            </c:dLbl>
            <c:txPr>
              <a:bodyPr/>
              <a:lstStyle/>
              <a:p>
                <a:pPr>
                  <a:defRPr sz="800"/>
                </a:pPr>
                <a:endParaRPr lang="fr-FR"/>
              </a:p>
            </c:txPr>
            <c:showVal val="1"/>
          </c:dLbls>
          <c:cat>
            <c:strRef>
              <c:f>graphique!$B$3:$B$12</c:f>
              <c:strCache>
                <c:ptCount val="10"/>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Régions du Sud</c:v>
                </c:pt>
              </c:strCache>
            </c:strRef>
          </c:cat>
          <c:val>
            <c:numRef>
              <c:f>graphique!$D$3:$D$12</c:f>
              <c:numCache>
                <c:formatCode>#,##0.0</c:formatCode>
                <c:ptCount val="10"/>
                <c:pt idx="0">
                  <c:v>53.076241700415444</c:v>
                </c:pt>
                <c:pt idx="1">
                  <c:v>51.41741097751914</c:v>
                </c:pt>
                <c:pt idx="2">
                  <c:v>53.7416353246794</c:v>
                </c:pt>
                <c:pt idx="3">
                  <c:v>57.358429214874718</c:v>
                </c:pt>
                <c:pt idx="4">
                  <c:v>54.723710534183063</c:v>
                </c:pt>
                <c:pt idx="5">
                  <c:v>66.212666097276127</c:v>
                </c:pt>
                <c:pt idx="6">
                  <c:v>53.247877690787128</c:v>
                </c:pt>
                <c:pt idx="7">
                  <c:v>42.740820212818456</c:v>
                </c:pt>
                <c:pt idx="8">
                  <c:v>45.746811439627024</c:v>
                </c:pt>
                <c:pt idx="9">
                  <c:v>61.239032459126449</c:v>
                </c:pt>
              </c:numCache>
            </c:numRef>
          </c:val>
        </c:ser>
        <c:ser>
          <c:idx val="2"/>
          <c:order val="2"/>
          <c:tx>
            <c:strRef>
              <c:f>graphique!$E$2</c:f>
              <c:strCache>
                <c:ptCount val="1"/>
                <c:pt idx="0">
                  <c:v>Total</c:v>
                </c:pt>
              </c:strCache>
            </c:strRef>
          </c:tx>
          <c:dLbls>
            <c:dLbl>
              <c:idx val="0"/>
              <c:layout>
                <c:manualLayout>
                  <c:x val="7.7015637964647906E-3"/>
                  <c:y val="8.6253354627271756E-3"/>
                </c:manualLayout>
              </c:layout>
              <c:showVal val="1"/>
            </c:dLbl>
            <c:dLbl>
              <c:idx val="1"/>
              <c:layout>
                <c:manualLayout>
                  <c:x val="1.1552345694696981E-2"/>
                  <c:y val="4.312667731363652E-3"/>
                </c:manualLayout>
              </c:layout>
              <c:showVal val="1"/>
            </c:dLbl>
            <c:dLbl>
              <c:idx val="2"/>
              <c:layout>
                <c:manualLayout>
                  <c:x val="7.7015637964647724E-3"/>
                  <c:y val="8.6253354627271756E-3"/>
                </c:manualLayout>
              </c:layout>
              <c:showVal val="1"/>
            </c:dLbl>
            <c:dLbl>
              <c:idx val="3"/>
              <c:layout>
                <c:manualLayout>
                  <c:x val="9.7981016900414979E-3"/>
                  <c:y val="0"/>
                </c:manualLayout>
              </c:layout>
              <c:showVal val="1"/>
            </c:dLbl>
            <c:dLbl>
              <c:idx val="4"/>
              <c:layout>
                <c:manualLayout>
                  <c:x val="9.6269547455808107E-3"/>
                  <c:y val="0"/>
                </c:manualLayout>
              </c:layout>
              <c:showVal val="1"/>
            </c:dLbl>
            <c:dLbl>
              <c:idx val="5"/>
              <c:layout>
                <c:manualLayout>
                  <c:x val="5.7761728473485581E-3"/>
                  <c:y val="0"/>
                </c:manualLayout>
              </c:layout>
              <c:showVal val="1"/>
            </c:dLbl>
            <c:dLbl>
              <c:idx val="6"/>
              <c:layout>
                <c:manualLayout>
                  <c:x val="9.6269547455808107E-3"/>
                  <c:y val="0"/>
                </c:manualLayout>
              </c:layout>
              <c:showVal val="1"/>
            </c:dLbl>
            <c:dLbl>
              <c:idx val="7"/>
              <c:layout>
                <c:manualLayout>
                  <c:x val="9.7981016900414979E-3"/>
                  <c:y val="3.9938011175095801E-3"/>
                </c:manualLayout>
              </c:layout>
              <c:showVal val="1"/>
            </c:dLbl>
            <c:dLbl>
              <c:idx val="8"/>
              <c:layout>
                <c:manualLayout>
                  <c:x val="5.7761728473484878E-3"/>
                  <c:y val="0"/>
                </c:manualLayout>
              </c:layout>
              <c:showVal val="1"/>
            </c:dLbl>
            <c:dLbl>
              <c:idx val="9"/>
              <c:layout>
                <c:manualLayout>
                  <c:x val="5.7761728473484878E-3"/>
                  <c:y val="8.6253354627271756E-3"/>
                </c:manualLayout>
              </c:layout>
              <c:showVal val="1"/>
            </c:dLbl>
            <c:txPr>
              <a:bodyPr/>
              <a:lstStyle/>
              <a:p>
                <a:pPr>
                  <a:defRPr sz="800"/>
                </a:pPr>
                <a:endParaRPr lang="fr-FR"/>
              </a:p>
            </c:txPr>
            <c:showVal val="1"/>
          </c:dLbls>
          <c:cat>
            <c:strRef>
              <c:f>graphique!$B$3:$B$12</c:f>
              <c:strCache>
                <c:ptCount val="10"/>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Régions du Sud</c:v>
                </c:pt>
              </c:strCache>
            </c:strRef>
          </c:cat>
          <c:val>
            <c:numRef>
              <c:f>graphique!$E$3:$E$12</c:f>
              <c:numCache>
                <c:formatCode>#,##0.0</c:formatCode>
                <c:ptCount val="10"/>
                <c:pt idx="0">
                  <c:v>46.6545833548291</c:v>
                </c:pt>
                <c:pt idx="1">
                  <c:v>45.002243507691944</c:v>
                </c:pt>
                <c:pt idx="2">
                  <c:v>43.589453491802537</c:v>
                </c:pt>
                <c:pt idx="3">
                  <c:v>47.285697241966226</c:v>
                </c:pt>
                <c:pt idx="4">
                  <c:v>45.7</c:v>
                </c:pt>
                <c:pt idx="5">
                  <c:v>50.471074483561885</c:v>
                </c:pt>
                <c:pt idx="6">
                  <c:v>48.392109359584119</c:v>
                </c:pt>
                <c:pt idx="7">
                  <c:v>40.163315122632014</c:v>
                </c:pt>
                <c:pt idx="8">
                  <c:v>43.4</c:v>
                </c:pt>
                <c:pt idx="9">
                  <c:v>46.8</c:v>
                </c:pt>
              </c:numCache>
            </c:numRef>
          </c:val>
        </c:ser>
        <c:axId val="106781696"/>
        <c:axId val="107108224"/>
      </c:barChart>
      <c:catAx>
        <c:axId val="106781696"/>
        <c:scaling>
          <c:orientation val="minMax"/>
        </c:scaling>
        <c:axPos val="b"/>
        <c:tickLblPos val="nextTo"/>
        <c:txPr>
          <a:bodyPr/>
          <a:lstStyle/>
          <a:p>
            <a:pPr>
              <a:defRPr sz="900"/>
            </a:pPr>
            <a:endParaRPr lang="fr-FR"/>
          </a:p>
        </c:txPr>
        <c:crossAx val="107108224"/>
        <c:crosses val="autoZero"/>
        <c:auto val="1"/>
        <c:lblAlgn val="ctr"/>
        <c:lblOffset val="100"/>
      </c:catAx>
      <c:valAx>
        <c:axId val="107108224"/>
        <c:scaling>
          <c:orientation val="minMax"/>
        </c:scaling>
        <c:delete val="1"/>
        <c:axPos val="l"/>
        <c:numFmt formatCode="#,##0.0" sourceLinked="1"/>
        <c:tickLblPos val="none"/>
        <c:crossAx val="106781696"/>
        <c:crosses val="autoZero"/>
        <c:crossBetween val="between"/>
      </c:valAx>
    </c:plotArea>
    <c:legend>
      <c:legendPos val="b"/>
    </c:legend>
    <c:plotVisOnly val="1"/>
  </c:chart>
  <c:txPr>
    <a:bodyPr/>
    <a:lstStyle/>
    <a:p>
      <a:pPr>
        <a:defRPr>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manualLayout>
          <c:layoutTarget val="inner"/>
          <c:xMode val="edge"/>
          <c:yMode val="edge"/>
          <c:x val="0.25016150214506683"/>
          <c:y val="0.13467592592592587"/>
          <c:w val="0.70948198155549169"/>
          <c:h val="0.72609543598716864"/>
        </c:manualLayout>
      </c:layout>
      <c:barChart>
        <c:barDir val="bar"/>
        <c:grouping val="clustered"/>
        <c:ser>
          <c:idx val="0"/>
          <c:order val="0"/>
          <c:tx>
            <c:strRef>
              <c:f>'graphe rond'!$B$28</c:f>
              <c:strCache>
                <c:ptCount val="1"/>
                <c:pt idx="0">
                  <c:v>Poids dans le volume global de l'emploi</c:v>
                </c:pt>
              </c:strCache>
            </c:strRef>
          </c:tx>
          <c:dLbls>
            <c:txPr>
              <a:bodyPr rot="0" vert="horz"/>
              <a:lstStyle/>
              <a:p>
                <a:pPr>
                  <a:defRPr/>
                </a:pPr>
                <a:endParaRPr lang="fr-FR"/>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'graphe rond'!$A$29:$A$40</c:f>
              <c:strCache>
                <c:ptCount val="12"/>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Guelmim-Oued Noun</c:v>
                </c:pt>
                <c:pt idx="10">
                  <c:v>Laayoune-Sakia El Hamra</c:v>
                </c:pt>
                <c:pt idx="11">
                  <c:v>Eddakhla-Oued Eddahab</c:v>
                </c:pt>
              </c:strCache>
            </c:strRef>
          </c:cat>
          <c:val>
            <c:numRef>
              <c:f>'graphe rond'!$B$29:$B$40</c:f>
              <c:numCache>
                <c:formatCode>0.0</c:formatCode>
                <c:ptCount val="12"/>
                <c:pt idx="0">
                  <c:v>11.09970706419174</c:v>
                </c:pt>
                <c:pt idx="1">
                  <c:v>6.2215000732316152</c:v>
                </c:pt>
                <c:pt idx="2">
                  <c:v>11.63060122548692</c:v>
                </c:pt>
                <c:pt idx="3">
                  <c:v>13.456176135728075</c:v>
                </c:pt>
                <c:pt idx="4">
                  <c:v>7.2893170355056984</c:v>
                </c:pt>
                <c:pt idx="5">
                  <c:v>22.407640539040589</c:v>
                </c:pt>
                <c:pt idx="6">
                  <c:v>13.78021785541004</c:v>
                </c:pt>
                <c:pt idx="7">
                  <c:v>4.0079050888354546</c:v>
                </c:pt>
                <c:pt idx="8">
                  <c:v>7.3532766965222969</c:v>
                </c:pt>
                <c:pt idx="9">
                  <c:v>1.0470952658728239</c:v>
                </c:pt>
                <c:pt idx="10">
                  <c:v>0.89837012688463858</c:v>
                </c:pt>
                <c:pt idx="11">
                  <c:v>0.80819289328999844</c:v>
                </c:pt>
              </c:numCache>
            </c:numRef>
          </c:val>
        </c:ser>
        <c:ser>
          <c:idx val="1"/>
          <c:order val="1"/>
          <c:tx>
            <c:strRef>
              <c:f>'graphe rond'!$C$28</c:f>
              <c:strCache>
                <c:ptCount val="1"/>
                <c:pt idx="0">
                  <c:v>Poids démographique</c:v>
                </c:pt>
              </c:strCache>
            </c:strRef>
          </c:tx>
          <c:dLbls>
            <c:dLbl>
              <c:idx val="0"/>
              <c:layout>
                <c:manualLayout>
                  <c:x val="2.1282254135921146E-2"/>
                  <c:y val="-1.6088484129090461E-2"/>
                </c:manualLayout>
              </c:layout>
              <c:dLblPos val="outEnd"/>
              <c:showVal val="1"/>
              <c:extLst>
                <c:ext xmlns:c15="http://schemas.microsoft.com/office/drawing/2012/chart" uri="{CE6537A1-D6FC-4f65-9D91-7224C49458BB}"/>
              </c:extLst>
            </c:dLbl>
            <c:dLbl>
              <c:idx val="1"/>
              <c:layout>
                <c:manualLayout>
                  <c:x val="1.7025803308737167E-2"/>
                  <c:y val="-4.0221210322727704E-3"/>
                </c:manualLayout>
              </c:layout>
              <c:dLblPos val="outEnd"/>
              <c:showVal val="1"/>
              <c:extLst>
                <c:ext xmlns:c15="http://schemas.microsoft.com/office/drawing/2012/chart" uri="{CE6537A1-D6FC-4f65-9D91-7224C49458BB}"/>
              </c:extLst>
            </c:dLbl>
            <c:dLbl>
              <c:idx val="2"/>
              <c:layout>
                <c:manualLayout>
                  <c:x val="2.5538704963105448E-2"/>
                  <c:y val="-8.0442420645452546E-3"/>
                </c:manualLayout>
              </c:layout>
              <c:dLblPos val="outEnd"/>
              <c:showVal val="1"/>
              <c:extLst>
                <c:ext xmlns:c15="http://schemas.microsoft.com/office/drawing/2012/chart" uri="{CE6537A1-D6FC-4f65-9D91-7224C49458BB}"/>
              </c:extLst>
            </c:dLbl>
            <c:dLbl>
              <c:idx val="3"/>
              <c:layout>
                <c:manualLayout>
                  <c:x val="2.1282254135921289E-2"/>
                  <c:y val="-1.6088484129090461E-2"/>
                </c:manualLayout>
              </c:layout>
              <c:dLblPos val="outEnd"/>
              <c:showVal val="1"/>
              <c:extLst>
                <c:ext xmlns:c15="http://schemas.microsoft.com/office/drawing/2012/chart" uri="{CE6537A1-D6FC-4f65-9D91-7224C49458BB}"/>
              </c:extLst>
            </c:dLbl>
            <c:dLbl>
              <c:idx val="4"/>
              <c:layout>
                <c:manualLayout>
                  <c:x val="2.5538704963105396E-2"/>
                  <c:y val="-1.2066363096817885E-2"/>
                </c:manualLayout>
              </c:layout>
              <c:dLblPos val="outEnd"/>
              <c:showVal val="1"/>
              <c:extLst>
                <c:ext xmlns:c15="http://schemas.microsoft.com/office/drawing/2012/chart" uri="{CE6537A1-D6FC-4f65-9D91-7224C49458BB}"/>
              </c:extLst>
            </c:dLbl>
            <c:dLbl>
              <c:idx val="5"/>
              <c:layout>
                <c:manualLayout>
                  <c:x val="8.5129016543685227E-3"/>
                  <c:y val="-2.8154847225908285E-2"/>
                </c:manualLayout>
              </c:layout>
              <c:dLblPos val="outEnd"/>
              <c:showVal val="1"/>
              <c:extLst>
                <c:ext xmlns:c15="http://schemas.microsoft.com/office/drawing/2012/chart" uri="{CE6537A1-D6FC-4f65-9D91-7224C49458BB}"/>
              </c:extLst>
            </c:dLbl>
            <c:dLbl>
              <c:idx val="6"/>
              <c:layout>
                <c:manualLayout>
                  <c:x val="6.3846762407763734E-3"/>
                  <c:y val="-2.0110605161363152E-2"/>
                </c:manualLayout>
              </c:layout>
              <c:dLblPos val="outEnd"/>
              <c:showVal val="1"/>
              <c:extLst>
                <c:ext xmlns:c15="http://schemas.microsoft.com/office/drawing/2012/chart" uri="{CE6537A1-D6FC-4f65-9D91-7224C49458BB}"/>
              </c:extLst>
            </c:dLbl>
            <c:dLbl>
              <c:idx val="7"/>
              <c:layout>
                <c:manualLayout>
                  <c:x val="1.9154028722329089E-2"/>
                  <c:y val="0"/>
                </c:manualLayout>
              </c:layout>
              <c:dLblPos val="outEnd"/>
              <c:showVal val="1"/>
              <c:extLst>
                <c:ext xmlns:c15="http://schemas.microsoft.com/office/drawing/2012/chart" uri="{CE6537A1-D6FC-4f65-9D91-7224C49458BB}"/>
              </c:extLst>
            </c:dLbl>
            <c:dLbl>
              <c:idx val="8"/>
              <c:layout>
                <c:manualLayout>
                  <c:x val="2.5538704963105448E-2"/>
                  <c:y val="-2.4132726193635747E-2"/>
                </c:manualLayout>
              </c:layout>
              <c:dLblPos val="outEnd"/>
              <c:showVal val="1"/>
              <c:extLst>
                <c:ext xmlns:c15="http://schemas.microsoft.com/office/drawing/2012/chart" uri="{CE6537A1-D6FC-4f65-9D91-7224C49458BB}"/>
              </c:extLst>
            </c:dLbl>
            <c:dLbl>
              <c:idx val="9"/>
              <c:layout>
                <c:manualLayout>
                  <c:x val="2.5538704963105414E-2"/>
                  <c:y val="-2.0110605161363152E-2"/>
                </c:manualLayout>
              </c:layout>
              <c:dLblPos val="outEnd"/>
              <c:showVal val="1"/>
              <c:extLst>
                <c:ext xmlns:c15="http://schemas.microsoft.com/office/drawing/2012/chart" uri="{CE6537A1-D6FC-4f65-9D91-7224C49458BB}"/>
              </c:extLst>
            </c:dLbl>
            <c:dLbl>
              <c:idx val="10"/>
              <c:layout>
                <c:manualLayout>
                  <c:x val="1.4897577895144849E-2"/>
                  <c:y val="-1.2066363096817885E-2"/>
                </c:manualLayout>
              </c:layout>
              <c:dLblPos val="outEnd"/>
              <c:showVal val="1"/>
              <c:extLst>
                <c:ext xmlns:c15="http://schemas.microsoft.com/office/drawing/2012/chart" uri="{CE6537A1-D6FC-4f65-9D91-7224C49458BB}"/>
              </c:extLst>
            </c:dLbl>
            <c:dLbl>
              <c:idx val="11"/>
              <c:layout>
                <c:manualLayout>
                  <c:x val="-1.6773882534647539E-3"/>
                  <c:y val="-1.3888817073882401E-2"/>
                </c:manualLayout>
              </c:layout>
              <c:dLblPos val="outEnd"/>
              <c:showVal val="1"/>
              <c:extLst>
                <c:ext xmlns:c15="http://schemas.microsoft.com/office/drawing/2012/chart" uri="{CE6537A1-D6FC-4f65-9D91-7224C49458BB}"/>
              </c:extLst>
            </c:dLbl>
            <c:txPr>
              <a:bodyPr rot="0" vert="horz"/>
              <a:lstStyle/>
              <a:p>
                <a:pPr>
                  <a:defRPr/>
                </a:pPr>
                <a:endParaRPr lang="fr-FR"/>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'graphe rond'!$A$29:$A$40</c:f>
              <c:strCache>
                <c:ptCount val="12"/>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Guelmim-Oued Noun</c:v>
                </c:pt>
                <c:pt idx="10">
                  <c:v>Laayoune-Sakia El Hamra</c:v>
                </c:pt>
                <c:pt idx="11">
                  <c:v>Eddakhla-Oued Eddahab</c:v>
                </c:pt>
              </c:strCache>
            </c:strRef>
          </c:cat>
          <c:val>
            <c:numRef>
              <c:f>'graphe rond'!$C$29:$C$40</c:f>
              <c:numCache>
                <c:formatCode>0.0</c:formatCode>
                <c:ptCount val="12"/>
                <c:pt idx="0">
                  <c:v>10.855859539429661</c:v>
                </c:pt>
                <c:pt idx="1">
                  <c:v>6.9914424150481054</c:v>
                </c:pt>
                <c:pt idx="2">
                  <c:v>12.358073974718264</c:v>
                </c:pt>
                <c:pt idx="3">
                  <c:v>13.688779531352147</c:v>
                </c:pt>
                <c:pt idx="4">
                  <c:v>7.1221184573662022</c:v>
                </c:pt>
                <c:pt idx="5">
                  <c:v>20.973684948466659</c:v>
                </c:pt>
                <c:pt idx="6">
                  <c:v>12.861567990314796</c:v>
                </c:pt>
                <c:pt idx="7">
                  <c:v>4.4474971813358914</c:v>
                </c:pt>
                <c:pt idx="8">
                  <c:v>7.8636147235077285</c:v>
                </c:pt>
                <c:pt idx="9">
                  <c:v>1.2487265685080686</c:v>
                </c:pt>
                <c:pt idx="10">
                  <c:v>1.0803743430362429</c:v>
                </c:pt>
                <c:pt idx="11">
                  <c:v>0.50826032691647627</c:v>
                </c:pt>
              </c:numCache>
            </c:numRef>
          </c:val>
        </c:ser>
        <c:dLbls>
          <c:showVal val="1"/>
        </c:dLbls>
        <c:gapWidth val="182"/>
        <c:axId val="112076288"/>
        <c:axId val="112173440"/>
      </c:barChart>
      <c:catAx>
        <c:axId val="112076288"/>
        <c:scaling>
          <c:orientation val="minMax"/>
        </c:scaling>
        <c:axPos val="l"/>
        <c:numFmt formatCode="General" sourceLinked="1"/>
        <c:majorTickMark val="none"/>
        <c:tickLblPos val="nextTo"/>
        <c:txPr>
          <a:bodyPr rot="-60000000" vert="horz"/>
          <a:lstStyle/>
          <a:p>
            <a:pPr>
              <a:defRPr/>
            </a:pPr>
            <a:endParaRPr lang="fr-FR"/>
          </a:p>
        </c:txPr>
        <c:crossAx val="112173440"/>
        <c:crosses val="autoZero"/>
        <c:auto val="1"/>
        <c:lblAlgn val="ctr"/>
        <c:lblOffset val="100"/>
      </c:catAx>
      <c:valAx>
        <c:axId val="112173440"/>
        <c:scaling>
          <c:orientation val="minMax"/>
        </c:scaling>
        <c:axPos val="b"/>
        <c:majorGridlines/>
        <c:numFmt formatCode="0.0" sourceLinked="1"/>
        <c:majorTickMark val="none"/>
        <c:tickLblPos val="nextTo"/>
        <c:txPr>
          <a:bodyPr rot="-60000000" vert="horz"/>
          <a:lstStyle/>
          <a:p>
            <a:pPr>
              <a:defRPr/>
            </a:pPr>
            <a:endParaRPr lang="fr-FR"/>
          </a:p>
        </c:txPr>
        <c:crossAx val="112076288"/>
        <c:crosses val="autoZero"/>
        <c:crossBetween val="between"/>
      </c:valAx>
    </c:plotArea>
    <c:legend>
      <c:legendPos val="b"/>
      <c:layout>
        <c:manualLayout>
          <c:xMode val="edge"/>
          <c:yMode val="edge"/>
          <c:x val="0.19115720664884417"/>
          <c:y val="0.9418321437074163"/>
          <c:w val="0.6355651938285487"/>
          <c:h val="5.7915455444359297E-2"/>
        </c:manualLayout>
      </c:layout>
      <c:txPr>
        <a:bodyPr rot="0" vert="horz"/>
        <a:lstStyle/>
        <a:p>
          <a:pPr>
            <a:defRPr/>
          </a:pPr>
          <a:endParaRPr lang="fr-FR"/>
        </a:p>
      </c:txPr>
    </c:legend>
    <c:plotVisOnly val="1"/>
    <c:dispBlanksAs val="gap"/>
  </c:chart>
  <c:txPr>
    <a:bodyPr/>
    <a:lstStyle/>
    <a:p>
      <a:pPr>
        <a:defRPr sz="900">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barChart>
        <c:barDir val="col"/>
        <c:grouping val="clustered"/>
        <c:ser>
          <c:idx val="0"/>
          <c:order val="0"/>
          <c:tx>
            <c:strRef>
              <c:f>Feuil4!$B$4</c:f>
              <c:strCache>
                <c:ptCount val="1"/>
                <c:pt idx="0">
                  <c:v>Poids démographique</c:v>
                </c:pt>
              </c:strCache>
            </c:strRef>
          </c:tx>
          <c:dLbls>
            <c:dLbl>
              <c:idx val="0"/>
              <c:layout>
                <c:manualLayout>
                  <c:x val="-1.3266998341625221E-2"/>
                  <c:y val="1.3888888888889074E-2"/>
                </c:manualLayout>
              </c:layout>
              <c:dLblPos val="outEnd"/>
              <c:showVal val="1"/>
              <c:extLst>
                <c:ext xmlns:c15="http://schemas.microsoft.com/office/drawing/2012/chart" uri="{CE6537A1-D6FC-4f65-9D91-7224C49458BB}"/>
              </c:extLst>
            </c:dLbl>
            <c:dLbl>
              <c:idx val="2"/>
              <c:layout>
                <c:manualLayout>
                  <c:x val="-1.3266998341625221E-2"/>
                  <c:y val="2.777777777777838E-2"/>
                </c:manualLayout>
              </c:layout>
              <c:dLblPos val="outEnd"/>
              <c:showVal val="1"/>
              <c:extLst>
                <c:ext xmlns:c15="http://schemas.microsoft.com/office/drawing/2012/chart" uri="{CE6537A1-D6FC-4f65-9D91-7224C49458BB}"/>
              </c:extLst>
            </c:dLbl>
            <c:dLbl>
              <c:idx val="8"/>
              <c:layout>
                <c:manualLayout>
                  <c:x val="-2.2111663902708678E-3"/>
                  <c:y val="1.3888888888889074E-2"/>
                </c:manualLayout>
              </c:layout>
              <c:dLblPos val="outEnd"/>
              <c:showVal val="1"/>
              <c:extLst>
                <c:ext xmlns:c15="http://schemas.microsoft.com/office/drawing/2012/chart" uri="{CE6537A1-D6FC-4f65-9D91-7224C49458BB}"/>
              </c:extLst>
            </c:dLbl>
            <c:dLbl>
              <c:idx val="9"/>
              <c:layout>
                <c:manualLayout>
                  <c:x val="-8.8446655610834712E-3"/>
                  <c:y val="4.6296296296296918E-3"/>
                </c:manualLayout>
              </c:layout>
              <c:dLblPos val="outEnd"/>
              <c:showVal val="1"/>
              <c:extLst>
                <c:ext xmlns:c15="http://schemas.microsoft.com/office/drawing/2012/chart" uri="{CE6537A1-D6FC-4f65-9D91-7224C49458BB}"/>
              </c:extLst>
            </c:dLbl>
            <c:dLbl>
              <c:idx val="10"/>
              <c:layout>
                <c:manualLayout>
                  <c:x val="-8.8446655610834712E-3"/>
                  <c:y val="4.6296296296296918E-3"/>
                </c:manualLayout>
              </c:layout>
              <c:dLblPos val="outEnd"/>
              <c:showVal val="1"/>
              <c:extLst>
                <c:ext xmlns:c15="http://schemas.microsoft.com/office/drawing/2012/chart" uri="{CE6537A1-D6FC-4f65-9D91-7224C49458BB}"/>
              </c:extLst>
            </c:dLbl>
            <c:dLbl>
              <c:idx val="11"/>
              <c:layout>
                <c:manualLayout>
                  <c:x val="-8.8446655610836568E-3"/>
                  <c:y val="0"/>
                </c:manualLayout>
              </c:layout>
              <c:dLblPos val="outEnd"/>
              <c:showVal val="1"/>
              <c:extLst>
                <c:ext xmlns:c15="http://schemas.microsoft.com/office/drawing/2012/chart" uri="{CE6537A1-D6FC-4f65-9D91-7224C49458BB}"/>
              </c:extLst>
            </c:dLbl>
            <c:txPr>
              <a:bodyPr rot="0" vert="horz"/>
              <a:lstStyle/>
              <a:p>
                <a:pPr>
                  <a:defRPr/>
                </a:pPr>
                <a:endParaRPr lang="fr-FR"/>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Feuil4!$A$5:$A$16</c:f>
              <c:strCache>
                <c:ptCount val="12"/>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Guelmim-Oued Noun</c:v>
                </c:pt>
                <c:pt idx="10">
                  <c:v>Laayoune-Sakia El Hamra</c:v>
                </c:pt>
                <c:pt idx="11">
                  <c:v>Eddakhla-Oued Eddahab</c:v>
                </c:pt>
              </c:strCache>
            </c:strRef>
          </c:cat>
          <c:val>
            <c:numRef>
              <c:f>Feuil4!$B$5:$B$16</c:f>
              <c:numCache>
                <c:formatCode>0.0</c:formatCode>
                <c:ptCount val="12"/>
                <c:pt idx="0">
                  <c:v>10.855859539429675</c:v>
                </c:pt>
                <c:pt idx="1">
                  <c:v>6.9914424150481089</c:v>
                </c:pt>
                <c:pt idx="2">
                  <c:v>12.358073974718264</c:v>
                </c:pt>
                <c:pt idx="3">
                  <c:v>13.688779531352147</c:v>
                </c:pt>
                <c:pt idx="4">
                  <c:v>7.1221184573661978</c:v>
                </c:pt>
                <c:pt idx="5">
                  <c:v>20.973684948466659</c:v>
                </c:pt>
                <c:pt idx="6">
                  <c:v>12.861567990314796</c:v>
                </c:pt>
                <c:pt idx="7">
                  <c:v>4.4474971813358914</c:v>
                </c:pt>
                <c:pt idx="8">
                  <c:v>7.8636147235077285</c:v>
                </c:pt>
                <c:pt idx="9">
                  <c:v>1.2487265685080686</c:v>
                </c:pt>
                <c:pt idx="10">
                  <c:v>1.0803743430362429</c:v>
                </c:pt>
                <c:pt idx="11">
                  <c:v>0.50826032691647627</c:v>
                </c:pt>
              </c:numCache>
            </c:numRef>
          </c:val>
        </c:ser>
        <c:ser>
          <c:idx val="1"/>
          <c:order val="1"/>
          <c:tx>
            <c:strRef>
              <c:f>Feuil4!$C$4</c:f>
              <c:strCache>
                <c:ptCount val="1"/>
                <c:pt idx="0">
                  <c:v>Contribution au volume de chômage</c:v>
                </c:pt>
              </c:strCache>
            </c:strRef>
          </c:tx>
          <c:dLbls>
            <c:dLbl>
              <c:idx val="2"/>
              <c:layout>
                <c:manualLayout>
                  <c:x val="0"/>
                  <c:y val="-1.6620498614958564E-2"/>
                </c:manualLayout>
              </c:layout>
              <c:dLblPos val="outEnd"/>
              <c:showVal val="1"/>
            </c:dLbl>
            <c:dLbl>
              <c:idx val="8"/>
              <c:layout>
                <c:manualLayout>
                  <c:x val="7.6258261311642093E-3"/>
                  <c:y val="-5.5401662049861739E-3"/>
                </c:manualLayout>
              </c:layout>
              <c:dLblPos val="outEnd"/>
              <c:showVal val="1"/>
            </c:dLbl>
            <c:txPr>
              <a:bodyPr rot="0" vert="horz"/>
              <a:lstStyle/>
              <a:p>
                <a:pPr>
                  <a:defRPr/>
                </a:pPr>
                <a:endParaRPr lang="fr-FR"/>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Feuil4!$A$5:$A$16</c:f>
              <c:strCache>
                <c:ptCount val="12"/>
                <c:pt idx="0">
                  <c:v>Tanger-Tétouan-Al Hoceima</c:v>
                </c:pt>
                <c:pt idx="1">
                  <c:v>Oriental</c:v>
                </c:pt>
                <c:pt idx="2">
                  <c:v>Fès-Meknès</c:v>
                </c:pt>
                <c:pt idx="3">
                  <c:v>Rabat-Salé-Kénitra</c:v>
                </c:pt>
                <c:pt idx="4">
                  <c:v>Béni Mellal-Khénifra</c:v>
                </c:pt>
                <c:pt idx="5">
                  <c:v>Grand Casablanca-Settat</c:v>
                </c:pt>
                <c:pt idx="6">
                  <c:v>Marrakech-Safi</c:v>
                </c:pt>
                <c:pt idx="7">
                  <c:v>Drâa-Tafilalet</c:v>
                </c:pt>
                <c:pt idx="8">
                  <c:v>Souss-Massa</c:v>
                </c:pt>
                <c:pt idx="9">
                  <c:v>Guelmim-Oued Noun</c:v>
                </c:pt>
                <c:pt idx="10">
                  <c:v>Laayoune-Sakia El Hamra</c:v>
                </c:pt>
                <c:pt idx="11">
                  <c:v>Eddakhla-Oued Eddahab</c:v>
                </c:pt>
              </c:strCache>
            </c:strRef>
          </c:cat>
          <c:val>
            <c:numRef>
              <c:f>Feuil4!$C$5:$C$16</c:f>
              <c:numCache>
                <c:formatCode>0.0</c:formatCode>
                <c:ptCount val="12"/>
                <c:pt idx="0">
                  <c:v>8.6919286237279199</c:v>
                </c:pt>
                <c:pt idx="1">
                  <c:v>11.330366177716716</c:v>
                </c:pt>
                <c:pt idx="2">
                  <c:v>10.784266945283118</c:v>
                </c:pt>
                <c:pt idx="3">
                  <c:v>17.528650053885929</c:v>
                </c:pt>
                <c:pt idx="4">
                  <c:v>4.1678115719068032</c:v>
                </c:pt>
                <c:pt idx="5">
                  <c:v>25.139897822349131</c:v>
                </c:pt>
                <c:pt idx="6">
                  <c:v>9.4491291864454183</c:v>
                </c:pt>
                <c:pt idx="7">
                  <c:v>2.2451111860670152</c:v>
                </c:pt>
                <c:pt idx="8">
                  <c:v>7.0036938619367692</c:v>
                </c:pt>
                <c:pt idx="9">
                  <c:v>1.9830855676124821</c:v>
                </c:pt>
                <c:pt idx="10">
                  <c:v>1.1113670579911639</c:v>
                </c:pt>
                <c:pt idx="11">
                  <c:v>0.5646919450774559</c:v>
                </c:pt>
              </c:numCache>
            </c:numRef>
          </c:val>
        </c:ser>
        <c:dLbls>
          <c:showVal val="1"/>
        </c:dLbls>
        <c:gapWidth val="219"/>
        <c:overlap val="-27"/>
        <c:axId val="112277376"/>
        <c:axId val="112297088"/>
      </c:barChart>
      <c:catAx>
        <c:axId val="112277376"/>
        <c:scaling>
          <c:orientation val="minMax"/>
        </c:scaling>
        <c:axPos val="b"/>
        <c:numFmt formatCode="General" sourceLinked="1"/>
        <c:majorTickMark val="none"/>
        <c:tickLblPos val="nextTo"/>
        <c:txPr>
          <a:bodyPr rot="-60000000" vert="horz"/>
          <a:lstStyle/>
          <a:p>
            <a:pPr>
              <a:defRPr/>
            </a:pPr>
            <a:endParaRPr lang="fr-FR"/>
          </a:p>
        </c:txPr>
        <c:crossAx val="112297088"/>
        <c:crosses val="autoZero"/>
        <c:auto val="1"/>
        <c:lblAlgn val="ctr"/>
        <c:lblOffset val="100"/>
      </c:catAx>
      <c:valAx>
        <c:axId val="112297088"/>
        <c:scaling>
          <c:orientation val="minMax"/>
        </c:scaling>
        <c:axPos val="l"/>
        <c:numFmt formatCode="0.0" sourceLinked="1"/>
        <c:majorTickMark val="none"/>
        <c:tickLblPos val="nextTo"/>
        <c:txPr>
          <a:bodyPr rot="-60000000" vert="horz"/>
          <a:lstStyle/>
          <a:p>
            <a:pPr>
              <a:defRPr/>
            </a:pPr>
            <a:endParaRPr lang="fr-FR"/>
          </a:p>
        </c:txPr>
        <c:crossAx val="112277376"/>
        <c:crosses val="autoZero"/>
        <c:crossBetween val="between"/>
      </c:valAx>
    </c:plotArea>
    <c:legend>
      <c:legendPos val="b"/>
      <c:txPr>
        <a:bodyPr rot="0" vert="horz"/>
        <a:lstStyle/>
        <a:p>
          <a:pPr>
            <a:defRPr/>
          </a:pPr>
          <a:endParaRPr lang="fr-FR"/>
        </a:p>
      </c:txPr>
    </c:legend>
    <c:plotVisOnly val="1"/>
    <c:dispBlanksAs val="gap"/>
  </c:chart>
  <c:txPr>
    <a:bodyPr/>
    <a:lstStyle/>
    <a:p>
      <a:pPr>
        <a:defRPr sz="800">
          <a:latin typeface="Book Antiqua"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Feuil4!$B$1</c:f>
              <c:strCache>
                <c:ptCount val="1"/>
                <c:pt idx="0">
                  <c:v>Masculin</c:v>
                </c:pt>
              </c:strCache>
            </c:strRef>
          </c:tx>
          <c:cat>
            <c:strRef>
              <c:f>Feuil4!$A$2:$A$14</c:f>
              <c:strCache>
                <c:ptCount val="13"/>
                <c:pt idx="0">
                  <c:v>Drâa-Tafilalet</c:v>
                </c:pt>
                <c:pt idx="1">
                  <c:v>Grand Casablanca-Settat</c:v>
                </c:pt>
                <c:pt idx="2">
                  <c:v>Marrakech-Safi</c:v>
                </c:pt>
                <c:pt idx="3">
                  <c:v>Rabat-Salé-Kénitra</c:v>
                </c:pt>
                <c:pt idx="4">
                  <c:v>Total</c:v>
                </c:pt>
                <c:pt idx="5">
                  <c:v>Tanger-Tétouan-Al Hoceima</c:v>
                </c:pt>
                <c:pt idx="6">
                  <c:v>Souss-Massa</c:v>
                </c:pt>
                <c:pt idx="7">
                  <c:v>Béni Mellal-Khénifra</c:v>
                </c:pt>
                <c:pt idx="8">
                  <c:v>Fès-Meknès</c:v>
                </c:pt>
                <c:pt idx="9">
                  <c:v>Oriental</c:v>
                </c:pt>
                <c:pt idx="10">
                  <c:v>Eddakhla-Oued Eddahab</c:v>
                </c:pt>
                <c:pt idx="11">
                  <c:v>Laayoune-Sakia El Hamra</c:v>
                </c:pt>
                <c:pt idx="12">
                  <c:v>Guelmim-Oued Noun</c:v>
                </c:pt>
              </c:strCache>
            </c:strRef>
          </c:cat>
          <c:val>
            <c:numRef>
              <c:f>Feuil4!$B$2:$B$14</c:f>
              <c:numCache>
                <c:formatCode>#,##0.0</c:formatCode>
                <c:ptCount val="13"/>
                <c:pt idx="0">
                  <c:v>11.592553820945804</c:v>
                </c:pt>
                <c:pt idx="1">
                  <c:v>18.275816519537116</c:v>
                </c:pt>
                <c:pt idx="2">
                  <c:v>16.542132489253309</c:v>
                </c:pt>
                <c:pt idx="3">
                  <c:v>15.464104856950236</c:v>
                </c:pt>
                <c:pt idx="4">
                  <c:v>17.917889535558444</c:v>
                </c:pt>
                <c:pt idx="5">
                  <c:v>16.73923142576249</c:v>
                </c:pt>
                <c:pt idx="6">
                  <c:v>18.409851187499331</c:v>
                </c:pt>
                <c:pt idx="7">
                  <c:v>20.471809993910053</c:v>
                </c:pt>
                <c:pt idx="8">
                  <c:v>20.465268618269079</c:v>
                </c:pt>
                <c:pt idx="9">
                  <c:v>24.562723083024409</c:v>
                </c:pt>
                <c:pt idx="10">
                  <c:v>10.915024779402877</c:v>
                </c:pt>
                <c:pt idx="11">
                  <c:v>14.679250706654518</c:v>
                </c:pt>
                <c:pt idx="12">
                  <c:v>24.608599779492852</c:v>
                </c:pt>
              </c:numCache>
            </c:numRef>
          </c:val>
        </c:ser>
        <c:ser>
          <c:idx val="1"/>
          <c:order val="1"/>
          <c:tx>
            <c:strRef>
              <c:f>Feuil4!$C$1</c:f>
              <c:strCache>
                <c:ptCount val="1"/>
                <c:pt idx="0">
                  <c:v>Féminin</c:v>
                </c:pt>
              </c:strCache>
            </c:strRef>
          </c:tx>
          <c:dLbls>
            <c:showVal val="1"/>
          </c:dLbls>
          <c:cat>
            <c:strRef>
              <c:f>Feuil4!$A$2:$A$14</c:f>
              <c:strCache>
                <c:ptCount val="13"/>
                <c:pt idx="0">
                  <c:v>Drâa-Tafilalet</c:v>
                </c:pt>
                <c:pt idx="1">
                  <c:v>Grand Casablanca-Settat</c:v>
                </c:pt>
                <c:pt idx="2">
                  <c:v>Marrakech-Safi</c:v>
                </c:pt>
                <c:pt idx="3">
                  <c:v>Rabat-Salé-Kénitra</c:v>
                </c:pt>
                <c:pt idx="4">
                  <c:v>Total</c:v>
                </c:pt>
                <c:pt idx="5">
                  <c:v>Tanger-Tétouan-Al Hoceima</c:v>
                </c:pt>
                <c:pt idx="6">
                  <c:v>Souss-Massa</c:v>
                </c:pt>
                <c:pt idx="7">
                  <c:v>Béni Mellal-Khénifra</c:v>
                </c:pt>
                <c:pt idx="8">
                  <c:v>Fès-Meknès</c:v>
                </c:pt>
                <c:pt idx="9">
                  <c:v>Oriental</c:v>
                </c:pt>
                <c:pt idx="10">
                  <c:v>Eddakhla-Oued Eddahab</c:v>
                </c:pt>
                <c:pt idx="11">
                  <c:v>Laayoune-Sakia El Hamra</c:v>
                </c:pt>
                <c:pt idx="12">
                  <c:v>Guelmim-Oued Noun</c:v>
                </c:pt>
              </c:strCache>
            </c:strRef>
          </c:cat>
          <c:val>
            <c:numRef>
              <c:f>Feuil4!$C$2:$C$14</c:f>
              <c:numCache>
                <c:formatCode>#,##0.0</c:formatCode>
                <c:ptCount val="13"/>
                <c:pt idx="0">
                  <c:v>25.647812761214901</c:v>
                </c:pt>
                <c:pt idx="1">
                  <c:v>27.182787903436086</c:v>
                </c:pt>
                <c:pt idx="2">
                  <c:v>28.174762585766402</c:v>
                </c:pt>
                <c:pt idx="3">
                  <c:v>31.591828579991049</c:v>
                </c:pt>
                <c:pt idx="4">
                  <c:v>32.979906146329114</c:v>
                </c:pt>
                <c:pt idx="5">
                  <c:v>34.384674922600425</c:v>
                </c:pt>
                <c:pt idx="6">
                  <c:v>36.649504950495043</c:v>
                </c:pt>
                <c:pt idx="7">
                  <c:v>39.602620709300645</c:v>
                </c:pt>
                <c:pt idx="8">
                  <c:v>40.582155663362094</c:v>
                </c:pt>
                <c:pt idx="9">
                  <c:v>45.001148574491445</c:v>
                </c:pt>
                <c:pt idx="10">
                  <c:v>56.891191709844421</c:v>
                </c:pt>
                <c:pt idx="11">
                  <c:v>59.052049283379446</c:v>
                </c:pt>
                <c:pt idx="12">
                  <c:v>64.132612179486784</c:v>
                </c:pt>
              </c:numCache>
            </c:numRef>
          </c:val>
        </c:ser>
        <c:axId val="112503808"/>
        <c:axId val="112726784"/>
      </c:barChart>
      <c:catAx>
        <c:axId val="112503808"/>
        <c:scaling>
          <c:orientation val="minMax"/>
        </c:scaling>
        <c:axPos val="b"/>
        <c:tickLblPos val="nextTo"/>
        <c:crossAx val="112726784"/>
        <c:crosses val="autoZero"/>
        <c:auto val="1"/>
        <c:lblAlgn val="ctr"/>
        <c:lblOffset val="100"/>
      </c:catAx>
      <c:valAx>
        <c:axId val="112726784"/>
        <c:scaling>
          <c:orientation val="minMax"/>
        </c:scaling>
        <c:delete val="1"/>
        <c:axPos val="l"/>
        <c:numFmt formatCode="#,##0.0" sourceLinked="1"/>
        <c:tickLblPos val="none"/>
        <c:crossAx val="112503808"/>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manualLayout>
          <c:layoutTarget val="inner"/>
          <c:xMode val="edge"/>
          <c:yMode val="edge"/>
          <c:x val="7.8043824979440582E-2"/>
          <c:y val="6.9696472363380904E-2"/>
          <c:w val="0.89631519991276976"/>
          <c:h val="0.70502231949994931"/>
        </c:manualLayout>
      </c:layout>
      <c:barChart>
        <c:barDir val="col"/>
        <c:grouping val="clustered"/>
        <c:ser>
          <c:idx val="0"/>
          <c:order val="0"/>
          <c:tx>
            <c:strRef>
              <c:f>Feuil1!$A$20</c:f>
              <c:strCache>
                <c:ptCount val="1"/>
                <c:pt idx="0">
                  <c:v>Niveau moyen</c:v>
                </c:pt>
              </c:strCache>
            </c:strRef>
          </c:tx>
          <c:dLbls>
            <c:dLblPos val="ctr"/>
            <c:showVal val="1"/>
          </c:dLbls>
          <c:cat>
            <c:strRef>
              <c:f>Feuil1!$B$19:$E$19</c:f>
              <c:strCache>
                <c:ptCount val="4"/>
                <c:pt idx="0">
                  <c:v>Urbain</c:v>
                </c:pt>
                <c:pt idx="1">
                  <c:v>Hommes </c:v>
                </c:pt>
                <c:pt idx="2">
                  <c:v>Femmes</c:v>
                </c:pt>
                <c:pt idx="3">
                  <c:v>Ensemble</c:v>
                </c:pt>
              </c:strCache>
            </c:strRef>
          </c:cat>
          <c:val>
            <c:numRef>
              <c:f>Feuil1!$B$20:$E$20</c:f>
              <c:numCache>
                <c:formatCode>0.0</c:formatCode>
                <c:ptCount val="4"/>
                <c:pt idx="0">
                  <c:v>17.600000000000001</c:v>
                </c:pt>
                <c:pt idx="1">
                  <c:v>13</c:v>
                </c:pt>
                <c:pt idx="2">
                  <c:v>25.8</c:v>
                </c:pt>
                <c:pt idx="3">
                  <c:v>15</c:v>
                </c:pt>
              </c:numCache>
            </c:numRef>
          </c:val>
        </c:ser>
        <c:ser>
          <c:idx val="1"/>
          <c:order val="1"/>
          <c:tx>
            <c:strRef>
              <c:f>Feuil1!$A$21</c:f>
              <c:strCache>
                <c:ptCount val="1"/>
                <c:pt idx="0">
                  <c:v>Niveau supérieur</c:v>
                </c:pt>
              </c:strCache>
            </c:strRef>
          </c:tx>
          <c:dLbls>
            <c:dLblPos val="ctr"/>
            <c:showVal val="1"/>
          </c:dLbls>
          <c:cat>
            <c:strRef>
              <c:f>Feuil1!$B$19:$E$19</c:f>
              <c:strCache>
                <c:ptCount val="4"/>
                <c:pt idx="0">
                  <c:v>Urbain</c:v>
                </c:pt>
                <c:pt idx="1">
                  <c:v>Hommes </c:v>
                </c:pt>
                <c:pt idx="2">
                  <c:v>Femmes</c:v>
                </c:pt>
                <c:pt idx="3">
                  <c:v>Ensemble</c:v>
                </c:pt>
              </c:strCache>
            </c:strRef>
          </c:cat>
          <c:val>
            <c:numRef>
              <c:f>Feuil1!$B$21:$E$21</c:f>
              <c:numCache>
                <c:formatCode>0.0</c:formatCode>
                <c:ptCount val="4"/>
                <c:pt idx="0">
                  <c:v>22.9</c:v>
                </c:pt>
                <c:pt idx="1">
                  <c:v>17.899999999999999</c:v>
                </c:pt>
                <c:pt idx="2">
                  <c:v>33</c:v>
                </c:pt>
                <c:pt idx="3">
                  <c:v>23.3</c:v>
                </c:pt>
              </c:numCache>
            </c:numRef>
          </c:val>
        </c:ser>
        <c:ser>
          <c:idx val="2"/>
          <c:order val="2"/>
          <c:tx>
            <c:strRef>
              <c:f>Feuil1!$A$22</c:f>
              <c:strCache>
                <c:ptCount val="1"/>
                <c:pt idx="0">
                  <c:v>Formation professionnelle</c:v>
                </c:pt>
              </c:strCache>
            </c:strRef>
          </c:tx>
          <c:dLbls>
            <c:dLbl>
              <c:idx val="0"/>
              <c:layout>
                <c:manualLayout>
                  <c:x val="0"/>
                  <c:y val="0.26238216944193482"/>
                </c:manualLayout>
              </c:layout>
              <c:dLblPos val="outEnd"/>
              <c:showVal val="1"/>
            </c:dLbl>
            <c:dLbl>
              <c:idx val="2"/>
              <c:layout>
                <c:manualLayout>
                  <c:x val="0"/>
                  <c:y val="0.31266296630955392"/>
                </c:manualLayout>
              </c:layout>
              <c:dLblPos val="outEnd"/>
              <c:showVal val="1"/>
            </c:dLbl>
            <c:dLblPos val="ctr"/>
            <c:showVal val="1"/>
          </c:dLbls>
          <c:cat>
            <c:strRef>
              <c:f>Feuil1!$B$19:$E$19</c:f>
              <c:strCache>
                <c:ptCount val="4"/>
                <c:pt idx="0">
                  <c:v>Urbain</c:v>
                </c:pt>
                <c:pt idx="1">
                  <c:v>Hommes </c:v>
                </c:pt>
                <c:pt idx="2">
                  <c:v>Femmes</c:v>
                </c:pt>
                <c:pt idx="3">
                  <c:v>Ensemble</c:v>
                </c:pt>
              </c:strCache>
            </c:strRef>
          </c:cat>
          <c:val>
            <c:numRef>
              <c:f>Feuil1!$B$22:$E$22</c:f>
              <c:numCache>
                <c:formatCode>0.0</c:formatCode>
                <c:ptCount val="4"/>
                <c:pt idx="0">
                  <c:v>23</c:v>
                </c:pt>
                <c:pt idx="1">
                  <c:v>18.7</c:v>
                </c:pt>
                <c:pt idx="2">
                  <c:v>32.6</c:v>
                </c:pt>
                <c:pt idx="3">
                  <c:v>22.7</c:v>
                </c:pt>
              </c:numCache>
            </c:numRef>
          </c:val>
        </c:ser>
        <c:gapWidth val="136"/>
        <c:overlap val="-4"/>
        <c:axId val="112791936"/>
        <c:axId val="112793472"/>
      </c:barChart>
      <c:catAx>
        <c:axId val="112791936"/>
        <c:scaling>
          <c:orientation val="minMax"/>
        </c:scaling>
        <c:axPos val="b"/>
        <c:numFmt formatCode="General" sourceLinked="1"/>
        <c:tickLblPos val="nextTo"/>
        <c:txPr>
          <a:bodyPr/>
          <a:lstStyle/>
          <a:p>
            <a:pPr>
              <a:defRPr sz="700"/>
            </a:pPr>
            <a:endParaRPr lang="fr-FR"/>
          </a:p>
        </c:txPr>
        <c:crossAx val="112793472"/>
        <c:crosses val="autoZero"/>
        <c:auto val="1"/>
        <c:lblAlgn val="ctr"/>
        <c:lblOffset val="100"/>
      </c:catAx>
      <c:valAx>
        <c:axId val="112793472"/>
        <c:scaling>
          <c:orientation val="minMax"/>
        </c:scaling>
        <c:delete val="1"/>
        <c:axPos val="l"/>
        <c:numFmt formatCode="0.0" sourceLinked="1"/>
        <c:tickLblPos val="none"/>
        <c:crossAx val="112791936"/>
        <c:crosses val="autoZero"/>
        <c:crossBetween val="between"/>
      </c:valAx>
    </c:plotArea>
    <c:legend>
      <c:legendPos val="b"/>
      <c:layout>
        <c:manualLayout>
          <c:xMode val="edge"/>
          <c:yMode val="edge"/>
          <c:x val="0.13384900207230002"/>
          <c:y val="0.85967329455519992"/>
          <c:w val="0.73003904043562784"/>
          <c:h val="0.10536580934474445"/>
        </c:manualLayout>
      </c:layout>
      <c:txPr>
        <a:bodyPr/>
        <a:lstStyle/>
        <a:p>
          <a:pPr>
            <a:defRPr sz="700"/>
          </a:pPr>
          <a:endParaRPr lang="fr-FR"/>
        </a:p>
      </c:txPr>
    </c:legend>
    <c:plotVisOnly val="1"/>
  </c:chart>
  <c:txPr>
    <a:bodyPr/>
    <a:lstStyle/>
    <a:p>
      <a:pPr>
        <a:defRPr sz="900">
          <a:latin typeface="Book Antiqua" pitchFamily="18" charset="0"/>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barChart>
        <c:barDir val="col"/>
        <c:grouping val="clustered"/>
        <c:ser>
          <c:idx val="0"/>
          <c:order val="0"/>
          <c:tx>
            <c:strRef>
              <c:f>graph!$B$4</c:f>
              <c:strCache>
                <c:ptCount val="1"/>
                <c:pt idx="0">
                  <c:v>Sans diplôme</c:v>
                </c:pt>
              </c:strCache>
            </c:strRef>
          </c:tx>
          <c:dLbls>
            <c:txPr>
              <a:bodyPr rot="0" vert="horz"/>
              <a:lstStyle/>
              <a:p>
                <a:pPr>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graph!$C$3:$E$3</c:f>
              <c:strCache>
                <c:ptCount val="3"/>
                <c:pt idx="0">
                  <c:v>Hommes</c:v>
                </c:pt>
                <c:pt idx="1">
                  <c:v>Femmes</c:v>
                </c:pt>
                <c:pt idx="2">
                  <c:v>Les deux sexes</c:v>
                </c:pt>
              </c:strCache>
            </c:strRef>
          </c:cat>
          <c:val>
            <c:numRef>
              <c:f>graph!$C$4:$E$4</c:f>
              <c:numCache>
                <c:formatCode>#,##0.0</c:formatCode>
                <c:ptCount val="3"/>
                <c:pt idx="0">
                  <c:v>39.323093100987762</c:v>
                </c:pt>
                <c:pt idx="1">
                  <c:v>38.615058819740248</c:v>
                </c:pt>
                <c:pt idx="2">
                  <c:v>38.981377852390104</c:v>
                </c:pt>
              </c:numCache>
            </c:numRef>
          </c:val>
          <c:extLst xmlns:c16r2="http://schemas.microsoft.com/office/drawing/2015/06/chart">
            <c:ext xmlns:c16="http://schemas.microsoft.com/office/drawing/2014/chart" uri="{C3380CC4-5D6E-409C-BE32-E72D297353CC}">
              <c16:uniqueId val="{00000000-CEB6-4138-AF54-855124C7BF09}"/>
            </c:ext>
          </c:extLst>
        </c:ser>
        <c:ser>
          <c:idx val="1"/>
          <c:order val="1"/>
          <c:tx>
            <c:strRef>
              <c:f>graph!$B$5</c:f>
              <c:strCache>
                <c:ptCount val="1"/>
                <c:pt idx="0">
                  <c:v>Niveau moyen</c:v>
                </c:pt>
              </c:strCache>
            </c:strRef>
          </c:tx>
          <c:dLbls>
            <c:txPr>
              <a:bodyPr rot="0" vert="horz"/>
              <a:lstStyle/>
              <a:p>
                <a:pPr>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graph!$C$3:$E$3</c:f>
              <c:strCache>
                <c:ptCount val="3"/>
                <c:pt idx="0">
                  <c:v>Hommes</c:v>
                </c:pt>
                <c:pt idx="1">
                  <c:v>Femmes</c:v>
                </c:pt>
                <c:pt idx="2">
                  <c:v>Les deux sexes</c:v>
                </c:pt>
              </c:strCache>
            </c:strRef>
          </c:cat>
          <c:val>
            <c:numRef>
              <c:f>graph!$C$5:$E$5</c:f>
              <c:numCache>
                <c:formatCode>#,##0.0</c:formatCode>
                <c:ptCount val="3"/>
                <c:pt idx="0">
                  <c:v>60.079102939011413</c:v>
                </c:pt>
                <c:pt idx="1">
                  <c:v>58.259111595076625</c:v>
                </c:pt>
                <c:pt idx="2">
                  <c:v>59.183028314622177</c:v>
                </c:pt>
              </c:numCache>
            </c:numRef>
          </c:val>
          <c:extLst xmlns:c16r2="http://schemas.microsoft.com/office/drawing/2015/06/chart">
            <c:ext xmlns:c16="http://schemas.microsoft.com/office/drawing/2014/chart" uri="{C3380CC4-5D6E-409C-BE32-E72D297353CC}">
              <c16:uniqueId val="{00000001-CEB6-4138-AF54-855124C7BF09}"/>
            </c:ext>
          </c:extLst>
        </c:ser>
        <c:ser>
          <c:idx val="2"/>
          <c:order val="2"/>
          <c:tx>
            <c:strRef>
              <c:f>graph!$B$6</c:f>
              <c:strCache>
                <c:ptCount val="1"/>
                <c:pt idx="0">
                  <c:v>Niveau supérieur</c:v>
                </c:pt>
              </c:strCache>
            </c:strRef>
          </c:tx>
          <c:dLbls>
            <c:txPr>
              <a:bodyPr rot="0" vert="horz"/>
              <a:lstStyle/>
              <a:p>
                <a:pPr>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graph!$C$3:$E$3</c:f>
              <c:strCache>
                <c:ptCount val="3"/>
                <c:pt idx="0">
                  <c:v>Hommes</c:v>
                </c:pt>
                <c:pt idx="1">
                  <c:v>Femmes</c:v>
                </c:pt>
                <c:pt idx="2">
                  <c:v>Les deux sexes</c:v>
                </c:pt>
              </c:strCache>
            </c:strRef>
          </c:cat>
          <c:val>
            <c:numRef>
              <c:f>graph!$C$6:$E$6</c:f>
              <c:numCache>
                <c:formatCode>#,##0.0</c:formatCode>
                <c:ptCount val="3"/>
                <c:pt idx="0">
                  <c:v>73.579360845739558</c:v>
                </c:pt>
                <c:pt idx="1">
                  <c:v>76.753600548655001</c:v>
                </c:pt>
                <c:pt idx="2">
                  <c:v>75.180812056378514</c:v>
                </c:pt>
              </c:numCache>
            </c:numRef>
          </c:val>
          <c:extLst xmlns:c16r2="http://schemas.microsoft.com/office/drawing/2015/06/chart">
            <c:ext xmlns:c16="http://schemas.microsoft.com/office/drawing/2014/chart" uri="{C3380CC4-5D6E-409C-BE32-E72D297353CC}">
              <c16:uniqueId val="{00000002-CEB6-4138-AF54-855124C7BF09}"/>
            </c:ext>
          </c:extLst>
        </c:ser>
        <c:dLbls>
          <c:showVal val="1"/>
        </c:dLbls>
        <c:gapWidth val="100"/>
        <c:overlap val="-24"/>
        <c:axId val="113049600"/>
        <c:axId val="113051136"/>
      </c:barChart>
      <c:catAx>
        <c:axId val="113049600"/>
        <c:scaling>
          <c:orientation val="minMax"/>
        </c:scaling>
        <c:axPos val="b"/>
        <c:numFmt formatCode="General" sourceLinked="1"/>
        <c:tickLblPos val="nextTo"/>
        <c:txPr>
          <a:bodyPr rot="-60000000" vert="horz"/>
          <a:lstStyle/>
          <a:p>
            <a:pPr>
              <a:defRPr/>
            </a:pPr>
            <a:endParaRPr lang="fr-FR"/>
          </a:p>
        </c:txPr>
        <c:crossAx val="113051136"/>
        <c:crosses val="autoZero"/>
        <c:auto val="1"/>
        <c:lblAlgn val="ctr"/>
        <c:lblOffset val="100"/>
      </c:catAx>
      <c:valAx>
        <c:axId val="113051136"/>
        <c:scaling>
          <c:orientation val="minMax"/>
        </c:scaling>
        <c:delete val="1"/>
        <c:axPos val="l"/>
        <c:numFmt formatCode="#,##0.0" sourceLinked="1"/>
        <c:majorTickMark val="none"/>
        <c:tickLblPos val="none"/>
        <c:crossAx val="113049600"/>
        <c:crosses val="autoZero"/>
        <c:crossBetween val="between"/>
      </c:valAx>
    </c:plotArea>
    <c:legend>
      <c:legendPos val="b"/>
      <c:txPr>
        <a:bodyPr rot="0" vert="horz"/>
        <a:lstStyle/>
        <a:p>
          <a:pPr>
            <a:defRPr/>
          </a:pPr>
          <a:endParaRPr lang="fr-FR"/>
        </a:p>
      </c:txPr>
    </c:legend>
    <c:plotVisOnly val="1"/>
    <c:dispBlanksAs val="gap"/>
  </c:chart>
  <c:txPr>
    <a:bodyPr/>
    <a:lstStyle/>
    <a:p>
      <a:pPr>
        <a:defRPr sz="900">
          <a:latin typeface="Book Antiqua" pitchFamily="18" charset="0"/>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Feuil2!$C$2</c:f>
              <c:strCache>
                <c:ptCount val="1"/>
                <c:pt idx="0">
                  <c:v>Masculin</c:v>
                </c:pt>
              </c:strCache>
            </c:strRef>
          </c:tx>
          <c:cat>
            <c:strRef>
              <c:f>Feuil2!$B$3:$B$14</c:f>
              <c:strCache>
                <c:ptCount val="12"/>
                <c:pt idx="0">
                  <c:v>Marrakech-Safi</c:v>
                </c:pt>
                <c:pt idx="1">
                  <c:v>Béni Mellal-Khénifra</c:v>
                </c:pt>
                <c:pt idx="2">
                  <c:v>Fès-Meknès</c:v>
                </c:pt>
                <c:pt idx="3">
                  <c:v>Tanger-Tétouan-Al Hoceima</c:v>
                </c:pt>
                <c:pt idx="4">
                  <c:v>Oriental</c:v>
                </c:pt>
                <c:pt idx="5">
                  <c:v>Grand Casablanca-Settat</c:v>
                </c:pt>
                <c:pt idx="6">
                  <c:v>Drâa-Tafilalet</c:v>
                </c:pt>
                <c:pt idx="7">
                  <c:v>Rabat-Salé-Kénitra</c:v>
                </c:pt>
                <c:pt idx="8">
                  <c:v>Eddakhla-Oued Eddahab</c:v>
                </c:pt>
                <c:pt idx="9">
                  <c:v>Souss-Massa</c:v>
                </c:pt>
                <c:pt idx="10">
                  <c:v>Laayoune-Sakia El Hamra</c:v>
                </c:pt>
                <c:pt idx="11">
                  <c:v>Guelmim-Oued Noun</c:v>
                </c:pt>
              </c:strCache>
            </c:strRef>
          </c:cat>
          <c:val>
            <c:numRef>
              <c:f>Feuil2!$C$3:$C$14</c:f>
              <c:numCache>
                <c:formatCode>#,##0.0</c:formatCode>
                <c:ptCount val="12"/>
                <c:pt idx="0">
                  <c:v>35.637011407625494</c:v>
                </c:pt>
                <c:pt idx="1">
                  <c:v>43.104899814783543</c:v>
                </c:pt>
                <c:pt idx="2">
                  <c:v>42.393632515978844</c:v>
                </c:pt>
                <c:pt idx="3">
                  <c:v>45.468039532524266</c:v>
                </c:pt>
                <c:pt idx="4">
                  <c:v>43.525748070587262</c:v>
                </c:pt>
                <c:pt idx="5">
                  <c:v>46.824356720473112</c:v>
                </c:pt>
                <c:pt idx="6">
                  <c:v>49.823112237342215</c:v>
                </c:pt>
                <c:pt idx="7">
                  <c:v>51.18700667880988</c:v>
                </c:pt>
                <c:pt idx="8">
                  <c:v>69.684111268269703</c:v>
                </c:pt>
                <c:pt idx="9">
                  <c:v>71.987245271954222</c:v>
                </c:pt>
                <c:pt idx="10">
                  <c:v>74.660994416378585</c:v>
                </c:pt>
                <c:pt idx="11">
                  <c:v>77.426707537529921</c:v>
                </c:pt>
              </c:numCache>
            </c:numRef>
          </c:val>
        </c:ser>
        <c:ser>
          <c:idx val="1"/>
          <c:order val="1"/>
          <c:tx>
            <c:strRef>
              <c:f>Feuil2!$D$2</c:f>
              <c:strCache>
                <c:ptCount val="1"/>
                <c:pt idx="0">
                  <c:v>Féminin</c:v>
                </c:pt>
              </c:strCache>
            </c:strRef>
          </c:tx>
          <c:cat>
            <c:strRef>
              <c:f>Feuil2!$B$3:$B$14</c:f>
              <c:strCache>
                <c:ptCount val="12"/>
                <c:pt idx="0">
                  <c:v>Marrakech-Safi</c:v>
                </c:pt>
                <c:pt idx="1">
                  <c:v>Béni Mellal-Khénifra</c:v>
                </c:pt>
                <c:pt idx="2">
                  <c:v>Fès-Meknès</c:v>
                </c:pt>
                <c:pt idx="3">
                  <c:v>Tanger-Tétouan-Al Hoceima</c:v>
                </c:pt>
                <c:pt idx="4">
                  <c:v>Oriental</c:v>
                </c:pt>
                <c:pt idx="5">
                  <c:v>Grand Casablanca-Settat</c:v>
                </c:pt>
                <c:pt idx="6">
                  <c:v>Drâa-Tafilalet</c:v>
                </c:pt>
                <c:pt idx="7">
                  <c:v>Rabat-Salé-Kénitra</c:v>
                </c:pt>
                <c:pt idx="8">
                  <c:v>Eddakhla-Oued Eddahab</c:v>
                </c:pt>
                <c:pt idx="9">
                  <c:v>Souss-Massa</c:v>
                </c:pt>
                <c:pt idx="10">
                  <c:v>Laayoune-Sakia El Hamra</c:v>
                </c:pt>
                <c:pt idx="11">
                  <c:v>Guelmim-Oued Noun</c:v>
                </c:pt>
              </c:strCache>
            </c:strRef>
          </c:cat>
          <c:val>
            <c:numRef>
              <c:f>Feuil2!$D$3:$D$14</c:f>
              <c:numCache>
                <c:formatCode>#,##0.0</c:formatCode>
                <c:ptCount val="12"/>
                <c:pt idx="0">
                  <c:v>35.204293116210224</c:v>
                </c:pt>
                <c:pt idx="1">
                  <c:v>39.028598316516138</c:v>
                </c:pt>
                <c:pt idx="2">
                  <c:v>41.959543353797123</c:v>
                </c:pt>
                <c:pt idx="3">
                  <c:v>44.635448136958964</c:v>
                </c:pt>
                <c:pt idx="4">
                  <c:v>46.831050533024154</c:v>
                </c:pt>
                <c:pt idx="5">
                  <c:v>48.077415618979948</c:v>
                </c:pt>
                <c:pt idx="6">
                  <c:v>52.767000204206646</c:v>
                </c:pt>
                <c:pt idx="7">
                  <c:v>53.535281820691843</c:v>
                </c:pt>
                <c:pt idx="8">
                  <c:v>55.657812173185526</c:v>
                </c:pt>
                <c:pt idx="9">
                  <c:v>65.781198488575527</c:v>
                </c:pt>
                <c:pt idx="10">
                  <c:v>69.090762664089553</c:v>
                </c:pt>
                <c:pt idx="11">
                  <c:v>77.633023494108457</c:v>
                </c:pt>
              </c:numCache>
            </c:numRef>
          </c:val>
        </c:ser>
        <c:ser>
          <c:idx val="2"/>
          <c:order val="2"/>
          <c:tx>
            <c:strRef>
              <c:f>Feuil2!$E$2</c:f>
              <c:strCache>
                <c:ptCount val="1"/>
                <c:pt idx="0">
                  <c:v>Total</c:v>
                </c:pt>
              </c:strCache>
            </c:strRef>
          </c:tx>
          <c:dLbls>
            <c:showVal val="1"/>
          </c:dLbls>
          <c:cat>
            <c:strRef>
              <c:f>Feuil2!$B$3:$B$14</c:f>
              <c:strCache>
                <c:ptCount val="12"/>
                <c:pt idx="0">
                  <c:v>Marrakech-Safi</c:v>
                </c:pt>
                <c:pt idx="1">
                  <c:v>Béni Mellal-Khénifra</c:v>
                </c:pt>
                <c:pt idx="2">
                  <c:v>Fès-Meknès</c:v>
                </c:pt>
                <c:pt idx="3">
                  <c:v>Tanger-Tétouan-Al Hoceima</c:v>
                </c:pt>
                <c:pt idx="4">
                  <c:v>Oriental</c:v>
                </c:pt>
                <c:pt idx="5">
                  <c:v>Grand Casablanca-Settat</c:v>
                </c:pt>
                <c:pt idx="6">
                  <c:v>Drâa-Tafilalet</c:v>
                </c:pt>
                <c:pt idx="7">
                  <c:v>Rabat-Salé-Kénitra</c:v>
                </c:pt>
                <c:pt idx="8">
                  <c:v>Eddakhla-Oued Eddahab</c:v>
                </c:pt>
                <c:pt idx="9">
                  <c:v>Souss-Massa</c:v>
                </c:pt>
                <c:pt idx="10">
                  <c:v>Laayoune-Sakia El Hamra</c:v>
                </c:pt>
                <c:pt idx="11">
                  <c:v>Guelmim-Oued Noun</c:v>
                </c:pt>
              </c:strCache>
            </c:strRef>
          </c:cat>
          <c:val>
            <c:numRef>
              <c:f>Feuil2!$E$3:$E$14</c:f>
              <c:numCache>
                <c:formatCode>#,##0.0</c:formatCode>
                <c:ptCount val="12"/>
                <c:pt idx="0">
                  <c:v>35.429008557043844</c:v>
                </c:pt>
                <c:pt idx="1">
                  <c:v>41.07601730475217</c:v>
                </c:pt>
                <c:pt idx="2">
                  <c:v>42.177280033004706</c:v>
                </c:pt>
                <c:pt idx="3">
                  <c:v>45.066198771288555</c:v>
                </c:pt>
                <c:pt idx="4">
                  <c:v>45.093029142802962</c:v>
                </c:pt>
                <c:pt idx="5">
                  <c:v>47.437056235570999</c:v>
                </c:pt>
                <c:pt idx="6">
                  <c:v>51.206385205861913</c:v>
                </c:pt>
                <c:pt idx="7">
                  <c:v>52.338458563001595</c:v>
                </c:pt>
                <c:pt idx="8">
                  <c:v>62.252022608888367</c:v>
                </c:pt>
                <c:pt idx="9">
                  <c:v>68.941873343371697</c:v>
                </c:pt>
                <c:pt idx="10">
                  <c:v>72.142310913658875</c:v>
                </c:pt>
                <c:pt idx="11">
                  <c:v>77.533540513908918</c:v>
                </c:pt>
              </c:numCache>
            </c:numRef>
          </c:val>
        </c:ser>
        <c:axId val="127854464"/>
        <c:axId val="129605632"/>
      </c:barChart>
      <c:catAx>
        <c:axId val="127854464"/>
        <c:scaling>
          <c:orientation val="minMax"/>
        </c:scaling>
        <c:axPos val="b"/>
        <c:tickLblPos val="nextTo"/>
        <c:crossAx val="129605632"/>
        <c:crosses val="autoZero"/>
        <c:auto val="1"/>
        <c:lblAlgn val="ctr"/>
        <c:lblOffset val="100"/>
      </c:catAx>
      <c:valAx>
        <c:axId val="129605632"/>
        <c:scaling>
          <c:orientation val="minMax"/>
        </c:scaling>
        <c:delete val="1"/>
        <c:axPos val="l"/>
        <c:numFmt formatCode="#,##0.0" sourceLinked="1"/>
        <c:tickLblPos val="none"/>
        <c:crossAx val="127854464"/>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pieChart>
        <c:varyColors val="1"/>
        <c:ser>
          <c:idx val="0"/>
          <c:order val="0"/>
          <c:dPt>
            <c:idx val="0"/>
            <c:spPr>
              <a:solidFill>
                <a:schemeClr val="accent2">
                  <a:lumMod val="75000"/>
                </a:schemeClr>
              </a:solidFill>
            </c:spPr>
          </c:dPt>
          <c:dPt>
            <c:idx val="1"/>
            <c:spPr>
              <a:solidFill>
                <a:schemeClr val="accent1">
                  <a:lumMod val="75000"/>
                </a:schemeClr>
              </a:solidFill>
            </c:spPr>
          </c:dPt>
          <c:dPt>
            <c:idx val="2"/>
            <c:spPr>
              <a:solidFill>
                <a:schemeClr val="accent5">
                  <a:lumMod val="75000"/>
                </a:schemeClr>
              </a:solidFill>
            </c:spPr>
          </c:dPt>
          <c:dPt>
            <c:idx val="3"/>
            <c:spPr>
              <a:solidFill>
                <a:schemeClr val="tx1">
                  <a:lumMod val="65000"/>
                  <a:lumOff val="35000"/>
                </a:schemeClr>
              </a:solidFill>
            </c:spPr>
          </c:dPt>
          <c:dLbls>
            <c:numFmt formatCode="#,##0.0" sourceLinked="0"/>
            <c:showVal val="1"/>
          </c:dLbls>
          <c:cat>
            <c:strRef>
              <c:f>Feuil1!$Q$66:$Q$69</c:f>
              <c:strCache>
                <c:ptCount val="4"/>
                <c:pt idx="0">
                  <c:v>Arabe</c:v>
                </c:pt>
                <c:pt idx="1">
                  <c:v>Subsaharien non arabe</c:v>
                </c:pt>
                <c:pt idx="2">
                  <c:v>européen</c:v>
                </c:pt>
                <c:pt idx="3">
                  <c:v>autre</c:v>
                </c:pt>
              </c:strCache>
            </c:strRef>
          </c:cat>
          <c:val>
            <c:numRef>
              <c:f>Feuil1!$R$66:$R$69</c:f>
              <c:numCache>
                <c:formatCode>#,##0.0</c:formatCode>
                <c:ptCount val="4"/>
                <c:pt idx="0">
                  <c:v>33.520207353364164</c:v>
                </c:pt>
                <c:pt idx="1">
                  <c:v>27.257367764231631</c:v>
                </c:pt>
                <c:pt idx="2">
                  <c:v>32.452721512911545</c:v>
                </c:pt>
                <c:pt idx="3">
                  <c:v>6.7697033694921824</c:v>
                </c:pt>
              </c:numCache>
            </c:numRef>
          </c:val>
        </c:ser>
        <c:dLbls>
          <c:showPercent val="1"/>
        </c:dLbls>
        <c:firstSliceAng val="0"/>
      </c:pieChart>
    </c:plotArea>
    <c:legend>
      <c:legendPos val="r"/>
    </c:legend>
    <c:plotVisOnly val="1"/>
  </c:chart>
  <c:txPr>
    <a:bodyPr/>
    <a:lstStyle/>
    <a:p>
      <a:pPr>
        <a:defRPr sz="900">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E5CC-7FCE-46B5-8328-3A52F9C2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7652</Words>
  <Characters>42089</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2018-03-26T17:53:00Z</cp:lastPrinted>
  <dcterms:created xsi:type="dcterms:W3CDTF">2018-03-28T17:43:00Z</dcterms:created>
  <dcterms:modified xsi:type="dcterms:W3CDTF">2018-03-29T09:53:00Z</dcterms:modified>
</cp:coreProperties>
</file>