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750E7B" w:rsidP="002A7221">
      <w:r w:rsidRPr="00750E7B">
        <w:rPr>
          <w:rFonts w:eastAsia="Arial Unicode MS"/>
          <w:noProof/>
        </w:rPr>
        <w:pict>
          <v:shape id="_x0000_s1133" type="#_x0000_t75" style="position:absolute;margin-left:433.55pt;margin-top:-36.9pt;width:92.1pt;height:50.05pt;z-index:251664384" wrapcoords="-106 0 -106 21308 21600 21308 21600 0 -106 0">
            <v:imagedata r:id="rId8" o:title=""/>
            <w10:wrap type="tight"/>
          </v:shape>
          <o:OLEObject Type="Embed" ProgID="PBrush" ShapeID="_x0000_s1133" DrawAspect="Content" ObjectID="_1583151016" r:id="rId9"/>
        </w:pict>
      </w:r>
      <w:r>
        <w:rPr>
          <w:noProof/>
        </w:rPr>
        <w:pict>
          <v:group id="Group 5" o:spid="_x0000_s1026" style="position:absolute;margin-left:-129.45pt;margin-top:-47.3pt;width:910.15pt;height:205.35pt;z-index:251655168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38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750E7B" w:rsidP="003A2CE4">
      <w:pPr>
        <w:jc w:val="both"/>
      </w:pPr>
      <w:r>
        <w:rPr>
          <w:noProof/>
        </w:rPr>
        <w:pict>
          <v:shape id="Text Box 120" o:spid="_x0000_s1137" type="#_x0000_t202" style="position:absolute;left:0;text-align:left;margin-left:-19.15pt;margin-top:8.35pt;width:430.75pt;height:10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yZwQIAAMQFAAAOAAAAZHJzL2Uyb0RvYy54bWysVG1vmzAQ/j5p/8Hyd4ohkARUUqUhTJO6&#10;F6ndD3DABGtgM9sJ6ab9951NkqatJk3b+IBs3/m5e+4e3/XNoWvRninNpchwcEUwYqKUFRfbDH95&#10;KLw5RtpQUdFWCpbhR6bxzeLtm+uhT1koG9lWTCEAETod+gw3xvSp7+uyYR3VV7JnAoy1VB01sFVb&#10;v1J0APSu9UNCpv4gVdUrWTKt4TQfjXjh8OualeZTXWtmUJthyM24v3L/jf37i2uabhXtG14e06B/&#10;kUVHuYCgZ6icGop2ir+C6nippJa1uSpl58u65iVzHIBNQF6wuW9ozxwXKI7uz2XS/w+2/Lj/rBCv&#10;MjzBSNAOWvTADgbdygMKQlefodcpuN334GgOYIA+O666v5PlV42EXDVUbNlSKTk0jFaQX2Ar619c&#10;tR3RqbYgm+GDrCAQ3RnpgA616mzxoBwI0KFPj+fe2GRKOIyjGYnDGKMSbMFklszj2MWg6el6r7R5&#10;x2SH7CLDCprv4On+ThubDk1PLjaakAVvWyeAVjw7AMfxBILDVWuzabh+/khIsp6v55EXhdO1F5E8&#10;95bFKvKmRTCL80m+WuXBTxs3iNKGVxUTNsxJW0H0Z707qnxUxVldWra8snA2Ja22m1Wr0J6Ctgv3&#10;HQty4eY/T8MVAbi8oBSEEbkNE6+YzmdeVESxl8zI3CNBcptMSZREefGc0h0X7N8poQFamZCYjHL6&#10;Lbn1ZLoiy9fkaNpxA+Oj5V2G58R+1ommVoRrUbm1obwd1xe1sPk/1QL6feq0k6xV6ahXc9gc3OsI&#10;LbBV8EZWj6BhJUFhIFQYfbBopPqO0QBjJMP6244qhlH7XsA7SIIosnPHbaJ4Bk8KqUvL5tJCRQlQ&#10;GTYYjcuVGWfVrld820Ck8eUJuYS3U3On6qesji8ORoXjdhxrdhZd7p3X0/Bd/A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eLQyZ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3C6E2C">
                    <w:rPr>
                      <w:rFonts w:ascii="Bookman Old Style" w:hAnsi="Bookman Old Style" w:hint="cs"/>
                      <w:b/>
                      <w:bCs/>
                      <w:color w:val="943634"/>
                      <w:sz w:val="30"/>
                      <w:szCs w:val="30"/>
                      <w:rtl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  <w:r w:rsidR="00C57C82"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            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750E7B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750E7B">
        <w:rPr>
          <w:noProof/>
        </w:rPr>
        <w:pict>
          <v:shape id="Text Box 108" o:spid="_x0000_s1136" type="#_x0000_t202" style="position:absolute;left:0;text-align:left;margin-left:350.65pt;margin-top:27.85pt;width:143.1pt;height:2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7F486C" w:rsidP="007F486C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630C01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8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750E7B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750E7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59264;visibility:visible;mso-wrap-distance-top:-28e-5mm;mso-wrap-distance-bottom:-2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750E7B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750E7B">
        <w:rPr>
          <w:noProof/>
        </w:rPr>
        <w:pict>
          <v:shape id="Text Box 138" o:spid="_x0000_s1134" type="#_x0000_t202" style="position:absolute;left:0;text-align:left;margin-left:2.2pt;margin-top:3.65pt;width:482.2pt;height:7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136EC8" w:rsidRDefault="00630C01" w:rsidP="006F1AF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6F1AF1" w:rsidRPr="006F1AF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="00306823">
                    <w:rPr>
                      <w:rFonts w:eastAsia="Arial Unicode MS" w:hint="cs"/>
                      <w:sz w:val="20"/>
                      <w:szCs w:val="20"/>
                      <w:rtl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7F486C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3C6E2C">
                    <w:rPr>
                      <w:rFonts w:eastAsia="Arial Unicode MS" w:hint="cs"/>
                      <w:sz w:val="20"/>
                      <w:szCs w:val="20"/>
                      <w:rtl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7F486C" w:rsidRPr="00F7365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F486C" w:rsidRPr="00F7365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C3089D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</w:t>
      </w:r>
      <w:r w:rsidR="00C57C82">
        <w:rPr>
          <w:rFonts w:ascii="Trebuchet MS" w:eastAsia="Arial Unicode MS" w:hAnsi="Trebuchet MS" w:hint="cs"/>
          <w:b/>
          <w:bCs/>
          <w:color w:val="660033"/>
          <w:sz w:val="28"/>
          <w:szCs w:val="28"/>
          <w:rtl/>
        </w:rPr>
        <w:t xml:space="preserve">       </w:t>
      </w:r>
    </w:p>
    <w:p w:rsidR="003A2CE4" w:rsidRPr="00F03C7C" w:rsidRDefault="00A46DAE" w:rsidP="007F486C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3C6E2C">
        <w:rPr>
          <w:rFonts w:ascii="Trebuchet MS" w:eastAsia="Arial Unicode MS" w:hAnsi="Trebuchet MS" w:hint="cs"/>
          <w:b/>
          <w:bCs/>
          <w:color w:val="660033"/>
          <w:sz w:val="26"/>
          <w:szCs w:val="26"/>
          <w:rtl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7F486C" w:rsidRPr="007F486C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D2055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D20384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3394710</wp:posOffset>
            </wp:positionH>
            <wp:positionV relativeFrom="margin">
              <wp:posOffset>5118735</wp:posOffset>
            </wp:positionV>
            <wp:extent cx="3095625" cy="2533650"/>
            <wp:effectExtent l="0" t="0" r="0" b="0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F3025" w:rsidRPr="00CE05B3" w:rsidRDefault="00A46DAE" w:rsidP="003C6E2C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D310C6">
        <w:rPr>
          <w:rFonts w:eastAsia="Arial Unicode MS"/>
          <w:sz w:val="22"/>
          <w:szCs w:val="22"/>
        </w:rPr>
        <w:t>e taux d’utilisation de</w:t>
      </w:r>
      <w:r w:rsidR="00490DF8">
        <w:rPr>
          <w:rFonts w:eastAsia="Arial Unicode MS"/>
          <w:sz w:val="22"/>
          <w:szCs w:val="22"/>
        </w:rPr>
        <w:t>s</w:t>
      </w:r>
      <w:r w:rsidRPr="00D310C6">
        <w:rPr>
          <w:rFonts w:eastAsia="Arial Unicode MS"/>
          <w:sz w:val="22"/>
          <w:szCs w:val="22"/>
        </w:rPr>
        <w:t xml:space="preserve"> capacité</w:t>
      </w:r>
      <w:r w:rsidR="00490DF8">
        <w:rPr>
          <w:rFonts w:eastAsia="Arial Unicode MS"/>
          <w:sz w:val="22"/>
          <w:szCs w:val="22"/>
        </w:rPr>
        <w:t>s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490DF8">
        <w:rPr>
          <w:rFonts w:eastAsia="Arial Unicode MS"/>
          <w:sz w:val="22"/>
          <w:szCs w:val="22"/>
        </w:rPr>
        <w:t xml:space="preserve">de </w:t>
      </w:r>
      <w:r w:rsidRPr="00D310C6">
        <w:rPr>
          <w:rFonts w:eastAsia="Arial Unicode MS"/>
          <w:sz w:val="22"/>
          <w:szCs w:val="22"/>
        </w:rPr>
        <w:t>producti</w:t>
      </w:r>
      <w:r w:rsidR="00490DF8">
        <w:rPr>
          <w:rFonts w:eastAsia="Arial Unicode MS"/>
          <w:sz w:val="22"/>
          <w:szCs w:val="22"/>
        </w:rPr>
        <w:t>on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>(TUC)</w:t>
      </w:r>
      <w:r>
        <w:rPr>
          <w:rFonts w:eastAsia="Arial Unicode MS"/>
          <w:sz w:val="22"/>
          <w:szCs w:val="22"/>
        </w:rPr>
        <w:t xml:space="preserve"> d</w:t>
      </w:r>
      <w:r w:rsidR="00CE173B">
        <w:rPr>
          <w:rFonts w:eastAsia="Arial Unicode MS"/>
          <w:sz w:val="22"/>
          <w:szCs w:val="22"/>
        </w:rPr>
        <w:t>ans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Pr="00A46DA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="003C6E2C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="003A3083" w:rsidRPr="00D310C6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3A3083" w:rsidRPr="00D310C6">
        <w:rPr>
          <w:rFonts w:eastAsia="Arial Unicode MS"/>
          <w:sz w:val="22"/>
          <w:szCs w:val="22"/>
        </w:rPr>
        <w:t xml:space="preserve"> se</w:t>
      </w:r>
      <w:r w:rsidRPr="004A5769">
        <w:rPr>
          <w:rFonts w:eastAsia="Arial Unicode MS"/>
          <w:sz w:val="22"/>
          <w:szCs w:val="22"/>
        </w:rPr>
        <w:t xml:space="preserve"> serait établi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Pr="00D310C6">
        <w:rPr>
          <w:rFonts w:eastAsia="Arial Unicode MS"/>
          <w:sz w:val="22"/>
          <w:szCs w:val="22"/>
        </w:rPr>
        <w:t>à 7</w:t>
      </w:r>
      <w:r w:rsidR="00161DB1">
        <w:rPr>
          <w:rFonts w:eastAsia="Arial Unicode MS"/>
          <w:sz w:val="22"/>
          <w:szCs w:val="22"/>
        </w:rPr>
        <w:t>7</w:t>
      </w:r>
      <w:r w:rsidRPr="00D310C6">
        <w:rPr>
          <w:rFonts w:eastAsia="Arial Unicode MS"/>
          <w:sz w:val="22"/>
          <w:szCs w:val="22"/>
        </w:rPr>
        <w:t xml:space="preserve">% au </w:t>
      </w:r>
      <w:r w:rsidR="007F486C">
        <w:rPr>
          <w:rFonts w:eastAsia="Arial Unicode MS"/>
          <w:sz w:val="22"/>
          <w:szCs w:val="22"/>
        </w:rPr>
        <w:t>4</w:t>
      </w:r>
      <w:r w:rsidR="007F486C" w:rsidRPr="007F486C">
        <w:rPr>
          <w:rFonts w:eastAsia="Arial Unicode MS"/>
          <w:sz w:val="22"/>
          <w:szCs w:val="22"/>
          <w:vertAlign w:val="superscript"/>
        </w:rPr>
        <w:t>ème</w:t>
      </w:r>
      <w:r w:rsidRPr="00D310C6">
        <w:rPr>
          <w:rFonts w:eastAsia="Arial Unicode MS"/>
          <w:sz w:val="22"/>
          <w:szCs w:val="22"/>
        </w:rPr>
        <w:t>trimestre201</w:t>
      </w:r>
      <w:r>
        <w:rPr>
          <w:rFonts w:eastAsia="Arial Unicode MS"/>
          <w:sz w:val="22"/>
          <w:szCs w:val="22"/>
        </w:rPr>
        <w:t xml:space="preserve">7. </w:t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</w:t>
      </w:r>
      <w:r w:rsidRPr="00D310C6">
        <w:rPr>
          <w:rFonts w:eastAsia="Arial Unicode MS"/>
          <w:sz w:val="22"/>
          <w:szCs w:val="22"/>
        </w:rPr>
        <w:t xml:space="preserve">production </w:t>
      </w:r>
      <w:r>
        <w:rPr>
          <w:rFonts w:eastAsia="Arial Unicode MS"/>
          <w:sz w:val="22"/>
          <w:szCs w:val="22"/>
        </w:rPr>
        <w:t xml:space="preserve">de ce secteur </w:t>
      </w:r>
      <w:r w:rsidR="002A1960" w:rsidRPr="00D310C6">
        <w:rPr>
          <w:rFonts w:eastAsia="Arial Unicode MS"/>
          <w:sz w:val="22"/>
          <w:szCs w:val="22"/>
        </w:rPr>
        <w:t>aurait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FE1581" w:rsidRPr="00D310C6">
        <w:rPr>
          <w:rFonts w:eastAsia="Arial Unicode MS"/>
          <w:sz w:val="22"/>
          <w:szCs w:val="22"/>
        </w:rPr>
        <w:t>une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161DB1">
        <w:rPr>
          <w:rFonts w:eastAsia="Arial Unicode MS"/>
          <w:sz w:val="22"/>
          <w:szCs w:val="22"/>
        </w:rPr>
        <w:t>augmentation</w:t>
      </w:r>
      <w:r w:rsidR="003A3083">
        <w:rPr>
          <w:rFonts w:eastAsia="Arial Unicode MS"/>
          <w:sz w:val="22"/>
          <w:szCs w:val="22"/>
        </w:rPr>
        <w:t xml:space="preserve"> selon </w:t>
      </w:r>
      <w:r w:rsidR="00161DB1">
        <w:rPr>
          <w:rFonts w:eastAsia="Arial Unicode MS"/>
          <w:sz w:val="22"/>
          <w:szCs w:val="22"/>
        </w:rPr>
        <w:t>5</w:t>
      </w:r>
      <w:r w:rsidR="003A3083">
        <w:rPr>
          <w:rFonts w:eastAsia="Arial Unicode MS"/>
          <w:sz w:val="22"/>
          <w:szCs w:val="22"/>
        </w:rPr>
        <w:t>0% des chefs d’entreprises et</w:t>
      </w:r>
      <w:r w:rsidR="00511FBB">
        <w:rPr>
          <w:rFonts w:eastAsia="Arial Unicode MS"/>
          <w:sz w:val="22"/>
          <w:szCs w:val="22"/>
        </w:rPr>
        <w:t xml:space="preserve"> une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161DB1">
        <w:rPr>
          <w:rFonts w:eastAsia="Arial Unicode MS"/>
          <w:sz w:val="22"/>
          <w:szCs w:val="22"/>
        </w:rPr>
        <w:t>diminution</w:t>
      </w:r>
      <w:r w:rsidR="0047730A" w:rsidRPr="00D310C6">
        <w:rPr>
          <w:rFonts w:eastAsia="Arial Unicode MS"/>
          <w:sz w:val="22"/>
          <w:szCs w:val="22"/>
        </w:rPr>
        <w:t xml:space="preserve"> selon </w:t>
      </w:r>
      <w:r w:rsidR="00161DB1">
        <w:rPr>
          <w:rFonts w:eastAsia="Arial Unicode MS"/>
          <w:sz w:val="22"/>
          <w:szCs w:val="22"/>
        </w:rPr>
        <w:t>18</w:t>
      </w:r>
      <w:r w:rsidR="0047730A" w:rsidRPr="00D310C6">
        <w:rPr>
          <w:rFonts w:eastAsia="Arial Unicode MS"/>
          <w:sz w:val="22"/>
          <w:szCs w:val="22"/>
        </w:rPr>
        <w:t>%</w:t>
      </w:r>
      <w:r w:rsidR="00791A9E">
        <w:rPr>
          <w:rFonts w:eastAsia="Arial Unicode MS"/>
          <w:sz w:val="22"/>
          <w:szCs w:val="22"/>
        </w:rPr>
        <w:t>.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47730A" w:rsidRPr="00CE05B3">
        <w:rPr>
          <w:rFonts w:eastAsia="Arial Unicode MS"/>
          <w:sz w:val="22"/>
          <w:szCs w:val="22"/>
        </w:rPr>
        <w:t xml:space="preserve">Cette </w:t>
      </w:r>
      <w:r w:rsidR="00F70AC7" w:rsidRPr="00CE05B3">
        <w:rPr>
          <w:rFonts w:eastAsia="Arial Unicode MS"/>
          <w:sz w:val="22"/>
          <w:szCs w:val="22"/>
        </w:rPr>
        <w:t>évoluti</w:t>
      </w:r>
      <w:r w:rsidR="00446B5D" w:rsidRPr="00CE05B3">
        <w:rPr>
          <w:rFonts w:eastAsia="Arial Unicode MS"/>
          <w:sz w:val="22"/>
          <w:szCs w:val="22"/>
        </w:rPr>
        <w:t>on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33541E" w:rsidRPr="00CE05B3">
        <w:rPr>
          <w:rFonts w:eastAsia="Arial Unicode MS"/>
          <w:sz w:val="22"/>
          <w:szCs w:val="22"/>
        </w:rPr>
        <w:t>aurait été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8C2F2B" w:rsidRPr="00CE05B3">
        <w:rPr>
          <w:rFonts w:eastAsia="Arial Unicode MS"/>
          <w:sz w:val="22"/>
          <w:szCs w:val="22"/>
        </w:rPr>
        <w:t>le résultat</w:t>
      </w:r>
      <w:r w:rsidR="00572A4D">
        <w:rPr>
          <w:rFonts w:eastAsia="Arial Unicode MS"/>
          <w:sz w:val="22"/>
          <w:szCs w:val="22"/>
        </w:rPr>
        <w:t>,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Pr="00CE05B3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 xml:space="preserve">d’une augmentation de la </w:t>
      </w:r>
      <w:r w:rsidR="00BD29DA">
        <w:rPr>
          <w:rFonts w:eastAsia="Arial Unicode MS"/>
          <w:sz w:val="22"/>
          <w:szCs w:val="22"/>
        </w:rPr>
        <w:t xml:space="preserve">production dans </w:t>
      </w:r>
      <w:r w:rsidR="00DD2F0B">
        <w:rPr>
          <w:rFonts w:eastAsia="Arial Unicode MS"/>
          <w:sz w:val="22"/>
          <w:szCs w:val="22"/>
        </w:rPr>
        <w:t>les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A15560" w:rsidRPr="00BC44B5">
        <w:rPr>
          <w:rFonts w:eastAsia="Arial Unicode MS"/>
          <w:sz w:val="22"/>
          <w:szCs w:val="22"/>
        </w:rPr>
        <w:t xml:space="preserve">branches </w:t>
      </w:r>
      <w:r w:rsidR="00BF0F00" w:rsidRPr="00BC44B5">
        <w:rPr>
          <w:rFonts w:eastAsia="Arial Unicode MS"/>
          <w:sz w:val="22"/>
          <w:szCs w:val="22"/>
        </w:rPr>
        <w:t>de l</w:t>
      </w:r>
      <w:r w:rsidR="00862EB9">
        <w:rPr>
          <w:rFonts w:eastAsia="Arial Unicode MS"/>
          <w:sz w:val="22"/>
          <w:szCs w:val="22"/>
        </w:rPr>
        <w:t>’</w:t>
      </w:r>
      <w:r w:rsidR="00BF0F00" w:rsidRPr="00BC44B5">
        <w:rPr>
          <w:rFonts w:eastAsia="Arial Unicode MS"/>
          <w:sz w:val="22"/>
          <w:szCs w:val="22"/>
        </w:rPr>
        <w:t>«</w:t>
      </w:r>
      <w:r w:rsidR="00DC7173" w:rsidRPr="00BC44B5">
        <w:rPr>
          <w:rFonts w:eastAsia="Arial Unicode MS"/>
          <w:sz w:val="22"/>
          <w:szCs w:val="22"/>
        </w:rPr>
        <w:t>Industrie</w:t>
      </w:r>
      <w:r w:rsidR="002E2E62" w:rsidRPr="007357DB">
        <w:rPr>
          <w:rFonts w:eastAsia="Arial Unicode MS"/>
          <w:sz w:val="22"/>
          <w:szCs w:val="22"/>
        </w:rPr>
        <w:t xml:space="preserve"> chimique</w:t>
      </w:r>
      <w:r w:rsidR="004D61CC">
        <w:rPr>
          <w:rFonts w:eastAsia="Arial Unicode MS"/>
          <w:sz w:val="22"/>
          <w:szCs w:val="22"/>
        </w:rPr>
        <w:t>»,</w:t>
      </w:r>
      <w:r w:rsidR="00BF0F00" w:rsidRPr="00BC44B5">
        <w:rPr>
          <w:rFonts w:eastAsia="Arial Unicode MS"/>
          <w:sz w:val="22"/>
          <w:szCs w:val="22"/>
        </w:rPr>
        <w:t xml:space="preserve"> de</w:t>
      </w:r>
      <w:r w:rsidR="00862EB9">
        <w:rPr>
          <w:rFonts w:eastAsia="Arial Unicode MS"/>
          <w:sz w:val="22"/>
          <w:szCs w:val="22"/>
        </w:rPr>
        <w:t>s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2E2E62" w:rsidRPr="00BC44B5">
        <w:rPr>
          <w:rFonts w:eastAsia="Arial Unicode MS"/>
          <w:sz w:val="22"/>
          <w:szCs w:val="22"/>
        </w:rPr>
        <w:t>«</w:t>
      </w:r>
      <w:r w:rsidR="002E2E62" w:rsidRPr="002E2E62">
        <w:rPr>
          <w:rFonts w:eastAsia="Arial Unicode MS"/>
          <w:sz w:val="22"/>
          <w:szCs w:val="22"/>
        </w:rPr>
        <w:t>Industries alimentaires</w:t>
      </w:r>
      <w:r w:rsidR="00BF0F00" w:rsidRPr="00BC44B5">
        <w:rPr>
          <w:rFonts w:eastAsia="Arial Unicode MS"/>
          <w:sz w:val="22"/>
          <w:szCs w:val="22"/>
        </w:rPr>
        <w:t>»</w:t>
      </w:r>
      <w:r w:rsidR="004D61CC">
        <w:rPr>
          <w:rFonts w:eastAsia="Arial Unicode MS"/>
          <w:sz w:val="22"/>
          <w:szCs w:val="22"/>
        </w:rPr>
        <w:t xml:space="preserve"> et de l’«</w:t>
      </w:r>
      <w:r w:rsidR="004D61CC" w:rsidRPr="004D61CC">
        <w:rPr>
          <w:rFonts w:eastAsia="Arial Unicode MS"/>
          <w:sz w:val="22"/>
          <w:szCs w:val="22"/>
        </w:rPr>
        <w:t>Industrie automobile</w:t>
      </w:r>
      <w:r w:rsidR="004D61CC">
        <w:rPr>
          <w:rFonts w:eastAsia="Arial Unicode MS"/>
          <w:sz w:val="22"/>
          <w:szCs w:val="22"/>
        </w:rPr>
        <w:t>» </w:t>
      </w:r>
      <w:r w:rsidR="00BF0F00" w:rsidRPr="00BC44B5">
        <w:rPr>
          <w:rFonts w:eastAsia="Arial Unicode MS"/>
          <w:sz w:val="22"/>
          <w:szCs w:val="22"/>
        </w:rPr>
        <w:t>et, d’autre part, d’une baisse de la pr</w:t>
      </w:r>
      <w:r w:rsidR="007357DB">
        <w:rPr>
          <w:rFonts w:eastAsia="Arial Unicode MS"/>
          <w:sz w:val="22"/>
          <w:szCs w:val="22"/>
        </w:rPr>
        <w:t xml:space="preserve">oduction dans les branches de la </w:t>
      </w:r>
      <w:r w:rsidR="00BF0F00" w:rsidRPr="00BC44B5">
        <w:rPr>
          <w:rFonts w:eastAsia="Arial Unicode MS"/>
          <w:sz w:val="22"/>
          <w:szCs w:val="22"/>
        </w:rPr>
        <w:t>«</w:t>
      </w:r>
      <w:r w:rsidR="007357DB" w:rsidRPr="007357DB">
        <w:rPr>
          <w:rFonts w:eastAsia="Arial Unicode MS"/>
          <w:sz w:val="22"/>
          <w:szCs w:val="22"/>
        </w:rPr>
        <w:t>Fabrication de boissons</w:t>
      </w:r>
      <w:r w:rsidR="00BF0F00" w:rsidRPr="00BC44B5">
        <w:rPr>
          <w:rFonts w:eastAsia="Arial Unicode MS"/>
          <w:sz w:val="22"/>
          <w:szCs w:val="22"/>
        </w:rPr>
        <w:t>»</w:t>
      </w:r>
      <w:r w:rsidR="007357DB">
        <w:rPr>
          <w:rFonts w:eastAsia="Arial Unicode MS"/>
          <w:sz w:val="22"/>
          <w:szCs w:val="22"/>
        </w:rPr>
        <w:t xml:space="preserve"> et de la </w:t>
      </w:r>
      <w:r w:rsidR="00A15560" w:rsidRPr="00BC44B5">
        <w:rPr>
          <w:rFonts w:eastAsia="Arial Unicode MS"/>
          <w:sz w:val="22"/>
          <w:szCs w:val="22"/>
        </w:rPr>
        <w:t>«</w:t>
      </w:r>
      <w:r w:rsidR="007357DB" w:rsidRPr="007357DB">
        <w:rPr>
          <w:rFonts w:eastAsia="Arial Unicode MS"/>
          <w:sz w:val="22"/>
          <w:szCs w:val="22"/>
        </w:rPr>
        <w:t>Fabrication de produits en caoutchouc et en plastique</w:t>
      </w:r>
      <w:r w:rsidR="00A15560" w:rsidRPr="00BC44B5">
        <w:rPr>
          <w:rFonts w:eastAsia="Arial Unicode MS"/>
          <w:sz w:val="22"/>
          <w:szCs w:val="22"/>
        </w:rPr>
        <w:t> »</w:t>
      </w:r>
      <w:r w:rsidR="00B46D1D" w:rsidRPr="00BC44B5">
        <w:rPr>
          <w:rFonts w:eastAsia="Arial Unicode MS"/>
          <w:sz w:val="22"/>
          <w:szCs w:val="22"/>
        </w:rPr>
        <w:t>.</w:t>
      </w:r>
    </w:p>
    <w:p w:rsidR="00F05668" w:rsidRDefault="0038590B" w:rsidP="00EC36F6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373869">
        <w:rPr>
          <w:rFonts w:eastAsia="Arial Unicode MS"/>
          <w:sz w:val="22"/>
          <w:szCs w:val="22"/>
        </w:rPr>
        <w:t>s</w:t>
      </w:r>
      <w:r w:rsidR="00A075CB">
        <w:rPr>
          <w:rFonts w:eastAsia="Arial Unicode MS"/>
          <w:sz w:val="22"/>
          <w:szCs w:val="22"/>
        </w:rPr>
        <w:t xml:space="preserve">ont </w:t>
      </w:r>
      <w:r w:rsidRPr="00D310C6">
        <w:rPr>
          <w:rFonts w:eastAsia="Arial Unicode MS"/>
          <w:sz w:val="22"/>
          <w:szCs w:val="22"/>
        </w:rPr>
        <w:t xml:space="preserve">jugés d’un niveau normal par </w:t>
      </w:r>
      <w:r w:rsidR="007357DB">
        <w:rPr>
          <w:rFonts w:eastAsia="Arial Unicode MS"/>
          <w:sz w:val="22"/>
          <w:szCs w:val="22"/>
        </w:rPr>
        <w:t>81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7357DB">
        <w:rPr>
          <w:rFonts w:eastAsia="Arial Unicode MS"/>
          <w:sz w:val="22"/>
          <w:szCs w:val="22"/>
        </w:rPr>
        <w:t>15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373869" w:rsidRPr="00D310C6">
        <w:rPr>
          <w:rFonts w:eastAsia="Arial Unicode MS"/>
          <w:sz w:val="22"/>
          <w:szCs w:val="22"/>
        </w:rPr>
        <w:t>connu</w:t>
      </w:r>
      <w:r w:rsidR="003C6E2C">
        <w:rPr>
          <w:rFonts w:eastAsia="Arial Unicode MS" w:hint="cs"/>
          <w:sz w:val="22"/>
          <w:szCs w:val="22"/>
          <w:rtl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 xml:space="preserve">une </w:t>
      </w:r>
      <w:r w:rsidR="00605EA8">
        <w:rPr>
          <w:rFonts w:eastAsia="Arial Unicode MS"/>
          <w:sz w:val="22"/>
          <w:szCs w:val="22"/>
        </w:rPr>
        <w:t>stabilité</w:t>
      </w:r>
      <w:r w:rsidR="002F7B54" w:rsidRPr="00D310C6">
        <w:rPr>
          <w:rFonts w:eastAsia="Arial Unicode MS"/>
          <w:sz w:val="22"/>
          <w:szCs w:val="22"/>
        </w:rPr>
        <w:t xml:space="preserve"> selon </w:t>
      </w:r>
      <w:r w:rsidR="00EC36F6">
        <w:rPr>
          <w:rFonts w:eastAsia="Arial Unicode MS"/>
          <w:sz w:val="22"/>
          <w:szCs w:val="22"/>
        </w:rPr>
        <w:t>79</w:t>
      </w:r>
      <w:r w:rsidR="002F7B54" w:rsidRPr="00BC44B5">
        <w:rPr>
          <w:rFonts w:eastAsia="Arial Unicode MS"/>
          <w:sz w:val="22"/>
          <w:szCs w:val="22"/>
        </w:rPr>
        <w:t>% des patrons</w:t>
      </w:r>
      <w:r w:rsidR="00CE370B">
        <w:rPr>
          <w:rFonts w:eastAsia="Arial Unicode MS"/>
          <w:sz w:val="22"/>
          <w:szCs w:val="22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302676" w:rsidRDefault="00863E4A" w:rsidP="009D12F2">
      <w:pPr>
        <w:spacing w:after="120" w:line="276" w:lineRule="auto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3018790</wp:posOffset>
            </wp:positionH>
            <wp:positionV relativeFrom="margin">
              <wp:posOffset>-78740</wp:posOffset>
            </wp:positionV>
            <wp:extent cx="3418205" cy="2572385"/>
            <wp:effectExtent l="0" t="0" r="0" b="0"/>
            <wp:wrapSquare wrapText="bothSides"/>
            <wp:docPr id="116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73869">
        <w:rPr>
          <w:rFonts w:eastAsia="Arial Unicode MS"/>
          <w:sz w:val="22"/>
          <w:szCs w:val="22"/>
        </w:rPr>
        <w:t xml:space="preserve">Le </w:t>
      </w:r>
      <w:r w:rsidR="00373869" w:rsidRPr="004A5769">
        <w:rPr>
          <w:rFonts w:eastAsia="Arial Unicode MS"/>
          <w:sz w:val="22"/>
          <w:szCs w:val="22"/>
        </w:rPr>
        <w:t xml:space="preserve">TUC </w:t>
      </w:r>
      <w:r w:rsidR="002A4F23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2A4F23" w:rsidRPr="001702AB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A0553F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="00373869" w:rsidRPr="004A5769">
        <w:rPr>
          <w:rFonts w:eastAsia="Arial Unicode MS"/>
          <w:sz w:val="22"/>
          <w:szCs w:val="22"/>
        </w:rPr>
        <w:t>se serait établi à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993C49">
        <w:rPr>
          <w:rFonts w:eastAsia="Arial Unicode MS"/>
          <w:sz w:val="22"/>
          <w:szCs w:val="22"/>
        </w:rPr>
        <w:t>73</w:t>
      </w:r>
      <w:r w:rsidR="00373869" w:rsidRPr="004A5769">
        <w:rPr>
          <w:rFonts w:eastAsia="Arial Unicode MS"/>
          <w:sz w:val="22"/>
          <w:szCs w:val="22"/>
        </w:rPr>
        <w:t>%</w:t>
      </w:r>
      <w:r w:rsidR="00373869">
        <w:rPr>
          <w:rFonts w:eastAsia="Arial Unicode MS"/>
          <w:sz w:val="22"/>
          <w:szCs w:val="22"/>
        </w:rPr>
        <w:t xml:space="preserve"> au </w:t>
      </w:r>
      <w:r w:rsidR="007F486C">
        <w:rPr>
          <w:rFonts w:eastAsia="Arial Unicode MS"/>
          <w:sz w:val="22"/>
          <w:szCs w:val="22"/>
        </w:rPr>
        <w:t>4</w:t>
      </w:r>
      <w:r w:rsidR="007F486C" w:rsidRPr="007F486C">
        <w:rPr>
          <w:rFonts w:eastAsia="Arial Unicode MS"/>
          <w:sz w:val="22"/>
          <w:szCs w:val="22"/>
          <w:vertAlign w:val="superscript"/>
        </w:rPr>
        <w:t>ème</w:t>
      </w:r>
      <w:r w:rsidR="00373869">
        <w:rPr>
          <w:rFonts w:eastAsia="Arial Unicode MS"/>
          <w:sz w:val="22"/>
          <w:szCs w:val="22"/>
        </w:rPr>
        <w:t>trimestre2017</w:t>
      </w:r>
      <w:r w:rsidR="00373869" w:rsidRPr="004A5769">
        <w:rPr>
          <w:rFonts w:eastAsia="Arial Unicode MS"/>
          <w:sz w:val="22"/>
          <w:szCs w:val="22"/>
        </w:rPr>
        <w:t>.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aurait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066703" w:rsidRPr="00CE05B3">
        <w:rPr>
          <w:rFonts w:eastAsia="Arial Unicode MS"/>
          <w:sz w:val="22"/>
          <w:szCs w:val="22"/>
        </w:rPr>
        <w:t>affiché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572A4D" w:rsidRPr="00CE05B3">
        <w:rPr>
          <w:rFonts w:eastAsia="Arial Unicode MS"/>
          <w:sz w:val="22"/>
          <w:szCs w:val="22"/>
        </w:rPr>
        <w:t xml:space="preserve">une </w:t>
      </w:r>
      <w:r w:rsidR="00572A4D">
        <w:rPr>
          <w:rFonts w:eastAsia="Arial Unicode MS"/>
          <w:sz w:val="22"/>
          <w:szCs w:val="22"/>
        </w:rPr>
        <w:t>augmentation</w:t>
      </w:r>
      <w:r w:rsidR="001702AB">
        <w:rPr>
          <w:rFonts w:eastAsia="Arial Unicode MS"/>
          <w:sz w:val="22"/>
          <w:szCs w:val="22"/>
        </w:rPr>
        <w:t>,</w:t>
      </w:r>
      <w:r w:rsidR="00066703">
        <w:rPr>
          <w:rFonts w:eastAsia="Arial Unicode MS"/>
          <w:sz w:val="22"/>
          <w:szCs w:val="22"/>
        </w:rPr>
        <w:t xml:space="preserve"> selon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EC36F6">
        <w:rPr>
          <w:rFonts w:eastAsia="Arial Unicode MS"/>
          <w:sz w:val="22"/>
          <w:szCs w:val="22"/>
        </w:rPr>
        <w:t xml:space="preserve">la </w:t>
      </w:r>
      <w:r w:rsidR="009D12F2">
        <w:rPr>
          <w:rFonts w:eastAsia="Arial Unicode MS"/>
          <w:sz w:val="22"/>
          <w:szCs w:val="22"/>
        </w:rPr>
        <w:t xml:space="preserve">92% </w:t>
      </w:r>
      <w:r w:rsidR="00066703" w:rsidRPr="00CE05B3">
        <w:rPr>
          <w:rFonts w:eastAsia="Arial Unicode MS"/>
          <w:sz w:val="22"/>
          <w:szCs w:val="22"/>
        </w:rPr>
        <w:t>des patrons</w:t>
      </w:r>
      <w:r w:rsidR="001702AB">
        <w:rPr>
          <w:rFonts w:eastAsia="Arial Unicode MS"/>
          <w:sz w:val="22"/>
          <w:szCs w:val="22"/>
        </w:rPr>
        <w:t>,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attribuable</w:t>
      </w:r>
      <w:r w:rsidR="0038590B" w:rsidRPr="00CE05B3">
        <w:rPr>
          <w:rFonts w:eastAsia="Arial Unicode MS"/>
          <w:sz w:val="22"/>
          <w:szCs w:val="22"/>
        </w:rPr>
        <w:t xml:space="preserve"> à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021C30">
        <w:rPr>
          <w:rFonts w:eastAsia="Arial Unicode MS"/>
          <w:sz w:val="22"/>
          <w:szCs w:val="22"/>
        </w:rPr>
        <w:t>hau</w:t>
      </w:r>
      <w:r w:rsidR="006B21F5">
        <w:rPr>
          <w:rFonts w:eastAsia="Arial Unicode MS"/>
          <w:sz w:val="22"/>
          <w:szCs w:val="22"/>
        </w:rPr>
        <w:t>sse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>«Autres indus</w:t>
      </w:r>
      <w:r w:rsidR="00021C30">
        <w:rPr>
          <w:rFonts w:eastAsia="Arial Unicode MS"/>
          <w:sz w:val="22"/>
          <w:szCs w:val="22"/>
        </w:rPr>
        <w:t>tries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021C30">
        <w:rPr>
          <w:rFonts w:eastAsia="Arial Unicode MS"/>
          <w:sz w:val="22"/>
          <w:szCs w:val="22"/>
        </w:rPr>
        <w:t>extractives».</w:t>
      </w:r>
    </w:p>
    <w:p w:rsidR="0038590B" w:rsidRPr="00490415" w:rsidRDefault="002A4F23" w:rsidP="00AA65D3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>
        <w:rPr>
          <w:rFonts w:eastAsia="Arial Unicode MS"/>
          <w:sz w:val="22"/>
          <w:szCs w:val="22"/>
        </w:rPr>
        <w:lastRenderedPageBreak/>
        <w:t xml:space="preserve">Les </w:t>
      </w:r>
      <w:r w:rsidRPr="00302676">
        <w:rPr>
          <w:rFonts w:eastAsia="Arial Unicode MS"/>
          <w:sz w:val="22"/>
          <w:szCs w:val="22"/>
        </w:rPr>
        <w:t>carnets</w:t>
      </w:r>
      <w:r w:rsidR="0038590B" w:rsidRPr="00302676">
        <w:rPr>
          <w:rFonts w:eastAsia="Arial Unicode MS"/>
          <w:sz w:val="22"/>
          <w:szCs w:val="22"/>
        </w:rPr>
        <w:t xml:space="preserve"> de commande </w:t>
      </w:r>
      <w:r>
        <w:rPr>
          <w:rFonts w:eastAsia="Arial Unicode MS"/>
          <w:sz w:val="22"/>
          <w:szCs w:val="22"/>
        </w:rPr>
        <w:t>sont</w:t>
      </w:r>
      <w:r w:rsidR="0038590B" w:rsidRPr="00302676">
        <w:rPr>
          <w:rFonts w:eastAsia="Arial Unicode MS"/>
          <w:sz w:val="22"/>
          <w:szCs w:val="22"/>
        </w:rPr>
        <w:t xml:space="preserve"> jugé</w:t>
      </w:r>
      <w:r>
        <w:rPr>
          <w:rFonts w:eastAsia="Arial Unicode MS"/>
          <w:sz w:val="22"/>
          <w:szCs w:val="22"/>
        </w:rPr>
        <w:t>s</w:t>
      </w:r>
      <w:r w:rsidR="0038590B" w:rsidRPr="00302676">
        <w:rPr>
          <w:rFonts w:eastAsia="Arial Unicode MS"/>
          <w:sz w:val="22"/>
          <w:szCs w:val="22"/>
        </w:rPr>
        <w:t xml:space="preserve"> d’un niveau normal par </w:t>
      </w:r>
      <w:r w:rsidR="00D7292B" w:rsidRPr="00BC44B5">
        <w:rPr>
          <w:rFonts w:eastAsia="Arial Unicode MS"/>
          <w:sz w:val="22"/>
          <w:szCs w:val="22"/>
        </w:rPr>
        <w:t>9</w:t>
      </w:r>
      <w:r w:rsidR="00EC36F6">
        <w:rPr>
          <w:rFonts w:eastAsia="Arial Unicode MS"/>
          <w:sz w:val="22"/>
          <w:szCs w:val="22"/>
        </w:rPr>
        <w:t>6</w:t>
      </w:r>
      <w:r w:rsidR="00706C10" w:rsidRPr="00BC44B5">
        <w:rPr>
          <w:rFonts w:eastAsia="Arial Unicode MS"/>
          <w:sz w:val="22"/>
          <w:szCs w:val="22"/>
        </w:rPr>
        <w:t>%</w:t>
      </w:r>
      <w:r w:rsidR="0038590B" w:rsidRPr="00302676">
        <w:rPr>
          <w:rFonts w:eastAsia="Arial Unicode MS"/>
          <w:sz w:val="22"/>
          <w:szCs w:val="22"/>
        </w:rPr>
        <w:t xml:space="preserve">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Pr="00302676">
        <w:rPr>
          <w:rFonts w:eastAsia="Arial Unicode MS"/>
          <w:sz w:val="22"/>
          <w:szCs w:val="22"/>
        </w:rPr>
        <w:t>connu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Pr="00302676">
        <w:rPr>
          <w:rFonts w:eastAsia="Arial Unicode MS"/>
          <w:sz w:val="22"/>
          <w:szCs w:val="22"/>
        </w:rPr>
        <w:t xml:space="preserve">une </w:t>
      </w:r>
      <w:r w:rsidR="00AA65D3">
        <w:rPr>
          <w:rFonts w:eastAsia="Arial Unicode MS"/>
          <w:sz w:val="22"/>
          <w:szCs w:val="22"/>
        </w:rPr>
        <w:t>diminution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3F0254" w:rsidRPr="00302676">
        <w:rPr>
          <w:rFonts w:eastAsia="Arial Unicode MS"/>
          <w:sz w:val="22"/>
          <w:szCs w:val="22"/>
        </w:rPr>
        <w:t xml:space="preserve">selon </w:t>
      </w:r>
      <w:r w:rsidR="00AA65D3" w:rsidRPr="00BC44B5">
        <w:rPr>
          <w:rFonts w:eastAsia="Arial Unicode MS"/>
          <w:sz w:val="22"/>
          <w:szCs w:val="22"/>
        </w:rPr>
        <w:t>78%</w:t>
      </w:r>
      <w:r w:rsidR="00A0553F">
        <w:rPr>
          <w:rFonts w:eastAsia="Arial Unicode MS" w:hint="cs"/>
          <w:sz w:val="22"/>
          <w:szCs w:val="22"/>
          <w:rtl/>
        </w:rPr>
        <w:t xml:space="preserve"> </w:t>
      </w:r>
      <w:r w:rsidR="00A814E6" w:rsidRPr="00302676">
        <w:rPr>
          <w:rFonts w:eastAsia="Arial Unicode MS"/>
          <w:sz w:val="22"/>
          <w:szCs w:val="22"/>
        </w:rPr>
        <w:t>des</w:t>
      </w:r>
      <w:r w:rsidR="003F0254" w:rsidRPr="00302676">
        <w:rPr>
          <w:rFonts w:eastAsia="Arial Unicode MS"/>
          <w:sz w:val="22"/>
          <w:szCs w:val="22"/>
        </w:rPr>
        <w:t xml:space="preserve"> patrons</w:t>
      </w:r>
      <w:r>
        <w:rPr>
          <w:rFonts w:eastAsia="Arial Unicode MS"/>
          <w:sz w:val="22"/>
          <w:szCs w:val="22"/>
        </w:rPr>
        <w:t>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863E4A" w:rsidRDefault="00863E4A" w:rsidP="00572A4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302676" w:rsidRDefault="002A4F23" w:rsidP="00EC36F6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>e TUC</w:t>
      </w:r>
      <w:r>
        <w:rPr>
          <w:rFonts w:eastAsia="Arial Unicode MS"/>
          <w:sz w:val="22"/>
          <w:szCs w:val="22"/>
        </w:rPr>
        <w:t xml:space="preserve"> d</w:t>
      </w:r>
      <w:r w:rsidR="00380087">
        <w:rPr>
          <w:rFonts w:eastAsia="Arial Unicode MS"/>
          <w:sz w:val="22"/>
          <w:szCs w:val="22"/>
        </w:rPr>
        <w:t>ans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l’industrie énerg</w:t>
      </w:r>
      <w:r>
        <w:rPr>
          <w:rFonts w:eastAsia="Arial Unicode MS"/>
          <w:b/>
          <w:bCs/>
          <w:color w:val="660033"/>
          <w:sz w:val="22"/>
          <w:szCs w:val="22"/>
        </w:rPr>
        <w:t>é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tique</w:t>
      </w:r>
      <w:r w:rsidR="00F229C6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Pr="00302676">
        <w:rPr>
          <w:rFonts w:eastAsia="Arial Unicode MS"/>
          <w:sz w:val="22"/>
          <w:szCs w:val="22"/>
        </w:rPr>
        <w:t>se</w:t>
      </w:r>
      <w:r w:rsidR="00373869" w:rsidRPr="003D46A9">
        <w:rPr>
          <w:rFonts w:eastAsia="Arial Unicode MS"/>
          <w:sz w:val="22"/>
          <w:szCs w:val="22"/>
        </w:rPr>
        <w:t xml:space="preserve"> serait</w:t>
      </w:r>
      <w:r w:rsidR="00373869">
        <w:rPr>
          <w:rFonts w:eastAsia="Arial Unicode MS"/>
          <w:sz w:val="22"/>
          <w:szCs w:val="22"/>
        </w:rPr>
        <w:t xml:space="preserve"> établi à </w:t>
      </w:r>
      <w:r w:rsidR="00A814E6">
        <w:rPr>
          <w:rFonts w:eastAsia="Arial Unicode MS"/>
          <w:sz w:val="22"/>
          <w:szCs w:val="22"/>
        </w:rPr>
        <w:t>9</w:t>
      </w:r>
      <w:r w:rsidR="00EC36F6">
        <w:rPr>
          <w:rFonts w:eastAsia="Arial Unicode MS"/>
          <w:sz w:val="22"/>
          <w:szCs w:val="22"/>
        </w:rPr>
        <w:t>3</w:t>
      </w:r>
      <w:r w:rsidR="00066703" w:rsidRPr="00302676">
        <w:rPr>
          <w:rFonts w:eastAsia="Arial Unicode MS"/>
          <w:sz w:val="22"/>
          <w:szCs w:val="22"/>
        </w:rPr>
        <w:t xml:space="preserve">%. </w:t>
      </w:r>
      <w:r w:rsidR="00066703">
        <w:rPr>
          <w:rFonts w:eastAsia="Arial Unicode MS"/>
          <w:sz w:val="22"/>
          <w:szCs w:val="22"/>
        </w:rPr>
        <w:t>La production de c</w:t>
      </w:r>
      <w:r w:rsidR="007939F2">
        <w:rPr>
          <w:rFonts w:eastAsia="Arial Unicode MS"/>
          <w:sz w:val="22"/>
          <w:szCs w:val="22"/>
        </w:rPr>
        <w:t>e secteur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7939F2">
        <w:rPr>
          <w:rFonts w:eastAsia="Arial Unicode MS"/>
          <w:sz w:val="22"/>
          <w:szCs w:val="22"/>
        </w:rPr>
        <w:t>réalisé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066703" w:rsidRPr="00302676">
        <w:rPr>
          <w:rFonts w:eastAsia="Arial Unicode MS"/>
          <w:sz w:val="22"/>
          <w:szCs w:val="22"/>
        </w:rPr>
        <w:t>une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EC36F6">
        <w:rPr>
          <w:rFonts w:eastAsia="Arial Unicode MS"/>
          <w:sz w:val="22"/>
          <w:szCs w:val="22"/>
        </w:rPr>
        <w:t xml:space="preserve">diminution </w:t>
      </w:r>
      <w:r w:rsidR="008E04B8" w:rsidRPr="00302676">
        <w:rPr>
          <w:rFonts w:eastAsia="Arial Unicode MS"/>
          <w:sz w:val="22"/>
          <w:szCs w:val="22"/>
        </w:rPr>
        <w:t xml:space="preserve">selon </w:t>
      </w:r>
      <w:r w:rsidR="00EC36F6">
        <w:rPr>
          <w:rFonts w:eastAsia="Arial Unicode MS"/>
          <w:sz w:val="22"/>
          <w:szCs w:val="22"/>
        </w:rPr>
        <w:t>60</w:t>
      </w:r>
      <w:r w:rsidR="0044734F">
        <w:rPr>
          <w:rFonts w:eastAsia="Arial Unicode MS"/>
          <w:sz w:val="22"/>
          <w:szCs w:val="22"/>
        </w:rPr>
        <w:t>%</w:t>
      </w:r>
      <w:r w:rsidR="008E04B8" w:rsidRPr="00302676">
        <w:rPr>
          <w:rFonts w:eastAsia="Arial Unicode MS"/>
          <w:sz w:val="22"/>
          <w:szCs w:val="22"/>
        </w:rPr>
        <w:t xml:space="preserve"> des chefs d’entreprises, </w:t>
      </w:r>
      <w:r w:rsidR="002A1960" w:rsidRPr="00302676">
        <w:rPr>
          <w:rFonts w:eastAsia="Arial Unicode MS"/>
          <w:sz w:val="22"/>
          <w:szCs w:val="22"/>
        </w:rPr>
        <w:t>due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EC36F6">
        <w:rPr>
          <w:rFonts w:eastAsia="Arial Unicode MS"/>
          <w:sz w:val="22"/>
          <w:szCs w:val="22"/>
        </w:rPr>
        <w:t>baisse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 w:rsidRPr="00863E4A">
        <w:rPr>
          <w:rFonts w:eastAsia="Arial Unicode MS"/>
          <w:sz w:val="22"/>
          <w:szCs w:val="22"/>
        </w:rPr>
        <w:t>P</w:t>
      </w:r>
      <w:r w:rsidR="0038590B" w:rsidRPr="00863E4A">
        <w:rPr>
          <w:rFonts w:eastAsia="Arial Unicode MS"/>
          <w:sz w:val="22"/>
          <w:szCs w:val="22"/>
        </w:rPr>
        <w:t>roduction et distribution</w:t>
      </w:r>
      <w:r w:rsidR="009E1CC2" w:rsidRPr="00863E4A">
        <w:rPr>
          <w:rFonts w:eastAsia="Arial Unicode MS"/>
          <w:sz w:val="22"/>
          <w:szCs w:val="22"/>
        </w:rPr>
        <w:t> </w:t>
      </w:r>
      <w:r w:rsidR="0038590B" w:rsidRPr="00863E4A">
        <w:rPr>
          <w:rFonts w:eastAsia="Arial Unicode MS"/>
          <w:sz w:val="22"/>
          <w:szCs w:val="22"/>
        </w:rPr>
        <w:t>d’électricité, de gaz, de vapeur et d’air conditionné</w:t>
      </w:r>
      <w:r w:rsidR="0038590B" w:rsidRPr="00302676">
        <w:rPr>
          <w:rFonts w:eastAsia="Arial Unicode MS"/>
          <w:sz w:val="22"/>
          <w:szCs w:val="22"/>
        </w:rPr>
        <w:t xml:space="preserve">». </w:t>
      </w:r>
    </w:p>
    <w:p w:rsidR="0038590B" w:rsidRPr="00302676" w:rsidRDefault="00863E4A" w:rsidP="00032ABA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 xml:space="preserve">e TUC </w:t>
      </w:r>
      <w:r w:rsidR="002A4F23" w:rsidRPr="0063735A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2A4F23">
        <w:rPr>
          <w:rFonts w:eastAsia="Arial Unicode MS"/>
          <w:b/>
          <w:bCs/>
          <w:color w:val="660033"/>
          <w:sz w:val="22"/>
          <w:szCs w:val="22"/>
        </w:rPr>
        <w:t xml:space="preserve"> l</w:t>
      </w:r>
      <w:r w:rsidR="002A4F23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F229C6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="00373869" w:rsidRPr="003D46A9">
        <w:rPr>
          <w:rFonts w:eastAsia="Arial Unicode MS"/>
          <w:sz w:val="22"/>
          <w:szCs w:val="22"/>
        </w:rPr>
        <w:t>se serait</w:t>
      </w:r>
      <w:r w:rsidR="00373869">
        <w:rPr>
          <w:rFonts w:eastAsia="Arial Unicode MS"/>
          <w:sz w:val="22"/>
          <w:szCs w:val="22"/>
        </w:rPr>
        <w:t xml:space="preserve"> établi à </w:t>
      </w:r>
      <w:r w:rsidR="0029006D">
        <w:rPr>
          <w:rFonts w:eastAsia="Arial Unicode MS"/>
          <w:sz w:val="22"/>
          <w:szCs w:val="22"/>
        </w:rPr>
        <w:t>8</w:t>
      </w:r>
      <w:r w:rsidR="005247DE">
        <w:rPr>
          <w:rFonts w:eastAsia="Arial Unicode MS"/>
          <w:sz w:val="22"/>
          <w:szCs w:val="22"/>
        </w:rPr>
        <w:t>7</w:t>
      </w:r>
      <w:r w:rsidR="002A4F23" w:rsidRPr="00302676">
        <w:rPr>
          <w:rFonts w:eastAsia="Arial Unicode MS"/>
          <w:sz w:val="22"/>
          <w:szCs w:val="22"/>
        </w:rPr>
        <w:t xml:space="preserve">%. </w:t>
      </w:r>
      <w:r w:rsidR="00A94D3C">
        <w:rPr>
          <w:rFonts w:eastAsia="Arial Unicode MS"/>
          <w:sz w:val="22"/>
          <w:szCs w:val="22"/>
        </w:rPr>
        <w:t>La production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2A4F23">
        <w:rPr>
          <w:rFonts w:eastAsia="Arial Unicode MS"/>
          <w:sz w:val="22"/>
          <w:szCs w:val="22"/>
        </w:rPr>
        <w:t xml:space="preserve">de ce secteur </w:t>
      </w:r>
      <w:r w:rsidR="00011B92" w:rsidRPr="00302676">
        <w:rPr>
          <w:rFonts w:eastAsia="Arial Unicode MS"/>
          <w:sz w:val="22"/>
          <w:szCs w:val="22"/>
        </w:rPr>
        <w:t>aurait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032ABA" w:rsidRPr="00032ABA">
        <w:rPr>
          <w:rFonts w:eastAsia="Arial Unicode MS"/>
          <w:sz w:val="22"/>
          <w:szCs w:val="22"/>
        </w:rPr>
        <w:t>87%</w:t>
      </w:r>
      <w:r w:rsidR="00EF0EC6" w:rsidRPr="00302676">
        <w:rPr>
          <w:rFonts w:eastAsia="Arial Unicode MS"/>
          <w:sz w:val="22"/>
          <w:szCs w:val="22"/>
        </w:rPr>
        <w:t xml:space="preserve">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38590B" w:rsidP="005247DE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302676">
        <w:rPr>
          <w:rFonts w:eastAsia="Arial Unicode MS"/>
          <w:sz w:val="22"/>
          <w:szCs w:val="22"/>
        </w:rPr>
        <w:t xml:space="preserve">Les carnets de commandes </w:t>
      </w:r>
      <w:r w:rsidR="007939F2">
        <w:rPr>
          <w:rFonts w:eastAsia="Arial Unicode MS"/>
          <w:sz w:val="22"/>
          <w:szCs w:val="22"/>
        </w:rPr>
        <w:t>sont</w:t>
      </w:r>
      <w:r w:rsidRPr="00302676">
        <w:rPr>
          <w:rFonts w:eastAsia="Arial Unicode MS"/>
          <w:sz w:val="22"/>
          <w:szCs w:val="22"/>
        </w:rPr>
        <w:t xml:space="preserve"> jugés d’un niveau</w:t>
      </w:r>
      <w:r w:rsidR="005247DE">
        <w:rPr>
          <w:rFonts w:eastAsia="Arial Unicode MS"/>
          <w:sz w:val="22"/>
          <w:szCs w:val="22"/>
        </w:rPr>
        <w:t xml:space="preserve"> supérieur à la</w:t>
      </w:r>
      <w:r w:rsidRPr="00302676">
        <w:rPr>
          <w:rFonts w:eastAsia="Arial Unicode MS"/>
          <w:sz w:val="22"/>
          <w:szCs w:val="22"/>
        </w:rPr>
        <w:t xml:space="preserve"> normal</w:t>
      </w:r>
      <w:r w:rsidR="005247DE">
        <w:rPr>
          <w:rFonts w:eastAsia="Arial Unicode MS"/>
          <w:sz w:val="22"/>
          <w:szCs w:val="22"/>
        </w:rPr>
        <w:t>e</w:t>
      </w:r>
      <w:r w:rsidRPr="00302676">
        <w:rPr>
          <w:rFonts w:eastAsia="Arial Unicode MS"/>
          <w:sz w:val="22"/>
          <w:szCs w:val="22"/>
        </w:rPr>
        <w:t xml:space="preserve"> par </w:t>
      </w:r>
      <w:r w:rsidR="005247DE">
        <w:rPr>
          <w:rFonts w:eastAsia="Arial Unicode MS"/>
          <w:sz w:val="22"/>
          <w:szCs w:val="22"/>
        </w:rPr>
        <w:t xml:space="preserve">66% </w:t>
      </w:r>
      <w:r w:rsidR="004C584F">
        <w:rPr>
          <w:rFonts w:eastAsia="Arial Unicode MS"/>
          <w:sz w:val="22"/>
          <w:szCs w:val="22"/>
        </w:rPr>
        <w:t>des chefs d’entreprises</w:t>
      </w:r>
      <w:r w:rsidRPr="00302676">
        <w:rPr>
          <w:rFonts w:eastAsia="Arial Unicode MS"/>
          <w:sz w:val="22"/>
          <w:szCs w:val="22"/>
        </w:rPr>
        <w:t xml:space="preserve"> d</w:t>
      </w:r>
      <w:r w:rsidR="004C584F">
        <w:rPr>
          <w:rFonts w:eastAsia="Arial Unicode MS"/>
          <w:sz w:val="22"/>
          <w:szCs w:val="22"/>
        </w:rPr>
        <w:t>u secteur</w:t>
      </w:r>
      <w:r w:rsidRPr="00302676">
        <w:rPr>
          <w:rFonts w:eastAsia="Arial Unicode MS"/>
          <w:sz w:val="22"/>
          <w:szCs w:val="22"/>
        </w:rPr>
        <w:t xml:space="preserve"> énergétique et</w:t>
      </w:r>
      <w:r w:rsidR="005247DE">
        <w:rPr>
          <w:rFonts w:eastAsia="Arial Unicode MS"/>
          <w:sz w:val="22"/>
          <w:szCs w:val="22"/>
        </w:rPr>
        <w:t xml:space="preserve"> d’un niveau normal par la totalité des chefs d’entreprises </w:t>
      </w:r>
      <w:r w:rsidR="004C584F">
        <w:rPr>
          <w:rFonts w:eastAsia="Arial Unicode MS"/>
          <w:sz w:val="22"/>
          <w:szCs w:val="22"/>
        </w:rPr>
        <w:t>du secteur de l’industrie environnementale</w:t>
      </w:r>
      <w:r w:rsidRPr="00302676">
        <w:rPr>
          <w:rFonts w:eastAsia="Arial Unicode MS"/>
          <w:sz w:val="22"/>
          <w:szCs w:val="22"/>
        </w:rPr>
        <w:t xml:space="preserve">. </w:t>
      </w:r>
      <w:r w:rsidR="003F0254" w:rsidRPr="00302676">
        <w:rPr>
          <w:rFonts w:eastAsia="Arial Unicode MS"/>
          <w:sz w:val="22"/>
          <w:szCs w:val="22"/>
        </w:rPr>
        <w:t>L’e</w:t>
      </w:r>
      <w:r w:rsidRPr="00302676">
        <w:rPr>
          <w:rFonts w:eastAsia="Arial Unicode MS"/>
          <w:sz w:val="22"/>
          <w:szCs w:val="22"/>
        </w:rPr>
        <w:t>mploi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7939F2" w:rsidRPr="003D46A9">
        <w:rPr>
          <w:rFonts w:eastAsia="Arial Unicode MS"/>
          <w:sz w:val="22"/>
          <w:szCs w:val="22"/>
        </w:rPr>
        <w:t>connu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066703">
        <w:rPr>
          <w:rFonts w:eastAsia="Arial Unicode MS"/>
          <w:sz w:val="22"/>
          <w:szCs w:val="22"/>
        </w:rPr>
        <w:t xml:space="preserve">une </w:t>
      </w:r>
      <w:r w:rsidR="00AA65D3" w:rsidRPr="00BC44B5">
        <w:rPr>
          <w:rFonts w:eastAsia="Arial Unicode MS"/>
          <w:sz w:val="22"/>
          <w:szCs w:val="22"/>
        </w:rPr>
        <w:t>augmentation</w:t>
      </w:r>
      <w:r w:rsidR="003F0254" w:rsidRPr="00302676">
        <w:rPr>
          <w:rFonts w:eastAsia="Arial Unicode MS"/>
          <w:sz w:val="22"/>
          <w:szCs w:val="22"/>
        </w:rPr>
        <w:t xml:space="preserve"> selon </w:t>
      </w:r>
      <w:r w:rsidR="005247DE">
        <w:rPr>
          <w:rFonts w:eastAsia="Arial Unicode MS"/>
          <w:sz w:val="22"/>
          <w:szCs w:val="22"/>
        </w:rPr>
        <w:t>65</w:t>
      </w:r>
      <w:r w:rsidR="00AA65D3">
        <w:rPr>
          <w:rFonts w:eastAsia="Arial Unicode MS"/>
          <w:sz w:val="22"/>
          <w:szCs w:val="22"/>
        </w:rPr>
        <w:t>%</w:t>
      </w:r>
      <w:r w:rsidR="003F0254" w:rsidRPr="00302676">
        <w:rPr>
          <w:rFonts w:eastAsia="Arial Unicode MS"/>
          <w:sz w:val="22"/>
          <w:szCs w:val="22"/>
        </w:rPr>
        <w:t xml:space="preserve"> des patrons du secteur énergétique</w:t>
      </w:r>
      <w:r w:rsidR="00F229C6">
        <w:rPr>
          <w:rFonts w:eastAsia="Arial Unicode MS" w:hint="cs"/>
          <w:sz w:val="22"/>
          <w:szCs w:val="22"/>
          <w:rtl/>
        </w:rPr>
        <w:t xml:space="preserve"> </w:t>
      </w:r>
      <w:r w:rsidR="00A1694E">
        <w:rPr>
          <w:rFonts w:eastAsia="Arial Unicode MS"/>
          <w:sz w:val="22"/>
          <w:szCs w:val="22"/>
        </w:rPr>
        <w:t xml:space="preserve">et </w:t>
      </w:r>
      <w:r w:rsidR="005247DE">
        <w:rPr>
          <w:rFonts w:eastAsia="Arial Unicode MS"/>
          <w:sz w:val="22"/>
          <w:szCs w:val="22"/>
        </w:rPr>
        <w:t>7</w:t>
      </w:r>
      <w:r w:rsidR="00AA65D3">
        <w:rPr>
          <w:rFonts w:eastAsia="Arial Unicode MS"/>
          <w:sz w:val="22"/>
          <w:szCs w:val="22"/>
        </w:rPr>
        <w:t xml:space="preserve">3% </w:t>
      </w:r>
      <w:r w:rsidR="0057507E">
        <w:rPr>
          <w:rFonts w:eastAsia="Arial Unicode MS"/>
          <w:sz w:val="22"/>
          <w:szCs w:val="22"/>
        </w:rPr>
        <w:t>de ceux</w:t>
      </w:r>
      <w:r w:rsidR="00A1694E">
        <w:rPr>
          <w:rFonts w:eastAsia="Arial Unicode MS"/>
          <w:sz w:val="22"/>
          <w:szCs w:val="22"/>
        </w:rPr>
        <w:t xml:space="preserve"> du secteur </w:t>
      </w:r>
      <w:r w:rsidR="00A1694E" w:rsidRPr="003D46A9">
        <w:rPr>
          <w:rFonts w:eastAsia="Arial Unicode MS"/>
          <w:sz w:val="22"/>
          <w:szCs w:val="22"/>
        </w:rPr>
        <w:t>environnemental</w:t>
      </w:r>
      <w:r w:rsidR="007939F2">
        <w:rPr>
          <w:rFonts w:eastAsia="Arial Unicode MS"/>
          <w:sz w:val="22"/>
          <w:szCs w:val="22"/>
        </w:rPr>
        <w:t>.</w:t>
      </w:r>
    </w:p>
    <w:p w:rsidR="00A8435F" w:rsidRDefault="00A8435F" w:rsidP="00A8435F">
      <w:pPr>
        <w:spacing w:after="120" w:line="276" w:lineRule="auto"/>
        <w:jc w:val="both"/>
        <w:rPr>
          <w:rFonts w:eastAsia="Arial Unicode MS"/>
          <w:sz w:val="22"/>
          <w:szCs w:val="22"/>
        </w:rPr>
      </w:pPr>
    </w:p>
    <w:p w:rsidR="00A8435F" w:rsidRDefault="00A8435F" w:rsidP="00A8435F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A2170">
        <w:rPr>
          <w:rFonts w:eastAsia="Arial Unicode MS"/>
          <w:sz w:val="22"/>
          <w:szCs w:val="22"/>
        </w:rPr>
        <w:t xml:space="preserve">Le remplacement d’une partie des équipements et l’extension de l’activité auraient fait l’objet des </w:t>
      </w:r>
      <w:r>
        <w:rPr>
          <w:rFonts w:eastAsia="Arial Unicode MS"/>
          <w:sz w:val="22"/>
          <w:szCs w:val="22"/>
        </w:rPr>
        <w:t xml:space="preserve">principales </w:t>
      </w:r>
      <w:r w:rsidRPr="00FA2170">
        <w:rPr>
          <w:rFonts w:eastAsia="Arial Unicode MS"/>
          <w:b/>
          <w:bCs/>
          <w:sz w:val="22"/>
          <w:szCs w:val="22"/>
        </w:rPr>
        <w:t xml:space="preserve">dépenses d’investissements </w:t>
      </w:r>
      <w:r w:rsidRPr="00A2455C">
        <w:rPr>
          <w:rFonts w:eastAsia="Arial Unicode MS"/>
          <w:sz w:val="22"/>
          <w:szCs w:val="22"/>
        </w:rPr>
        <w:t xml:space="preserve">réalisées </w:t>
      </w:r>
      <w:r w:rsidRPr="00FA2170">
        <w:rPr>
          <w:rFonts w:eastAsia="Arial Unicode MS"/>
          <w:sz w:val="22"/>
          <w:szCs w:val="22"/>
        </w:rPr>
        <w:t>en 201</w:t>
      </w:r>
      <w:r>
        <w:rPr>
          <w:rFonts w:eastAsia="Arial Unicode MS"/>
          <w:sz w:val="22"/>
          <w:szCs w:val="22"/>
        </w:rPr>
        <w:t>7, selon</w:t>
      </w:r>
      <w:r w:rsidRPr="00FA2170">
        <w:rPr>
          <w:rFonts w:eastAsia="Arial Unicode MS"/>
          <w:sz w:val="22"/>
          <w:szCs w:val="22"/>
        </w:rPr>
        <w:t xml:space="preserve"> la majorité des </w:t>
      </w:r>
      <w:r>
        <w:rPr>
          <w:rFonts w:eastAsia="Arial Unicode MS"/>
          <w:sz w:val="22"/>
          <w:szCs w:val="22"/>
        </w:rPr>
        <w:t>chefs d’</w:t>
      </w:r>
      <w:r w:rsidRPr="00FA2170">
        <w:rPr>
          <w:rFonts w:eastAsia="Arial Unicode MS"/>
          <w:sz w:val="22"/>
          <w:szCs w:val="22"/>
        </w:rPr>
        <w:t xml:space="preserve">entreprises </w:t>
      </w:r>
      <w:r>
        <w:rPr>
          <w:rFonts w:eastAsia="Arial Unicode MS"/>
          <w:sz w:val="22"/>
          <w:szCs w:val="22"/>
        </w:rPr>
        <w:t>relevant des secteurs de l’industrie manufacturière, extractive et énergétique.</w:t>
      </w:r>
    </w:p>
    <w:p w:rsidR="00A2455C" w:rsidRDefault="00720E44" w:rsidP="000E04FA">
      <w:pPr>
        <w:spacing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2891155</wp:posOffset>
            </wp:positionH>
            <wp:positionV relativeFrom="margin">
              <wp:posOffset>4632960</wp:posOffset>
            </wp:positionV>
            <wp:extent cx="3152775" cy="3257550"/>
            <wp:effectExtent l="0" t="0" r="0" b="0"/>
            <wp:wrapSquare wrapText="bothSides"/>
            <wp:docPr id="115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C77E0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4681855</wp:posOffset>
            </wp:positionV>
            <wp:extent cx="3007360" cy="3206750"/>
            <wp:effectExtent l="0" t="0" r="0" b="0"/>
            <wp:wrapSquare wrapText="bothSides"/>
            <wp:docPr id="114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2455C"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Pr="003D46A9" w:rsidRDefault="006603D4" w:rsidP="00BA7483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2957830</wp:posOffset>
            </wp:positionH>
            <wp:positionV relativeFrom="margin">
              <wp:posOffset>302895</wp:posOffset>
            </wp:positionV>
            <wp:extent cx="3257550" cy="298132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158A2">
        <w:rPr>
          <w:rFonts w:eastAsia="Arial Unicode MS"/>
          <w:noProof/>
          <w:sz w:val="22"/>
          <w:szCs w:val="22"/>
        </w:rPr>
        <w:t>L</w:t>
      </w:r>
      <w:r w:rsidR="00A158A2" w:rsidRPr="003D46A9">
        <w:rPr>
          <w:rFonts w:eastAsia="Arial Unicode MS"/>
          <w:noProof/>
          <w:sz w:val="22"/>
          <w:szCs w:val="22"/>
        </w:rPr>
        <w:t xml:space="preserve">e TUC </w:t>
      </w:r>
      <w:r w:rsidR="00942405">
        <w:rPr>
          <w:rFonts w:eastAsia="Arial Unicode MS"/>
          <w:noProof/>
          <w:sz w:val="22"/>
          <w:szCs w:val="22"/>
        </w:rPr>
        <w:t>d</w:t>
      </w:r>
      <w:r w:rsidR="007810B5">
        <w:rPr>
          <w:rFonts w:eastAsia="Arial Unicode MS"/>
          <w:noProof/>
          <w:sz w:val="22"/>
          <w:szCs w:val="22"/>
        </w:rPr>
        <w:t>ans le</w:t>
      </w:r>
      <w:r w:rsidR="00A158A2" w:rsidRPr="00E0748D">
        <w:rPr>
          <w:rFonts w:eastAsia="Arial Unicode MS"/>
          <w:b/>
          <w:bCs/>
          <w:color w:val="660033"/>
          <w:sz w:val="22"/>
          <w:szCs w:val="22"/>
        </w:rPr>
        <w:t xml:space="preserve">secteur de la </w:t>
      </w:r>
      <w:r w:rsidR="00A158A2">
        <w:rPr>
          <w:rFonts w:eastAsia="Arial Unicode MS"/>
          <w:b/>
          <w:bCs/>
          <w:color w:val="660033"/>
          <w:sz w:val="22"/>
          <w:szCs w:val="22"/>
        </w:rPr>
        <w:t>C</w:t>
      </w:r>
      <w:r w:rsidR="00A158A2" w:rsidRPr="00E0748D">
        <w:rPr>
          <w:rFonts w:eastAsia="Arial Unicode MS"/>
          <w:b/>
          <w:bCs/>
          <w:color w:val="660033"/>
          <w:sz w:val="22"/>
          <w:szCs w:val="22"/>
        </w:rPr>
        <w:t>onstruction</w:t>
      </w:r>
      <w:r w:rsidR="006E6FEB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="00A158A2" w:rsidRPr="003D46A9">
        <w:rPr>
          <w:rFonts w:eastAsia="Arial Unicode MS"/>
          <w:noProof/>
          <w:sz w:val="22"/>
          <w:szCs w:val="22"/>
        </w:rPr>
        <w:t xml:space="preserve">se serait établi à </w:t>
      </w:r>
      <w:r w:rsidR="007F486C">
        <w:rPr>
          <w:rFonts w:eastAsia="Arial Unicode MS"/>
          <w:noProof/>
          <w:sz w:val="22"/>
          <w:szCs w:val="22"/>
        </w:rPr>
        <w:t>7</w:t>
      </w:r>
      <w:r>
        <w:rPr>
          <w:rFonts w:eastAsia="Arial Unicode MS"/>
          <w:noProof/>
          <w:sz w:val="22"/>
          <w:szCs w:val="22"/>
        </w:rPr>
        <w:t>1</w:t>
      </w:r>
      <w:r w:rsidR="00A158A2" w:rsidRPr="003D46A9">
        <w:rPr>
          <w:rFonts w:eastAsia="Arial Unicode MS"/>
          <w:noProof/>
          <w:sz w:val="22"/>
          <w:szCs w:val="22"/>
        </w:rPr>
        <w:t>%</w:t>
      </w:r>
      <w:r w:rsidR="00A158A2">
        <w:rPr>
          <w:rFonts w:eastAsia="Arial Unicode MS"/>
          <w:noProof/>
          <w:sz w:val="22"/>
          <w:szCs w:val="22"/>
        </w:rPr>
        <w:t xml:space="preserve"> a</w:t>
      </w:r>
      <w:r w:rsidR="00A158A2" w:rsidRPr="003D46A9">
        <w:rPr>
          <w:rFonts w:eastAsia="Arial Unicode MS"/>
          <w:sz w:val="22"/>
          <w:szCs w:val="22"/>
        </w:rPr>
        <w:t xml:space="preserve">u </w:t>
      </w:r>
      <w:r w:rsidR="007F486C">
        <w:rPr>
          <w:rFonts w:eastAsia="Arial Unicode MS"/>
          <w:sz w:val="22"/>
          <w:szCs w:val="22"/>
        </w:rPr>
        <w:t>4</w:t>
      </w:r>
      <w:r w:rsidR="007F486C" w:rsidRPr="007F486C">
        <w:rPr>
          <w:rFonts w:eastAsia="Arial Unicode MS"/>
          <w:sz w:val="22"/>
          <w:szCs w:val="22"/>
          <w:vertAlign w:val="superscript"/>
        </w:rPr>
        <w:t>ème</w:t>
      </w:r>
      <w:r w:rsidR="00A158A2" w:rsidRPr="003D46A9">
        <w:rPr>
          <w:rFonts w:eastAsia="Arial Unicode MS"/>
          <w:sz w:val="22"/>
          <w:szCs w:val="22"/>
        </w:rPr>
        <w:t>trimestre 2017</w:t>
      </w:r>
      <w:r w:rsidR="00A158A2">
        <w:rPr>
          <w:rFonts w:eastAsia="Arial Unicode MS"/>
          <w:sz w:val="22"/>
          <w:szCs w:val="22"/>
        </w:rPr>
        <w:t>. L</w:t>
      </w:r>
      <w:r w:rsidR="008A5D7C" w:rsidRPr="003D46A9">
        <w:rPr>
          <w:rFonts w:eastAsia="Arial Unicode MS"/>
          <w:sz w:val="22"/>
          <w:szCs w:val="22"/>
        </w:rPr>
        <w:t xml:space="preserve">’activité aurait </w:t>
      </w:r>
      <w:r w:rsidR="003E73AE" w:rsidRPr="003D46A9">
        <w:rPr>
          <w:rFonts w:eastAsia="Arial Unicode MS"/>
          <w:sz w:val="22"/>
          <w:szCs w:val="22"/>
        </w:rPr>
        <w:t>connu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 w:rsidR="00A158A2" w:rsidRPr="003D46A9">
        <w:rPr>
          <w:rFonts w:eastAsia="Arial Unicode MS"/>
          <w:sz w:val="22"/>
          <w:szCs w:val="22"/>
        </w:rPr>
        <w:t>une stabilité</w:t>
      </w:r>
      <w:r w:rsidR="00A2564B" w:rsidRPr="003D46A9">
        <w:rPr>
          <w:rFonts w:eastAsia="Arial Unicode MS"/>
          <w:sz w:val="22"/>
          <w:szCs w:val="22"/>
        </w:rPr>
        <w:t xml:space="preserve"> selon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>
        <w:rPr>
          <w:rFonts w:eastAsia="Arial Unicode MS"/>
          <w:sz w:val="22"/>
          <w:szCs w:val="22"/>
        </w:rPr>
        <w:t>60</w:t>
      </w:r>
      <w:r w:rsidR="008A5D7C" w:rsidRPr="003D46A9">
        <w:rPr>
          <w:rFonts w:eastAsia="Arial Unicode MS"/>
          <w:sz w:val="22"/>
          <w:szCs w:val="22"/>
        </w:rPr>
        <w:t xml:space="preserve">% des patrons </w:t>
      </w:r>
      <w:r w:rsidR="00D83BAA" w:rsidRPr="003D46A9">
        <w:rPr>
          <w:rFonts w:eastAsia="Arial Unicode MS"/>
          <w:sz w:val="22"/>
          <w:szCs w:val="22"/>
        </w:rPr>
        <w:t xml:space="preserve">et une </w:t>
      </w:r>
      <w:r w:rsidR="00D83BAA">
        <w:rPr>
          <w:rFonts w:eastAsia="Arial Unicode MS"/>
          <w:sz w:val="22"/>
          <w:szCs w:val="22"/>
        </w:rPr>
        <w:t>augmentation</w:t>
      </w:r>
      <w:r w:rsidR="00D83BAA" w:rsidRPr="003D46A9">
        <w:rPr>
          <w:rFonts w:eastAsia="Arial Unicode MS"/>
          <w:sz w:val="22"/>
          <w:szCs w:val="22"/>
        </w:rPr>
        <w:t xml:space="preserve"> selon 2</w:t>
      </w:r>
      <w:r w:rsidR="00CE2C53">
        <w:rPr>
          <w:rFonts w:eastAsia="Arial Unicode MS"/>
          <w:sz w:val="22"/>
          <w:szCs w:val="22"/>
        </w:rPr>
        <w:t>1</w:t>
      </w:r>
      <w:r w:rsidR="00D83BAA" w:rsidRPr="003D46A9">
        <w:rPr>
          <w:rFonts w:eastAsia="Arial Unicode MS"/>
          <w:sz w:val="22"/>
          <w:szCs w:val="22"/>
        </w:rPr>
        <w:t>%. Cette stabilité aurait été due principalement</w:t>
      </w:r>
      <w:r w:rsidR="00D83BAA">
        <w:rPr>
          <w:rFonts w:eastAsia="Arial Unicode MS"/>
          <w:sz w:val="22"/>
          <w:szCs w:val="22"/>
        </w:rPr>
        <w:t>, d’une part,</w:t>
      </w:r>
      <w:r w:rsidR="00D83BAA" w:rsidRPr="003D46A9">
        <w:rPr>
          <w:rFonts w:eastAsia="Arial Unicode MS"/>
          <w:sz w:val="22"/>
          <w:szCs w:val="22"/>
        </w:rPr>
        <w:t xml:space="preserve"> à la </w:t>
      </w:r>
      <w:r w:rsidR="00D83BAA">
        <w:rPr>
          <w:rFonts w:eastAsia="Arial Unicode MS"/>
          <w:sz w:val="22"/>
          <w:szCs w:val="22"/>
        </w:rPr>
        <w:t>hausse</w:t>
      </w:r>
      <w:r w:rsidR="00D83BAA" w:rsidRPr="003D46A9">
        <w:rPr>
          <w:rFonts w:eastAsia="Arial Unicode MS"/>
          <w:sz w:val="22"/>
          <w:szCs w:val="22"/>
        </w:rPr>
        <w:t xml:space="preserve"> d’activité dans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 w:rsidR="00D83BAA">
        <w:rPr>
          <w:rFonts w:eastAsia="Arial Unicode MS"/>
          <w:sz w:val="22"/>
          <w:szCs w:val="22"/>
        </w:rPr>
        <w:t>la branche</w:t>
      </w:r>
      <w:r w:rsidR="00D83BAA" w:rsidRPr="003D46A9">
        <w:rPr>
          <w:rFonts w:eastAsia="Arial Unicode MS"/>
          <w:sz w:val="22"/>
          <w:szCs w:val="22"/>
        </w:rPr>
        <w:t xml:space="preserve"> des «Travaux de construction spécialisés» </w:t>
      </w:r>
      <w:r w:rsidR="00D83BAA">
        <w:rPr>
          <w:rFonts w:eastAsia="Arial Unicode MS"/>
          <w:sz w:val="22"/>
          <w:szCs w:val="22"/>
        </w:rPr>
        <w:t>et, d’autre p</w:t>
      </w:r>
      <w:r w:rsidR="00D83BAA" w:rsidRPr="003D46A9">
        <w:rPr>
          <w:rFonts w:eastAsia="Arial Unicode MS"/>
          <w:sz w:val="22"/>
          <w:szCs w:val="22"/>
        </w:rPr>
        <w:t>art</w:t>
      </w:r>
      <w:r w:rsidR="00D83BAA">
        <w:rPr>
          <w:rFonts w:eastAsia="Arial Unicode MS"/>
          <w:sz w:val="22"/>
          <w:szCs w:val="22"/>
        </w:rPr>
        <w:t>,</w:t>
      </w:r>
      <w:r w:rsidR="00D83BAA" w:rsidRPr="003D46A9">
        <w:rPr>
          <w:rFonts w:eastAsia="Arial Unicode MS"/>
          <w:sz w:val="22"/>
          <w:szCs w:val="22"/>
        </w:rPr>
        <w:t xml:space="preserve"> à la </w:t>
      </w:r>
      <w:r w:rsidR="00D83BAA">
        <w:rPr>
          <w:rFonts w:eastAsia="Arial Unicode MS"/>
          <w:sz w:val="22"/>
          <w:szCs w:val="22"/>
        </w:rPr>
        <w:t>baisse</w:t>
      </w:r>
      <w:r w:rsidR="00D83BAA" w:rsidRPr="003D46A9">
        <w:rPr>
          <w:rFonts w:eastAsia="Arial Unicode MS"/>
          <w:sz w:val="22"/>
          <w:szCs w:val="22"/>
        </w:rPr>
        <w:t xml:space="preserve"> d’activité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 w:rsidR="00D83BAA">
        <w:rPr>
          <w:rFonts w:eastAsia="Arial Unicode MS"/>
          <w:sz w:val="22"/>
          <w:szCs w:val="22"/>
        </w:rPr>
        <w:t xml:space="preserve">dans </w:t>
      </w:r>
      <w:r w:rsidR="00BA7483">
        <w:rPr>
          <w:rFonts w:eastAsia="Arial Unicode MS"/>
          <w:sz w:val="22"/>
          <w:szCs w:val="22"/>
        </w:rPr>
        <w:t>le</w:t>
      </w:r>
      <w:r w:rsidR="00D83BAA" w:rsidRPr="003D46A9">
        <w:rPr>
          <w:rFonts w:eastAsia="Arial Unicode MS"/>
          <w:sz w:val="22"/>
          <w:szCs w:val="22"/>
        </w:rPr>
        <w:t xml:space="preserve"> «</w:t>
      </w:r>
      <w:r w:rsidR="00CE2C53" w:rsidRPr="00CE2C53">
        <w:rPr>
          <w:rFonts w:eastAsia="Arial Unicode MS"/>
          <w:sz w:val="22"/>
          <w:szCs w:val="22"/>
        </w:rPr>
        <w:t>Génie civil</w:t>
      </w:r>
      <w:r w:rsidR="00D83BAA" w:rsidRPr="003D46A9">
        <w:rPr>
          <w:rFonts w:eastAsia="Arial Unicode MS"/>
          <w:sz w:val="22"/>
          <w:szCs w:val="22"/>
        </w:rPr>
        <w:t>».</w:t>
      </w:r>
    </w:p>
    <w:p w:rsidR="00D83BAA" w:rsidRPr="004915DF" w:rsidRDefault="00D83BAA" w:rsidP="00D83BAA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CE2C53" w:rsidRDefault="00D83BAA" w:rsidP="006603D4">
      <w:pPr>
        <w:tabs>
          <w:tab w:val="left" w:pos="5977"/>
        </w:tabs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Les</w:t>
      </w:r>
      <w:r w:rsidRPr="00DD1D7B">
        <w:rPr>
          <w:rFonts w:eastAsia="Arial Unicode MS"/>
          <w:noProof/>
          <w:sz w:val="22"/>
          <w:szCs w:val="22"/>
        </w:rPr>
        <w:t xml:space="preserve"> carnets de commande </w:t>
      </w:r>
      <w:r>
        <w:rPr>
          <w:rFonts w:eastAsia="Arial Unicode MS"/>
          <w:noProof/>
          <w:sz w:val="22"/>
          <w:szCs w:val="22"/>
        </w:rPr>
        <w:t>sont</w:t>
      </w:r>
      <w:r w:rsidRPr="00DD1D7B">
        <w:rPr>
          <w:rFonts w:eastAsia="Arial Unicode MS"/>
          <w:noProof/>
          <w:sz w:val="22"/>
          <w:szCs w:val="22"/>
        </w:rPr>
        <w:t xml:space="preserve"> jugé</w:t>
      </w:r>
      <w:r>
        <w:rPr>
          <w:rFonts w:eastAsia="Arial Unicode MS"/>
          <w:noProof/>
          <w:sz w:val="22"/>
          <w:szCs w:val="22"/>
        </w:rPr>
        <w:t>s</w:t>
      </w:r>
      <w:r w:rsidRPr="00DD1D7B">
        <w:rPr>
          <w:rFonts w:eastAsia="Arial Unicode MS"/>
          <w:noProof/>
          <w:sz w:val="22"/>
          <w:szCs w:val="22"/>
        </w:rPr>
        <w:t xml:space="preserve"> d’un niveau normal </w:t>
      </w:r>
      <w:r>
        <w:rPr>
          <w:rFonts w:eastAsia="Arial Unicode MS"/>
          <w:noProof/>
          <w:sz w:val="22"/>
          <w:szCs w:val="22"/>
        </w:rPr>
        <w:t>par</w:t>
      </w:r>
      <w:r w:rsidR="006E6FEB">
        <w:rPr>
          <w:rFonts w:eastAsia="Arial Unicode MS" w:hint="cs"/>
          <w:noProof/>
          <w:sz w:val="22"/>
          <w:szCs w:val="22"/>
          <w:rtl/>
        </w:rPr>
        <w:t xml:space="preserve"> </w:t>
      </w:r>
      <w:r w:rsidR="006603D4">
        <w:rPr>
          <w:rFonts w:eastAsia="Arial Unicode MS"/>
          <w:noProof/>
          <w:sz w:val="22"/>
          <w:szCs w:val="22"/>
        </w:rPr>
        <w:t>60</w:t>
      </w:r>
      <w:r w:rsidRPr="00DD1D7B">
        <w:rPr>
          <w:rFonts w:eastAsia="Arial Unicode MS"/>
          <w:noProof/>
          <w:sz w:val="22"/>
          <w:szCs w:val="22"/>
        </w:rPr>
        <w:t xml:space="preserve">% des patrons et </w:t>
      </w:r>
      <w:r>
        <w:rPr>
          <w:rFonts w:eastAsia="Arial Unicode MS"/>
          <w:noProof/>
          <w:sz w:val="22"/>
          <w:szCs w:val="22"/>
        </w:rPr>
        <w:t xml:space="preserve">inférieur à la normale </w:t>
      </w:r>
      <w:r w:rsidRPr="00DD1D7B">
        <w:rPr>
          <w:rFonts w:eastAsia="Arial Unicode MS"/>
          <w:noProof/>
          <w:sz w:val="22"/>
          <w:szCs w:val="22"/>
        </w:rPr>
        <w:t xml:space="preserve">par </w:t>
      </w:r>
      <w:r w:rsidR="006603D4">
        <w:rPr>
          <w:rFonts w:eastAsia="Arial Unicode MS"/>
          <w:noProof/>
          <w:sz w:val="22"/>
          <w:szCs w:val="22"/>
        </w:rPr>
        <w:t>35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 w:rsidRPr="003D46A9">
        <w:rPr>
          <w:rFonts w:eastAsia="Arial Unicode MS"/>
          <w:noProof/>
          <w:sz w:val="22"/>
          <w:szCs w:val="22"/>
        </w:rPr>
        <w:t xml:space="preserve">aurait connuune stabilité selon </w:t>
      </w:r>
      <w:r>
        <w:rPr>
          <w:rFonts w:eastAsia="Arial Unicode MS"/>
          <w:noProof/>
          <w:sz w:val="22"/>
          <w:szCs w:val="22"/>
        </w:rPr>
        <w:t>7</w:t>
      </w:r>
      <w:r w:rsidR="006603D4">
        <w:rPr>
          <w:rFonts w:eastAsia="Arial Unicode MS"/>
          <w:noProof/>
          <w:sz w:val="22"/>
          <w:szCs w:val="22"/>
        </w:rPr>
        <w:t>2</w:t>
      </w:r>
      <w:r w:rsidRPr="003D46A9">
        <w:rPr>
          <w:rFonts w:eastAsia="Arial Unicode MS"/>
          <w:noProof/>
          <w:sz w:val="22"/>
          <w:szCs w:val="22"/>
        </w:rPr>
        <w:t>% des patrons</w:t>
      </w:r>
      <w:r>
        <w:rPr>
          <w:rFonts w:eastAsia="Arial Unicode MS"/>
          <w:noProof/>
          <w:sz w:val="22"/>
          <w:szCs w:val="22"/>
        </w:rPr>
        <w:t>.</w:t>
      </w:r>
      <w:r w:rsidR="00CE2C53">
        <w:rPr>
          <w:rFonts w:eastAsia="Arial Unicode MS"/>
          <w:noProof/>
          <w:sz w:val="22"/>
          <w:szCs w:val="22"/>
        </w:rPr>
        <w:t>Notons, enfin, que 5</w:t>
      </w:r>
      <w:r w:rsidR="000C3A0E">
        <w:rPr>
          <w:rFonts w:eastAsia="Arial Unicode MS"/>
          <w:noProof/>
          <w:sz w:val="22"/>
          <w:szCs w:val="22"/>
        </w:rPr>
        <w:t>4</w:t>
      </w:r>
      <w:r w:rsidR="00CE2C53">
        <w:rPr>
          <w:rFonts w:eastAsia="Arial Unicode MS"/>
          <w:noProof/>
          <w:sz w:val="22"/>
          <w:szCs w:val="22"/>
        </w:rPr>
        <w:t>% des entreprises auraient réalisé des dépenses d’investissement en 2017 destinées, principalement, au remplacement d’une partie du matériel.</w:t>
      </w:r>
    </w:p>
    <w:p w:rsidR="003F3032" w:rsidRDefault="003F3032" w:rsidP="00AB26CF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AB26CF" w:rsidRDefault="00AB26CF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7F486C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7F486C" w:rsidRPr="007F486C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3359E4" w:rsidRPr="001357F1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BC44B5" w:rsidRDefault="009A7C3B" w:rsidP="00DE15B9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2784475</wp:posOffset>
            </wp:positionH>
            <wp:positionV relativeFrom="margin">
              <wp:posOffset>4493895</wp:posOffset>
            </wp:positionV>
            <wp:extent cx="3514090" cy="3152140"/>
            <wp:effectExtent l="0" t="0" r="0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22622F">
        <w:rPr>
          <w:rFonts w:eastAsia="Arial Unicode MS"/>
          <w:sz w:val="22"/>
          <w:szCs w:val="22"/>
        </w:rPr>
        <w:t>28</w:t>
      </w:r>
      <w:r w:rsidR="00902341" w:rsidRPr="00544B74">
        <w:rPr>
          <w:rFonts w:eastAsia="Arial Unicode MS"/>
          <w:sz w:val="22"/>
          <w:szCs w:val="22"/>
        </w:rPr>
        <w:t xml:space="preserve">% des patrons anticipent une </w:t>
      </w:r>
      <w:r w:rsidR="0022622F">
        <w:rPr>
          <w:rFonts w:eastAsia="Arial Unicode MS"/>
          <w:sz w:val="22"/>
          <w:szCs w:val="22"/>
        </w:rPr>
        <w:t>augmentation</w:t>
      </w:r>
      <w:r w:rsidR="00902341" w:rsidRPr="00544B74">
        <w:rPr>
          <w:rFonts w:eastAsia="Arial Unicode MS"/>
          <w:sz w:val="22"/>
          <w:szCs w:val="22"/>
        </w:rPr>
        <w:t xml:space="preserve"> de la production 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>industrielle manufacturière</w:t>
      </w:r>
      <w:r w:rsidR="00902341" w:rsidRPr="00544B74">
        <w:rPr>
          <w:rFonts w:eastAsia="Arial Unicode MS"/>
          <w:sz w:val="22"/>
          <w:szCs w:val="22"/>
        </w:rPr>
        <w:t xml:space="preserve"> au </w:t>
      </w:r>
      <w:r w:rsidR="007F486C">
        <w:rPr>
          <w:rFonts w:eastAsia="Arial Unicode MS"/>
          <w:sz w:val="22"/>
          <w:szCs w:val="22"/>
        </w:rPr>
        <w:t>1</w:t>
      </w:r>
      <w:r w:rsidR="007F486C" w:rsidRPr="00D46868">
        <w:rPr>
          <w:rFonts w:eastAsia="Arial Unicode MS"/>
          <w:sz w:val="22"/>
          <w:szCs w:val="22"/>
          <w:vertAlign w:val="superscript"/>
        </w:rPr>
        <w:t>er</w:t>
      </w:r>
      <w:r w:rsidR="00544B74" w:rsidRPr="00544B74">
        <w:rPr>
          <w:rFonts w:eastAsia="Arial Unicode MS"/>
          <w:sz w:val="22"/>
          <w:szCs w:val="22"/>
        </w:rPr>
        <w:t>trimestre 201</w:t>
      </w:r>
      <w:r w:rsidR="007F486C">
        <w:rPr>
          <w:rFonts w:eastAsia="Arial Unicode MS"/>
          <w:sz w:val="22"/>
          <w:szCs w:val="22"/>
        </w:rPr>
        <w:t xml:space="preserve">8 </w:t>
      </w:r>
      <w:r w:rsidR="00736187">
        <w:rPr>
          <w:rFonts w:eastAsia="Arial Unicode MS"/>
          <w:sz w:val="22"/>
          <w:szCs w:val="22"/>
        </w:rPr>
        <w:t xml:space="preserve">et </w:t>
      </w:r>
      <w:r w:rsidR="0022622F">
        <w:rPr>
          <w:rFonts w:eastAsia="Arial Unicode MS"/>
          <w:sz w:val="22"/>
          <w:szCs w:val="22"/>
        </w:rPr>
        <w:t>16</w:t>
      </w:r>
      <w:r w:rsidR="004E09E6">
        <w:rPr>
          <w:rFonts w:eastAsia="Arial Unicode MS"/>
          <w:sz w:val="22"/>
          <w:szCs w:val="22"/>
        </w:rPr>
        <w:t xml:space="preserve">% d’eux anticipent plutôt une </w:t>
      </w:r>
      <w:r w:rsidR="0022622F">
        <w:rPr>
          <w:rFonts w:eastAsia="Arial Unicode MS"/>
          <w:sz w:val="22"/>
          <w:szCs w:val="22"/>
        </w:rPr>
        <w:t>baisse</w:t>
      </w:r>
      <w:r w:rsidR="004E09E6">
        <w:rPr>
          <w:rFonts w:eastAsia="Arial Unicode MS"/>
          <w:sz w:val="22"/>
          <w:szCs w:val="22"/>
        </w:rPr>
        <w:t xml:space="preserve">. </w:t>
      </w:r>
      <w:r w:rsidR="001A024E">
        <w:rPr>
          <w:rFonts w:eastAsia="Arial Unicode MS"/>
          <w:sz w:val="22"/>
          <w:szCs w:val="22"/>
        </w:rPr>
        <w:t>Ce</w:t>
      </w:r>
      <w:r w:rsidR="00255C34">
        <w:rPr>
          <w:rFonts w:eastAsia="Arial Unicode MS"/>
          <w:sz w:val="22"/>
          <w:szCs w:val="22"/>
        </w:rPr>
        <w:t>s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736187">
        <w:rPr>
          <w:rFonts w:eastAsia="Arial Unicode MS"/>
          <w:sz w:val="22"/>
          <w:szCs w:val="22"/>
        </w:rPr>
        <w:t>anticipation</w:t>
      </w:r>
      <w:r w:rsidR="00255C34">
        <w:rPr>
          <w:rFonts w:eastAsia="Arial Unicode MS"/>
          <w:sz w:val="22"/>
          <w:szCs w:val="22"/>
        </w:rPr>
        <w:t>s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07522F">
        <w:rPr>
          <w:rFonts w:eastAsia="Arial Unicode MS"/>
          <w:sz w:val="22"/>
          <w:szCs w:val="22"/>
        </w:rPr>
        <w:t>seraient</w:t>
      </w:r>
      <w:r w:rsidR="00902341" w:rsidRPr="00544B74">
        <w:rPr>
          <w:rFonts w:eastAsia="Arial Unicode MS"/>
          <w:sz w:val="22"/>
          <w:szCs w:val="22"/>
        </w:rPr>
        <w:t xml:space="preserve"> attribuable</w:t>
      </w:r>
      <w:r w:rsidR="00255C34">
        <w:rPr>
          <w:rFonts w:eastAsia="Arial Unicode MS"/>
          <w:sz w:val="22"/>
          <w:szCs w:val="22"/>
        </w:rPr>
        <w:t>s</w:t>
      </w:r>
      <w:r w:rsidR="00572A4D">
        <w:rPr>
          <w:rFonts w:eastAsia="Arial Unicode MS"/>
          <w:sz w:val="22"/>
          <w:szCs w:val="22"/>
        </w:rPr>
        <w:t>,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7939F2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902341" w:rsidRPr="00544B74">
        <w:rPr>
          <w:rFonts w:eastAsia="Arial Unicode MS"/>
          <w:sz w:val="22"/>
          <w:szCs w:val="22"/>
        </w:rPr>
        <w:t xml:space="preserve">à une </w:t>
      </w:r>
      <w:r w:rsidR="0022622F">
        <w:rPr>
          <w:rFonts w:eastAsia="Arial Unicode MS"/>
          <w:sz w:val="22"/>
          <w:szCs w:val="22"/>
        </w:rPr>
        <w:t>hausse</w:t>
      </w:r>
      <w:r w:rsidR="00902341" w:rsidRPr="00544B74">
        <w:rPr>
          <w:rFonts w:eastAsia="Arial Unicode MS"/>
          <w:sz w:val="22"/>
          <w:szCs w:val="22"/>
        </w:rPr>
        <w:t xml:space="preserve"> de </w:t>
      </w:r>
      <w:r w:rsidR="005B6049" w:rsidRPr="00544B74">
        <w:rPr>
          <w:rFonts w:eastAsia="Arial Unicode MS"/>
          <w:sz w:val="22"/>
          <w:szCs w:val="22"/>
        </w:rPr>
        <w:t xml:space="preserve">l’activité </w:t>
      </w:r>
      <w:r w:rsidR="005B6049">
        <w:rPr>
          <w:rFonts w:eastAsia="Arial Unicode MS"/>
          <w:sz w:val="22"/>
          <w:szCs w:val="22"/>
        </w:rPr>
        <w:t>des</w:t>
      </w:r>
      <w:r w:rsidR="00C0766A" w:rsidRPr="00BC44B5">
        <w:rPr>
          <w:rFonts w:eastAsia="Arial Unicode MS"/>
          <w:sz w:val="22"/>
          <w:szCs w:val="22"/>
        </w:rPr>
        <w:t xml:space="preserve"> «Industries alimentair</w:t>
      </w:r>
      <w:bookmarkStart w:id="1" w:name="_GoBack"/>
      <w:bookmarkEnd w:id="1"/>
      <w:r w:rsidR="00C0766A" w:rsidRPr="00BC44B5">
        <w:rPr>
          <w:rFonts w:eastAsia="Arial Unicode MS"/>
          <w:sz w:val="22"/>
          <w:szCs w:val="22"/>
        </w:rPr>
        <w:t>es» et</w:t>
      </w:r>
      <w:r w:rsidR="0022622F">
        <w:rPr>
          <w:rFonts w:eastAsia="Arial Unicode MS"/>
          <w:sz w:val="22"/>
          <w:szCs w:val="22"/>
        </w:rPr>
        <w:t xml:space="preserve"> de la «</w:t>
      </w:r>
      <w:r w:rsidR="0022622F" w:rsidRPr="0022622F">
        <w:rPr>
          <w:rFonts w:eastAsia="Arial Unicode MS"/>
          <w:sz w:val="22"/>
          <w:szCs w:val="22"/>
        </w:rPr>
        <w:t>Fabrication d'équipements électriques</w:t>
      </w:r>
      <w:r w:rsidR="0022622F">
        <w:rPr>
          <w:rFonts w:eastAsia="Arial Unicode MS"/>
          <w:sz w:val="22"/>
          <w:szCs w:val="22"/>
        </w:rPr>
        <w:t>» et</w:t>
      </w:r>
      <w:r w:rsidR="00753AC8">
        <w:rPr>
          <w:rFonts w:eastAsia="Arial Unicode MS"/>
          <w:sz w:val="22"/>
          <w:szCs w:val="22"/>
        </w:rPr>
        <w:t>,</w:t>
      </w:r>
      <w:r w:rsidR="00C0766A" w:rsidRPr="00BC44B5">
        <w:rPr>
          <w:rFonts w:eastAsia="Arial Unicode MS"/>
          <w:sz w:val="22"/>
          <w:szCs w:val="22"/>
        </w:rPr>
        <w:t xml:space="preserve"> d’autre part, à une </w:t>
      </w:r>
      <w:r w:rsidR="0022622F">
        <w:rPr>
          <w:rFonts w:eastAsia="Arial Unicode MS"/>
          <w:sz w:val="22"/>
          <w:szCs w:val="22"/>
        </w:rPr>
        <w:t>diminution</w:t>
      </w:r>
      <w:r w:rsidR="00C0766A" w:rsidRPr="00BC44B5">
        <w:rPr>
          <w:rFonts w:eastAsia="Arial Unicode MS"/>
          <w:sz w:val="22"/>
          <w:szCs w:val="22"/>
        </w:rPr>
        <w:t xml:space="preserve"> de l</w:t>
      </w:r>
      <w:r w:rsidR="0022622F">
        <w:rPr>
          <w:rFonts w:eastAsia="Arial Unicode MS"/>
          <w:sz w:val="22"/>
          <w:szCs w:val="22"/>
        </w:rPr>
        <w:t>a production de l’activité de l’«</w:t>
      </w:r>
      <w:r w:rsidR="0022622F" w:rsidRPr="0022622F">
        <w:rPr>
          <w:rFonts w:eastAsia="Arial Unicode MS"/>
          <w:sz w:val="22"/>
          <w:szCs w:val="22"/>
        </w:rPr>
        <w:t>Industrie chimique</w:t>
      </w:r>
      <w:r w:rsidR="00C0766A" w:rsidRPr="00BC44B5">
        <w:rPr>
          <w:rFonts w:eastAsia="Arial Unicode MS"/>
          <w:sz w:val="22"/>
          <w:szCs w:val="22"/>
        </w:rPr>
        <w:t>»</w:t>
      </w:r>
      <w:r w:rsidR="0022622F">
        <w:rPr>
          <w:rFonts w:eastAsia="Arial Unicode MS"/>
          <w:sz w:val="22"/>
          <w:szCs w:val="22"/>
        </w:rPr>
        <w:t xml:space="preserve"> et de la «</w:t>
      </w:r>
      <w:r w:rsidR="0022622F" w:rsidRPr="0022622F">
        <w:rPr>
          <w:rFonts w:eastAsia="Arial Unicode MS"/>
          <w:sz w:val="22"/>
          <w:szCs w:val="22"/>
        </w:rPr>
        <w:t>Fabrication d'autres produits minéraux non métalliques</w:t>
      </w:r>
      <w:r w:rsidR="0022622F">
        <w:rPr>
          <w:rFonts w:eastAsia="Arial Unicode MS"/>
          <w:sz w:val="22"/>
          <w:szCs w:val="22"/>
        </w:rPr>
        <w:t xml:space="preserve">». </w:t>
      </w:r>
      <w:r>
        <w:rPr>
          <w:rFonts w:eastAsia="Arial Unicode MS"/>
          <w:sz w:val="22"/>
          <w:szCs w:val="22"/>
        </w:rPr>
        <w:t xml:space="preserve">Concernant </w:t>
      </w:r>
      <w:r w:rsidR="00736187" w:rsidRPr="00BC44B5">
        <w:rPr>
          <w:rFonts w:eastAsia="Arial Unicode MS"/>
          <w:sz w:val="22"/>
          <w:szCs w:val="22"/>
        </w:rPr>
        <w:t>les anticipations de l’emploi,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C0766A" w:rsidRPr="00BC44B5">
        <w:rPr>
          <w:rFonts w:eastAsia="Arial Unicode MS"/>
          <w:sz w:val="22"/>
          <w:szCs w:val="22"/>
        </w:rPr>
        <w:t>7</w:t>
      </w:r>
      <w:r w:rsidR="00D46868">
        <w:rPr>
          <w:rFonts w:eastAsia="Arial Unicode MS"/>
          <w:sz w:val="22"/>
          <w:szCs w:val="22"/>
        </w:rPr>
        <w:t>2</w:t>
      </w:r>
      <w:r w:rsidR="00C0766A" w:rsidRPr="00BC44B5">
        <w:rPr>
          <w:rFonts w:eastAsia="Arial Unicode MS"/>
          <w:sz w:val="22"/>
          <w:szCs w:val="22"/>
        </w:rPr>
        <w:t>%</w:t>
      </w:r>
      <w:r w:rsidR="00902341" w:rsidRPr="00BC44B5">
        <w:rPr>
          <w:rFonts w:eastAsia="Arial Unicode MS"/>
          <w:sz w:val="22"/>
          <w:szCs w:val="22"/>
        </w:rPr>
        <w:t xml:space="preserve"> des chefs d’entreprises prévoient une </w:t>
      </w:r>
      <w:r w:rsidR="007B40DF" w:rsidRPr="00BC44B5">
        <w:rPr>
          <w:rFonts w:eastAsia="Arial Unicode MS"/>
          <w:sz w:val="22"/>
          <w:szCs w:val="22"/>
        </w:rPr>
        <w:t>stabilité</w:t>
      </w:r>
      <w:r w:rsidR="00902341" w:rsidRPr="00BC44B5">
        <w:rPr>
          <w:rFonts w:eastAsia="Arial Unicode MS"/>
          <w:sz w:val="22"/>
          <w:szCs w:val="22"/>
        </w:rPr>
        <w:t xml:space="preserve"> des effectifs employés.</w:t>
      </w:r>
    </w:p>
    <w:p w:rsidR="00902341" w:rsidRPr="00BC44B5" w:rsidRDefault="00736187" w:rsidP="00D46868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sz w:val="22"/>
          <w:szCs w:val="22"/>
        </w:rPr>
        <w:t xml:space="preserve">S’agissant de </w:t>
      </w:r>
      <w:r w:rsidRPr="00BC44B5">
        <w:rPr>
          <w:rFonts w:eastAsia="Arial Unicode MS"/>
          <w:b/>
          <w:bCs/>
          <w:color w:val="660033"/>
          <w:sz w:val="22"/>
          <w:szCs w:val="22"/>
        </w:rPr>
        <w:t>l’industrie extractive,</w:t>
      </w:r>
      <w:r w:rsidR="006D1049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="00D46868">
        <w:rPr>
          <w:rFonts w:eastAsia="Arial Unicode MS"/>
          <w:sz w:val="22"/>
          <w:szCs w:val="22"/>
        </w:rPr>
        <w:t>9</w:t>
      </w:r>
      <w:r w:rsidR="00C0766A" w:rsidRPr="00BC44B5">
        <w:rPr>
          <w:rFonts w:eastAsia="Arial Unicode MS"/>
          <w:sz w:val="22"/>
          <w:szCs w:val="22"/>
        </w:rPr>
        <w:t>6</w:t>
      </w:r>
      <w:r w:rsidR="007B40DF" w:rsidRPr="00BC44B5">
        <w:rPr>
          <w:rFonts w:eastAsia="Arial Unicode MS"/>
          <w:sz w:val="22"/>
          <w:szCs w:val="22"/>
        </w:rPr>
        <w:t>%</w:t>
      </w:r>
      <w:r w:rsidR="00902341" w:rsidRPr="00BC44B5">
        <w:rPr>
          <w:rFonts w:eastAsia="Arial Unicode MS"/>
          <w:sz w:val="22"/>
          <w:szCs w:val="22"/>
        </w:rPr>
        <w:t xml:space="preserve"> des patrons </w:t>
      </w:r>
      <w:r w:rsidR="00A158A2" w:rsidRPr="00BC44B5">
        <w:rPr>
          <w:rFonts w:eastAsia="Arial Unicode MS"/>
          <w:sz w:val="22"/>
          <w:szCs w:val="22"/>
        </w:rPr>
        <w:t>prévoient</w:t>
      </w:r>
      <w:r w:rsidR="00902341" w:rsidRPr="00BC44B5">
        <w:rPr>
          <w:rFonts w:eastAsia="Arial Unicode MS"/>
          <w:sz w:val="22"/>
          <w:szCs w:val="22"/>
        </w:rPr>
        <w:t xml:space="preserve"> une </w:t>
      </w:r>
      <w:r w:rsidR="00D46868">
        <w:rPr>
          <w:rFonts w:eastAsia="Arial Unicode MS"/>
          <w:sz w:val="22"/>
          <w:szCs w:val="22"/>
        </w:rPr>
        <w:t>stabilité</w:t>
      </w:r>
      <w:r w:rsidR="00902341" w:rsidRPr="00BC44B5">
        <w:rPr>
          <w:rFonts w:eastAsia="Arial Unicode MS"/>
          <w:sz w:val="22"/>
          <w:szCs w:val="22"/>
        </w:rPr>
        <w:t xml:space="preserve"> de la production imputable principalement à une </w:t>
      </w:r>
      <w:r w:rsidR="00D46868">
        <w:rPr>
          <w:rFonts w:eastAsia="Arial Unicode MS"/>
          <w:sz w:val="22"/>
          <w:szCs w:val="22"/>
        </w:rPr>
        <w:t>stabilité</w:t>
      </w:r>
      <w:r w:rsidR="00902341" w:rsidRPr="00BC44B5">
        <w:rPr>
          <w:rFonts w:eastAsia="Arial Unicode MS"/>
          <w:sz w:val="22"/>
          <w:szCs w:val="22"/>
        </w:rPr>
        <w:t xml:space="preserve"> de la production des phosphates. Au niveau des effectifs employés, </w:t>
      </w:r>
      <w:r w:rsidR="00C0766A" w:rsidRPr="00BC44B5">
        <w:rPr>
          <w:rFonts w:eastAsia="Arial Unicode MS"/>
          <w:sz w:val="22"/>
          <w:szCs w:val="22"/>
        </w:rPr>
        <w:t>78</w:t>
      </w:r>
      <w:r w:rsidR="00037040" w:rsidRPr="00BC44B5">
        <w:rPr>
          <w:rFonts w:eastAsia="Arial Unicode MS"/>
          <w:sz w:val="22"/>
          <w:szCs w:val="22"/>
        </w:rPr>
        <w:t>%</w:t>
      </w:r>
      <w:r w:rsidR="00902341" w:rsidRPr="00BC44B5">
        <w:rPr>
          <w:rFonts w:eastAsia="Arial Unicode MS"/>
          <w:sz w:val="22"/>
          <w:szCs w:val="22"/>
        </w:rPr>
        <w:t xml:space="preserve"> des patrons prévoient une </w:t>
      </w:r>
      <w:r w:rsidR="00C0766A" w:rsidRPr="00BC44B5">
        <w:rPr>
          <w:rFonts w:eastAsia="Arial Unicode MS"/>
          <w:sz w:val="22"/>
          <w:szCs w:val="22"/>
        </w:rPr>
        <w:t>baisse</w:t>
      </w:r>
      <w:r w:rsidR="00902341" w:rsidRPr="00BC44B5">
        <w:rPr>
          <w:rFonts w:eastAsia="Arial Unicode MS"/>
          <w:sz w:val="22"/>
          <w:szCs w:val="22"/>
        </w:rPr>
        <w:t>.</w:t>
      </w:r>
    </w:p>
    <w:p w:rsidR="000A3937" w:rsidRDefault="00902341" w:rsidP="00047A32">
      <w:pPr>
        <w:spacing w:line="300" w:lineRule="exact"/>
        <w:jc w:val="both"/>
        <w:rPr>
          <w:rFonts w:eastAsia="Arial Unicode MS"/>
          <w:sz w:val="22"/>
          <w:szCs w:val="22"/>
          <w:rtl/>
        </w:rPr>
      </w:pPr>
      <w:r w:rsidRPr="00BC44B5">
        <w:rPr>
          <w:rFonts w:eastAsia="Arial Unicode MS"/>
          <w:b/>
          <w:bCs/>
          <w:color w:val="660033"/>
          <w:sz w:val="22"/>
          <w:szCs w:val="22"/>
        </w:rPr>
        <w:t>L</w:t>
      </w:r>
      <w:r w:rsidR="00255C34" w:rsidRPr="00BC44B5">
        <w:rPr>
          <w:rFonts w:eastAsia="Arial Unicode MS"/>
          <w:b/>
          <w:bCs/>
          <w:color w:val="660033"/>
          <w:sz w:val="22"/>
          <w:szCs w:val="22"/>
        </w:rPr>
        <w:t>a production énergétique</w:t>
      </w:r>
      <w:r w:rsidR="006D1049">
        <w:rPr>
          <w:rFonts w:eastAsia="Arial Unicode MS" w:hint="cs"/>
          <w:b/>
          <w:bCs/>
          <w:color w:val="660033"/>
          <w:sz w:val="22"/>
          <w:szCs w:val="22"/>
          <w:rtl/>
        </w:rPr>
        <w:t xml:space="preserve"> </w:t>
      </w:r>
      <w:r w:rsidRPr="00BC44B5">
        <w:rPr>
          <w:rFonts w:eastAsia="Arial Unicode MS"/>
          <w:sz w:val="22"/>
          <w:szCs w:val="22"/>
        </w:rPr>
        <w:t>connaîtrait</w:t>
      </w:r>
      <w:r w:rsidR="00255C34" w:rsidRPr="00BC44B5">
        <w:rPr>
          <w:rFonts w:eastAsia="Arial Unicode MS"/>
          <w:sz w:val="22"/>
          <w:szCs w:val="22"/>
        </w:rPr>
        <w:t xml:space="preserve"> une </w:t>
      </w:r>
      <w:r w:rsidR="00D46868">
        <w:rPr>
          <w:rFonts w:eastAsia="Arial Unicode MS"/>
          <w:sz w:val="22"/>
          <w:szCs w:val="22"/>
        </w:rPr>
        <w:t>hau</w:t>
      </w:r>
      <w:r w:rsidR="007B40DF" w:rsidRPr="00BC44B5">
        <w:rPr>
          <w:rFonts w:eastAsia="Arial Unicode MS"/>
          <w:sz w:val="22"/>
          <w:szCs w:val="22"/>
        </w:rPr>
        <w:t>sse</w:t>
      </w:r>
      <w:r w:rsidRPr="00BC44B5">
        <w:rPr>
          <w:rFonts w:eastAsia="Arial Unicode MS"/>
          <w:sz w:val="22"/>
          <w:szCs w:val="22"/>
        </w:rPr>
        <w:t>,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Pr="00BC44B5">
        <w:rPr>
          <w:rFonts w:eastAsia="Arial Unicode MS"/>
          <w:sz w:val="22"/>
          <w:szCs w:val="22"/>
        </w:rPr>
        <w:t xml:space="preserve">selon </w:t>
      </w:r>
      <w:r w:rsidR="007B40DF" w:rsidRPr="00BC44B5">
        <w:rPr>
          <w:rFonts w:eastAsia="Arial Unicode MS"/>
          <w:sz w:val="22"/>
          <w:szCs w:val="22"/>
        </w:rPr>
        <w:t>7</w:t>
      </w:r>
      <w:r w:rsidR="00047A32">
        <w:rPr>
          <w:rFonts w:eastAsia="Arial Unicode MS"/>
          <w:sz w:val="22"/>
          <w:szCs w:val="22"/>
        </w:rPr>
        <w:t>0</w:t>
      </w:r>
      <w:r w:rsidR="00A355B1" w:rsidRPr="00BC44B5">
        <w:rPr>
          <w:rFonts w:eastAsia="Arial Unicode MS"/>
          <w:sz w:val="22"/>
          <w:szCs w:val="22"/>
        </w:rPr>
        <w:t>%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Pr="00BC44B5">
        <w:rPr>
          <w:rFonts w:eastAsia="Arial Unicode MS"/>
          <w:sz w:val="22"/>
          <w:szCs w:val="22"/>
        </w:rPr>
        <w:t xml:space="preserve">des chefs d’entreprises, </w:t>
      </w:r>
      <w:r w:rsidR="00736187" w:rsidRPr="00BC44B5">
        <w:rPr>
          <w:rFonts w:eastAsia="Arial Unicode MS"/>
          <w:sz w:val="22"/>
          <w:szCs w:val="22"/>
        </w:rPr>
        <w:t>attribuable</w:t>
      </w:r>
      <w:r w:rsidRPr="00BC44B5">
        <w:rPr>
          <w:rFonts w:eastAsia="Arial Unicode MS"/>
          <w:sz w:val="22"/>
          <w:szCs w:val="22"/>
        </w:rPr>
        <w:t xml:space="preserve"> à </w:t>
      </w:r>
      <w:r w:rsidR="00EC3161" w:rsidRPr="00BC44B5">
        <w:rPr>
          <w:rFonts w:eastAsia="Arial Unicode MS"/>
          <w:sz w:val="22"/>
          <w:szCs w:val="22"/>
        </w:rPr>
        <w:t xml:space="preserve">une </w:t>
      </w:r>
      <w:r w:rsidR="00047A32">
        <w:rPr>
          <w:rFonts w:eastAsia="Arial Unicode MS"/>
          <w:sz w:val="22"/>
          <w:szCs w:val="22"/>
        </w:rPr>
        <w:t>augmenta</w:t>
      </w:r>
      <w:r w:rsidR="00EC3161" w:rsidRPr="00BC44B5">
        <w:rPr>
          <w:rFonts w:eastAsia="Arial Unicode MS"/>
          <w:sz w:val="22"/>
          <w:szCs w:val="22"/>
        </w:rPr>
        <w:t>tion</w:t>
      </w:r>
      <w:r w:rsidRPr="00BC44B5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conditionné». </w:t>
      </w:r>
    </w:p>
    <w:p w:rsidR="00A9042C" w:rsidRDefault="00902341" w:rsidP="00047A32">
      <w:pPr>
        <w:spacing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b/>
          <w:bCs/>
          <w:color w:val="660033"/>
          <w:sz w:val="22"/>
          <w:szCs w:val="22"/>
        </w:rPr>
        <w:t>La production environnementale</w:t>
      </w:r>
      <w:r w:rsidR="00490DF8" w:rsidRPr="00BC44B5">
        <w:rPr>
          <w:rFonts w:eastAsia="Arial Unicode MS"/>
          <w:b/>
          <w:bCs/>
          <w:sz w:val="22"/>
          <w:szCs w:val="22"/>
        </w:rPr>
        <w:t>,</w:t>
      </w:r>
      <w:r w:rsidR="006D1049">
        <w:rPr>
          <w:rFonts w:eastAsia="Arial Unicode MS" w:hint="cs"/>
          <w:b/>
          <w:bCs/>
          <w:sz w:val="22"/>
          <w:szCs w:val="22"/>
          <w:rtl/>
        </w:rPr>
        <w:t xml:space="preserve"> </w:t>
      </w:r>
      <w:r w:rsidR="00255C34" w:rsidRPr="00BC44B5">
        <w:rPr>
          <w:rFonts w:eastAsia="Arial Unicode MS"/>
          <w:sz w:val="22"/>
          <w:szCs w:val="22"/>
        </w:rPr>
        <w:t>de son côté</w:t>
      </w:r>
      <w:r w:rsidR="00490DF8" w:rsidRPr="00BC44B5">
        <w:rPr>
          <w:rFonts w:eastAsia="Arial Unicode MS"/>
          <w:sz w:val="22"/>
          <w:szCs w:val="22"/>
        </w:rPr>
        <w:t>,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Pr="00BC44B5">
        <w:rPr>
          <w:rFonts w:eastAsia="Arial Unicode MS"/>
          <w:sz w:val="22"/>
          <w:szCs w:val="22"/>
        </w:rPr>
        <w:t>devrait</w:t>
      </w:r>
      <w:r w:rsidR="00255C34" w:rsidRPr="00BC44B5">
        <w:rPr>
          <w:rFonts w:eastAsia="Arial Unicode MS"/>
          <w:sz w:val="22"/>
          <w:szCs w:val="22"/>
        </w:rPr>
        <w:t xml:space="preserve"> augmenter</w:t>
      </w:r>
      <w:r w:rsidRPr="00BC44B5">
        <w:rPr>
          <w:rFonts w:eastAsia="Arial Unicode MS"/>
          <w:sz w:val="22"/>
          <w:szCs w:val="22"/>
        </w:rPr>
        <w:t xml:space="preserve">, </w:t>
      </w:r>
      <w:r w:rsidR="00037040" w:rsidRPr="00BC44B5">
        <w:rPr>
          <w:rFonts w:eastAsia="Arial Unicode MS"/>
          <w:sz w:val="22"/>
          <w:szCs w:val="22"/>
        </w:rPr>
        <w:t xml:space="preserve">selon </w:t>
      </w:r>
      <w:r w:rsidR="00047A32">
        <w:rPr>
          <w:rFonts w:eastAsia="Arial Unicode MS"/>
          <w:sz w:val="22"/>
          <w:szCs w:val="22"/>
        </w:rPr>
        <w:t>68%</w:t>
      </w:r>
      <w:r w:rsidRPr="00BC44B5">
        <w:rPr>
          <w:rFonts w:eastAsia="Arial Unicode MS"/>
          <w:sz w:val="22"/>
          <w:szCs w:val="22"/>
        </w:rPr>
        <w:t xml:space="preserve"> des industriels, notamment, dans les activités du «Captage, traitement et distribution d’eau». </w:t>
      </w:r>
    </w:p>
    <w:p w:rsidR="00F21AA5" w:rsidRDefault="00902341" w:rsidP="00047A32">
      <w:pPr>
        <w:spacing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sz w:val="22"/>
          <w:szCs w:val="22"/>
        </w:rPr>
        <w:t>L’emploi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connaîtrait </w:t>
      </w:r>
      <w:r w:rsidR="002050CB" w:rsidRPr="00BC44B5">
        <w:rPr>
          <w:rFonts w:eastAsia="Arial Unicode MS"/>
          <w:sz w:val="22"/>
          <w:szCs w:val="22"/>
        </w:rPr>
        <w:t xml:space="preserve">une </w:t>
      </w:r>
      <w:r w:rsidR="00047A32">
        <w:rPr>
          <w:rFonts w:eastAsia="Arial Unicode MS"/>
          <w:sz w:val="22"/>
          <w:szCs w:val="22"/>
        </w:rPr>
        <w:t>stabilité</w:t>
      </w:r>
      <w:r w:rsidR="002050CB" w:rsidRPr="00BC44B5">
        <w:rPr>
          <w:rFonts w:eastAsia="Arial Unicode MS"/>
          <w:sz w:val="22"/>
          <w:szCs w:val="22"/>
        </w:rPr>
        <w:t xml:space="preserve"> selon </w:t>
      </w:r>
      <w:r w:rsidR="00047A32">
        <w:rPr>
          <w:rFonts w:eastAsia="Arial Unicode MS"/>
          <w:sz w:val="22"/>
          <w:szCs w:val="22"/>
        </w:rPr>
        <w:t>94</w:t>
      </w:r>
      <w:r w:rsidR="002050CB" w:rsidRPr="00BC44B5">
        <w:rPr>
          <w:rFonts w:eastAsia="Arial Unicode MS"/>
          <w:sz w:val="22"/>
          <w:szCs w:val="22"/>
        </w:rPr>
        <w:t xml:space="preserve">% des </w:t>
      </w:r>
      <w:r w:rsidR="00FD74D9" w:rsidRPr="00BC44B5">
        <w:rPr>
          <w:rFonts w:eastAsia="Arial Unicode MS"/>
          <w:sz w:val="22"/>
          <w:szCs w:val="22"/>
        </w:rPr>
        <w:t>chefs d’entreprises</w:t>
      </w:r>
      <w:r w:rsidR="002050CB" w:rsidRPr="00BC44B5">
        <w:rPr>
          <w:rFonts w:eastAsia="Arial Unicode MS"/>
          <w:sz w:val="22"/>
          <w:szCs w:val="22"/>
        </w:rPr>
        <w:t xml:space="preserve"> du secteur énergétique</w:t>
      </w:r>
      <w:r w:rsidR="006D1049">
        <w:rPr>
          <w:rFonts w:eastAsia="Arial Unicode MS" w:hint="cs"/>
          <w:sz w:val="22"/>
          <w:szCs w:val="22"/>
          <w:rtl/>
        </w:rPr>
        <w:t xml:space="preserve"> </w:t>
      </w:r>
      <w:r w:rsidR="00AB26CF">
        <w:rPr>
          <w:rFonts w:eastAsia="Arial Unicode MS"/>
          <w:sz w:val="22"/>
          <w:szCs w:val="22"/>
        </w:rPr>
        <w:t>et 89</w:t>
      </w:r>
      <w:r w:rsidR="00047A32">
        <w:rPr>
          <w:rFonts w:eastAsia="Arial Unicode MS"/>
          <w:sz w:val="22"/>
          <w:szCs w:val="22"/>
        </w:rPr>
        <w:t>%</w:t>
      </w:r>
      <w:r w:rsidRPr="002B204B">
        <w:rPr>
          <w:rFonts w:eastAsia="Arial Unicode MS"/>
          <w:sz w:val="22"/>
          <w:szCs w:val="22"/>
        </w:rPr>
        <w:t xml:space="preserve"> des patrons du secteur environnemental.</w:t>
      </w:r>
    </w:p>
    <w:p w:rsidR="00720E44" w:rsidRDefault="00720E44" w:rsidP="00720E44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Default="005B6049" w:rsidP="00030A66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2910205</wp:posOffset>
            </wp:positionH>
            <wp:positionV relativeFrom="margin">
              <wp:posOffset>636270</wp:posOffset>
            </wp:positionV>
            <wp:extent cx="3200400" cy="2790825"/>
            <wp:effectExtent l="0" t="0" r="0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8A5D7C">
        <w:rPr>
          <w:rFonts w:eastAsia="Arial Unicode MS"/>
          <w:sz w:val="22"/>
          <w:szCs w:val="22"/>
        </w:rPr>
        <w:t>L</w:t>
      </w:r>
      <w:r w:rsidR="008A5D7C" w:rsidRPr="00AF11D6">
        <w:rPr>
          <w:rFonts w:eastAsia="Arial Unicode MS"/>
          <w:sz w:val="22"/>
          <w:szCs w:val="22"/>
        </w:rPr>
        <w:t xml:space="preserve">es anticipations avancées </w:t>
      </w:r>
      <w:r w:rsidR="008A5D7C">
        <w:rPr>
          <w:rFonts w:eastAsia="Arial Unicode MS"/>
          <w:sz w:val="22"/>
          <w:szCs w:val="22"/>
        </w:rPr>
        <w:t xml:space="preserve">pour </w:t>
      </w:r>
      <w:r w:rsidR="008A5D7C" w:rsidRPr="00AF11D6">
        <w:rPr>
          <w:rFonts w:eastAsia="Arial Unicode MS"/>
          <w:sz w:val="22"/>
          <w:szCs w:val="22"/>
        </w:rPr>
        <w:t xml:space="preserve">le secteur de </w:t>
      </w:r>
      <w:r w:rsidR="008A5D7C"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8A5D7C" w:rsidRPr="00AF11D6">
        <w:rPr>
          <w:rFonts w:eastAsia="Arial Unicode MS"/>
          <w:sz w:val="22"/>
          <w:szCs w:val="22"/>
        </w:rPr>
        <w:t xml:space="preserve">, </w:t>
      </w:r>
      <w:r w:rsidR="008A5D7C">
        <w:rPr>
          <w:rFonts w:eastAsia="Arial Unicode MS"/>
          <w:sz w:val="22"/>
          <w:szCs w:val="22"/>
        </w:rPr>
        <w:t xml:space="preserve">au </w:t>
      </w:r>
      <w:r w:rsidR="007F486C">
        <w:rPr>
          <w:rFonts w:eastAsia="Arial Unicode MS"/>
          <w:sz w:val="22"/>
          <w:szCs w:val="22"/>
        </w:rPr>
        <w:t>1</w:t>
      </w:r>
      <w:r w:rsidR="007F486C" w:rsidRPr="007F486C">
        <w:rPr>
          <w:rFonts w:eastAsia="Arial Unicode MS"/>
          <w:sz w:val="22"/>
          <w:szCs w:val="22"/>
          <w:vertAlign w:val="superscript"/>
        </w:rPr>
        <w:t>er</w:t>
      </w:r>
      <w:r w:rsidR="00942A7D">
        <w:rPr>
          <w:rFonts w:eastAsia="Arial Unicode MS"/>
          <w:sz w:val="22"/>
          <w:szCs w:val="22"/>
        </w:rPr>
        <w:t xml:space="preserve">trimestre </w:t>
      </w:r>
      <w:r w:rsidR="008A5D7C">
        <w:rPr>
          <w:rFonts w:eastAsia="Arial Unicode MS"/>
          <w:sz w:val="22"/>
          <w:szCs w:val="22"/>
        </w:rPr>
        <w:t>201</w:t>
      </w:r>
      <w:r w:rsidR="007F486C">
        <w:rPr>
          <w:rFonts w:eastAsia="Arial Unicode MS"/>
          <w:sz w:val="22"/>
          <w:szCs w:val="22"/>
        </w:rPr>
        <w:t>8</w:t>
      </w:r>
      <w:r w:rsidR="008A5D7C" w:rsidRPr="00AF11D6">
        <w:rPr>
          <w:rFonts w:eastAsia="Arial Unicode MS"/>
          <w:sz w:val="22"/>
          <w:szCs w:val="22"/>
        </w:rPr>
        <w:t xml:space="preserve">, font </w:t>
      </w:r>
      <w:r w:rsidR="008A5D7C" w:rsidRPr="003D46A9">
        <w:rPr>
          <w:rFonts w:eastAsia="Arial Unicode MS"/>
          <w:sz w:val="22"/>
          <w:szCs w:val="22"/>
        </w:rPr>
        <w:t>ressortir, globalement</w:t>
      </w:r>
      <w:r w:rsidR="00301A88" w:rsidRPr="003D46A9">
        <w:rPr>
          <w:rFonts w:eastAsia="Arial Unicode MS"/>
          <w:sz w:val="22"/>
          <w:szCs w:val="22"/>
        </w:rPr>
        <w:t>, une</w:t>
      </w:r>
      <w:r w:rsidR="00BD0CF1">
        <w:rPr>
          <w:rFonts w:eastAsia="Arial Unicode MS"/>
          <w:sz w:val="22"/>
          <w:szCs w:val="22"/>
        </w:rPr>
        <w:t xml:space="preserve"> stabilité</w:t>
      </w:r>
      <w:r w:rsidR="008A5D7C" w:rsidRPr="003D46A9">
        <w:rPr>
          <w:rFonts w:eastAsia="Arial Unicode MS"/>
          <w:sz w:val="22"/>
          <w:szCs w:val="22"/>
        </w:rPr>
        <w:t xml:space="preserve"> de l’activité </w:t>
      </w:r>
      <w:r w:rsidR="00755A12" w:rsidRPr="003D46A9">
        <w:rPr>
          <w:rFonts w:eastAsia="Arial Unicode MS"/>
          <w:sz w:val="22"/>
          <w:szCs w:val="22"/>
        </w:rPr>
        <w:t xml:space="preserve">selon </w:t>
      </w:r>
      <w:r w:rsidR="00BC46F9">
        <w:rPr>
          <w:rFonts w:eastAsia="Arial Unicode MS"/>
          <w:sz w:val="22"/>
          <w:szCs w:val="22"/>
        </w:rPr>
        <w:t>4</w:t>
      </w:r>
      <w:r w:rsidR="00AF1522">
        <w:rPr>
          <w:rFonts w:eastAsia="Arial Unicode MS"/>
          <w:sz w:val="22"/>
          <w:szCs w:val="22"/>
        </w:rPr>
        <w:t>9</w:t>
      </w:r>
      <w:r w:rsidR="00755A12" w:rsidRPr="003D46A9">
        <w:rPr>
          <w:rFonts w:eastAsia="Arial Unicode MS"/>
          <w:sz w:val="22"/>
          <w:szCs w:val="22"/>
        </w:rPr>
        <w:t>% des chefs d’entreprises</w:t>
      </w:r>
      <w:r w:rsidR="00755A12">
        <w:rPr>
          <w:rFonts w:eastAsia="Arial Unicode MS"/>
          <w:sz w:val="22"/>
          <w:szCs w:val="22"/>
        </w:rPr>
        <w:t xml:space="preserve"> et une hausse selon </w:t>
      </w:r>
      <w:r w:rsidR="00BC46F9">
        <w:rPr>
          <w:rFonts w:eastAsia="Arial Unicode MS"/>
          <w:sz w:val="22"/>
          <w:szCs w:val="22"/>
        </w:rPr>
        <w:t>2</w:t>
      </w:r>
      <w:r w:rsidR="00AF1522">
        <w:rPr>
          <w:rFonts w:eastAsia="Arial Unicode MS"/>
          <w:sz w:val="22"/>
          <w:szCs w:val="22"/>
        </w:rPr>
        <w:t>5</w:t>
      </w:r>
      <w:r w:rsidR="00755A12">
        <w:rPr>
          <w:rFonts w:eastAsia="Arial Unicode MS"/>
          <w:sz w:val="22"/>
          <w:szCs w:val="22"/>
        </w:rPr>
        <w:t>%</w:t>
      </w:r>
      <w:r w:rsidR="00755A12" w:rsidRPr="003D46A9">
        <w:rPr>
          <w:rFonts w:eastAsia="Arial Unicode MS"/>
          <w:sz w:val="22"/>
          <w:szCs w:val="22"/>
        </w:rPr>
        <w:t xml:space="preserve">. Cette </w:t>
      </w:r>
      <w:r w:rsidR="00755A12">
        <w:rPr>
          <w:rFonts w:eastAsia="Arial Unicode MS"/>
          <w:sz w:val="22"/>
          <w:szCs w:val="22"/>
        </w:rPr>
        <w:t xml:space="preserve">évolution résulterait, d’une part, de </w:t>
      </w:r>
      <w:r w:rsidR="00755A12" w:rsidRPr="00CE05B3">
        <w:rPr>
          <w:rFonts w:eastAsia="Arial Unicode MS"/>
          <w:sz w:val="22"/>
          <w:szCs w:val="22"/>
        </w:rPr>
        <w:t xml:space="preserve">l’augmentation </w:t>
      </w:r>
      <w:r w:rsidR="00755A12" w:rsidRPr="003D46A9">
        <w:rPr>
          <w:rFonts w:eastAsia="Arial Unicode MS"/>
          <w:sz w:val="22"/>
          <w:szCs w:val="22"/>
        </w:rPr>
        <w:t>d’activité prévue au niveau des branches des «Travaux de construction spécialisés»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 w:rsidR="00BC46F9">
        <w:rPr>
          <w:rFonts w:eastAsia="Arial Unicode MS"/>
          <w:sz w:val="22"/>
          <w:szCs w:val="22"/>
        </w:rPr>
        <w:t xml:space="preserve">et de la </w:t>
      </w:r>
      <w:r w:rsidR="00BC46F9" w:rsidRPr="003D46A9">
        <w:rPr>
          <w:rFonts w:eastAsia="Arial Unicode MS"/>
          <w:sz w:val="22"/>
          <w:szCs w:val="22"/>
        </w:rPr>
        <w:t>«Construction de Bâtiments»</w:t>
      </w:r>
      <w:r w:rsidR="00755A12">
        <w:rPr>
          <w:rFonts w:eastAsia="Arial Unicode MS"/>
          <w:sz w:val="22"/>
          <w:szCs w:val="22"/>
        </w:rPr>
        <w:t xml:space="preserve"> et, d’autre part, de</w:t>
      </w:r>
      <w:r w:rsidR="00755A12" w:rsidRPr="003D46A9">
        <w:rPr>
          <w:rFonts w:eastAsia="Arial Unicode MS"/>
          <w:sz w:val="22"/>
          <w:szCs w:val="22"/>
        </w:rPr>
        <w:t xml:space="preserve"> la </w:t>
      </w:r>
      <w:r w:rsidR="00755A12">
        <w:rPr>
          <w:rFonts w:eastAsia="Arial Unicode MS"/>
          <w:sz w:val="22"/>
          <w:szCs w:val="22"/>
        </w:rPr>
        <w:t>baisse</w:t>
      </w:r>
      <w:r w:rsidR="00755A12" w:rsidRPr="003D46A9">
        <w:rPr>
          <w:rFonts w:eastAsia="Arial Unicode MS"/>
          <w:sz w:val="22"/>
          <w:szCs w:val="22"/>
        </w:rPr>
        <w:t xml:space="preserve"> d’activité </w:t>
      </w:r>
      <w:r w:rsidR="00755A12">
        <w:rPr>
          <w:rFonts w:eastAsia="Arial Unicode MS"/>
          <w:sz w:val="22"/>
          <w:szCs w:val="22"/>
        </w:rPr>
        <w:t xml:space="preserve">prévue dans </w:t>
      </w:r>
      <w:r w:rsidR="00FD0028">
        <w:rPr>
          <w:rFonts w:eastAsia="Arial Unicode MS"/>
          <w:sz w:val="22"/>
          <w:szCs w:val="22"/>
        </w:rPr>
        <w:t>le</w:t>
      </w:r>
      <w:r w:rsidR="006E6FEB">
        <w:rPr>
          <w:rFonts w:eastAsia="Arial Unicode MS" w:hint="cs"/>
          <w:sz w:val="22"/>
          <w:szCs w:val="22"/>
          <w:rtl/>
        </w:rPr>
        <w:t xml:space="preserve"> </w:t>
      </w:r>
      <w:r w:rsidR="00FD0028">
        <w:rPr>
          <w:rFonts w:eastAsia="Arial Unicode MS"/>
          <w:sz w:val="22"/>
          <w:szCs w:val="22"/>
        </w:rPr>
        <w:t>«</w:t>
      </w:r>
      <w:r w:rsidR="00BC46F9" w:rsidRPr="00BC46F9">
        <w:rPr>
          <w:rFonts w:eastAsia="Arial Unicode MS"/>
          <w:sz w:val="22"/>
          <w:szCs w:val="22"/>
        </w:rPr>
        <w:t>Génie civil</w:t>
      </w:r>
      <w:r w:rsidR="00BC46F9">
        <w:rPr>
          <w:rFonts w:eastAsia="Arial Unicode MS"/>
          <w:sz w:val="22"/>
          <w:szCs w:val="22"/>
        </w:rPr>
        <w:t>»</w:t>
      </w:r>
      <w:r w:rsidR="00755A12" w:rsidRPr="003D46A9">
        <w:rPr>
          <w:rFonts w:eastAsia="Arial Unicode MS"/>
          <w:sz w:val="22"/>
          <w:szCs w:val="22"/>
        </w:rPr>
        <w:t xml:space="preserve">. Elle serait accompagnée, selon près de </w:t>
      </w:r>
      <w:r w:rsidR="00BC46F9">
        <w:rPr>
          <w:rFonts w:eastAsia="Arial Unicode MS"/>
          <w:sz w:val="22"/>
          <w:szCs w:val="22"/>
        </w:rPr>
        <w:t>66</w:t>
      </w:r>
      <w:r w:rsidR="00755A12" w:rsidRPr="003D46A9">
        <w:rPr>
          <w:rFonts w:eastAsia="Arial Unicode MS"/>
          <w:sz w:val="22"/>
          <w:szCs w:val="22"/>
        </w:rPr>
        <w:t>% des chefs d’entreprises, par une stabilité des effectifs employés.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F7" w:rsidRDefault="000464F7">
      <w:r>
        <w:separator/>
      </w:r>
    </w:p>
  </w:endnote>
  <w:endnote w:type="continuationSeparator" w:id="1">
    <w:p w:rsidR="000464F7" w:rsidRDefault="0004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82608B" w:rsidRPr="00FE7F7C" w:rsidTr="00A04771">
      <w:trPr>
        <w:trHeight w:val="274"/>
      </w:trPr>
      <w:tc>
        <w:tcPr>
          <w:tcW w:w="3939" w:type="pct"/>
          <w:vAlign w:val="center"/>
        </w:tcPr>
        <w:p w:rsidR="0082608B" w:rsidRPr="00FE7F7C" w:rsidRDefault="0082608B" w:rsidP="00A04771">
          <w:pPr>
            <w:pStyle w:val="Pieddepage"/>
            <w:tabs>
              <w:tab w:val="clear" w:pos="4536"/>
              <w:tab w:val="center" w:pos="0"/>
            </w:tabs>
            <w:jc w:val="center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82608B" w:rsidRPr="009066FA" w:rsidRDefault="0082608B" w:rsidP="0082608B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306823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750E7B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541"/>
      <w:gridCol w:w="2031"/>
    </w:tblGrid>
    <w:tr w:rsidR="001357F1" w:rsidRPr="00FE7F7C" w:rsidTr="00A04771">
      <w:trPr>
        <w:trHeight w:val="274"/>
      </w:trPr>
      <w:tc>
        <w:tcPr>
          <w:tcW w:w="3939" w:type="pct"/>
          <w:vAlign w:val="center"/>
        </w:tcPr>
        <w:p w:rsidR="001357F1" w:rsidRPr="00FE7F7C" w:rsidRDefault="001357F1" w:rsidP="00A04771">
          <w:pPr>
            <w:pStyle w:val="Pieddepage"/>
            <w:tabs>
              <w:tab w:val="clear" w:pos="4536"/>
              <w:tab w:val="center" w:pos="0"/>
            </w:tabs>
            <w:jc w:val="center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1357F1" w:rsidRPr="009066FA" w:rsidRDefault="001357F1" w:rsidP="001357F1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Mars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306823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750E7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750E7B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F7" w:rsidRDefault="000464F7">
      <w:r>
        <w:separator/>
      </w:r>
    </w:p>
  </w:footnote>
  <w:footnote w:type="continuationSeparator" w:id="1">
    <w:p w:rsidR="000464F7" w:rsidRDefault="0004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075E8"/>
    <w:rsid w:val="0001021C"/>
    <w:rsid w:val="00011235"/>
    <w:rsid w:val="00011B92"/>
    <w:rsid w:val="00011D25"/>
    <w:rsid w:val="00013E44"/>
    <w:rsid w:val="00014315"/>
    <w:rsid w:val="000172A2"/>
    <w:rsid w:val="00021C30"/>
    <w:rsid w:val="00022D8B"/>
    <w:rsid w:val="0002646D"/>
    <w:rsid w:val="000275EF"/>
    <w:rsid w:val="00030A66"/>
    <w:rsid w:val="00031605"/>
    <w:rsid w:val="00032ABA"/>
    <w:rsid w:val="0003329C"/>
    <w:rsid w:val="00037040"/>
    <w:rsid w:val="0003724A"/>
    <w:rsid w:val="00043D21"/>
    <w:rsid w:val="000464F7"/>
    <w:rsid w:val="00047A32"/>
    <w:rsid w:val="000511BB"/>
    <w:rsid w:val="00053F91"/>
    <w:rsid w:val="00054E17"/>
    <w:rsid w:val="000554EE"/>
    <w:rsid w:val="00057C47"/>
    <w:rsid w:val="000625B3"/>
    <w:rsid w:val="00066703"/>
    <w:rsid w:val="00074098"/>
    <w:rsid w:val="0007522F"/>
    <w:rsid w:val="0007624B"/>
    <w:rsid w:val="00084B71"/>
    <w:rsid w:val="00086874"/>
    <w:rsid w:val="0009025C"/>
    <w:rsid w:val="00091CDB"/>
    <w:rsid w:val="0009283F"/>
    <w:rsid w:val="00093794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E29"/>
    <w:rsid w:val="000B4C25"/>
    <w:rsid w:val="000B5B84"/>
    <w:rsid w:val="000B6C46"/>
    <w:rsid w:val="000C31D2"/>
    <w:rsid w:val="000C3A0E"/>
    <w:rsid w:val="000C70E7"/>
    <w:rsid w:val="000D4A9A"/>
    <w:rsid w:val="000D7810"/>
    <w:rsid w:val="000E04FA"/>
    <w:rsid w:val="000E1335"/>
    <w:rsid w:val="000E20A9"/>
    <w:rsid w:val="000E52CC"/>
    <w:rsid w:val="000E5893"/>
    <w:rsid w:val="000E76B0"/>
    <w:rsid w:val="000F0BF1"/>
    <w:rsid w:val="000F6813"/>
    <w:rsid w:val="000F71D1"/>
    <w:rsid w:val="00100AF5"/>
    <w:rsid w:val="00100DF0"/>
    <w:rsid w:val="0010285F"/>
    <w:rsid w:val="00102A1F"/>
    <w:rsid w:val="001062FA"/>
    <w:rsid w:val="00106C12"/>
    <w:rsid w:val="00112318"/>
    <w:rsid w:val="0011346C"/>
    <w:rsid w:val="00123B0E"/>
    <w:rsid w:val="001245E1"/>
    <w:rsid w:val="00127090"/>
    <w:rsid w:val="00130063"/>
    <w:rsid w:val="00130367"/>
    <w:rsid w:val="001308D6"/>
    <w:rsid w:val="0013128E"/>
    <w:rsid w:val="00131807"/>
    <w:rsid w:val="00131EDC"/>
    <w:rsid w:val="00133AA7"/>
    <w:rsid w:val="00135176"/>
    <w:rsid w:val="001357F1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1DB1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5849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CCE"/>
    <w:rsid w:val="001D6D12"/>
    <w:rsid w:val="001D6F2D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5236"/>
    <w:rsid w:val="00215A43"/>
    <w:rsid w:val="002164FB"/>
    <w:rsid w:val="0022299E"/>
    <w:rsid w:val="0022622F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3257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2E62"/>
    <w:rsid w:val="002E446D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E80"/>
    <w:rsid w:val="00303C33"/>
    <w:rsid w:val="00304F3F"/>
    <w:rsid w:val="00305B12"/>
    <w:rsid w:val="0030605C"/>
    <w:rsid w:val="00306823"/>
    <w:rsid w:val="00306CBC"/>
    <w:rsid w:val="00307146"/>
    <w:rsid w:val="00310224"/>
    <w:rsid w:val="003121A0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30198"/>
    <w:rsid w:val="003329F7"/>
    <w:rsid w:val="0033375A"/>
    <w:rsid w:val="00334763"/>
    <w:rsid w:val="0033541E"/>
    <w:rsid w:val="003359E4"/>
    <w:rsid w:val="00336BD4"/>
    <w:rsid w:val="0034133F"/>
    <w:rsid w:val="003456C6"/>
    <w:rsid w:val="0034613F"/>
    <w:rsid w:val="00346886"/>
    <w:rsid w:val="00351D4C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2F99"/>
    <w:rsid w:val="003832DA"/>
    <w:rsid w:val="00383327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53C"/>
    <w:rsid w:val="003C1B70"/>
    <w:rsid w:val="003C2ECA"/>
    <w:rsid w:val="003C3C15"/>
    <w:rsid w:val="003C6E2C"/>
    <w:rsid w:val="003C709A"/>
    <w:rsid w:val="003C75FD"/>
    <w:rsid w:val="003D0B92"/>
    <w:rsid w:val="003D2655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4176"/>
    <w:rsid w:val="00405781"/>
    <w:rsid w:val="00407D80"/>
    <w:rsid w:val="00416C7F"/>
    <w:rsid w:val="00421870"/>
    <w:rsid w:val="00421C0A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4CBB"/>
    <w:rsid w:val="004D61CC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02C2"/>
    <w:rsid w:val="00511F05"/>
    <w:rsid w:val="00511FBB"/>
    <w:rsid w:val="00513024"/>
    <w:rsid w:val="005142A8"/>
    <w:rsid w:val="00514D14"/>
    <w:rsid w:val="005247DE"/>
    <w:rsid w:val="00530796"/>
    <w:rsid w:val="00532B0F"/>
    <w:rsid w:val="005330D1"/>
    <w:rsid w:val="005337B6"/>
    <w:rsid w:val="00533D55"/>
    <w:rsid w:val="00533E4A"/>
    <w:rsid w:val="00535A84"/>
    <w:rsid w:val="00537897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6A26"/>
    <w:rsid w:val="00566ACC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43CE"/>
    <w:rsid w:val="005850FD"/>
    <w:rsid w:val="00585CD7"/>
    <w:rsid w:val="0059090F"/>
    <w:rsid w:val="00594250"/>
    <w:rsid w:val="00594D60"/>
    <w:rsid w:val="0059629C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6049"/>
    <w:rsid w:val="005B789E"/>
    <w:rsid w:val="005C0641"/>
    <w:rsid w:val="005C0687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2B0E"/>
    <w:rsid w:val="00614FEA"/>
    <w:rsid w:val="006153E5"/>
    <w:rsid w:val="00616F7E"/>
    <w:rsid w:val="006202E0"/>
    <w:rsid w:val="00621BE8"/>
    <w:rsid w:val="00630C01"/>
    <w:rsid w:val="00630E13"/>
    <w:rsid w:val="00631531"/>
    <w:rsid w:val="006328C2"/>
    <w:rsid w:val="00633CEF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22C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470"/>
    <w:rsid w:val="006A2D89"/>
    <w:rsid w:val="006B0611"/>
    <w:rsid w:val="006B089B"/>
    <w:rsid w:val="006B21F5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C742F"/>
    <w:rsid w:val="006D08D3"/>
    <w:rsid w:val="006D09D7"/>
    <w:rsid w:val="006D1049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E6FEB"/>
    <w:rsid w:val="006F1AF1"/>
    <w:rsid w:val="006F499A"/>
    <w:rsid w:val="006F5643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57DB"/>
    <w:rsid w:val="00736187"/>
    <w:rsid w:val="00737135"/>
    <w:rsid w:val="00740E2F"/>
    <w:rsid w:val="007422A6"/>
    <w:rsid w:val="00744367"/>
    <w:rsid w:val="00747BC9"/>
    <w:rsid w:val="007507E3"/>
    <w:rsid w:val="00750E7B"/>
    <w:rsid w:val="00752DE5"/>
    <w:rsid w:val="00753113"/>
    <w:rsid w:val="00753AC8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370A"/>
    <w:rsid w:val="00765EB8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F0"/>
    <w:rsid w:val="007939F2"/>
    <w:rsid w:val="007A4818"/>
    <w:rsid w:val="007A4D09"/>
    <w:rsid w:val="007B3B1A"/>
    <w:rsid w:val="007B3F80"/>
    <w:rsid w:val="007B3FA3"/>
    <w:rsid w:val="007B40DF"/>
    <w:rsid w:val="007B65C5"/>
    <w:rsid w:val="007C305A"/>
    <w:rsid w:val="007D02BB"/>
    <w:rsid w:val="007D09FF"/>
    <w:rsid w:val="007D2263"/>
    <w:rsid w:val="007D442B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4784"/>
    <w:rsid w:val="007F486C"/>
    <w:rsid w:val="007F4BA9"/>
    <w:rsid w:val="007F5B2F"/>
    <w:rsid w:val="00801153"/>
    <w:rsid w:val="00801F97"/>
    <w:rsid w:val="00803FCD"/>
    <w:rsid w:val="00804FEE"/>
    <w:rsid w:val="008070DD"/>
    <w:rsid w:val="00810D7F"/>
    <w:rsid w:val="008150BF"/>
    <w:rsid w:val="00815FC3"/>
    <w:rsid w:val="0082137A"/>
    <w:rsid w:val="00825871"/>
    <w:rsid w:val="0082608B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2EB9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93F31"/>
    <w:rsid w:val="00894A15"/>
    <w:rsid w:val="00895AA3"/>
    <w:rsid w:val="00897D91"/>
    <w:rsid w:val="008A5D7C"/>
    <w:rsid w:val="008A691E"/>
    <w:rsid w:val="008A6E37"/>
    <w:rsid w:val="008A7F8C"/>
    <w:rsid w:val="008B0453"/>
    <w:rsid w:val="008B1E64"/>
    <w:rsid w:val="008B2CBB"/>
    <w:rsid w:val="008B4895"/>
    <w:rsid w:val="008B7C79"/>
    <w:rsid w:val="008C0608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2660"/>
    <w:rsid w:val="009031FE"/>
    <w:rsid w:val="009049AB"/>
    <w:rsid w:val="009066FA"/>
    <w:rsid w:val="00906EB8"/>
    <w:rsid w:val="009101C8"/>
    <w:rsid w:val="009102EE"/>
    <w:rsid w:val="009174FB"/>
    <w:rsid w:val="00917A18"/>
    <w:rsid w:val="00921E8C"/>
    <w:rsid w:val="0092724E"/>
    <w:rsid w:val="00927721"/>
    <w:rsid w:val="00931126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1557"/>
    <w:rsid w:val="00952BCB"/>
    <w:rsid w:val="00954425"/>
    <w:rsid w:val="0095483F"/>
    <w:rsid w:val="00957A56"/>
    <w:rsid w:val="00957B30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75E3"/>
    <w:rsid w:val="009A1333"/>
    <w:rsid w:val="009A3DCF"/>
    <w:rsid w:val="009A3EBE"/>
    <w:rsid w:val="009A431C"/>
    <w:rsid w:val="009A69BF"/>
    <w:rsid w:val="009A7A01"/>
    <w:rsid w:val="009A7C3B"/>
    <w:rsid w:val="009B00B8"/>
    <w:rsid w:val="009B2B2B"/>
    <w:rsid w:val="009B690E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12F2"/>
    <w:rsid w:val="009D5321"/>
    <w:rsid w:val="009D5A39"/>
    <w:rsid w:val="009D5F2E"/>
    <w:rsid w:val="009D7D48"/>
    <w:rsid w:val="009E1CC2"/>
    <w:rsid w:val="009E2807"/>
    <w:rsid w:val="009E4E74"/>
    <w:rsid w:val="009E782E"/>
    <w:rsid w:val="009F3B38"/>
    <w:rsid w:val="009F4C75"/>
    <w:rsid w:val="00A016BB"/>
    <w:rsid w:val="00A01DE9"/>
    <w:rsid w:val="00A02ED5"/>
    <w:rsid w:val="00A03537"/>
    <w:rsid w:val="00A0399D"/>
    <w:rsid w:val="00A03B99"/>
    <w:rsid w:val="00A0553F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72C"/>
    <w:rsid w:val="00A158A2"/>
    <w:rsid w:val="00A15EDE"/>
    <w:rsid w:val="00A16299"/>
    <w:rsid w:val="00A1694E"/>
    <w:rsid w:val="00A211EB"/>
    <w:rsid w:val="00A2168A"/>
    <w:rsid w:val="00A23965"/>
    <w:rsid w:val="00A2404F"/>
    <w:rsid w:val="00A2455C"/>
    <w:rsid w:val="00A24A06"/>
    <w:rsid w:val="00A2564B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435F"/>
    <w:rsid w:val="00A85D85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26CF"/>
    <w:rsid w:val="00AB5150"/>
    <w:rsid w:val="00AB522F"/>
    <w:rsid w:val="00AB5455"/>
    <w:rsid w:val="00AB602C"/>
    <w:rsid w:val="00AB635B"/>
    <w:rsid w:val="00AC26A5"/>
    <w:rsid w:val="00AC2CF2"/>
    <w:rsid w:val="00AC3EF4"/>
    <w:rsid w:val="00AC7561"/>
    <w:rsid w:val="00AC7EEE"/>
    <w:rsid w:val="00AD4CA8"/>
    <w:rsid w:val="00AD53FD"/>
    <w:rsid w:val="00AD56E7"/>
    <w:rsid w:val="00AE4467"/>
    <w:rsid w:val="00AF04E7"/>
    <w:rsid w:val="00AF11D6"/>
    <w:rsid w:val="00AF1522"/>
    <w:rsid w:val="00AF3140"/>
    <w:rsid w:val="00AF5CFA"/>
    <w:rsid w:val="00AF6102"/>
    <w:rsid w:val="00B0327E"/>
    <w:rsid w:val="00B03354"/>
    <w:rsid w:val="00B0407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EC4"/>
    <w:rsid w:val="00B376D9"/>
    <w:rsid w:val="00B43C5F"/>
    <w:rsid w:val="00B44B88"/>
    <w:rsid w:val="00B4533E"/>
    <w:rsid w:val="00B46D1D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66A"/>
    <w:rsid w:val="00B94223"/>
    <w:rsid w:val="00B974D5"/>
    <w:rsid w:val="00BA7483"/>
    <w:rsid w:val="00BB0A03"/>
    <w:rsid w:val="00BB2266"/>
    <w:rsid w:val="00BB2982"/>
    <w:rsid w:val="00BB322B"/>
    <w:rsid w:val="00BB616E"/>
    <w:rsid w:val="00BC2E39"/>
    <w:rsid w:val="00BC44B5"/>
    <w:rsid w:val="00BC46F9"/>
    <w:rsid w:val="00BC7766"/>
    <w:rsid w:val="00BD0CF1"/>
    <w:rsid w:val="00BD29DA"/>
    <w:rsid w:val="00BD2B3A"/>
    <w:rsid w:val="00BD3A65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089D"/>
    <w:rsid w:val="00C32730"/>
    <w:rsid w:val="00C33D7F"/>
    <w:rsid w:val="00C36659"/>
    <w:rsid w:val="00C42507"/>
    <w:rsid w:val="00C466D1"/>
    <w:rsid w:val="00C5491F"/>
    <w:rsid w:val="00C55145"/>
    <w:rsid w:val="00C55FD3"/>
    <w:rsid w:val="00C56B6E"/>
    <w:rsid w:val="00C57C82"/>
    <w:rsid w:val="00C61F50"/>
    <w:rsid w:val="00C64B98"/>
    <w:rsid w:val="00C67995"/>
    <w:rsid w:val="00C73BA9"/>
    <w:rsid w:val="00C76671"/>
    <w:rsid w:val="00C77CE7"/>
    <w:rsid w:val="00C80D79"/>
    <w:rsid w:val="00C8184F"/>
    <w:rsid w:val="00C827BD"/>
    <w:rsid w:val="00C926FE"/>
    <w:rsid w:val="00C9525B"/>
    <w:rsid w:val="00C959F1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6AE1"/>
    <w:rsid w:val="00CC2A9C"/>
    <w:rsid w:val="00CC383A"/>
    <w:rsid w:val="00CC43FB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653"/>
    <w:rsid w:val="00CF5B6D"/>
    <w:rsid w:val="00CF5EA6"/>
    <w:rsid w:val="00CF6466"/>
    <w:rsid w:val="00CF6D85"/>
    <w:rsid w:val="00CF6F9D"/>
    <w:rsid w:val="00CF7036"/>
    <w:rsid w:val="00D00354"/>
    <w:rsid w:val="00D04431"/>
    <w:rsid w:val="00D119CB"/>
    <w:rsid w:val="00D122C4"/>
    <w:rsid w:val="00D135EC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45C5C"/>
    <w:rsid w:val="00D46868"/>
    <w:rsid w:val="00D53B2F"/>
    <w:rsid w:val="00D54458"/>
    <w:rsid w:val="00D6022B"/>
    <w:rsid w:val="00D621DB"/>
    <w:rsid w:val="00D6222E"/>
    <w:rsid w:val="00D626C6"/>
    <w:rsid w:val="00D676A7"/>
    <w:rsid w:val="00D7292B"/>
    <w:rsid w:val="00D72D1C"/>
    <w:rsid w:val="00D74FF0"/>
    <w:rsid w:val="00D75067"/>
    <w:rsid w:val="00D77D5D"/>
    <w:rsid w:val="00D80FF6"/>
    <w:rsid w:val="00D83517"/>
    <w:rsid w:val="00D83BA8"/>
    <w:rsid w:val="00D83BAA"/>
    <w:rsid w:val="00D85184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C0356"/>
    <w:rsid w:val="00DC0988"/>
    <w:rsid w:val="00DC6E42"/>
    <w:rsid w:val="00DC7173"/>
    <w:rsid w:val="00DD1D7B"/>
    <w:rsid w:val="00DD280D"/>
    <w:rsid w:val="00DD2F0B"/>
    <w:rsid w:val="00DD391E"/>
    <w:rsid w:val="00DE15B9"/>
    <w:rsid w:val="00DE1B47"/>
    <w:rsid w:val="00DE26A0"/>
    <w:rsid w:val="00DE26C3"/>
    <w:rsid w:val="00DF27E6"/>
    <w:rsid w:val="00DF5477"/>
    <w:rsid w:val="00E017B8"/>
    <w:rsid w:val="00E052C6"/>
    <w:rsid w:val="00E05632"/>
    <w:rsid w:val="00E0748D"/>
    <w:rsid w:val="00E11548"/>
    <w:rsid w:val="00E208A0"/>
    <w:rsid w:val="00E238AE"/>
    <w:rsid w:val="00E2722C"/>
    <w:rsid w:val="00E324DB"/>
    <w:rsid w:val="00E34B72"/>
    <w:rsid w:val="00E3569D"/>
    <w:rsid w:val="00E459A8"/>
    <w:rsid w:val="00E50B24"/>
    <w:rsid w:val="00E512C8"/>
    <w:rsid w:val="00E53E18"/>
    <w:rsid w:val="00E564E6"/>
    <w:rsid w:val="00E574D7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2DEE"/>
    <w:rsid w:val="00E734FE"/>
    <w:rsid w:val="00E77A1E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3161"/>
    <w:rsid w:val="00EC36F6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553D"/>
    <w:rsid w:val="00F1754C"/>
    <w:rsid w:val="00F17FE2"/>
    <w:rsid w:val="00F20194"/>
    <w:rsid w:val="00F21865"/>
    <w:rsid w:val="00F21AA5"/>
    <w:rsid w:val="00F229C6"/>
    <w:rsid w:val="00F236C1"/>
    <w:rsid w:val="00F27289"/>
    <w:rsid w:val="00F27B9D"/>
    <w:rsid w:val="00F31D0B"/>
    <w:rsid w:val="00F333DE"/>
    <w:rsid w:val="00F34DE5"/>
    <w:rsid w:val="00F3631B"/>
    <w:rsid w:val="00F37DE1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8F8"/>
    <w:rsid w:val="00F55E9F"/>
    <w:rsid w:val="00F62091"/>
    <w:rsid w:val="00F63E5F"/>
    <w:rsid w:val="00F64E2D"/>
    <w:rsid w:val="00F70AC7"/>
    <w:rsid w:val="00F7365A"/>
    <w:rsid w:val="00F75193"/>
    <w:rsid w:val="00F75DAA"/>
    <w:rsid w:val="00F76F1D"/>
    <w:rsid w:val="00F81A11"/>
    <w:rsid w:val="00F82293"/>
    <w:rsid w:val="00F831A2"/>
    <w:rsid w:val="00F85406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028"/>
    <w:rsid w:val="00FD0726"/>
    <w:rsid w:val="00FD079F"/>
    <w:rsid w:val="00FD2048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</a:t>
            </a:r>
            <a:r>
              <a:rPr lang="fr-FR" baseline="0"/>
              <a:t> d'</a:t>
            </a:r>
            <a:r>
              <a:rPr lang="fr-FR"/>
              <a:t>entreprises dans l'industrie manufacturière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297106173831"/>
          <c:y val="2.5347864316159281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6389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50.220000000000013</c:v>
                </c:pt>
                <c:pt idx="1">
                  <c:v>4.41</c:v>
                </c:pt>
                <c:pt idx="2">
                  <c:v>16.79</c:v>
                </c:pt>
                <c:pt idx="3" formatCode="0">
                  <c:v>9.1836860944339413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31.39</c:v>
                </c:pt>
                <c:pt idx="1">
                  <c:v>80.8</c:v>
                </c:pt>
                <c:pt idx="2">
                  <c:v>64.169999999999987</c:v>
                </c:pt>
                <c:pt idx="3" formatCode="0">
                  <c:v>79.224456927973776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18.39</c:v>
                </c:pt>
                <c:pt idx="1">
                  <c:v>14.79</c:v>
                </c:pt>
                <c:pt idx="2">
                  <c:v>19.04</c:v>
                </c:pt>
                <c:pt idx="3" formatCode="0">
                  <c:v>11.5918569775923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31.84</c:v>
                </c:pt>
                <c:pt idx="1">
                  <c:v>-10.38</c:v>
                </c:pt>
                <c:pt idx="2">
                  <c:v>-2.2400000000000002</c:v>
                </c:pt>
                <c:pt idx="3" formatCode="0">
                  <c:v>-2.4081708831583644</c:v>
                </c:pt>
              </c:numCache>
            </c:numRef>
          </c:val>
        </c:ser>
        <c:axId val="92193920"/>
        <c:axId val="92195456"/>
      </c:barChart>
      <c:catAx>
        <c:axId val="92193920"/>
        <c:scaling>
          <c:orientation val="minMax"/>
        </c:scaling>
        <c:axPos val="b"/>
        <c:majorGridlines>
          <c:spPr>
            <a:ln w="9558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195456"/>
        <c:crosses val="autoZero"/>
        <c:auto val="1"/>
        <c:lblAlgn val="ctr"/>
        <c:lblOffset val="100"/>
      </c:catAx>
      <c:valAx>
        <c:axId val="92195456"/>
        <c:scaling>
          <c:orientation val="minMax"/>
          <c:max val="90"/>
          <c:min val="-15"/>
        </c:scaling>
        <c:axPos val="l"/>
        <c:majorGridlines>
          <c:spPr>
            <a:ln w="9558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19392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47686144498"/>
          <c:y val="0.41368889435695994"/>
          <c:w val="0.16643804392871939"/>
          <c:h val="0.29893413713910788"/>
        </c:manualLayout>
      </c:layout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 d'entreprises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9.016340447691111E-2"/>
          <c:y val="2.9622315477660047E-2"/>
        </c:manualLayout>
      </c:layout>
    </c:title>
    <c:plotArea>
      <c:layout>
        <c:manualLayout>
          <c:layoutTarget val="inner"/>
          <c:xMode val="edge"/>
          <c:yMode val="edge"/>
          <c:x val="0.13273226811560834"/>
          <c:y val="0.19290867007914428"/>
          <c:w val="0.63614280671058177"/>
          <c:h val="0.634276407309365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91.76</c:v>
                </c:pt>
                <c:pt idx="1">
                  <c:v>0</c:v>
                </c:pt>
                <c:pt idx="2">
                  <c:v>8.27</c:v>
                </c:pt>
                <c:pt idx="3" formatCode="0">
                  <c:v>8.2665050881722166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7.73</c:v>
                </c:pt>
                <c:pt idx="1">
                  <c:v>96.11999999999999</c:v>
                </c:pt>
                <c:pt idx="2">
                  <c:v>9.99</c:v>
                </c:pt>
                <c:pt idx="3" formatCode="0">
                  <c:v>13.297341907372589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0.51</c:v>
                </c:pt>
                <c:pt idx="1">
                  <c:v>3.88</c:v>
                </c:pt>
                <c:pt idx="2">
                  <c:v>81.739999999999995</c:v>
                </c:pt>
                <c:pt idx="3" formatCode="0">
                  <c:v>78.436153004455193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91.26</c:v>
                </c:pt>
                <c:pt idx="1">
                  <c:v>-3.88</c:v>
                </c:pt>
                <c:pt idx="2">
                  <c:v>-73.47</c:v>
                </c:pt>
                <c:pt idx="3" formatCode="0">
                  <c:v>-70.169647916282869</c:v>
                </c:pt>
              </c:numCache>
            </c:numRef>
          </c:val>
        </c:ser>
        <c:axId val="92238592"/>
        <c:axId val="92240128"/>
      </c:barChart>
      <c:catAx>
        <c:axId val="922385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240128"/>
        <c:crosses val="autoZero"/>
        <c:auto val="1"/>
        <c:lblAlgn val="ctr"/>
        <c:lblOffset val="100"/>
      </c:catAx>
      <c:valAx>
        <c:axId val="92240128"/>
        <c:scaling>
          <c:orientation val="minMax"/>
          <c:max val="100"/>
          <c:min val="-80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23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3736816221"/>
          <c:y val="0.36872400565313951"/>
          <c:w val="0.15338211218351389"/>
          <c:h val="0.30596486977590093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9.5874788226722504E-2"/>
          <c:y val="9.5961039552137001E-2"/>
        </c:manualLayout>
      </c:layout>
    </c:title>
    <c:plotArea>
      <c:layout>
        <c:manualLayout>
          <c:layoutTarget val="inner"/>
          <c:xMode val="edge"/>
          <c:yMode val="edge"/>
          <c:x val="8.9659469985610987E-2"/>
          <c:y val="0.23657338986473173"/>
          <c:w val="0.71127152654306758"/>
          <c:h val="0.5765996365839161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86.83</c:v>
                </c:pt>
                <c:pt idx="1">
                  <c:v>0</c:v>
                </c:pt>
                <c:pt idx="2">
                  <c:v>0</c:v>
                </c:pt>
                <c:pt idx="3" formatCode="0">
                  <c:v>72.755420149712492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10.120000000000001</c:v>
                </c:pt>
                <c:pt idx="1">
                  <c:v>99.990000000000023</c:v>
                </c:pt>
                <c:pt idx="2">
                  <c:v>96.97</c:v>
                </c:pt>
                <c:pt idx="3" formatCode="0">
                  <c:v>16.442234540520882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3.04</c:v>
                </c:pt>
                <c:pt idx="1">
                  <c:v>1.0000000000000005E-2</c:v>
                </c:pt>
                <c:pt idx="2">
                  <c:v>3.03</c:v>
                </c:pt>
                <c:pt idx="3" formatCode="0">
                  <c:v>9.8023453097665794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83.79</c:v>
                </c:pt>
                <c:pt idx="1">
                  <c:v>-1.0000000000000005E-2</c:v>
                </c:pt>
                <c:pt idx="2">
                  <c:v>-3.03</c:v>
                </c:pt>
                <c:pt idx="3" formatCode="0">
                  <c:v>62.953074839945899</c:v>
                </c:pt>
              </c:numCache>
            </c:numRef>
          </c:val>
        </c:ser>
        <c:axId val="92590464"/>
        <c:axId val="92592000"/>
      </c:barChart>
      <c:catAx>
        <c:axId val="92590464"/>
        <c:scaling>
          <c:orientation val="minMax"/>
        </c:scaling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92592000"/>
        <c:crosses val="autoZero"/>
        <c:auto val="1"/>
        <c:lblAlgn val="ctr"/>
        <c:lblOffset val="100"/>
      </c:catAx>
      <c:valAx>
        <c:axId val="92592000"/>
        <c:scaling>
          <c:orientation val="minMax"/>
          <c:max val="110"/>
          <c:min val="-10"/>
        </c:scaling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92590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71565761637"/>
          <c:y val="0.36408599214115833"/>
          <c:w val="0.17141758617965441"/>
          <c:h val="0.37639221397903766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8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1410358018973119"/>
          <c:y val="5.4508094745038337E-2"/>
        </c:manualLayout>
      </c:layout>
    </c:title>
    <c:plotArea>
      <c:layout>
        <c:manualLayout>
          <c:layoutTarget val="inner"/>
          <c:xMode val="edge"/>
          <c:yMode val="edge"/>
          <c:x val="0.12637886621480629"/>
          <c:y val="0.19404327218280154"/>
          <c:w val="0.69565666633444234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8.7100000000000009</c:v>
                </c:pt>
                <c:pt idx="1">
                  <c:v>66.179999999999978</c:v>
                </c:pt>
                <c:pt idx="2">
                  <c:v>66.179999999999978</c:v>
                </c:pt>
                <c:pt idx="3" formatCode="0">
                  <c:v>64.83273662839558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31.52</c:v>
                </c:pt>
                <c:pt idx="1">
                  <c:v>33.82</c:v>
                </c:pt>
                <c:pt idx="2">
                  <c:v>33.82</c:v>
                </c:pt>
                <c:pt idx="3" formatCode="0">
                  <c:v>31.749169727317213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59.77</c:v>
                </c:pt>
                <c:pt idx="1">
                  <c:v>0</c:v>
                </c:pt>
                <c:pt idx="2">
                  <c:v>0</c:v>
                </c:pt>
                <c:pt idx="3" formatCode="0">
                  <c:v>3.4180936442871936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-51.05</c:v>
                </c:pt>
                <c:pt idx="1">
                  <c:v>66.179999999999978</c:v>
                </c:pt>
                <c:pt idx="2">
                  <c:v>66.179999999999978</c:v>
                </c:pt>
                <c:pt idx="3" formatCode="0">
                  <c:v>61.414642984108397</c:v>
                </c:pt>
              </c:numCache>
            </c:numRef>
          </c:val>
        </c:ser>
        <c:axId val="92323840"/>
        <c:axId val="92325376"/>
      </c:barChart>
      <c:catAx>
        <c:axId val="92323840"/>
        <c:scaling>
          <c:orientation val="minMax"/>
        </c:scaling>
        <c:axPos val="b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325376"/>
        <c:crossesAt val="0"/>
        <c:auto val="1"/>
        <c:lblAlgn val="ctr"/>
        <c:lblOffset val="100"/>
      </c:catAx>
      <c:valAx>
        <c:axId val="92325376"/>
        <c:scaling>
          <c:orientation val="minMax"/>
          <c:max val="80"/>
          <c:min val="-60"/>
        </c:scaling>
        <c:axPos val="l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323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2692433049"/>
          <c:y val="0.37531845216596094"/>
          <c:w val="0.17841147307567112"/>
          <c:h val="0.34528546317031722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chefs d'entreprises sur l'activité  de la construction (proportion en %)</a:t>
            </a:r>
            <a:endParaRPr lang="fr-FR" sz="900"/>
          </a:p>
        </c:rich>
      </c:tx>
      <c:layout>
        <c:manualLayout>
          <c:xMode val="edge"/>
          <c:yMode val="edge"/>
          <c:x val="9.5932737221406633E-2"/>
          <c:y val="2.8676970934188781E-2"/>
        </c:manualLayout>
      </c:layout>
    </c:title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39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21.104975704591315</c:v>
                </c:pt>
                <c:pt idx="1">
                  <c:v>8.4319209999999991</c:v>
                </c:pt>
                <c:pt idx="2">
                  <c:v>17.701998000000025</c:v>
                </c:pt>
                <c:pt idx="3">
                  <c:v>35.015066999999995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60.126304213816596</c:v>
                </c:pt>
                <c:pt idx="1">
                  <c:v>84.184227000000007</c:v>
                </c:pt>
                <c:pt idx="2">
                  <c:v>57.197946000000002</c:v>
                </c:pt>
                <c:pt idx="3">
                  <c:v>43.306017000000004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18.768717309508006</c:v>
                </c:pt>
                <c:pt idx="1">
                  <c:v>7.3838509999999955</c:v>
                </c:pt>
                <c:pt idx="2">
                  <c:v>25.100052999999999</c:v>
                </c:pt>
                <c:pt idx="3">
                  <c:v>21.678912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2.3362584024809929</c:v>
                </c:pt>
                <c:pt idx="1">
                  <c:v>1.0480700000000001</c:v>
                </c:pt>
                <c:pt idx="2">
                  <c:v>-7.3980539999999975</c:v>
                </c:pt>
                <c:pt idx="3">
                  <c:v>13.336154000000002</c:v>
                </c:pt>
              </c:numCache>
            </c:numRef>
          </c:val>
        </c:ser>
        <c:axId val="92474752"/>
        <c:axId val="92476544"/>
      </c:barChart>
      <c:catAx>
        <c:axId val="92474752"/>
        <c:scaling>
          <c:orientation val="minMax"/>
        </c:scaling>
        <c:axPos val="b"/>
        <c:majorGridlines>
          <c:spPr>
            <a:ln w="952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40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92476544"/>
        <c:crosses val="autoZero"/>
        <c:auto val="1"/>
        <c:lblAlgn val="ctr"/>
        <c:lblOffset val="100"/>
      </c:catAx>
      <c:valAx>
        <c:axId val="92476544"/>
        <c:scaling>
          <c:orientation val="minMax"/>
          <c:min val="-10"/>
        </c:scaling>
        <c:axPos val="l"/>
        <c:majorGridlines>
          <c:spPr>
            <a:ln w="15879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53"/>
        </c:spPr>
        <c:crossAx val="92474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674538636656"/>
          <c:y val="0.45208772632234817"/>
          <c:w val="0.15180249292688774"/>
          <c:h val="0.2553085101650461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chefs d'entreprises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5946733652156E-2"/>
        </c:manualLayout>
      </c:layout>
    </c:title>
    <c:plotArea>
      <c:layout>
        <c:manualLayout>
          <c:layoutTarget val="inner"/>
          <c:xMode val="edge"/>
          <c:yMode val="edge"/>
          <c:x val="0.16991813700341307"/>
          <c:y val="0.20474763381850014"/>
          <c:w val="0.68109180403441216"/>
          <c:h val="0.68511536057992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28.02</c:v>
                </c:pt>
                <c:pt idx="1">
                  <c:v>3.8499999999999988</c:v>
                </c:pt>
                <c:pt idx="2">
                  <c:v>70.260000000000005</c:v>
                </c:pt>
                <c:pt idx="3">
                  <c:v>68.25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55.720000000000013</c:v>
                </c:pt>
                <c:pt idx="1">
                  <c:v>96.149999999999991</c:v>
                </c:pt>
                <c:pt idx="2">
                  <c:v>29.74</c:v>
                </c:pt>
                <c:pt idx="3">
                  <c:v>28.7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16.260000000000002</c:v>
                </c:pt>
                <c:pt idx="1">
                  <c:v>0</c:v>
                </c:pt>
                <c:pt idx="2">
                  <c:v>0</c:v>
                </c:pt>
                <c:pt idx="3">
                  <c:v>3.04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11.76</c:v>
                </c:pt>
                <c:pt idx="1">
                  <c:v>3.8499999999999988</c:v>
                </c:pt>
                <c:pt idx="2">
                  <c:v>70.260000000000005</c:v>
                </c:pt>
                <c:pt idx="3">
                  <c:v>65.209999999999994</c:v>
                </c:pt>
              </c:numCache>
            </c:numRef>
          </c:val>
        </c:ser>
        <c:axId val="92429312"/>
        <c:axId val="92488448"/>
      </c:barChart>
      <c:catAx>
        <c:axId val="92429312"/>
        <c:scaling>
          <c:orientation val="minMax"/>
        </c:scaling>
        <c:axPos val="b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92488448"/>
        <c:crosses val="autoZero"/>
        <c:auto val="1"/>
        <c:lblAlgn val="ctr"/>
        <c:lblOffset val="100"/>
      </c:catAx>
      <c:valAx>
        <c:axId val="92488448"/>
        <c:scaling>
          <c:orientation val="minMax"/>
          <c:max val="100"/>
          <c:min val="0"/>
        </c:scaling>
        <c:axPos val="l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92429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94246532308948"/>
          <c:y val="0.35611521061881768"/>
          <c:w val="0.14278945616077018"/>
          <c:h val="0.3251324412669274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</a:t>
            </a:r>
            <a:r>
              <a:rPr lang="fr-FR" baseline="0"/>
              <a:t> (</a:t>
            </a:r>
            <a:r>
              <a:rPr lang="fr-FR"/>
              <a:t>proportion en %)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903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25.450850467351088</c:v>
                </c:pt>
                <c:pt idx="1">
                  <c:v>17.841370000000001</c:v>
                </c:pt>
                <c:pt idx="2">
                  <c:v>23.11421600000002</c:v>
                </c:pt>
                <c:pt idx="3">
                  <c:v>34.102608000000011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49.109453804308302</c:v>
                </c:pt>
                <c:pt idx="1">
                  <c:v>77.284761000000003</c:v>
                </c:pt>
                <c:pt idx="2">
                  <c:v>28.150970000000033</c:v>
                </c:pt>
                <c:pt idx="3">
                  <c:v>47.308275000000002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25.439693377282889</c:v>
                </c:pt>
                <c:pt idx="1">
                  <c:v>4.8738669999999997</c:v>
                </c:pt>
                <c:pt idx="2">
                  <c:v>48.734812000000012</c:v>
                </c:pt>
                <c:pt idx="3">
                  <c:v>18.589113999999974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1.1157090068168797E-2</c:v>
                </c:pt>
                <c:pt idx="1">
                  <c:v>12.967503000000002</c:v>
                </c:pt>
                <c:pt idx="2">
                  <c:v>-25.620595999999999</c:v>
                </c:pt>
                <c:pt idx="3">
                  <c:v>15.51349400000001</c:v>
                </c:pt>
              </c:numCache>
            </c:numRef>
          </c:val>
        </c:ser>
        <c:axId val="92605056"/>
        <c:axId val="92619136"/>
      </c:barChart>
      <c:catAx>
        <c:axId val="92605056"/>
        <c:scaling>
          <c:orientation val="minMax"/>
        </c:scaling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619136"/>
        <c:crosses val="autoZero"/>
        <c:auto val="1"/>
        <c:lblAlgn val="ctr"/>
        <c:lblOffset val="100"/>
      </c:catAx>
      <c:valAx>
        <c:axId val="92619136"/>
        <c:scaling>
          <c:orientation val="minMax"/>
          <c:max val="90"/>
          <c:min val="-30"/>
        </c:scaling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60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0050883261"/>
          <c:y val="0.3666193669254274"/>
          <c:w val="0.15663719949117036"/>
          <c:h val="0.2573295122561976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96E7-46E5-4A93-B88A-C7D470F3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827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10</cp:revision>
  <cp:lastPrinted>2018-03-20T16:01:00Z</cp:lastPrinted>
  <dcterms:created xsi:type="dcterms:W3CDTF">2018-03-21T13:46:00Z</dcterms:created>
  <dcterms:modified xsi:type="dcterms:W3CDTF">2018-03-21T14:24:00Z</dcterms:modified>
</cp:coreProperties>
</file>