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E" w:rsidRPr="004F14D0" w:rsidRDefault="009D25ED" w:rsidP="00676F31">
      <w:pPr>
        <w:autoSpaceDE w:val="0"/>
        <w:autoSpaceDN w:val="0"/>
        <w:adjustRightInd w:val="0"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5123030" r:id="rId8"/>
        </w:pict>
      </w:r>
    </w:p>
    <w:p w:rsidR="003A617E" w:rsidRPr="004F14D0" w:rsidRDefault="003A617E" w:rsidP="00676F31">
      <w:pPr>
        <w:autoSpaceDE w:val="0"/>
        <w:autoSpaceDN w:val="0"/>
        <w:adjustRightInd w:val="0"/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</w:p>
    <w:p w:rsidR="003A617E" w:rsidRPr="00706D05" w:rsidRDefault="003A617E" w:rsidP="00706D05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</w:pP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Note d’information 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  <w:t>du Haut-Commissariat au Plan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  <w:t xml:space="preserve">A l’occasion de la journée </w:t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internationale</w:t>
      </w:r>
      <w:r w:rsidR="00720ABA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 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des </w:t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migrants</w:t>
      </w:r>
      <w:r w:rsidR="00CE308F" w:rsidRPr="00706D05">
        <w:rPr>
          <w:rFonts w:asciiTheme="majorBidi" w:hAnsiTheme="majorBidi" w:cstheme="majorBidi" w:hint="cs"/>
          <w:b/>
          <w:bCs/>
          <w:smallCaps/>
          <w:color w:val="0000FF"/>
          <w:sz w:val="32"/>
          <w:szCs w:val="32"/>
          <w:rtl/>
        </w:rPr>
        <w:br/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18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 décembre 2017</w:t>
      </w:r>
    </w:p>
    <w:p w:rsidR="00684389" w:rsidRDefault="00684389" w:rsidP="00684389">
      <w:pPr>
        <w:pStyle w:val="Paragraphedeliste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935E7" w:rsidRPr="00862BFD" w:rsidRDefault="001549C9" w:rsidP="009F1338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l’occasion de la journée internationale des migrants, le Haut Commissariat au Plan </w:t>
      </w:r>
      <w:r w:rsidR="005935E7">
        <w:rPr>
          <w:rFonts w:ascii="Times New Roman" w:hAnsi="Times New Roman" w:cs="Times New Roman"/>
          <w:sz w:val="26"/>
          <w:szCs w:val="26"/>
        </w:rPr>
        <w:t xml:space="preserve">donne </w:t>
      </w:r>
      <w:r w:rsidR="005935E7" w:rsidRPr="00862BFD">
        <w:rPr>
          <w:rFonts w:ascii="Times New Roman" w:hAnsi="Times New Roman" w:cs="Times New Roman"/>
          <w:sz w:val="26"/>
          <w:szCs w:val="26"/>
        </w:rPr>
        <w:t>la répartition spatiale des résidents étrangers au Maroc, leurs caractéristiques démographiques et socio-économiques ainsi que leurs condition</w:t>
      </w:r>
      <w:r w:rsidR="00C063F3">
        <w:rPr>
          <w:rFonts w:ascii="Times New Roman" w:hAnsi="Times New Roman" w:cs="Times New Roman"/>
          <w:sz w:val="26"/>
          <w:szCs w:val="26"/>
        </w:rPr>
        <w:t>s</w:t>
      </w:r>
      <w:r w:rsidR="005935E7" w:rsidRPr="00862BFD">
        <w:rPr>
          <w:rFonts w:ascii="Times New Roman" w:hAnsi="Times New Roman" w:cs="Times New Roman"/>
          <w:sz w:val="26"/>
          <w:szCs w:val="26"/>
        </w:rPr>
        <w:t xml:space="preserve"> d’habitat ; sur la</w:t>
      </w:r>
      <w:r w:rsidR="009C04D0">
        <w:rPr>
          <w:rFonts w:ascii="Times New Roman" w:hAnsi="Times New Roman" w:cs="Times New Roman"/>
          <w:sz w:val="26"/>
          <w:szCs w:val="26"/>
        </w:rPr>
        <w:t xml:space="preserve"> base des données du R</w:t>
      </w:r>
      <w:r w:rsidR="009F1338">
        <w:rPr>
          <w:rFonts w:ascii="Times New Roman" w:hAnsi="Times New Roman" w:cs="Times New Roman"/>
          <w:sz w:val="26"/>
          <w:szCs w:val="26"/>
        </w:rPr>
        <w:t xml:space="preserve">ecensement Général de la Population et de l’Habitat de </w:t>
      </w:r>
      <w:r w:rsidR="009C04D0">
        <w:rPr>
          <w:rFonts w:ascii="Times New Roman" w:hAnsi="Times New Roman" w:cs="Times New Roman"/>
          <w:sz w:val="26"/>
          <w:szCs w:val="26"/>
        </w:rPr>
        <w:t>2014.</w:t>
      </w:r>
    </w:p>
    <w:p w:rsidR="00C34A6E" w:rsidRPr="00C34A6E" w:rsidRDefault="00C34A6E" w:rsidP="005935E7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4A6E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Plus de 84000 étrangers résident au Maroc</w:t>
      </w:r>
    </w:p>
    <w:p w:rsidR="00A31136" w:rsidRDefault="00C063F3" w:rsidP="00C063F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Lato" w:hAnsi="Lato"/>
          <w:color w:val="42404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A31136" w:rsidRPr="00862BFD">
        <w:rPr>
          <w:rFonts w:ascii="Times New Roman" w:hAnsi="Times New Roman" w:cs="Times New Roman"/>
          <w:sz w:val="26"/>
          <w:szCs w:val="26"/>
        </w:rPr>
        <w:t xml:space="preserve">e Maroc, pôle traditionnel d’émigration vers l’Europe, </w:t>
      </w:r>
      <w:r w:rsidR="00A31136">
        <w:rPr>
          <w:rFonts w:ascii="Times New Roman" w:hAnsi="Times New Roman" w:cs="Times New Roman"/>
          <w:sz w:val="26"/>
          <w:szCs w:val="26"/>
        </w:rPr>
        <w:t xml:space="preserve">et </w:t>
      </w:r>
      <w:r w:rsidR="00A31136" w:rsidRPr="00862BFD">
        <w:rPr>
          <w:rFonts w:ascii="Times New Roman" w:hAnsi="Times New Roman" w:cs="Times New Roman"/>
          <w:sz w:val="26"/>
          <w:szCs w:val="26"/>
        </w:rPr>
        <w:t>considéré comme un pays de transit, est devenu un pays d’accueil d’immigrés</w:t>
      </w:r>
      <w:r w:rsidR="00A31136" w:rsidRPr="00862BFD">
        <w:rPr>
          <w:rFonts w:ascii="Lato" w:hAnsi="Lato"/>
          <w:color w:val="424040"/>
          <w:sz w:val="26"/>
          <w:szCs w:val="26"/>
          <w:shd w:val="clear" w:color="auto" w:fill="FFFFFF"/>
        </w:rPr>
        <w:t>.</w:t>
      </w:r>
    </w:p>
    <w:p w:rsidR="00684389" w:rsidRPr="00862BFD" w:rsidRDefault="00684389" w:rsidP="00C063F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Sur une population de 33,8 millions d’habitants recensé</w:t>
      </w:r>
      <w:r w:rsidR="00C063F3">
        <w:rPr>
          <w:rFonts w:ascii="Times New Roman" w:hAnsi="Times New Roman" w:cs="Times New Roman"/>
          <w:sz w:val="26"/>
          <w:szCs w:val="26"/>
        </w:rPr>
        <w:t>s</w:t>
      </w:r>
      <w:r w:rsidRPr="00862BFD">
        <w:rPr>
          <w:rFonts w:ascii="Times New Roman" w:hAnsi="Times New Roman" w:cs="Times New Roman"/>
          <w:sz w:val="26"/>
          <w:szCs w:val="26"/>
        </w:rPr>
        <w:t xml:space="preserve"> en 2014, le nombre d’étrangers résidant au Maroc a atteint 84 001 habitants ; soit une proportion de 0,25% de l’ensemble de la population marocaine.</w:t>
      </w:r>
    </w:p>
    <w:p w:rsidR="00684389" w:rsidRDefault="00C063F3" w:rsidP="00F9658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684389" w:rsidRPr="00862BFD">
        <w:rPr>
          <w:rFonts w:ascii="Times New Roman" w:hAnsi="Times New Roman" w:cs="Times New Roman"/>
          <w:sz w:val="26"/>
          <w:szCs w:val="26"/>
        </w:rPr>
        <w:t>a population étrangère au Maroc a enregistré un accroissement absolu de 32 566 étrangers</w:t>
      </w:r>
      <w:r>
        <w:rPr>
          <w:rFonts w:ascii="Times New Roman" w:hAnsi="Times New Roman" w:cs="Times New Roman"/>
          <w:sz w:val="26"/>
          <w:szCs w:val="26"/>
        </w:rPr>
        <w:t xml:space="preserve"> par rapport à 2004</w:t>
      </w:r>
      <w:r w:rsidR="00684389" w:rsidRPr="00862BFD">
        <w:rPr>
          <w:rFonts w:ascii="Times New Roman" w:hAnsi="Times New Roman" w:cs="Times New Roman"/>
          <w:sz w:val="26"/>
          <w:szCs w:val="26"/>
        </w:rPr>
        <w:t>, soit un taux d’accroissement global de 63,3% sur la période intercensitaire.</w:t>
      </w:r>
      <w:r w:rsidR="00372B9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603D8" w:rsidRPr="003603D8" w:rsidRDefault="003603D8" w:rsidP="003603D8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Presque 80000</w:t>
      </w:r>
      <w:r w:rsidRPr="003603D8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étrangers sont installés en milieu urbain</w:t>
      </w:r>
    </w:p>
    <w:p w:rsidR="00684389" w:rsidRPr="00862BFD" w:rsidRDefault="00A31136" w:rsidP="007A177E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a population étrangère est </w:t>
      </w:r>
      <w:r w:rsidR="007A177E">
        <w:rPr>
          <w:rFonts w:ascii="Times New Roman" w:hAnsi="Times New Roman" w:cs="Times New Roman"/>
          <w:sz w:val="26"/>
          <w:szCs w:val="26"/>
        </w:rPr>
        <w:t>à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95,2% installé</w:t>
      </w:r>
      <w:r w:rsidR="007A177E">
        <w:rPr>
          <w:rFonts w:ascii="Times New Roman" w:hAnsi="Times New Roman" w:cs="Times New Roman"/>
          <w:sz w:val="26"/>
          <w:szCs w:val="26"/>
        </w:rPr>
        <w:t>e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en milieu urbain </w:t>
      </w:r>
      <w:r w:rsidR="007A177E">
        <w:rPr>
          <w:rFonts w:ascii="Times New Roman" w:hAnsi="Times New Roman" w:cs="Times New Roman"/>
          <w:sz w:val="26"/>
          <w:szCs w:val="26"/>
        </w:rPr>
        <w:t>(</w:t>
      </w:r>
      <w:r w:rsidR="007A177E" w:rsidRPr="00862BFD">
        <w:rPr>
          <w:rFonts w:ascii="Times New Roman" w:hAnsi="Times New Roman" w:cs="Times New Roman"/>
          <w:sz w:val="26"/>
          <w:szCs w:val="26"/>
        </w:rPr>
        <w:t>79 988 étrangers</w:t>
      </w:r>
      <w:r w:rsidR="007A177E">
        <w:rPr>
          <w:rFonts w:ascii="Times New Roman" w:hAnsi="Times New Roman" w:cs="Times New Roman"/>
          <w:sz w:val="26"/>
          <w:szCs w:val="26"/>
        </w:rPr>
        <w:t>)</w:t>
      </w:r>
      <w:r w:rsidR="00684389" w:rsidRPr="00862BFD">
        <w:rPr>
          <w:rFonts w:ascii="Times New Roman" w:hAnsi="Times New Roman" w:cs="Times New Roman"/>
          <w:sz w:val="26"/>
          <w:szCs w:val="26"/>
        </w:rPr>
        <w:t>contre 4,8% (4013 étrangers) en milieu rural.</w:t>
      </w:r>
      <w:r w:rsidR="007A177E">
        <w:rPr>
          <w:rFonts w:ascii="Times New Roman" w:hAnsi="Times New Roman" w:cs="Times New Roman"/>
          <w:sz w:val="26"/>
          <w:szCs w:val="26"/>
        </w:rPr>
        <w:t>Elle est à</w:t>
      </w:r>
      <w:r w:rsidR="007A177E" w:rsidRPr="00862BFD">
        <w:rPr>
          <w:rFonts w:ascii="Times New Roman" w:hAnsi="Times New Roman" w:cs="Times New Roman"/>
          <w:sz w:val="26"/>
          <w:szCs w:val="26"/>
        </w:rPr>
        <w:t xml:space="preserve"> plus de la moitié mariée</w:t>
      </w:r>
      <w:r w:rsidR="004D65E4">
        <w:rPr>
          <w:rFonts w:ascii="Times New Roman" w:hAnsi="Times New Roman" w:cs="Times New Roman"/>
          <w:sz w:val="26"/>
          <w:szCs w:val="26"/>
        </w:rPr>
        <w:t xml:space="preserve"> (57,5%), avec</w:t>
      </w:r>
      <w:r w:rsidR="004D65E4" w:rsidRPr="00834AFD">
        <w:rPr>
          <w:rFonts w:ascii="Times New Roman" w:hAnsi="Times New Roman" w:cs="Times New Roman"/>
          <w:sz w:val="26"/>
          <w:szCs w:val="26"/>
        </w:rPr>
        <w:t>une légère domination du sexe masculin (56,5%, 47 484 d’hommes contre 43,5%, 36 517 de femmes)</w:t>
      </w:r>
      <w:r w:rsidR="004D65E4">
        <w:rPr>
          <w:rFonts w:ascii="Times New Roman" w:hAnsi="Times New Roman" w:cs="Times New Roman"/>
          <w:sz w:val="26"/>
          <w:szCs w:val="26"/>
        </w:rPr>
        <w:t>.</w:t>
      </w:r>
    </w:p>
    <w:p w:rsidR="00834AFD" w:rsidRPr="00834AFD" w:rsidRDefault="00D846BD" w:rsidP="00D846BD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834AFD" w:rsidRPr="00834AFD">
        <w:rPr>
          <w:rFonts w:ascii="Times New Roman" w:hAnsi="Times New Roman" w:cs="Times New Roman"/>
          <w:sz w:val="26"/>
          <w:szCs w:val="26"/>
        </w:rPr>
        <w:t>a population étrangère est relativement plus âgée</w:t>
      </w:r>
      <w:r>
        <w:rPr>
          <w:rFonts w:ascii="Times New Roman" w:hAnsi="Times New Roman" w:cs="Times New Roman"/>
          <w:sz w:val="26"/>
          <w:szCs w:val="26"/>
        </w:rPr>
        <w:t xml:space="preserve">que </w:t>
      </w:r>
      <w:r w:rsidRPr="00834AFD">
        <w:rPr>
          <w:rFonts w:ascii="Times New Roman" w:hAnsi="Times New Roman" w:cs="Times New Roman"/>
          <w:sz w:val="26"/>
          <w:szCs w:val="26"/>
        </w:rPr>
        <w:t>lapopulation marocaine</w:t>
      </w:r>
      <w:r w:rsidR="00834AFD">
        <w:rPr>
          <w:rFonts w:ascii="Times New Roman" w:hAnsi="Times New Roman" w:cs="Times New Roman"/>
          <w:sz w:val="26"/>
          <w:szCs w:val="26"/>
        </w:rPr>
        <w:t xml:space="preserve">. </w:t>
      </w:r>
      <w:r w:rsidR="00834AFD" w:rsidRPr="00834AFD">
        <w:rPr>
          <w:rFonts w:ascii="Times New Roman" w:hAnsi="Times New Roman" w:cs="Times New Roman"/>
          <w:sz w:val="26"/>
          <w:szCs w:val="26"/>
        </w:rPr>
        <w:t>17,8%</w:t>
      </w:r>
      <w:r w:rsidR="00834AFD">
        <w:rPr>
          <w:rFonts w:ascii="Times New Roman" w:hAnsi="Times New Roman" w:cs="Times New Roman"/>
          <w:sz w:val="26"/>
          <w:szCs w:val="26"/>
        </w:rPr>
        <w:t xml:space="preserve"> ont moins de 15 ans contre 28</w:t>
      </w:r>
      <w:r>
        <w:rPr>
          <w:rFonts w:ascii="Times New Roman" w:hAnsi="Times New Roman" w:cs="Times New Roman"/>
          <w:sz w:val="26"/>
          <w:szCs w:val="26"/>
        </w:rPr>
        <w:t>,2</w:t>
      </w:r>
      <w:r w:rsidR="00834AFD">
        <w:rPr>
          <w:rFonts w:ascii="Times New Roman" w:hAnsi="Times New Roman" w:cs="Times New Roman"/>
          <w:sz w:val="26"/>
          <w:szCs w:val="26"/>
        </w:rPr>
        <w:t xml:space="preserve">% pour la population </w:t>
      </w:r>
      <w:r w:rsidR="004D65E4">
        <w:rPr>
          <w:rFonts w:ascii="Times New Roman" w:hAnsi="Times New Roman" w:cs="Times New Roman"/>
          <w:sz w:val="26"/>
          <w:szCs w:val="26"/>
        </w:rPr>
        <w:t>marocaine</w:t>
      </w:r>
      <w:r w:rsidR="004D65E4" w:rsidRPr="00834AFD">
        <w:rPr>
          <w:rFonts w:ascii="Times New Roman" w:hAnsi="Times New Roman" w:cs="Times New Roman"/>
          <w:sz w:val="26"/>
          <w:szCs w:val="26"/>
        </w:rPr>
        <w:t> ;</w:t>
      </w:r>
      <w:r w:rsidR="00834AFD" w:rsidRPr="00834AFD">
        <w:rPr>
          <w:rFonts w:ascii="Times New Roman" w:hAnsi="Times New Roman" w:cs="Times New Roman"/>
          <w:sz w:val="26"/>
          <w:szCs w:val="26"/>
        </w:rPr>
        <w:t xml:space="preserve"> 66,5% </w:t>
      </w:r>
      <w:r w:rsidR="00834AFD">
        <w:rPr>
          <w:rFonts w:ascii="Times New Roman" w:hAnsi="Times New Roman" w:cs="Times New Roman"/>
          <w:sz w:val="26"/>
          <w:szCs w:val="26"/>
        </w:rPr>
        <w:t xml:space="preserve">entre 15 et 59 ans contre </w:t>
      </w:r>
      <w:r w:rsidR="00834AFD" w:rsidRPr="00834AFD">
        <w:rPr>
          <w:rFonts w:ascii="Times New Roman" w:hAnsi="Times New Roman" w:cs="Times New Roman"/>
          <w:sz w:val="26"/>
          <w:szCs w:val="26"/>
        </w:rPr>
        <w:t xml:space="preserve">62,4% et 15,7% </w:t>
      </w:r>
      <w:r w:rsidR="003A0905">
        <w:rPr>
          <w:rFonts w:ascii="Times New Roman" w:hAnsi="Times New Roman" w:cs="Times New Roman"/>
          <w:sz w:val="26"/>
          <w:szCs w:val="26"/>
        </w:rPr>
        <w:t>ont</w:t>
      </w:r>
      <w:r w:rsidR="00834AFD">
        <w:rPr>
          <w:rFonts w:ascii="Times New Roman" w:hAnsi="Times New Roman" w:cs="Times New Roman"/>
          <w:sz w:val="26"/>
          <w:szCs w:val="26"/>
        </w:rPr>
        <w:t xml:space="preserve"> 60 ans et plus contre 9,</w:t>
      </w:r>
      <w:r>
        <w:rPr>
          <w:rFonts w:ascii="Times New Roman" w:hAnsi="Times New Roman" w:cs="Times New Roman"/>
          <w:sz w:val="26"/>
          <w:szCs w:val="26"/>
        </w:rPr>
        <w:t>4</w:t>
      </w:r>
      <w:r w:rsidR="00834AFD">
        <w:rPr>
          <w:rFonts w:ascii="Times New Roman" w:hAnsi="Times New Roman" w:cs="Times New Roman"/>
          <w:sz w:val="26"/>
          <w:szCs w:val="26"/>
        </w:rPr>
        <w:t>%.</w:t>
      </w:r>
    </w:p>
    <w:p w:rsidR="00E90CE5" w:rsidRPr="00E90CE5" w:rsidRDefault="00E90CE5" w:rsidP="00E90CE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E90CE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40% des étrangers sont des européens et 41,6% des africains</w:t>
      </w:r>
    </w:p>
    <w:p w:rsidR="00E90CE5" w:rsidRPr="00E90CE5" w:rsidRDefault="00E90CE5" w:rsidP="00F60FDC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0CE5">
        <w:rPr>
          <w:rFonts w:ascii="Times New Roman" w:hAnsi="Times New Roman" w:cs="Times New Roman"/>
          <w:sz w:val="26"/>
          <w:szCs w:val="26"/>
        </w:rPr>
        <w:t>40% (33 615) des étrangers sont de</w:t>
      </w:r>
      <w:r w:rsidR="00F60FDC">
        <w:rPr>
          <w:rFonts w:ascii="Times New Roman" w:hAnsi="Times New Roman" w:cs="Times New Roman"/>
          <w:sz w:val="26"/>
          <w:szCs w:val="26"/>
        </w:rPr>
        <w:t>s</w:t>
      </w:r>
      <w:r w:rsidRPr="00E90CE5">
        <w:rPr>
          <w:rFonts w:ascii="Times New Roman" w:hAnsi="Times New Roman" w:cs="Times New Roman"/>
          <w:sz w:val="26"/>
          <w:szCs w:val="26"/>
        </w:rPr>
        <w:t xml:space="preserve"> européen</w:t>
      </w:r>
      <w:r w:rsidR="00F60FDC">
        <w:rPr>
          <w:rFonts w:ascii="Times New Roman" w:hAnsi="Times New Roman" w:cs="Times New Roman"/>
          <w:sz w:val="26"/>
          <w:szCs w:val="26"/>
        </w:rPr>
        <w:t>s</w:t>
      </w:r>
      <w:r w:rsidRPr="00E90CE5">
        <w:rPr>
          <w:rFonts w:ascii="Times New Roman" w:hAnsi="Times New Roman" w:cs="Times New Roman"/>
          <w:sz w:val="26"/>
          <w:szCs w:val="26"/>
        </w:rPr>
        <w:t xml:space="preserve">, 41,6% (34 966) </w:t>
      </w:r>
      <w:r w:rsidR="00F60FDC">
        <w:rPr>
          <w:rFonts w:ascii="Times New Roman" w:hAnsi="Times New Roman" w:cs="Times New Roman"/>
          <w:sz w:val="26"/>
          <w:szCs w:val="26"/>
        </w:rPr>
        <w:t xml:space="preserve">des africains </w:t>
      </w:r>
      <w:r w:rsidRPr="00E90CE5">
        <w:rPr>
          <w:rFonts w:ascii="Times New Roman" w:hAnsi="Times New Roman" w:cs="Times New Roman"/>
          <w:sz w:val="26"/>
          <w:szCs w:val="26"/>
        </w:rPr>
        <w:t>(dont 64,5% (22 545) sont issus de pays subsahariens et 31,9% (11 142) du Maghreb), 15,2% (12 771) des pays d’Asie (dont 82,8% (10 573) du moyen orient</w:t>
      </w:r>
      <w:r w:rsidRPr="00E90CE5">
        <w:rPr>
          <w:rStyle w:val="Appelnotedebasdep"/>
          <w:rFonts w:ascii="Times New Roman" w:hAnsi="Times New Roman" w:cs="Times New Roman"/>
          <w:sz w:val="26"/>
          <w:szCs w:val="26"/>
        </w:rPr>
        <w:footnoteReference w:id="2"/>
      </w:r>
      <w:r w:rsidRPr="00E90CE5">
        <w:rPr>
          <w:rFonts w:ascii="Times New Roman" w:hAnsi="Times New Roman" w:cs="Times New Roman"/>
          <w:sz w:val="26"/>
          <w:szCs w:val="26"/>
        </w:rPr>
        <w:t>) et enfin 3,2% (2649) proviennent d’autre</w:t>
      </w:r>
      <w:r w:rsidR="00F60FDC">
        <w:rPr>
          <w:rFonts w:ascii="Times New Roman" w:hAnsi="Times New Roman" w:cs="Times New Roman"/>
          <w:sz w:val="26"/>
          <w:szCs w:val="26"/>
        </w:rPr>
        <w:t>scontinents</w:t>
      </w:r>
      <w:r w:rsidRPr="00E90CE5">
        <w:rPr>
          <w:rFonts w:ascii="Times New Roman" w:hAnsi="Times New Roman" w:cs="Times New Roman"/>
          <w:sz w:val="26"/>
          <w:szCs w:val="26"/>
        </w:rPr>
        <w:t xml:space="preserve"> (dont 76,9% (2037) des pays d’Amérique)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389" w:rsidRPr="00862BFD" w:rsidRDefault="00D2464B" w:rsidP="00D2464B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U</w:t>
      </w:r>
      <w:r w:rsidR="00684389" w:rsidRPr="00862BFD">
        <w:rPr>
          <w:rFonts w:ascii="Times New Roman" w:hAnsi="Times New Roman" w:cs="Times New Roman"/>
          <w:sz w:val="26"/>
          <w:szCs w:val="26"/>
        </w:rPr>
        <w:t>ne nette domination de la communauté frança</w:t>
      </w:r>
      <w:r w:rsidR="008247A1">
        <w:rPr>
          <w:rFonts w:ascii="Times New Roman" w:hAnsi="Times New Roman" w:cs="Times New Roman"/>
          <w:sz w:val="26"/>
          <w:szCs w:val="26"/>
        </w:rPr>
        <w:t xml:space="preserve">ise </w:t>
      </w:r>
      <w:r w:rsidR="005D6B05">
        <w:rPr>
          <w:rFonts w:ascii="Times New Roman" w:hAnsi="Times New Roman" w:cs="Times New Roman"/>
          <w:sz w:val="26"/>
          <w:szCs w:val="26"/>
        </w:rPr>
        <w:t xml:space="preserve">(25,4%) </w:t>
      </w:r>
      <w:r w:rsidR="008247A1">
        <w:rPr>
          <w:rFonts w:ascii="Times New Roman" w:hAnsi="Times New Roman" w:cs="Times New Roman"/>
          <w:sz w:val="26"/>
          <w:szCs w:val="26"/>
        </w:rPr>
        <w:t>suivi</w:t>
      </w:r>
      <w:r>
        <w:rPr>
          <w:rFonts w:ascii="Times New Roman" w:hAnsi="Times New Roman" w:cs="Times New Roman"/>
          <w:sz w:val="26"/>
          <w:szCs w:val="26"/>
        </w:rPr>
        <w:t>e</w:t>
      </w:r>
      <w:r w:rsidR="008247A1">
        <w:rPr>
          <w:rFonts w:ascii="Times New Roman" w:hAnsi="Times New Roman" w:cs="Times New Roman"/>
          <w:sz w:val="26"/>
          <w:szCs w:val="26"/>
        </w:rPr>
        <w:t xml:space="preserve"> de celle sénégalaise</w:t>
      </w:r>
      <w:r w:rsidR="005D6B05">
        <w:rPr>
          <w:rFonts w:ascii="Times New Roman" w:hAnsi="Times New Roman" w:cs="Times New Roman"/>
          <w:sz w:val="26"/>
          <w:szCs w:val="26"/>
        </w:rPr>
        <w:t xml:space="preserve"> (7,2%), algérienne (6,8%)</w:t>
      </w:r>
      <w:r w:rsidR="00AC2D18">
        <w:rPr>
          <w:rFonts w:ascii="Times New Roman" w:hAnsi="Times New Roman" w:cs="Times New Roman"/>
          <w:sz w:val="26"/>
          <w:szCs w:val="26"/>
        </w:rPr>
        <w:t xml:space="preserve"> et 6,2% des syriens.</w:t>
      </w:r>
    </w:p>
    <w:p w:rsidR="004021AA" w:rsidRPr="00FC769E" w:rsidRDefault="00FC769E" w:rsidP="00FC769E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FC769E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95,1% des étrangers sont alphabétisés</w:t>
      </w:r>
      <w:r w:rsid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et 41,3% sont actifs occupés</w:t>
      </w:r>
    </w:p>
    <w:p w:rsidR="00087EAB" w:rsidRPr="00AA6ADE" w:rsidRDefault="00684389" w:rsidP="007B751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ADE">
        <w:rPr>
          <w:rFonts w:ascii="Times New Roman" w:hAnsi="Times New Roman" w:cs="Times New Roman"/>
          <w:sz w:val="26"/>
          <w:szCs w:val="26"/>
        </w:rPr>
        <w:t xml:space="preserve">C’est une population </w:t>
      </w:r>
      <w:r w:rsidR="007B7513">
        <w:rPr>
          <w:rFonts w:ascii="Times New Roman" w:hAnsi="Times New Roman" w:cs="Times New Roman"/>
          <w:sz w:val="26"/>
          <w:szCs w:val="26"/>
        </w:rPr>
        <w:t>avec</w:t>
      </w:r>
      <w:r w:rsidRPr="00AA6ADE">
        <w:rPr>
          <w:rFonts w:ascii="Times New Roman" w:hAnsi="Times New Roman" w:cs="Times New Roman"/>
          <w:sz w:val="26"/>
          <w:szCs w:val="26"/>
        </w:rPr>
        <w:t xml:space="preserve"> un niveau assez haut d’alphabétisation </w:t>
      </w:r>
      <w:r w:rsidR="00FC769E" w:rsidRPr="00AA6ADE">
        <w:rPr>
          <w:rFonts w:ascii="Times New Roman" w:hAnsi="Times New Roman" w:cs="Times New Roman"/>
          <w:sz w:val="26"/>
          <w:szCs w:val="26"/>
        </w:rPr>
        <w:t>(95,1%)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. 84% (57879) des étrangers âgés de 15 ans et plus ont au moins </w:t>
      </w:r>
      <w:r w:rsidR="007B7513">
        <w:rPr>
          <w:rFonts w:ascii="Times New Roman" w:hAnsi="Times New Roman" w:cs="Times New Roman"/>
          <w:sz w:val="26"/>
          <w:szCs w:val="26"/>
        </w:rPr>
        <w:t>le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 niveau secondaire et 51% (35 254) ont </w:t>
      </w:r>
      <w:r w:rsidR="007B7513">
        <w:rPr>
          <w:rFonts w:ascii="Times New Roman" w:hAnsi="Times New Roman" w:cs="Times New Roman"/>
          <w:sz w:val="26"/>
          <w:szCs w:val="26"/>
        </w:rPr>
        <w:t>le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 niveau supérieur.</w:t>
      </w:r>
    </w:p>
    <w:p w:rsidR="00087EAB" w:rsidRPr="00087EAB" w:rsidRDefault="00AA6ADE" w:rsidP="00FE1F2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ADE">
        <w:rPr>
          <w:rFonts w:ascii="Times New Roman" w:hAnsi="Times New Roman" w:cs="Times New Roman"/>
          <w:sz w:val="26"/>
          <w:szCs w:val="26"/>
        </w:rPr>
        <w:t>67,0%</w:t>
      </w:r>
      <w:r>
        <w:rPr>
          <w:rFonts w:ascii="Times New Roman" w:hAnsi="Times New Roman" w:cs="Times New Roman"/>
          <w:sz w:val="26"/>
          <w:szCs w:val="26"/>
        </w:rPr>
        <w:t xml:space="preserve"> des étrangers </w:t>
      </w:r>
      <w:r w:rsidR="00AE4412">
        <w:rPr>
          <w:rFonts w:ascii="Times New Roman" w:hAnsi="Times New Roman" w:cs="Times New Roman"/>
          <w:sz w:val="26"/>
          <w:szCs w:val="26"/>
        </w:rPr>
        <w:t xml:space="preserve">sont </w:t>
      </w:r>
      <w:r>
        <w:rPr>
          <w:rFonts w:ascii="Times New Roman" w:hAnsi="Times New Roman" w:cs="Times New Roman"/>
          <w:sz w:val="26"/>
          <w:szCs w:val="26"/>
        </w:rPr>
        <w:t xml:space="preserve">des </w:t>
      </w:r>
      <w:r w:rsidRPr="00AA6ADE">
        <w:rPr>
          <w:rFonts w:ascii="Times New Roman" w:hAnsi="Times New Roman" w:cs="Times New Roman"/>
          <w:sz w:val="26"/>
          <w:szCs w:val="26"/>
        </w:rPr>
        <w:t>acti</w:t>
      </w:r>
      <w:r>
        <w:rPr>
          <w:rFonts w:ascii="Times New Roman" w:hAnsi="Times New Roman" w:cs="Times New Roman"/>
          <w:sz w:val="26"/>
          <w:szCs w:val="26"/>
        </w:rPr>
        <w:t>fs</w:t>
      </w:r>
      <w:r w:rsidR="00A40B3C">
        <w:rPr>
          <w:rFonts w:ascii="Times New Roman" w:hAnsi="Times New Roman" w:cs="Times New Roman"/>
          <w:sz w:val="26"/>
          <w:szCs w:val="26"/>
        </w:rPr>
        <w:t xml:space="preserve"> dont</w:t>
      </w:r>
      <w:r w:rsidR="00087EAB" w:rsidRPr="00087EAB">
        <w:rPr>
          <w:rFonts w:ascii="Times New Roman" w:hAnsi="Times New Roman" w:cs="Times New Roman"/>
          <w:sz w:val="26"/>
          <w:szCs w:val="26"/>
        </w:rPr>
        <w:t>34 717 sont actifs occupés (41,3%)</w:t>
      </w:r>
      <w:r w:rsidR="00FE1F25">
        <w:rPr>
          <w:rFonts w:ascii="Times New Roman" w:hAnsi="Times New Roman" w:cs="Times New Roman"/>
          <w:sz w:val="26"/>
          <w:szCs w:val="26"/>
        </w:rPr>
        <w:t>et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70% sont des hommes. La population </w:t>
      </w:r>
      <w:r w:rsidR="00087EAB">
        <w:rPr>
          <w:rFonts w:ascii="Times New Roman" w:hAnsi="Times New Roman" w:cs="Times New Roman"/>
          <w:sz w:val="26"/>
          <w:szCs w:val="26"/>
        </w:rPr>
        <w:t>des étrangers compte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5371 chômeurs (6,4%) et 43</w:t>
      </w:r>
      <w:r w:rsidR="00FE1F25">
        <w:rPr>
          <w:rFonts w:ascii="Times New Roman" w:hAnsi="Times New Roman" w:cs="Times New Roman"/>
          <w:sz w:val="26"/>
          <w:szCs w:val="26"/>
        </w:rPr>
        <w:t> 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913 </w:t>
      </w:r>
      <w:r w:rsidR="00FE1F25" w:rsidRPr="00087EAB">
        <w:rPr>
          <w:rFonts w:ascii="Times New Roman" w:hAnsi="Times New Roman" w:cs="Times New Roman"/>
          <w:sz w:val="26"/>
          <w:szCs w:val="26"/>
        </w:rPr>
        <w:t>inactifs</w:t>
      </w:r>
      <w:r w:rsidR="00087EAB" w:rsidRPr="00087EAB">
        <w:rPr>
          <w:rFonts w:ascii="Times New Roman" w:hAnsi="Times New Roman" w:cs="Times New Roman"/>
          <w:sz w:val="26"/>
          <w:szCs w:val="26"/>
        </w:rPr>
        <w:t>(52%)</w:t>
      </w:r>
      <w:r w:rsidR="00087EAB">
        <w:rPr>
          <w:rFonts w:ascii="Times New Roman" w:hAnsi="Times New Roman" w:cs="Times New Roman"/>
          <w:sz w:val="26"/>
          <w:szCs w:val="26"/>
        </w:rPr>
        <w:t>. Cette dernière catégorie est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réparti</w:t>
      </w:r>
      <w:r w:rsidR="00087EAB">
        <w:rPr>
          <w:rFonts w:ascii="Times New Roman" w:hAnsi="Times New Roman" w:cs="Times New Roman"/>
          <w:sz w:val="26"/>
          <w:szCs w:val="26"/>
        </w:rPr>
        <w:t>e</w:t>
      </w:r>
      <w:r w:rsidR="00D16810">
        <w:rPr>
          <w:rFonts w:ascii="Times New Roman" w:hAnsi="Times New Roman" w:cs="Times New Roman"/>
          <w:sz w:val="26"/>
          <w:szCs w:val="26"/>
        </w:rPr>
        <w:t>en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18 894 étudiants (22,5%), 8 745 femmes au foyer (10,4%), 7690 retraités (9,2%), 5451 enfants (6,5%), et 3133 autres</w:t>
      </w:r>
      <w:r w:rsidR="00CE162F">
        <w:rPr>
          <w:rFonts w:ascii="Times New Roman" w:hAnsi="Times New Roman" w:cs="Times New Roman"/>
          <w:sz w:val="26"/>
          <w:szCs w:val="26"/>
        </w:rPr>
        <w:t xml:space="preserve"> inactifs (3,7%).</w:t>
      </w:r>
    </w:p>
    <w:p w:rsidR="00684389" w:rsidRPr="00862BFD" w:rsidRDefault="00604FEA" w:rsidP="00F82EA9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lus de la moitié sont </w:t>
      </w:r>
      <w:r w:rsidR="00DD2674">
        <w:rPr>
          <w:rFonts w:ascii="Times New Roman" w:hAnsi="Times New Roman" w:cs="Times New Roman"/>
          <w:sz w:val="26"/>
          <w:szCs w:val="26"/>
        </w:rPr>
        <w:t>des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salariés du secteur privé</w:t>
      </w:r>
      <w:r>
        <w:rPr>
          <w:rFonts w:ascii="Times New Roman" w:hAnsi="Times New Roman" w:cs="Times New Roman"/>
          <w:sz w:val="26"/>
          <w:szCs w:val="26"/>
        </w:rPr>
        <w:t>,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un peu plus de 20% sont </w:t>
      </w:r>
      <w:r w:rsidR="00A848F2">
        <w:rPr>
          <w:rFonts w:ascii="Times New Roman" w:hAnsi="Times New Roman" w:cs="Times New Roman"/>
          <w:sz w:val="26"/>
          <w:szCs w:val="26"/>
        </w:rPr>
        <w:t xml:space="preserve">des </w:t>
      </w:r>
      <w:r w:rsidR="00684389" w:rsidRPr="00862BFD">
        <w:rPr>
          <w:rFonts w:ascii="Times New Roman" w:hAnsi="Times New Roman" w:cs="Times New Roman"/>
          <w:sz w:val="26"/>
          <w:szCs w:val="26"/>
        </w:rPr>
        <w:t>indépendants</w:t>
      </w:r>
      <w:r>
        <w:rPr>
          <w:rFonts w:ascii="Times New Roman" w:hAnsi="Times New Roman" w:cs="Times New Roman"/>
          <w:sz w:val="26"/>
          <w:szCs w:val="26"/>
        </w:rPr>
        <w:t xml:space="preserve">, et </w:t>
      </w:r>
      <w:r w:rsidRPr="00862BFD">
        <w:rPr>
          <w:rFonts w:ascii="Times New Roman" w:hAnsi="Times New Roman" w:cs="Times New Roman"/>
          <w:sz w:val="26"/>
          <w:szCs w:val="26"/>
        </w:rPr>
        <w:t>11,6%</w:t>
      </w:r>
      <w:r>
        <w:rPr>
          <w:rFonts w:ascii="Times New Roman" w:hAnsi="Times New Roman" w:cs="Times New Roman"/>
          <w:sz w:val="26"/>
          <w:szCs w:val="26"/>
        </w:rPr>
        <w:t xml:space="preserve"> des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employeurs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2EA9">
        <w:rPr>
          <w:rFonts w:ascii="Times New Roman" w:hAnsi="Times New Roman" w:cs="Times New Roman"/>
          <w:sz w:val="26"/>
          <w:szCs w:val="26"/>
        </w:rPr>
        <w:t>I</w:t>
      </w:r>
      <w:r w:rsidR="00684389" w:rsidRPr="00862BFD">
        <w:rPr>
          <w:rFonts w:ascii="Times New Roman" w:hAnsi="Times New Roman" w:cs="Times New Roman"/>
          <w:sz w:val="26"/>
          <w:szCs w:val="26"/>
        </w:rPr>
        <w:t>ls sont dans le secteur public (6,8%).</w:t>
      </w:r>
    </w:p>
    <w:p w:rsidR="00DD2674" w:rsidRPr="00DD2674" w:rsidRDefault="00DD2674" w:rsidP="008B050C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resque 48% des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ménages abrit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a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nt un étranger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sont mixtes</w:t>
      </w:r>
    </w:p>
    <w:p w:rsidR="008B050C" w:rsidRDefault="00684389" w:rsidP="000A69B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45 107 ménages abrit</w:t>
      </w:r>
      <w:r w:rsidR="009B2658">
        <w:rPr>
          <w:rFonts w:ascii="Times New Roman" w:hAnsi="Times New Roman" w:cs="Times New Roman"/>
          <w:sz w:val="26"/>
          <w:szCs w:val="26"/>
        </w:rPr>
        <w:t>e</w:t>
      </w:r>
      <w:r w:rsidRPr="00862BFD">
        <w:rPr>
          <w:rFonts w:ascii="Times New Roman" w:hAnsi="Times New Roman" w:cs="Times New Roman"/>
          <w:sz w:val="26"/>
          <w:szCs w:val="26"/>
        </w:rPr>
        <w:t>nt au moins un étranger</w:t>
      </w:r>
      <w:r w:rsidR="000A69B4">
        <w:rPr>
          <w:rFonts w:ascii="Times New Roman" w:hAnsi="Times New Roman" w:cs="Times New Roman"/>
          <w:sz w:val="26"/>
          <w:szCs w:val="26"/>
        </w:rPr>
        <w:t>.</w:t>
      </w:r>
      <w:r w:rsidRPr="00862BFD">
        <w:rPr>
          <w:rFonts w:ascii="Times New Roman" w:hAnsi="Times New Roman" w:cs="Times New Roman"/>
          <w:sz w:val="26"/>
          <w:szCs w:val="26"/>
        </w:rPr>
        <w:t xml:space="preserve">52,3% sont composés exclusivement d’étrangers et 47,7% sont mixtes. </w:t>
      </w:r>
      <w:r w:rsidR="00452D3C">
        <w:rPr>
          <w:rFonts w:ascii="Times New Roman" w:hAnsi="Times New Roman" w:cs="Times New Roman"/>
          <w:sz w:val="26"/>
          <w:szCs w:val="26"/>
        </w:rPr>
        <w:t>L</w:t>
      </w:r>
      <w:r w:rsidRPr="00862BFD">
        <w:rPr>
          <w:rFonts w:ascii="Times New Roman" w:hAnsi="Times New Roman" w:cs="Times New Roman"/>
          <w:bCs/>
          <w:sz w:val="26"/>
          <w:szCs w:val="26"/>
        </w:rPr>
        <w:t>a taille moyenne des ménages est</w:t>
      </w:r>
      <w:r w:rsidR="008B050C">
        <w:rPr>
          <w:rFonts w:ascii="Times New Roman" w:hAnsi="Times New Roman" w:cs="Times New Roman"/>
          <w:bCs/>
          <w:sz w:val="26"/>
          <w:szCs w:val="26"/>
        </w:rPr>
        <w:t xml:space="preserve"> de 3,2 personnes.</w:t>
      </w:r>
    </w:p>
    <w:p w:rsidR="00684389" w:rsidRDefault="00684389" w:rsidP="00452D3C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62BFD">
        <w:rPr>
          <w:rFonts w:ascii="Times New Roman" w:hAnsi="Times New Roman" w:cs="Times New Roman"/>
          <w:bCs/>
          <w:sz w:val="26"/>
          <w:szCs w:val="26"/>
        </w:rPr>
        <w:t xml:space="preserve">73,1% des chefs de </w:t>
      </w:r>
      <w:r w:rsidR="00452D3C">
        <w:rPr>
          <w:rFonts w:ascii="Times New Roman" w:hAnsi="Times New Roman" w:cs="Times New Roman"/>
          <w:bCs/>
          <w:sz w:val="26"/>
          <w:szCs w:val="26"/>
        </w:rPr>
        <w:t xml:space="preserve">ces </w:t>
      </w:r>
      <w:r w:rsidRPr="00862BFD">
        <w:rPr>
          <w:rFonts w:ascii="Times New Roman" w:hAnsi="Times New Roman" w:cs="Times New Roman"/>
          <w:bCs/>
          <w:sz w:val="26"/>
          <w:szCs w:val="26"/>
        </w:rPr>
        <w:t>ménages sont de nationalité étrangère contre 26,9% de nationalité marocaine. 67,2% des chefs de ménages étrangers sont mariés</w:t>
      </w:r>
      <w:r w:rsidR="007B2DFB">
        <w:rPr>
          <w:rFonts w:ascii="Times New Roman" w:hAnsi="Times New Roman" w:cs="Times New Roman"/>
          <w:bCs/>
          <w:sz w:val="26"/>
          <w:szCs w:val="26"/>
        </w:rPr>
        <w:t>,</w:t>
      </w:r>
      <w:r w:rsidRPr="00862BFD">
        <w:rPr>
          <w:rFonts w:ascii="Times New Roman" w:hAnsi="Times New Roman" w:cs="Times New Roman"/>
          <w:bCs/>
          <w:sz w:val="26"/>
          <w:szCs w:val="26"/>
        </w:rPr>
        <w:t xml:space="preserve"> 20,9% sont célibataires et 11,9% sont veufs ou divorcés.</w:t>
      </w:r>
    </w:p>
    <w:p w:rsidR="00DD2674" w:rsidRPr="00DD2674" w:rsidRDefault="00DD2674" w:rsidP="00DD267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Presque 38% des </w:t>
      </w:r>
      <w:r w:rsidR="00AE4412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ménages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é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trangers </w:t>
      </w:r>
      <w:r w:rsidR="0019301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sont 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propriétaire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s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de leur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habitat</w:t>
      </w:r>
    </w:p>
    <w:p w:rsidR="00684389" w:rsidRDefault="00684389" w:rsidP="0019301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bCs/>
          <w:sz w:val="26"/>
          <w:szCs w:val="26"/>
        </w:rPr>
        <w:t xml:space="preserve">47,8% des logements </w:t>
      </w:r>
      <w:r w:rsidR="00A31136">
        <w:rPr>
          <w:rFonts w:ascii="Times New Roman" w:hAnsi="Times New Roman" w:cs="Times New Roman"/>
          <w:bCs/>
          <w:sz w:val="26"/>
          <w:szCs w:val="26"/>
        </w:rPr>
        <w:t xml:space="preserve">des </w:t>
      </w:r>
      <w:r w:rsidRPr="00862BFD">
        <w:rPr>
          <w:rFonts w:ascii="Times New Roman" w:hAnsi="Times New Roman" w:cs="Times New Roman"/>
          <w:bCs/>
          <w:sz w:val="26"/>
          <w:szCs w:val="26"/>
        </w:rPr>
        <w:t>étrangers sont de type appartement, 25,1% sont des maisons marocaines modernes et 20,3% sont des villas. Selon le statut d’occupation</w:t>
      </w:r>
      <w:r w:rsidR="0019301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62BFD">
        <w:rPr>
          <w:rFonts w:ascii="Times New Roman" w:hAnsi="Times New Roman" w:cs="Times New Roman"/>
          <w:sz w:val="26"/>
          <w:szCs w:val="26"/>
        </w:rPr>
        <w:t>près de la moitié (49,1%) des ménages étrangers sont locataires et 37,7% occupent leur propre logement.</w:t>
      </w:r>
    </w:p>
    <w:p w:rsidR="003A0905" w:rsidRPr="003A0905" w:rsidRDefault="003A0905" w:rsidP="003A090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Presque les deux tiers </w:t>
      </w:r>
      <w:r w:rsidR="00D6692F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des étrangers </w:t>
      </w:r>
      <w:r w:rsidRP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sont dans 6 agglomérations</w:t>
      </w:r>
    </w:p>
    <w:p w:rsidR="003A0905" w:rsidRDefault="003A0905" w:rsidP="003A090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Près de 85% de cette population est répartie sur cinq régions du Maroc. Il s’agit, par ordre d’importance, de la région du Grand Casablanca-Settat</w:t>
      </w:r>
      <w:r>
        <w:rPr>
          <w:rFonts w:ascii="Times New Roman" w:hAnsi="Times New Roman" w:cs="Times New Roman"/>
          <w:sz w:val="26"/>
          <w:szCs w:val="26"/>
        </w:rPr>
        <w:t xml:space="preserve"> (36,5%)</w:t>
      </w:r>
      <w:r w:rsidRPr="00862BFD">
        <w:rPr>
          <w:rFonts w:ascii="Times New Roman" w:hAnsi="Times New Roman" w:cs="Times New Roman"/>
          <w:sz w:val="26"/>
          <w:szCs w:val="26"/>
        </w:rPr>
        <w:t>, Rabat-Salé-Kenitra</w:t>
      </w:r>
      <w:r>
        <w:rPr>
          <w:rFonts w:ascii="Times New Roman" w:hAnsi="Times New Roman" w:cs="Times New Roman"/>
          <w:sz w:val="26"/>
          <w:szCs w:val="26"/>
        </w:rPr>
        <w:t xml:space="preserve"> (23,0%)</w:t>
      </w:r>
      <w:r w:rsidRPr="00862BFD">
        <w:rPr>
          <w:rFonts w:ascii="Times New Roman" w:hAnsi="Times New Roman" w:cs="Times New Roman"/>
          <w:sz w:val="26"/>
          <w:szCs w:val="26"/>
        </w:rPr>
        <w:t>, Marrakech-Safi</w:t>
      </w:r>
      <w:r>
        <w:rPr>
          <w:rFonts w:ascii="Times New Roman" w:hAnsi="Times New Roman" w:cs="Times New Roman"/>
          <w:sz w:val="26"/>
          <w:szCs w:val="26"/>
        </w:rPr>
        <w:t xml:space="preserve"> (10,2%)</w:t>
      </w:r>
      <w:r w:rsidRPr="00862BFD">
        <w:rPr>
          <w:rFonts w:ascii="Times New Roman" w:hAnsi="Times New Roman" w:cs="Times New Roman"/>
          <w:sz w:val="26"/>
          <w:szCs w:val="26"/>
        </w:rPr>
        <w:t>, Tanger-Té</w:t>
      </w:r>
      <w:r>
        <w:rPr>
          <w:rFonts w:ascii="Times New Roman" w:hAnsi="Times New Roman" w:cs="Times New Roman"/>
          <w:sz w:val="26"/>
          <w:szCs w:val="26"/>
        </w:rPr>
        <w:t>touan-Al Hoceima (8,5%) et Fès-Meknès (6,6%).</w:t>
      </w:r>
    </w:p>
    <w:p w:rsidR="003A0905" w:rsidRDefault="00D6692F" w:rsidP="00D6692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Ils se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concentr</w:t>
      </w:r>
      <w:r>
        <w:rPr>
          <w:rFonts w:ascii="Times New Roman" w:hAnsi="Times New Roman" w:cs="Times New Roman"/>
          <w:sz w:val="26"/>
          <w:szCs w:val="26"/>
        </w:rPr>
        <w:t>entdanssix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grandes agglomérations, principalement Casablanca (28,6%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23993) suivi de la préfecture de Rabat (14,8%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12412), Marrakech (8,0%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6694), Tanger-Assilah (6,1%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5155), Agadir-Ida-Ou-Tanane (4,4%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3704) et Fès (4,2%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3509).</w:t>
      </w:r>
    </w:p>
    <w:p w:rsidR="003A0905" w:rsidRPr="00862BFD" w:rsidRDefault="003A0905" w:rsidP="00A31136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309" w:rsidRPr="00B34890" w:rsidRDefault="00207802" w:rsidP="00617089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>Pour plus de détails, l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e rapport de cette </w:t>
      </w:r>
      <w:r w:rsidR="00684389">
        <w:rPr>
          <w:rFonts w:asciiTheme="majorBidi" w:hAnsiTheme="majorBidi" w:cstheme="majorBidi"/>
          <w:color w:val="000000"/>
          <w:sz w:val="26"/>
          <w:szCs w:val="26"/>
        </w:rPr>
        <w:t>étude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>, intitulé</w:t>
      </w:r>
      <w:r w:rsidR="00684389">
        <w:rPr>
          <w:rFonts w:asciiTheme="majorBidi" w:hAnsiTheme="majorBidi" w:cstheme="majorBidi"/>
          <w:color w:val="000000"/>
          <w:sz w:val="26"/>
          <w:szCs w:val="26"/>
        </w:rPr>
        <w:t>e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 « </w:t>
      </w:r>
      <w:r w:rsidR="00684389" w:rsidRPr="003C3309"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  <w:t xml:space="preserve">Les </w:t>
      </w:r>
      <w:r w:rsidR="00DE534A"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  <w:t>étrangers résidents au Maroc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 », </w:t>
      </w:r>
      <w:r w:rsidR="00684389" w:rsidRPr="003C3309">
        <w:rPr>
          <w:rFonts w:asciiTheme="majorBidi" w:hAnsiTheme="majorBidi" w:cstheme="majorBidi"/>
          <w:sz w:val="26"/>
          <w:szCs w:val="26"/>
        </w:rPr>
        <w:t xml:space="preserve">est téléchargeable sur le site </w:t>
      </w:r>
      <w:r w:rsidR="00684389" w:rsidRPr="003C3309">
        <w:rPr>
          <w:rFonts w:asciiTheme="majorBidi" w:hAnsiTheme="majorBidi" w:cstheme="majorBidi"/>
          <w:i/>
          <w:iCs/>
          <w:sz w:val="26"/>
          <w:szCs w:val="26"/>
        </w:rPr>
        <w:t>www.hcp.ma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>.</w:t>
      </w:r>
      <w:bookmarkStart w:id="0" w:name="_GoBack"/>
      <w:bookmarkEnd w:id="0"/>
    </w:p>
    <w:sectPr w:rsidR="003C3309" w:rsidRPr="00B34890" w:rsidSect="0063278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8F" w:rsidRDefault="0005178F" w:rsidP="003A617E">
      <w:pPr>
        <w:spacing w:after="0" w:line="240" w:lineRule="auto"/>
      </w:pPr>
      <w:r>
        <w:separator/>
      </w:r>
    </w:p>
  </w:endnote>
  <w:endnote w:type="continuationSeparator" w:id="1">
    <w:p w:rsidR="0005178F" w:rsidRDefault="0005178F" w:rsidP="003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9D25ED">
        <w:pPr>
          <w:pStyle w:val="Pieddepage"/>
          <w:jc w:val="center"/>
        </w:pPr>
        <w:r>
          <w:fldChar w:fldCharType="begin"/>
        </w:r>
        <w:r w:rsidR="00FF71CE">
          <w:instrText xml:space="preserve"> PAGE   \* MERGEFORMAT </w:instrText>
        </w:r>
        <w:r>
          <w:fldChar w:fldCharType="separate"/>
        </w:r>
        <w:r w:rsidR="00720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0517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8F" w:rsidRDefault="0005178F" w:rsidP="003A617E">
      <w:pPr>
        <w:spacing w:after="0" w:line="240" w:lineRule="auto"/>
      </w:pPr>
      <w:r>
        <w:separator/>
      </w:r>
    </w:p>
  </w:footnote>
  <w:footnote w:type="continuationSeparator" w:id="1">
    <w:p w:rsidR="0005178F" w:rsidRDefault="0005178F" w:rsidP="003A617E">
      <w:pPr>
        <w:spacing w:after="0" w:line="240" w:lineRule="auto"/>
      </w:pPr>
      <w:r>
        <w:continuationSeparator/>
      </w:r>
    </w:p>
  </w:footnote>
  <w:footnote w:id="2">
    <w:p w:rsidR="00E90CE5" w:rsidRPr="005A05EB" w:rsidRDefault="00E90CE5" w:rsidP="00131495">
      <w:pPr>
        <w:pStyle w:val="Notedebasdepage"/>
        <w:rPr>
          <w:rFonts w:ascii="Times New Roman" w:hAnsi="Times New Roman" w:cs="Times New Roman"/>
        </w:rPr>
      </w:pPr>
      <w:r w:rsidRPr="005A05EB">
        <w:rPr>
          <w:rStyle w:val="Appelnotedebasdep"/>
          <w:rFonts w:ascii="Times New Roman" w:hAnsi="Times New Roman" w:cs="Times New Roman"/>
        </w:rPr>
        <w:footnoteRef/>
      </w:r>
      <w:r w:rsidRPr="005A05EB">
        <w:rPr>
          <w:rFonts w:ascii="Times New Roman" w:hAnsi="Times New Roman" w:cs="Times New Roman"/>
        </w:rPr>
        <w:t xml:space="preserve">  L’Egypte est considéré à la fois comme pays africain et pays du moyen orient</w:t>
      </w:r>
      <w:r w:rsidR="00131495">
        <w:rPr>
          <w:rFonts w:ascii="Times New Roman" w:hAnsi="Times New Roman" w:cs="Times New Roman"/>
        </w:rPr>
        <w:t>. S</w:t>
      </w:r>
      <w:r w:rsidRPr="005A05EB">
        <w:rPr>
          <w:rFonts w:ascii="Times New Roman" w:hAnsi="Times New Roman" w:cs="Times New Roman"/>
        </w:rPr>
        <w:t xml:space="preserve">elon le RGPH 2014 on </w:t>
      </w:r>
      <w:r>
        <w:rPr>
          <w:rFonts w:ascii="Times New Roman" w:hAnsi="Times New Roman" w:cs="Times New Roman"/>
        </w:rPr>
        <w:t xml:space="preserve">a </w:t>
      </w:r>
      <w:r w:rsidRPr="005A05EB">
        <w:rPr>
          <w:rFonts w:ascii="Times New Roman" w:hAnsi="Times New Roman" w:cs="Times New Roman"/>
        </w:rPr>
        <w:t>recens</w:t>
      </w:r>
      <w:r>
        <w:rPr>
          <w:rFonts w:ascii="Times New Roman" w:hAnsi="Times New Roman" w:cs="Times New Roman"/>
        </w:rPr>
        <w:t xml:space="preserve">é </w:t>
      </w:r>
      <w:r w:rsidRPr="005A05EB">
        <w:rPr>
          <w:rFonts w:ascii="Times New Roman" w:hAnsi="Times New Roman" w:cs="Times New Roman"/>
        </w:rPr>
        <w:t xml:space="preserve">1279 </w:t>
      </w:r>
      <w:r>
        <w:rPr>
          <w:rFonts w:ascii="Times New Roman" w:hAnsi="Times New Roman" w:cs="Times New Roman"/>
        </w:rPr>
        <w:t>égyptien</w:t>
      </w:r>
      <w:r w:rsidR="0013149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A63"/>
    <w:multiLevelType w:val="hybridMultilevel"/>
    <w:tmpl w:val="408C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0B"/>
    <w:rsid w:val="00002224"/>
    <w:rsid w:val="00042EF6"/>
    <w:rsid w:val="0005178F"/>
    <w:rsid w:val="00080D6F"/>
    <w:rsid w:val="00085085"/>
    <w:rsid w:val="00086D91"/>
    <w:rsid w:val="00087EAB"/>
    <w:rsid w:val="000A3441"/>
    <w:rsid w:val="000A3BC8"/>
    <w:rsid w:val="000A69B4"/>
    <w:rsid w:val="000B5A99"/>
    <w:rsid w:val="000C0757"/>
    <w:rsid w:val="000D594E"/>
    <w:rsid w:val="000F3EEF"/>
    <w:rsid w:val="000F4055"/>
    <w:rsid w:val="00104A11"/>
    <w:rsid w:val="00123DE2"/>
    <w:rsid w:val="00131495"/>
    <w:rsid w:val="001549C9"/>
    <w:rsid w:val="0018680F"/>
    <w:rsid w:val="00193013"/>
    <w:rsid w:val="001A05F8"/>
    <w:rsid w:val="001A7E28"/>
    <w:rsid w:val="001D4AFA"/>
    <w:rsid w:val="001F0F2D"/>
    <w:rsid w:val="00207802"/>
    <w:rsid w:val="002815A7"/>
    <w:rsid w:val="00285B8A"/>
    <w:rsid w:val="002C4AC8"/>
    <w:rsid w:val="002E7907"/>
    <w:rsid w:val="003139D0"/>
    <w:rsid w:val="0035695D"/>
    <w:rsid w:val="003603D8"/>
    <w:rsid w:val="00372B94"/>
    <w:rsid w:val="00375AE5"/>
    <w:rsid w:val="00380AFD"/>
    <w:rsid w:val="003A0905"/>
    <w:rsid w:val="003A617E"/>
    <w:rsid w:val="003C3309"/>
    <w:rsid w:val="003D2553"/>
    <w:rsid w:val="004021AA"/>
    <w:rsid w:val="00403D97"/>
    <w:rsid w:val="004169C1"/>
    <w:rsid w:val="00425368"/>
    <w:rsid w:val="00431A8C"/>
    <w:rsid w:val="00433481"/>
    <w:rsid w:val="00447E13"/>
    <w:rsid w:val="00452580"/>
    <w:rsid w:val="00452D3C"/>
    <w:rsid w:val="0048173F"/>
    <w:rsid w:val="004D65E4"/>
    <w:rsid w:val="004F14D0"/>
    <w:rsid w:val="00526BC4"/>
    <w:rsid w:val="005312BB"/>
    <w:rsid w:val="00543B8E"/>
    <w:rsid w:val="005935E7"/>
    <w:rsid w:val="00595C55"/>
    <w:rsid w:val="005C499D"/>
    <w:rsid w:val="005C606A"/>
    <w:rsid w:val="005D6B05"/>
    <w:rsid w:val="005E4BBE"/>
    <w:rsid w:val="005F1A0D"/>
    <w:rsid w:val="00604FEA"/>
    <w:rsid w:val="00617089"/>
    <w:rsid w:val="006200FC"/>
    <w:rsid w:val="00621043"/>
    <w:rsid w:val="006317DB"/>
    <w:rsid w:val="00642973"/>
    <w:rsid w:val="006451B1"/>
    <w:rsid w:val="0065718B"/>
    <w:rsid w:val="00667405"/>
    <w:rsid w:val="00676F31"/>
    <w:rsid w:val="00684389"/>
    <w:rsid w:val="006C33AA"/>
    <w:rsid w:val="006D2B3B"/>
    <w:rsid w:val="006E1F1C"/>
    <w:rsid w:val="007010B5"/>
    <w:rsid w:val="00703EAA"/>
    <w:rsid w:val="007044AC"/>
    <w:rsid w:val="007066CA"/>
    <w:rsid w:val="00706D05"/>
    <w:rsid w:val="00720ABA"/>
    <w:rsid w:val="00723E2E"/>
    <w:rsid w:val="00725CA1"/>
    <w:rsid w:val="00737940"/>
    <w:rsid w:val="007A177E"/>
    <w:rsid w:val="007B1854"/>
    <w:rsid w:val="007B2DFB"/>
    <w:rsid w:val="007B7513"/>
    <w:rsid w:val="007F3324"/>
    <w:rsid w:val="00821986"/>
    <w:rsid w:val="008247A1"/>
    <w:rsid w:val="00832BB2"/>
    <w:rsid w:val="00834AFD"/>
    <w:rsid w:val="00836B18"/>
    <w:rsid w:val="00862BFD"/>
    <w:rsid w:val="00865DB1"/>
    <w:rsid w:val="0088206E"/>
    <w:rsid w:val="00890FF7"/>
    <w:rsid w:val="008921E9"/>
    <w:rsid w:val="008A035C"/>
    <w:rsid w:val="008A3C7E"/>
    <w:rsid w:val="008B050C"/>
    <w:rsid w:val="00935B90"/>
    <w:rsid w:val="00937B9C"/>
    <w:rsid w:val="00957A63"/>
    <w:rsid w:val="009954D4"/>
    <w:rsid w:val="009B2658"/>
    <w:rsid w:val="009B2C25"/>
    <w:rsid w:val="009B7B9A"/>
    <w:rsid w:val="009C04D0"/>
    <w:rsid w:val="009D25ED"/>
    <w:rsid w:val="009F1338"/>
    <w:rsid w:val="00A2344C"/>
    <w:rsid w:val="00A309E9"/>
    <w:rsid w:val="00A31136"/>
    <w:rsid w:val="00A40B3C"/>
    <w:rsid w:val="00A848F2"/>
    <w:rsid w:val="00AA6ADE"/>
    <w:rsid w:val="00AC2D18"/>
    <w:rsid w:val="00AD20EA"/>
    <w:rsid w:val="00AD30A2"/>
    <w:rsid w:val="00AE2C11"/>
    <w:rsid w:val="00AE4412"/>
    <w:rsid w:val="00B2312A"/>
    <w:rsid w:val="00B34890"/>
    <w:rsid w:val="00B415D9"/>
    <w:rsid w:val="00B52FFB"/>
    <w:rsid w:val="00B53FE4"/>
    <w:rsid w:val="00B708B9"/>
    <w:rsid w:val="00B87653"/>
    <w:rsid w:val="00B9490B"/>
    <w:rsid w:val="00BA5936"/>
    <w:rsid w:val="00BB2419"/>
    <w:rsid w:val="00C063F3"/>
    <w:rsid w:val="00C34A6E"/>
    <w:rsid w:val="00C82E05"/>
    <w:rsid w:val="00C96260"/>
    <w:rsid w:val="00CC5049"/>
    <w:rsid w:val="00CD5622"/>
    <w:rsid w:val="00CD57E1"/>
    <w:rsid w:val="00CE162F"/>
    <w:rsid w:val="00CE308F"/>
    <w:rsid w:val="00CF6DFF"/>
    <w:rsid w:val="00D16810"/>
    <w:rsid w:val="00D2464B"/>
    <w:rsid w:val="00D6692F"/>
    <w:rsid w:val="00D7359B"/>
    <w:rsid w:val="00D73DBA"/>
    <w:rsid w:val="00D846BD"/>
    <w:rsid w:val="00DD2674"/>
    <w:rsid w:val="00DE534A"/>
    <w:rsid w:val="00DF72D1"/>
    <w:rsid w:val="00E06FAB"/>
    <w:rsid w:val="00E40135"/>
    <w:rsid w:val="00E51771"/>
    <w:rsid w:val="00E606E7"/>
    <w:rsid w:val="00E63A49"/>
    <w:rsid w:val="00E65F5C"/>
    <w:rsid w:val="00E90CE5"/>
    <w:rsid w:val="00E957F4"/>
    <w:rsid w:val="00F00A56"/>
    <w:rsid w:val="00F45287"/>
    <w:rsid w:val="00F60FDC"/>
    <w:rsid w:val="00F82EA9"/>
    <w:rsid w:val="00F84AEB"/>
    <w:rsid w:val="00F96585"/>
    <w:rsid w:val="00FC769E"/>
    <w:rsid w:val="00FD74DD"/>
    <w:rsid w:val="00FE1F25"/>
    <w:rsid w:val="00FE71CA"/>
    <w:rsid w:val="00FF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A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17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617E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3A617E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17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0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8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</dc:creator>
  <cp:lastModifiedBy>User</cp:lastModifiedBy>
  <cp:revision>3</cp:revision>
  <cp:lastPrinted>2017-12-03T15:19:00Z</cp:lastPrinted>
  <dcterms:created xsi:type="dcterms:W3CDTF">2017-12-18T16:24:00Z</dcterms:created>
  <dcterms:modified xsi:type="dcterms:W3CDTF">2017-12-18T16:24:00Z</dcterms:modified>
</cp:coreProperties>
</file>