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C3" w:rsidRDefault="00CB3956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91.3pt;margin-top:11.4pt;width:655pt;height:354.8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574599445" r:id="rId9"/>
        </w:pict>
      </w:r>
    </w:p>
    <w:p w:rsidR="005D43C3" w:rsidRDefault="005D43C3" w:rsidP="005D43C3">
      <w:pPr>
        <w:bidi/>
        <w:jc w:val="center"/>
        <w:outlineLvl w:val="0"/>
      </w:pPr>
    </w:p>
    <w:p w:rsidR="00453FB2" w:rsidRDefault="00453FB2" w:rsidP="005D43C3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DB30DC" w:rsidRDefault="00DB30DC" w:rsidP="00BD0B07">
      <w:pPr>
        <w:jc w:val="center"/>
        <w:rPr>
          <w:rFonts w:ascii="Book Antiqua" w:hAnsi="Book Antiqua" w:cs="Arial"/>
          <w:b/>
          <w:bCs/>
        </w:rPr>
      </w:pPr>
    </w:p>
    <w:p w:rsidR="006B4218" w:rsidRDefault="006B4218" w:rsidP="00BD0B07">
      <w:pPr>
        <w:jc w:val="center"/>
        <w:rPr>
          <w:rFonts w:ascii="Book Antiqua" w:hAnsi="Book Antiqua" w:cs="Arial"/>
          <w:b/>
          <w:bCs/>
        </w:rPr>
      </w:pPr>
    </w:p>
    <w:p w:rsidR="00FB1ADD" w:rsidRDefault="00FB1ADD" w:rsidP="006A58AC">
      <w:pPr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331B3E" w:rsidRDefault="00331B3E" w:rsidP="006A58AC">
      <w:pPr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331B3E" w:rsidRDefault="00331B3E" w:rsidP="006A58AC">
      <w:pPr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6A58AC" w:rsidRPr="00331B3E" w:rsidRDefault="00BD0B07" w:rsidP="006A58AC">
      <w:pPr>
        <w:jc w:val="center"/>
        <w:rPr>
          <w:rFonts w:ascii="Book Antiqua" w:hAnsi="Book Antiqua"/>
          <w:b/>
          <w:shadow/>
          <w:color w:val="FF0000"/>
          <w:sz w:val="32"/>
          <w:szCs w:val="32"/>
        </w:rPr>
      </w:pPr>
      <w:r w:rsidRPr="00331B3E">
        <w:rPr>
          <w:rFonts w:ascii="Book Antiqua" w:hAnsi="Book Antiqua"/>
          <w:b/>
          <w:shadow/>
          <w:color w:val="FF0000"/>
          <w:sz w:val="32"/>
          <w:szCs w:val="32"/>
        </w:rPr>
        <w:t>Note d’information relative aux comptes</w:t>
      </w:r>
      <w:r w:rsidR="006A58AC" w:rsidRPr="00331B3E">
        <w:rPr>
          <w:rFonts w:ascii="Book Antiqua" w:hAnsi="Book Antiqua"/>
          <w:b/>
          <w:shadow/>
          <w:color w:val="FF0000"/>
          <w:sz w:val="32"/>
          <w:szCs w:val="32"/>
        </w:rPr>
        <w:t xml:space="preserve"> </w:t>
      </w:r>
      <w:r w:rsidR="0023693B" w:rsidRPr="00331B3E">
        <w:rPr>
          <w:rFonts w:ascii="Book Antiqua" w:hAnsi="Book Antiqua"/>
          <w:b/>
          <w:shadow/>
          <w:color w:val="FF0000"/>
          <w:sz w:val="32"/>
          <w:szCs w:val="32"/>
        </w:rPr>
        <w:t>n</w:t>
      </w:r>
      <w:r w:rsidR="00957E66" w:rsidRPr="00331B3E">
        <w:rPr>
          <w:rFonts w:ascii="Book Antiqua" w:hAnsi="Book Antiqua"/>
          <w:b/>
          <w:shadow/>
          <w:color w:val="FF0000"/>
          <w:sz w:val="32"/>
          <w:szCs w:val="32"/>
        </w:rPr>
        <w:t xml:space="preserve">ationaux </w:t>
      </w:r>
    </w:p>
    <w:p w:rsidR="00BD0B07" w:rsidRPr="00331B3E" w:rsidRDefault="00957E66" w:rsidP="00FB1ADD">
      <w:pPr>
        <w:jc w:val="center"/>
        <w:rPr>
          <w:rFonts w:ascii="Book Antiqua" w:hAnsi="Book Antiqua"/>
          <w:b/>
          <w:shadow/>
          <w:color w:val="FF0000"/>
          <w:sz w:val="32"/>
          <w:szCs w:val="32"/>
        </w:rPr>
      </w:pPr>
      <w:r w:rsidRPr="00331B3E">
        <w:rPr>
          <w:rFonts w:ascii="Book Antiqua" w:hAnsi="Book Antiqua"/>
          <w:b/>
          <w:shadow/>
          <w:color w:val="FF0000"/>
          <w:sz w:val="32"/>
          <w:szCs w:val="32"/>
        </w:rPr>
        <w:t>des secteurs institutionnels</w:t>
      </w:r>
      <w:r w:rsidR="00F76C50" w:rsidRPr="00331B3E">
        <w:rPr>
          <w:rFonts w:ascii="Book Antiqua" w:hAnsi="Book Antiqua"/>
          <w:b/>
          <w:shadow/>
          <w:color w:val="FF0000"/>
          <w:sz w:val="32"/>
          <w:szCs w:val="32"/>
        </w:rPr>
        <w:t xml:space="preserve"> de l’année 201</w:t>
      </w:r>
      <w:r w:rsidR="00FB1ADD" w:rsidRPr="00331B3E">
        <w:rPr>
          <w:rFonts w:ascii="Book Antiqua" w:hAnsi="Book Antiqua"/>
          <w:b/>
          <w:shadow/>
          <w:color w:val="FF0000"/>
          <w:sz w:val="32"/>
          <w:szCs w:val="32"/>
        </w:rPr>
        <w:t>6</w:t>
      </w:r>
    </w:p>
    <w:p w:rsidR="0023693B" w:rsidRPr="006A58AC" w:rsidRDefault="0023693B" w:rsidP="00957E66">
      <w:pPr>
        <w:pStyle w:val="Paragraphedeliste"/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both"/>
        <w:rPr>
          <w:rFonts w:ascii="Book Antiqua" w:hAnsi="Book Antiqua" w:cs="Arial"/>
          <w:b/>
          <w:bCs/>
          <w:sz w:val="28"/>
          <w:szCs w:val="28"/>
        </w:rPr>
      </w:pPr>
    </w:p>
    <w:p w:rsidR="00EA11E0" w:rsidRDefault="00EA11E0" w:rsidP="00EA11E0">
      <w:pPr>
        <w:autoSpaceDE w:val="0"/>
        <w:autoSpaceDN w:val="0"/>
        <w:adjustRightInd w:val="0"/>
        <w:spacing w:before="100" w:beforeAutospacing="1" w:line="360" w:lineRule="auto"/>
        <w:jc w:val="both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t>La présente note expose la séquence complète des comptes non financiers et financiers qui donne la situation des comptes nationaux des secteurs institutionnels en 2016. Il en ressort en particulier que:</w:t>
      </w:r>
    </w:p>
    <w:p w:rsidR="00EA11E0" w:rsidRPr="00EA11E0" w:rsidRDefault="00EA11E0" w:rsidP="00EA11E0">
      <w:pPr>
        <w:numPr>
          <w:ilvl w:val="0"/>
          <w:numId w:val="34"/>
        </w:numPr>
        <w:spacing w:after="120" w:line="400" w:lineRule="exact"/>
        <w:ind w:left="426" w:hanging="284"/>
        <w:jc w:val="both"/>
        <w:rPr>
          <w:rFonts w:ascii="Book Antiqua" w:hAnsi="Book Antiqua" w:cs="Arial"/>
          <w:b/>
          <w:bCs/>
        </w:rPr>
      </w:pPr>
      <w:r w:rsidRPr="00EA11E0">
        <w:rPr>
          <w:rFonts w:ascii="Book Antiqua" w:hAnsi="Book Antiqua" w:cs="Arial"/>
          <w:b/>
          <w:bCs/>
        </w:rPr>
        <w:t>les sociétés financières et non financières créent 43,2% de la richesse nationale et disposent de 14,9% du revenu national brut disponible. Elles contribuent pour 53,6% à l’épargne nationale et pour 57% à l’investissement (formation brute du capital fixe);</w:t>
      </w:r>
    </w:p>
    <w:p w:rsidR="00EA11E0" w:rsidRPr="00EA11E0" w:rsidRDefault="00EA11E0" w:rsidP="00EA11E0">
      <w:pPr>
        <w:numPr>
          <w:ilvl w:val="0"/>
          <w:numId w:val="34"/>
        </w:numPr>
        <w:spacing w:before="120" w:after="120" w:line="400" w:lineRule="exact"/>
        <w:ind w:left="426" w:hanging="283"/>
        <w:jc w:val="both"/>
        <w:rPr>
          <w:rFonts w:ascii="Book Antiqua" w:hAnsi="Book Antiqua" w:cs="Arial"/>
          <w:b/>
          <w:bCs/>
        </w:rPr>
      </w:pPr>
      <w:r w:rsidRPr="00EA11E0">
        <w:rPr>
          <w:rFonts w:ascii="Book Antiqua" w:hAnsi="Book Antiqua" w:cs="Arial"/>
          <w:b/>
          <w:bCs/>
        </w:rPr>
        <w:t>les ménages et les institutions sans but lucratif au service des ménages (ISBLSM) produisent 29,</w:t>
      </w:r>
      <w:r w:rsidRPr="00EA11E0">
        <w:rPr>
          <w:rFonts w:ascii="Book Antiqua" w:hAnsi="Book Antiqua" w:cs="Arial" w:hint="cs"/>
          <w:b/>
          <w:bCs/>
          <w:rtl/>
        </w:rPr>
        <w:t>3</w:t>
      </w:r>
      <w:r w:rsidRPr="00EA11E0">
        <w:rPr>
          <w:rFonts w:ascii="Book Antiqua" w:hAnsi="Book Antiqua" w:cs="Arial"/>
          <w:b/>
          <w:bCs/>
        </w:rPr>
        <w:t>% de la richesse nationale et disposent de  62,5% du revenu national brut disponible, avec un pouvoir d’achat en régression de 0,6% dans un contexte de maîtrise de l’inflation. Ils participent pour 30,2% à l’épargne nationale et pour 26,2 % à l’investissement. </w:t>
      </w:r>
    </w:p>
    <w:p w:rsidR="00964263" w:rsidRDefault="00AF4F3E" w:rsidP="00964263">
      <w:pPr>
        <w:spacing w:before="120" w:after="120" w:line="400" w:lineRule="exact"/>
        <w:ind w:left="1843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         </w:t>
      </w:r>
    </w:p>
    <w:p w:rsidR="00964263" w:rsidRPr="00330B81" w:rsidRDefault="00964263" w:rsidP="00964263">
      <w:pPr>
        <w:autoSpaceDE w:val="0"/>
        <w:autoSpaceDN w:val="0"/>
        <w:adjustRightInd w:val="0"/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</w:pPr>
      <w:r w:rsidRPr="00330B81"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  <w:t xml:space="preserve">Contribution des secteurs institutionnels au PIB et au RNDB    </w:t>
      </w:r>
    </w:p>
    <w:p w:rsidR="00964263" w:rsidRPr="00C03380" w:rsidRDefault="00964263" w:rsidP="006D0A5F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>
        <w:rPr>
          <w:rFonts w:ascii="Book Antiqua" w:eastAsia="Calibri" w:hAnsi="Book Antiqua" w:cs="Calibri"/>
          <w:sz w:val="22"/>
          <w:szCs w:val="22"/>
        </w:rPr>
        <w:t>L</w:t>
      </w:r>
      <w:r w:rsidRPr="00C03380">
        <w:rPr>
          <w:rFonts w:ascii="Book Antiqua" w:eastAsia="Calibri" w:hAnsi="Book Antiqua" w:cs="Calibri"/>
          <w:sz w:val="22"/>
          <w:szCs w:val="22"/>
        </w:rPr>
        <w:t xml:space="preserve">’économie nationale a enregistré un produit intérieur brut (PIB) en valeur de 1016,1 milliards de DH en 2016, en augmentation de </w:t>
      </w:r>
      <w:r w:rsidR="006D0A5F">
        <w:rPr>
          <w:rFonts w:ascii="Book Antiqua" w:eastAsia="Calibri" w:hAnsi="Book Antiqua" w:cs="Calibri"/>
          <w:sz w:val="22"/>
          <w:szCs w:val="22"/>
        </w:rPr>
        <w:t>2,8</w:t>
      </w:r>
      <w:r w:rsidRPr="00C03380">
        <w:rPr>
          <w:rFonts w:ascii="Book Antiqua" w:eastAsia="Calibri" w:hAnsi="Book Antiqua" w:cs="Calibri"/>
          <w:sz w:val="22"/>
          <w:szCs w:val="22"/>
        </w:rPr>
        <w:t>% par rapport à 2015.</w:t>
      </w:r>
    </w:p>
    <w:p w:rsidR="00964263" w:rsidRPr="00330B81" w:rsidRDefault="00964263" w:rsidP="00964263">
      <w:pPr>
        <w:spacing w:before="120" w:after="120" w:line="400" w:lineRule="exact"/>
        <w:jc w:val="both"/>
        <w:rPr>
          <w:rFonts w:ascii="Book Antiqua" w:hAnsi="Book Antiqua"/>
          <w:sz w:val="22"/>
          <w:szCs w:val="22"/>
        </w:rPr>
      </w:pPr>
      <w:r w:rsidRPr="00C03380">
        <w:rPr>
          <w:rFonts w:ascii="Book Antiqua" w:eastAsia="Calibri" w:hAnsi="Book Antiqua" w:cs="Calibri"/>
          <w:sz w:val="22"/>
          <w:szCs w:val="22"/>
        </w:rPr>
        <w:t>Les sociétés financières et non financières, premier producteur de la richesse nationale, ont connu une légère</w:t>
      </w:r>
      <w:r w:rsidRPr="00330B81">
        <w:rPr>
          <w:rFonts w:ascii="Book Antiqua" w:hAnsi="Book Antiqua"/>
          <w:sz w:val="22"/>
          <w:szCs w:val="22"/>
        </w:rPr>
        <w:t xml:space="preserve"> amélioration de leur contribution au PIB</w:t>
      </w:r>
      <w:r>
        <w:rPr>
          <w:rFonts w:ascii="Book Antiqua" w:hAnsi="Book Antiqua"/>
          <w:sz w:val="22"/>
          <w:szCs w:val="22"/>
        </w:rPr>
        <w:t>, de 42,9</w:t>
      </w:r>
      <w:r w:rsidRPr="00330B81">
        <w:rPr>
          <w:rFonts w:ascii="Book Antiqua" w:hAnsi="Book Antiqua"/>
          <w:sz w:val="22"/>
          <w:szCs w:val="22"/>
        </w:rPr>
        <w:t xml:space="preserve">% </w:t>
      </w:r>
      <w:r>
        <w:rPr>
          <w:rFonts w:ascii="Book Antiqua" w:hAnsi="Book Antiqua"/>
          <w:sz w:val="22"/>
          <w:szCs w:val="22"/>
        </w:rPr>
        <w:t>en 2015 à 43,2</w:t>
      </w:r>
      <w:r w:rsidRPr="00330B81">
        <w:rPr>
          <w:rFonts w:ascii="Book Antiqua" w:hAnsi="Book Antiqua"/>
          <w:sz w:val="22"/>
          <w:szCs w:val="22"/>
        </w:rPr>
        <w:t>% 2016.</w:t>
      </w:r>
    </w:p>
    <w:p w:rsidR="00964263" w:rsidRPr="00330B81" w:rsidRDefault="00964263" w:rsidP="000C41A3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>
        <w:rPr>
          <w:rFonts w:ascii="Book Antiqua" w:eastAsia="Calibri" w:hAnsi="Book Antiqua" w:cs="Calibri"/>
          <w:sz w:val="22"/>
          <w:szCs w:val="22"/>
        </w:rPr>
        <w:t>L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a contribution des ménages et ISBLSM </w:t>
      </w:r>
      <w:r>
        <w:rPr>
          <w:rFonts w:ascii="Book Antiqua" w:eastAsia="Calibri" w:hAnsi="Book Antiqua" w:cs="Calibri"/>
          <w:sz w:val="22"/>
          <w:szCs w:val="22"/>
        </w:rPr>
        <w:t xml:space="preserve">et celle </w:t>
      </w:r>
      <w:r w:rsidRPr="00330B81">
        <w:rPr>
          <w:rFonts w:ascii="Book Antiqua" w:eastAsia="Calibri" w:hAnsi="Book Antiqua" w:cs="Calibri"/>
          <w:sz w:val="22"/>
          <w:szCs w:val="22"/>
        </w:rPr>
        <w:t>des administrations publiques</w:t>
      </w:r>
      <w:r>
        <w:rPr>
          <w:rFonts w:ascii="Book Antiqua" w:eastAsia="Calibri" w:hAnsi="Book Antiqua" w:cs="Calibri"/>
          <w:sz w:val="22"/>
          <w:szCs w:val="22"/>
        </w:rPr>
        <w:t>,</w:t>
      </w:r>
      <w:r w:rsidRPr="00B73C2B">
        <w:rPr>
          <w:rFonts w:ascii="Book Antiqua" w:eastAsia="Calibri" w:hAnsi="Book Antiqua" w:cs="Calibri"/>
          <w:sz w:val="22"/>
          <w:szCs w:val="22"/>
        </w:rPr>
        <w:t xml:space="preserve"> </w:t>
      </w:r>
      <w:r>
        <w:rPr>
          <w:rFonts w:ascii="Book Antiqua" w:eastAsia="Calibri" w:hAnsi="Book Antiqua" w:cs="Calibri"/>
          <w:sz w:val="22"/>
          <w:szCs w:val="22"/>
        </w:rPr>
        <w:t xml:space="preserve">se situant respectivement à </w:t>
      </w:r>
      <w:r w:rsidRPr="00330B81">
        <w:rPr>
          <w:rFonts w:ascii="Book Antiqua" w:eastAsia="Calibri" w:hAnsi="Book Antiqua" w:cs="Calibri"/>
          <w:sz w:val="22"/>
          <w:szCs w:val="22"/>
        </w:rPr>
        <w:t>29,</w:t>
      </w:r>
      <w:r w:rsidR="000C41A3">
        <w:rPr>
          <w:rFonts w:ascii="Book Antiqua" w:eastAsia="Calibri" w:hAnsi="Book Antiqua" w:cs="Calibri" w:hint="cs"/>
          <w:sz w:val="22"/>
          <w:szCs w:val="22"/>
          <w:rtl/>
        </w:rPr>
        <w:t>3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% </w:t>
      </w:r>
      <w:r>
        <w:rPr>
          <w:rFonts w:ascii="Book Antiqua" w:eastAsia="Calibri" w:hAnsi="Book Antiqua" w:cs="Calibri"/>
          <w:sz w:val="22"/>
          <w:szCs w:val="22"/>
        </w:rPr>
        <w:t xml:space="preserve">et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15,8% </w:t>
      </w:r>
      <w:r>
        <w:rPr>
          <w:rFonts w:ascii="Book Antiqua" w:eastAsia="Calibri" w:hAnsi="Book Antiqua" w:cs="Calibri"/>
          <w:sz w:val="22"/>
          <w:szCs w:val="22"/>
        </w:rPr>
        <w:t>du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PIB</w:t>
      </w:r>
      <w:r>
        <w:rPr>
          <w:rFonts w:ascii="Book Antiqua" w:eastAsia="Calibri" w:hAnsi="Book Antiqua" w:cs="Calibri"/>
          <w:sz w:val="22"/>
          <w:szCs w:val="22"/>
        </w:rPr>
        <w:t xml:space="preserve">, sont, en revanche, en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recul </w:t>
      </w:r>
      <w:r w:rsidR="00042514">
        <w:rPr>
          <w:rFonts w:ascii="Book Antiqua" w:eastAsia="Calibri" w:hAnsi="Book Antiqua" w:cs="Calibri"/>
          <w:sz w:val="22"/>
          <w:szCs w:val="22"/>
        </w:rPr>
        <w:t xml:space="preserve"> respectivement </w:t>
      </w:r>
      <w:r w:rsidRPr="00330B81">
        <w:rPr>
          <w:rFonts w:ascii="Book Antiqua" w:eastAsia="Calibri" w:hAnsi="Book Antiqua" w:cs="Calibri"/>
          <w:sz w:val="22"/>
          <w:szCs w:val="22"/>
        </w:rPr>
        <w:t>de 0,</w:t>
      </w:r>
      <w:r w:rsidR="000C41A3">
        <w:rPr>
          <w:rFonts w:ascii="Book Antiqua" w:eastAsia="Calibri" w:hAnsi="Book Antiqua" w:cs="Calibri" w:hint="cs"/>
          <w:sz w:val="22"/>
          <w:szCs w:val="22"/>
          <w:rtl/>
        </w:rPr>
        <w:t>4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point </w:t>
      </w:r>
      <w:r>
        <w:rPr>
          <w:rFonts w:ascii="Book Antiqua" w:eastAsia="Calibri" w:hAnsi="Book Antiqua" w:cs="Calibri"/>
          <w:sz w:val="22"/>
          <w:szCs w:val="22"/>
        </w:rPr>
        <w:t>et 0,1</w:t>
      </w:r>
      <w:r w:rsidR="00042514">
        <w:rPr>
          <w:rFonts w:ascii="Book Antiqua" w:eastAsia="Calibri" w:hAnsi="Book Antiqua" w:cs="Calibri"/>
          <w:sz w:val="22"/>
          <w:szCs w:val="22"/>
        </w:rPr>
        <w:t xml:space="preserve"> point</w:t>
      </w:r>
      <w:r>
        <w:rPr>
          <w:rFonts w:ascii="Book Antiqua" w:eastAsia="Calibri" w:hAnsi="Book Antiqua" w:cs="Calibri"/>
          <w:sz w:val="22"/>
          <w:szCs w:val="22"/>
        </w:rPr>
        <w:t xml:space="preserve"> par rapport à 2015</w:t>
      </w:r>
      <w:r w:rsidR="006E429F">
        <w:rPr>
          <w:rFonts w:ascii="Book Antiqua" w:eastAsia="Calibri" w:hAnsi="Book Antiqua" w:cs="Calibri"/>
          <w:sz w:val="22"/>
          <w:szCs w:val="22"/>
        </w:rPr>
        <w:t>.</w:t>
      </w:r>
      <w:r>
        <w:rPr>
          <w:rFonts w:ascii="Book Antiqua" w:eastAsia="Calibri" w:hAnsi="Book Antiqua" w:cs="Calibri"/>
          <w:sz w:val="22"/>
          <w:szCs w:val="22"/>
        </w:rPr>
        <w:t xml:space="preserve"> </w:t>
      </w:r>
    </w:p>
    <w:p w:rsidR="00EA11E0" w:rsidRDefault="00EA11E0" w:rsidP="00964263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</w:p>
    <w:p w:rsidR="00964263" w:rsidRPr="00330B81" w:rsidRDefault="00964263" w:rsidP="00964263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>
        <w:rPr>
          <w:rFonts w:ascii="Book Antiqua" w:eastAsia="Calibri" w:hAnsi="Book Antiqua" w:cs="Calibri"/>
          <w:sz w:val="22"/>
          <w:szCs w:val="22"/>
        </w:rPr>
        <w:lastRenderedPageBreak/>
        <w:t>De son côté, l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e Revenu National Brut Disponible (RNBD) a </w:t>
      </w:r>
      <w:r>
        <w:rPr>
          <w:rFonts w:ascii="Book Antiqua" w:eastAsia="Calibri" w:hAnsi="Book Antiqua" w:cs="Calibri"/>
          <w:sz w:val="22"/>
          <w:szCs w:val="22"/>
        </w:rPr>
        <w:t>connu une hausse de 3,2% en 2016 pour se situer à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1076,9</w:t>
      </w:r>
      <w:r>
        <w:rPr>
          <w:rFonts w:ascii="Book Antiqua" w:eastAsia="Calibri" w:hAnsi="Book Antiqua" w:cs="Calibri"/>
          <w:sz w:val="22"/>
          <w:szCs w:val="22"/>
        </w:rPr>
        <w:t xml:space="preserve"> milliards de DH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. Cette amélioration est due à </w:t>
      </w:r>
      <w:r>
        <w:rPr>
          <w:rFonts w:ascii="Book Antiqua" w:eastAsia="Calibri" w:hAnsi="Book Antiqua" w:cs="Calibri"/>
          <w:sz w:val="22"/>
          <w:szCs w:val="22"/>
        </w:rPr>
        <w:t>l’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augmentation du revenu brut disponible de 6,8% </w:t>
      </w:r>
      <w:r>
        <w:rPr>
          <w:rFonts w:ascii="Book Antiqua" w:eastAsia="Calibri" w:hAnsi="Book Antiqua" w:cs="Calibri"/>
          <w:sz w:val="22"/>
          <w:szCs w:val="22"/>
        </w:rPr>
        <w:t>pour l</w:t>
      </w:r>
      <w:r w:rsidRPr="00330B81">
        <w:rPr>
          <w:rFonts w:ascii="Book Antiqua" w:eastAsia="Calibri" w:hAnsi="Book Antiqua" w:cs="Calibri"/>
          <w:sz w:val="22"/>
          <w:szCs w:val="22"/>
        </w:rPr>
        <w:t>es administrations publiques</w:t>
      </w:r>
      <w:r>
        <w:rPr>
          <w:rFonts w:ascii="Book Antiqua" w:eastAsia="Calibri" w:hAnsi="Book Antiqua" w:cs="Calibri"/>
          <w:sz w:val="22"/>
          <w:szCs w:val="22"/>
        </w:rPr>
        <w:t>,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de 3,1% </w:t>
      </w:r>
      <w:r>
        <w:rPr>
          <w:rFonts w:ascii="Book Antiqua" w:eastAsia="Calibri" w:hAnsi="Book Antiqua" w:cs="Calibri"/>
          <w:sz w:val="22"/>
          <w:szCs w:val="22"/>
        </w:rPr>
        <w:t>pour les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sociétés (financières et non financières) et  </w:t>
      </w:r>
      <w:r>
        <w:rPr>
          <w:rFonts w:ascii="Book Antiqua" w:eastAsia="Calibri" w:hAnsi="Book Antiqua" w:cs="Calibri"/>
          <w:sz w:val="22"/>
          <w:szCs w:val="22"/>
        </w:rPr>
        <w:t xml:space="preserve">de </w:t>
      </w:r>
      <w:r w:rsidRPr="00330B81">
        <w:rPr>
          <w:rFonts w:ascii="Book Antiqua" w:eastAsia="Calibri" w:hAnsi="Book Antiqua" w:cs="Calibri"/>
          <w:sz w:val="22"/>
          <w:szCs w:val="22"/>
        </w:rPr>
        <w:t>2,1</w:t>
      </w:r>
      <w:r>
        <w:rPr>
          <w:rFonts w:ascii="Book Antiqua" w:eastAsia="Calibri" w:hAnsi="Book Antiqua" w:cs="Calibri"/>
          <w:sz w:val="22"/>
          <w:szCs w:val="22"/>
        </w:rPr>
        <w:t>% pour les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ménages et </w:t>
      </w:r>
      <w:r>
        <w:rPr>
          <w:rFonts w:ascii="Book Antiqua" w:eastAsia="Calibri" w:hAnsi="Book Antiqua" w:cs="Calibri"/>
          <w:sz w:val="22"/>
          <w:szCs w:val="22"/>
        </w:rPr>
        <w:t>ISBLSM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. </w:t>
      </w:r>
    </w:p>
    <w:p w:rsidR="00964263" w:rsidRPr="00330B81" w:rsidRDefault="00964263" w:rsidP="00964263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>
        <w:rPr>
          <w:rFonts w:ascii="Book Antiqua" w:eastAsia="Calibri" w:hAnsi="Book Antiqua" w:cs="Calibri"/>
          <w:sz w:val="22"/>
          <w:szCs w:val="22"/>
        </w:rPr>
        <w:t>L</w:t>
      </w:r>
      <w:r w:rsidRPr="00330B81">
        <w:rPr>
          <w:rFonts w:ascii="Book Antiqua" w:eastAsia="Calibri" w:hAnsi="Book Antiqua" w:cs="Calibri"/>
          <w:sz w:val="22"/>
          <w:szCs w:val="22"/>
        </w:rPr>
        <w:t>es contributions des secteurs institutionnels au RNBD se sont situées</w:t>
      </w:r>
      <w:r>
        <w:rPr>
          <w:rFonts w:ascii="Book Antiqua" w:eastAsia="Calibri" w:hAnsi="Book Antiqua" w:cs="Calibri"/>
          <w:sz w:val="22"/>
          <w:szCs w:val="22"/>
        </w:rPr>
        <w:t xml:space="preserve"> ainsi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à:</w:t>
      </w:r>
    </w:p>
    <w:p w:rsidR="00964263" w:rsidRPr="00330B81" w:rsidRDefault="00964263" w:rsidP="000C41A3">
      <w:pPr>
        <w:numPr>
          <w:ilvl w:val="0"/>
          <w:numId w:val="33"/>
        </w:numPr>
        <w:spacing w:before="120" w:after="120" w:line="400" w:lineRule="exact"/>
        <w:ind w:left="981" w:hanging="357"/>
        <w:jc w:val="both"/>
        <w:rPr>
          <w:rFonts w:ascii="Book Antiqua" w:eastAsia="Calibri" w:hAnsi="Book Antiqua" w:cs="Calibri"/>
          <w:sz w:val="22"/>
          <w:szCs w:val="22"/>
        </w:rPr>
      </w:pPr>
      <w:r w:rsidRPr="00330B81">
        <w:rPr>
          <w:rFonts w:ascii="Book Antiqua" w:eastAsia="Calibri" w:hAnsi="Book Antiqua" w:cs="Calibri"/>
          <w:sz w:val="22"/>
          <w:szCs w:val="22"/>
        </w:rPr>
        <w:t>62,</w:t>
      </w:r>
      <w:r w:rsidR="000C41A3">
        <w:rPr>
          <w:rFonts w:ascii="Book Antiqua" w:eastAsia="Calibri" w:hAnsi="Book Antiqua" w:cs="Calibri" w:hint="cs"/>
          <w:sz w:val="22"/>
          <w:szCs w:val="22"/>
          <w:rtl/>
        </w:rPr>
        <w:t>5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% pour les ménages et ISBLSM; </w:t>
      </w:r>
    </w:p>
    <w:p w:rsidR="00964263" w:rsidRPr="00330B81" w:rsidRDefault="00964263" w:rsidP="00964263">
      <w:pPr>
        <w:numPr>
          <w:ilvl w:val="0"/>
          <w:numId w:val="33"/>
        </w:numPr>
        <w:spacing w:before="120" w:after="120" w:line="400" w:lineRule="exact"/>
        <w:ind w:left="981" w:hanging="357"/>
        <w:jc w:val="both"/>
        <w:rPr>
          <w:rFonts w:ascii="Book Antiqua" w:eastAsia="Calibri" w:hAnsi="Book Antiqua" w:cs="Calibri"/>
          <w:sz w:val="22"/>
          <w:szCs w:val="22"/>
        </w:rPr>
      </w:pPr>
      <w:r w:rsidRPr="00330B81">
        <w:rPr>
          <w:rFonts w:ascii="Book Antiqua" w:eastAsia="Calibri" w:hAnsi="Book Antiqua" w:cs="Calibri"/>
          <w:sz w:val="22"/>
          <w:szCs w:val="22"/>
        </w:rPr>
        <w:t>22,6% pour les Administrations publiques;</w:t>
      </w:r>
    </w:p>
    <w:p w:rsidR="00964263" w:rsidRPr="00330B81" w:rsidRDefault="00964263" w:rsidP="00964263">
      <w:pPr>
        <w:numPr>
          <w:ilvl w:val="0"/>
          <w:numId w:val="33"/>
        </w:numPr>
        <w:spacing w:before="120" w:after="120" w:line="400" w:lineRule="exact"/>
        <w:ind w:left="981" w:hanging="357"/>
        <w:jc w:val="both"/>
        <w:rPr>
          <w:rFonts w:ascii="Book Antiqua" w:eastAsia="Calibri" w:hAnsi="Book Antiqua" w:cs="Calibri"/>
          <w:sz w:val="22"/>
          <w:szCs w:val="22"/>
        </w:rPr>
      </w:pPr>
      <w:r>
        <w:rPr>
          <w:rFonts w:ascii="Book Antiqua" w:eastAsia="Calibri" w:hAnsi="Book Antiqua" w:cs="Calibri"/>
          <w:sz w:val="22"/>
          <w:szCs w:val="22"/>
        </w:rPr>
        <w:t>e</w:t>
      </w:r>
      <w:r w:rsidRPr="00330B81">
        <w:rPr>
          <w:rFonts w:ascii="Book Antiqua" w:eastAsia="Calibri" w:hAnsi="Book Antiqua" w:cs="Calibri"/>
          <w:sz w:val="22"/>
          <w:szCs w:val="22"/>
        </w:rPr>
        <w:t>t 14,9% pour les sociétés (avec 2,6% pour les sociétés financières).</w:t>
      </w:r>
    </w:p>
    <w:p w:rsidR="00964263" w:rsidRDefault="00964263" w:rsidP="00964263">
      <w:pPr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</w:pPr>
    </w:p>
    <w:p w:rsidR="00964263" w:rsidRPr="00330B81" w:rsidRDefault="00964263" w:rsidP="00964263">
      <w:pPr>
        <w:spacing w:before="120" w:after="120" w:line="400" w:lineRule="exact"/>
        <w:jc w:val="both"/>
        <w:rPr>
          <w:rFonts w:ascii="Book Antiqua" w:eastAsia="Calibri" w:hAnsi="Book Antiqua" w:cs="Calibri"/>
          <w:color w:val="FF0000"/>
          <w:sz w:val="22"/>
          <w:szCs w:val="22"/>
        </w:rPr>
      </w:pPr>
      <w:r w:rsidRPr="00330B81"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  <w:t>Revenu brut disponible des ménages et pouvoir d’achat </w:t>
      </w:r>
    </w:p>
    <w:p w:rsidR="00964263" w:rsidRPr="00773ABF" w:rsidRDefault="00964263" w:rsidP="00964263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 w:rsidRPr="00773ABF">
        <w:rPr>
          <w:rFonts w:ascii="Book Antiqua" w:eastAsia="Calibri" w:hAnsi="Book Antiqua" w:cs="Calibri"/>
          <w:sz w:val="22"/>
          <w:szCs w:val="22"/>
        </w:rPr>
        <w:t>Le RBD des ménages s’est accru de 2,1% pour atteindre 665,1 milliards de DH en 2016. Il a été  affecté, pour 87,6%, aux dépenses de consommation finale, au lieu de 86,4% enregistré en 2015. Dans ces conditions, l</w:t>
      </w:r>
      <w:r w:rsidRPr="00773ABF">
        <w:rPr>
          <w:rFonts w:ascii="Book Antiqua" w:eastAsia="Calibri" w:hAnsi="Book Antiqua" w:cs="Calibri"/>
          <w:color w:val="000000"/>
          <w:sz w:val="22"/>
          <w:szCs w:val="22"/>
        </w:rPr>
        <w:t>e taux d’épargne des ménages a régressé de  1,2 point, pour se situer à 12,9% en 2016.</w:t>
      </w:r>
    </w:p>
    <w:p w:rsidR="00964263" w:rsidRPr="00330B81" w:rsidRDefault="00964263" w:rsidP="00964263">
      <w:pPr>
        <w:spacing w:before="120" w:after="120" w:line="400" w:lineRule="exact"/>
        <w:jc w:val="both"/>
        <w:rPr>
          <w:rFonts w:ascii="Book Antiqua" w:hAnsi="Book Antiqua"/>
          <w:sz w:val="22"/>
          <w:szCs w:val="22"/>
        </w:rPr>
      </w:pPr>
      <w:r w:rsidRPr="00773ABF">
        <w:rPr>
          <w:rFonts w:ascii="Book Antiqua" w:eastAsia="Calibri" w:hAnsi="Book Antiqua" w:cs="Calibri"/>
          <w:sz w:val="22"/>
          <w:szCs w:val="22"/>
        </w:rPr>
        <w:t>Rapporté à la population, le revenu brut disponible a atteint 19 286 DH en 2016,  en hausse de 1%. L’augmentation des prix à la consommation étant de 1,6% en 2016, le pouvoir d’achat des ménages s’est dégradé, en conséquence, de 0,6%.</w:t>
      </w:r>
    </w:p>
    <w:p w:rsidR="00964263" w:rsidRDefault="00964263" w:rsidP="00964263">
      <w:pPr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</w:pPr>
    </w:p>
    <w:p w:rsidR="00964263" w:rsidRPr="00330B81" w:rsidRDefault="00964263" w:rsidP="00964263">
      <w:pPr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</w:pPr>
      <w:r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  <w:t>F</w:t>
      </w:r>
      <w:r w:rsidRPr="00DF2188"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  <w:t>ormation brute d</w:t>
      </w:r>
      <w:r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  <w:t>u</w:t>
      </w:r>
      <w:r w:rsidRPr="00DF2188"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  <w:t xml:space="preserve"> capital fixe </w:t>
      </w:r>
      <w:r w:rsidRPr="00330B81"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  <w:t>et son financement </w:t>
      </w:r>
    </w:p>
    <w:p w:rsidR="00964263" w:rsidRPr="00330B81" w:rsidRDefault="00964263" w:rsidP="00964263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 w:rsidRPr="00330B81">
        <w:rPr>
          <w:rFonts w:ascii="Book Antiqua" w:eastAsia="Calibri" w:hAnsi="Book Antiqua" w:cs="Calibri"/>
          <w:sz w:val="22"/>
          <w:szCs w:val="22"/>
        </w:rPr>
        <w:t xml:space="preserve">La </w:t>
      </w:r>
      <w:r w:rsidRPr="00DF2188">
        <w:rPr>
          <w:rFonts w:ascii="Book Antiqua" w:eastAsia="Calibri" w:hAnsi="Book Antiqua" w:cs="Calibri"/>
          <w:sz w:val="22"/>
          <w:szCs w:val="22"/>
        </w:rPr>
        <w:t>formation brute d</w:t>
      </w:r>
      <w:r>
        <w:rPr>
          <w:rFonts w:ascii="Book Antiqua" w:eastAsia="Calibri" w:hAnsi="Book Antiqua" w:cs="Calibri"/>
          <w:sz w:val="22"/>
          <w:szCs w:val="22"/>
        </w:rPr>
        <w:t>u</w:t>
      </w:r>
      <w:r w:rsidRPr="00DF2188">
        <w:rPr>
          <w:rFonts w:ascii="Book Antiqua" w:eastAsia="Calibri" w:hAnsi="Book Antiqua" w:cs="Calibri"/>
          <w:sz w:val="22"/>
          <w:szCs w:val="22"/>
        </w:rPr>
        <w:t xml:space="preserve"> capital fixe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(FBCF) est de 306,9 milliards de DH en 2016, en augmentation de 9,5% par rapport à 2015. </w:t>
      </w:r>
      <w:r>
        <w:rPr>
          <w:rFonts w:ascii="Book Antiqua" w:eastAsia="Calibri" w:hAnsi="Book Antiqua" w:cs="Calibri"/>
          <w:sz w:val="22"/>
          <w:szCs w:val="22"/>
        </w:rPr>
        <w:t xml:space="preserve">Les sociétés </w:t>
      </w:r>
      <w:r w:rsidRPr="00330B81">
        <w:rPr>
          <w:rFonts w:ascii="Book Antiqua" w:eastAsia="Calibri" w:hAnsi="Book Antiqua" w:cs="Calibri"/>
          <w:sz w:val="22"/>
          <w:szCs w:val="22"/>
        </w:rPr>
        <w:t>(financières et non financières)</w:t>
      </w:r>
      <w:r>
        <w:rPr>
          <w:rFonts w:ascii="Book Antiqua" w:eastAsia="Calibri" w:hAnsi="Book Antiqua" w:cs="Calibri"/>
          <w:sz w:val="22"/>
          <w:szCs w:val="22"/>
        </w:rPr>
        <w:t xml:space="preserve"> demeurent le premier investisseur au Maroc, avec une contribution en hausse passant de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55,2% </w:t>
      </w:r>
      <w:r>
        <w:rPr>
          <w:rFonts w:ascii="Book Antiqua" w:eastAsia="Calibri" w:hAnsi="Book Antiqua" w:cs="Calibri"/>
          <w:sz w:val="22"/>
          <w:szCs w:val="22"/>
        </w:rPr>
        <w:t xml:space="preserve">de la FBCF </w:t>
      </w:r>
      <w:r w:rsidRPr="00330B81">
        <w:rPr>
          <w:rFonts w:ascii="Book Antiqua" w:eastAsia="Calibri" w:hAnsi="Book Antiqua" w:cs="Calibri"/>
          <w:sz w:val="22"/>
          <w:szCs w:val="22"/>
        </w:rPr>
        <w:t>en 2015 à 57% en 2016</w:t>
      </w:r>
      <w:r>
        <w:rPr>
          <w:rFonts w:ascii="Book Antiqua" w:eastAsia="Calibri" w:hAnsi="Book Antiqua" w:cs="Calibri"/>
          <w:sz w:val="22"/>
          <w:szCs w:val="22"/>
        </w:rPr>
        <w:t xml:space="preserve">. Les contributions sont en baisse de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26,9% </w:t>
      </w:r>
      <w:r>
        <w:rPr>
          <w:rFonts w:ascii="Book Antiqua" w:eastAsia="Calibri" w:hAnsi="Book Antiqua" w:cs="Calibri"/>
          <w:sz w:val="22"/>
          <w:szCs w:val="22"/>
        </w:rPr>
        <w:t xml:space="preserve">à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25,9% </w:t>
      </w:r>
      <w:r>
        <w:rPr>
          <w:rFonts w:ascii="Book Antiqua" w:eastAsia="Calibri" w:hAnsi="Book Antiqua" w:cs="Calibri"/>
          <w:sz w:val="22"/>
          <w:szCs w:val="22"/>
        </w:rPr>
        <w:t>pour les ménages et de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17,6</w:t>
      </w:r>
      <w:r>
        <w:rPr>
          <w:rFonts w:ascii="Book Antiqua" w:eastAsia="Calibri" w:hAnsi="Book Antiqua" w:cs="Calibri"/>
          <w:sz w:val="22"/>
          <w:szCs w:val="22"/>
        </w:rPr>
        <w:t xml:space="preserve">% à </w:t>
      </w:r>
      <w:r w:rsidRPr="00330B81">
        <w:rPr>
          <w:rFonts w:ascii="Book Antiqua" w:eastAsia="Calibri" w:hAnsi="Book Antiqua" w:cs="Calibri"/>
          <w:sz w:val="22"/>
          <w:szCs w:val="22"/>
        </w:rPr>
        <w:t>16,8%</w:t>
      </w:r>
      <w:r>
        <w:rPr>
          <w:rFonts w:ascii="Book Antiqua" w:eastAsia="Calibri" w:hAnsi="Book Antiqua" w:cs="Calibri"/>
          <w:sz w:val="22"/>
          <w:szCs w:val="22"/>
        </w:rPr>
        <w:t xml:space="preserve"> pour les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administrations publiques.</w:t>
      </w:r>
    </w:p>
    <w:p w:rsidR="00964263" w:rsidRPr="00330B81" w:rsidRDefault="00964263" w:rsidP="00331B3E">
      <w:pPr>
        <w:spacing w:before="36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 w:rsidRPr="00330B81">
        <w:rPr>
          <w:rFonts w:ascii="Book Antiqua" w:eastAsia="Calibri" w:hAnsi="Book Antiqua" w:cs="Calibri"/>
          <w:sz w:val="22"/>
          <w:szCs w:val="22"/>
        </w:rPr>
        <w:t>L’épargne  nationale, de son côté, s’est située à 292,7 milliards de DH en 2016, en amélioration de 2,8</w:t>
      </w:r>
      <w:r>
        <w:rPr>
          <w:rFonts w:ascii="Book Antiqua" w:eastAsia="Calibri" w:hAnsi="Book Antiqua" w:cs="Calibri"/>
          <w:sz w:val="22"/>
          <w:szCs w:val="22"/>
        </w:rPr>
        <w:t>%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. Sa répartition par secteur institutionnel montre que les sociétés financières et non financières y contribuent pour  53,6%, suivies par les ménages  et  ISBLSM pour 30,2% et les administrations publiques pour 16,2%. </w:t>
      </w:r>
    </w:p>
    <w:p w:rsidR="00964263" w:rsidRPr="00330B81" w:rsidRDefault="00964263" w:rsidP="00331B3E">
      <w:pPr>
        <w:spacing w:before="24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 w:rsidRPr="00330B81">
        <w:rPr>
          <w:rFonts w:ascii="Book Antiqua" w:eastAsia="Calibri" w:hAnsi="Book Antiqua" w:cs="Calibri"/>
          <w:sz w:val="22"/>
          <w:szCs w:val="22"/>
        </w:rPr>
        <w:t>Globalement, le beso</w:t>
      </w:r>
      <w:r>
        <w:rPr>
          <w:rFonts w:ascii="Book Antiqua" w:eastAsia="Calibri" w:hAnsi="Book Antiqua" w:cs="Calibri"/>
          <w:sz w:val="22"/>
          <w:szCs w:val="22"/>
        </w:rPr>
        <w:t xml:space="preserve">in de financement de la nation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a été de 43,2  milliards de DH en 2016 </w:t>
      </w:r>
      <w:r>
        <w:rPr>
          <w:rFonts w:ascii="Book Antiqua" w:eastAsia="Calibri" w:hAnsi="Book Antiqua" w:cs="Calibri"/>
          <w:sz w:val="22"/>
          <w:szCs w:val="22"/>
        </w:rPr>
        <w:t>et a rep</w:t>
      </w:r>
      <w:r w:rsidRPr="00330B81">
        <w:rPr>
          <w:rFonts w:ascii="Book Antiqua" w:eastAsia="Calibri" w:hAnsi="Book Antiqua" w:cs="Calibri"/>
          <w:sz w:val="22"/>
          <w:szCs w:val="22"/>
        </w:rPr>
        <w:t>résenté 4,2% du PIB au lieu de 2% une année auparavant.</w:t>
      </w:r>
      <w:r>
        <w:rPr>
          <w:rFonts w:ascii="Book Antiqua" w:eastAsia="Calibri" w:hAnsi="Book Antiqua" w:cs="Calibri"/>
          <w:sz w:val="22"/>
          <w:szCs w:val="22"/>
        </w:rPr>
        <w:t xml:space="preserve"> Cette situation s’explique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principalement </w:t>
      </w:r>
      <w:r>
        <w:rPr>
          <w:rFonts w:ascii="Book Antiqua" w:eastAsia="Calibri" w:hAnsi="Book Antiqua" w:cs="Calibri"/>
          <w:sz w:val="22"/>
          <w:szCs w:val="22"/>
        </w:rPr>
        <w:t xml:space="preserve">par la forte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augmentation </w:t>
      </w:r>
      <w:r>
        <w:rPr>
          <w:rFonts w:ascii="Book Antiqua" w:eastAsia="Calibri" w:hAnsi="Book Antiqua" w:cs="Calibri"/>
          <w:sz w:val="22"/>
          <w:szCs w:val="22"/>
        </w:rPr>
        <w:t xml:space="preserve">de 17,8 </w:t>
      </w:r>
      <w:r w:rsidRPr="00330B81">
        <w:rPr>
          <w:rFonts w:ascii="Book Antiqua" w:eastAsia="Calibri" w:hAnsi="Book Antiqua" w:cs="Calibri"/>
          <w:sz w:val="22"/>
          <w:szCs w:val="22"/>
        </w:rPr>
        <w:t>milliards  de DH du besoin de financement des sociétés non financières</w:t>
      </w:r>
      <w:r w:rsidRPr="00122206">
        <w:rPr>
          <w:rFonts w:ascii="Book Antiqua" w:eastAsia="Calibri" w:hAnsi="Book Antiqua" w:cs="Calibri"/>
          <w:sz w:val="22"/>
          <w:szCs w:val="22"/>
        </w:rPr>
        <w:t xml:space="preserve"> </w:t>
      </w:r>
      <w:r>
        <w:rPr>
          <w:rFonts w:ascii="Book Antiqua" w:eastAsia="Calibri" w:hAnsi="Book Antiqua" w:cs="Calibri"/>
          <w:sz w:val="22"/>
          <w:szCs w:val="22"/>
        </w:rPr>
        <w:t>pour atteindre 54</w:t>
      </w:r>
      <w:r w:rsidR="00F959D6">
        <w:rPr>
          <w:rFonts w:ascii="Book Antiqua" w:eastAsia="Calibri" w:hAnsi="Book Antiqua" w:cs="Calibri"/>
          <w:sz w:val="22"/>
          <w:szCs w:val="22"/>
        </w:rPr>
        <w:t>,1</w:t>
      </w:r>
      <w:r>
        <w:rPr>
          <w:rFonts w:ascii="Book Antiqua" w:eastAsia="Calibri" w:hAnsi="Book Antiqua" w:cs="Calibri"/>
          <w:sz w:val="22"/>
          <w:szCs w:val="22"/>
        </w:rPr>
        <w:t xml:space="preserve"> milliards DH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en 2016. </w:t>
      </w:r>
      <w:r>
        <w:rPr>
          <w:rFonts w:ascii="Book Antiqua" w:eastAsia="Calibri" w:hAnsi="Book Antiqua" w:cs="Calibri"/>
          <w:sz w:val="22"/>
          <w:szCs w:val="22"/>
        </w:rPr>
        <w:t>Celui des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</w:t>
      </w:r>
      <w:r w:rsidRPr="00330B81">
        <w:rPr>
          <w:rFonts w:ascii="Book Antiqua" w:eastAsia="Calibri" w:hAnsi="Book Antiqua" w:cs="Calibri"/>
          <w:sz w:val="22"/>
          <w:szCs w:val="22"/>
        </w:rPr>
        <w:lastRenderedPageBreak/>
        <w:t>Administrations publiques</w:t>
      </w:r>
      <w:r>
        <w:rPr>
          <w:rFonts w:ascii="Book Antiqua" w:eastAsia="Calibri" w:hAnsi="Book Antiqua" w:cs="Calibri"/>
          <w:sz w:val="22"/>
          <w:szCs w:val="22"/>
        </w:rPr>
        <w:t>,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</w:t>
      </w:r>
      <w:r>
        <w:rPr>
          <w:rFonts w:ascii="Book Antiqua" w:eastAsia="Calibri" w:hAnsi="Book Antiqua" w:cs="Calibri"/>
          <w:sz w:val="22"/>
          <w:szCs w:val="22"/>
        </w:rPr>
        <w:t xml:space="preserve">en revanche, s’est atténué </w:t>
      </w:r>
      <w:r w:rsidRPr="00330B81">
        <w:rPr>
          <w:rFonts w:ascii="Book Antiqua" w:eastAsia="Calibri" w:hAnsi="Book Antiqua" w:cs="Calibri"/>
          <w:sz w:val="22"/>
          <w:szCs w:val="22"/>
        </w:rPr>
        <w:t>de 5,6 milliards de DH</w:t>
      </w:r>
      <w:r>
        <w:rPr>
          <w:rFonts w:ascii="Book Antiqua" w:eastAsia="Calibri" w:hAnsi="Book Antiqua" w:cs="Calibri"/>
          <w:sz w:val="22"/>
          <w:szCs w:val="22"/>
        </w:rPr>
        <w:t xml:space="preserve"> pour représenter 9</w:t>
      </w:r>
      <w:r w:rsidR="00F959D6">
        <w:rPr>
          <w:rFonts w:ascii="Book Antiqua" w:eastAsia="Calibri" w:hAnsi="Book Antiqua" w:cs="Calibri"/>
          <w:sz w:val="22"/>
          <w:szCs w:val="22"/>
        </w:rPr>
        <w:t>,4</w:t>
      </w:r>
      <w:r>
        <w:rPr>
          <w:rFonts w:ascii="Book Antiqua" w:eastAsia="Calibri" w:hAnsi="Book Antiqua" w:cs="Calibri"/>
          <w:sz w:val="22"/>
          <w:szCs w:val="22"/>
        </w:rPr>
        <w:t xml:space="preserve"> milliards de DH</w:t>
      </w:r>
      <w:r w:rsidRPr="00330B81">
        <w:rPr>
          <w:rFonts w:ascii="Book Antiqua" w:eastAsia="Calibri" w:hAnsi="Book Antiqua" w:cs="Calibri"/>
          <w:sz w:val="22"/>
          <w:szCs w:val="22"/>
        </w:rPr>
        <w:t>.</w:t>
      </w:r>
      <w:r w:rsidRPr="00FB5921">
        <w:rPr>
          <w:rFonts w:ascii="Book Antiqua" w:eastAsia="Calibri" w:hAnsi="Book Antiqua" w:cs="Calibri"/>
          <w:sz w:val="22"/>
          <w:szCs w:val="22"/>
        </w:rPr>
        <w:t xml:space="preserve"> </w:t>
      </w:r>
      <w:r>
        <w:rPr>
          <w:rFonts w:ascii="Book Antiqua" w:eastAsia="Calibri" w:hAnsi="Book Antiqua" w:cs="Calibri"/>
          <w:sz w:val="22"/>
          <w:szCs w:val="22"/>
        </w:rPr>
        <w:t xml:space="preserve">De son côté, la capacité de financement des </w:t>
      </w:r>
      <w:r w:rsidRPr="00330B81">
        <w:rPr>
          <w:rFonts w:ascii="Book Antiqua" w:eastAsia="Calibri" w:hAnsi="Book Antiqua" w:cs="Calibri"/>
          <w:sz w:val="22"/>
          <w:szCs w:val="22"/>
        </w:rPr>
        <w:t>ménages</w:t>
      </w:r>
      <w:r>
        <w:rPr>
          <w:rFonts w:ascii="Book Antiqua" w:eastAsia="Calibri" w:hAnsi="Book Antiqua" w:cs="Calibri"/>
          <w:sz w:val="22"/>
          <w:szCs w:val="22"/>
        </w:rPr>
        <w:t xml:space="preserve"> a connu une baisse</w:t>
      </w:r>
      <w:r w:rsidRPr="00FB5921">
        <w:rPr>
          <w:rFonts w:ascii="Book Antiqua" w:eastAsia="Calibri" w:hAnsi="Book Antiqua" w:cs="Calibri"/>
          <w:sz w:val="22"/>
          <w:szCs w:val="22"/>
        </w:rPr>
        <w:t xml:space="preserve"> </w:t>
      </w:r>
      <w:r>
        <w:rPr>
          <w:rFonts w:ascii="Book Antiqua" w:eastAsia="Calibri" w:hAnsi="Book Antiqua" w:cs="Calibri"/>
          <w:sz w:val="22"/>
          <w:szCs w:val="22"/>
        </w:rPr>
        <w:t>de 10,4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</w:t>
      </w:r>
      <w:r>
        <w:rPr>
          <w:rFonts w:ascii="Book Antiqua" w:eastAsia="Calibri" w:hAnsi="Book Antiqua" w:cs="Calibri"/>
          <w:sz w:val="22"/>
          <w:szCs w:val="22"/>
        </w:rPr>
        <w:t xml:space="preserve">milliards </w:t>
      </w:r>
      <w:r w:rsidRPr="00330B81">
        <w:rPr>
          <w:rFonts w:ascii="Book Antiqua" w:eastAsia="Calibri" w:hAnsi="Book Antiqua" w:cs="Calibri"/>
          <w:sz w:val="22"/>
          <w:szCs w:val="22"/>
        </w:rPr>
        <w:t>DH</w:t>
      </w:r>
      <w:r>
        <w:rPr>
          <w:rFonts w:ascii="Book Antiqua" w:eastAsia="Calibri" w:hAnsi="Book Antiqua" w:cs="Calibri"/>
          <w:sz w:val="22"/>
          <w:szCs w:val="22"/>
        </w:rPr>
        <w:t xml:space="preserve"> et celle des sociétés financières de 97</w:t>
      </w:r>
      <w:r w:rsidR="00237927">
        <w:rPr>
          <w:rFonts w:ascii="Book Antiqua" w:eastAsia="Calibri" w:hAnsi="Book Antiqua" w:cs="Calibri"/>
          <w:sz w:val="22"/>
          <w:szCs w:val="22"/>
        </w:rPr>
        <w:t xml:space="preserve">6 </w:t>
      </w:r>
      <w:r>
        <w:rPr>
          <w:rFonts w:ascii="Book Antiqua" w:eastAsia="Calibri" w:hAnsi="Book Antiqua" w:cs="Calibri"/>
          <w:sz w:val="22"/>
          <w:szCs w:val="22"/>
        </w:rPr>
        <w:t>millions de DH, pour se situer respectivement à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</w:t>
      </w:r>
      <w:r>
        <w:rPr>
          <w:rFonts w:ascii="Book Antiqua" w:eastAsia="Calibri" w:hAnsi="Book Antiqua" w:cs="Calibri"/>
          <w:sz w:val="22"/>
          <w:szCs w:val="22"/>
        </w:rPr>
        <w:t>5</w:t>
      </w:r>
      <w:r w:rsidR="00EA5CB6">
        <w:rPr>
          <w:rFonts w:ascii="Book Antiqua" w:eastAsia="Calibri" w:hAnsi="Book Antiqua" w:cs="Calibri"/>
          <w:sz w:val="22"/>
          <w:szCs w:val="22"/>
        </w:rPr>
        <w:t>,</w:t>
      </w:r>
      <w:r>
        <w:rPr>
          <w:rFonts w:ascii="Book Antiqua" w:eastAsia="Calibri" w:hAnsi="Book Antiqua" w:cs="Calibri"/>
          <w:sz w:val="22"/>
          <w:szCs w:val="22"/>
        </w:rPr>
        <w:t>5 et 14</w:t>
      </w:r>
      <w:r w:rsidR="00EA5CB6">
        <w:rPr>
          <w:rFonts w:ascii="Book Antiqua" w:eastAsia="Calibri" w:hAnsi="Book Antiqua" w:cs="Calibri"/>
          <w:sz w:val="22"/>
          <w:szCs w:val="22"/>
        </w:rPr>
        <w:t>,</w:t>
      </w:r>
      <w:r>
        <w:rPr>
          <w:rFonts w:ascii="Book Antiqua" w:eastAsia="Calibri" w:hAnsi="Book Antiqua" w:cs="Calibri"/>
          <w:sz w:val="22"/>
          <w:szCs w:val="22"/>
        </w:rPr>
        <w:t>7</w:t>
      </w:r>
      <w:r w:rsidR="00EA5CB6">
        <w:rPr>
          <w:rFonts w:ascii="Book Antiqua" w:eastAsia="Calibri" w:hAnsi="Book Antiqua" w:cs="Calibri"/>
          <w:sz w:val="22"/>
          <w:szCs w:val="22"/>
        </w:rPr>
        <w:t xml:space="preserve"> milliards </w:t>
      </w:r>
      <w:r>
        <w:rPr>
          <w:rFonts w:ascii="Book Antiqua" w:eastAsia="Calibri" w:hAnsi="Book Antiqua" w:cs="Calibri"/>
          <w:sz w:val="22"/>
          <w:szCs w:val="22"/>
        </w:rPr>
        <w:t>de DH en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2016</w:t>
      </w:r>
      <w:r>
        <w:rPr>
          <w:rFonts w:ascii="Book Antiqua" w:eastAsia="Calibri" w:hAnsi="Book Antiqua" w:cs="Calibri"/>
          <w:sz w:val="22"/>
          <w:szCs w:val="22"/>
        </w:rPr>
        <w:t>.</w:t>
      </w:r>
    </w:p>
    <w:p w:rsidR="00A953A8" w:rsidRPr="00330B81" w:rsidRDefault="00A953A8" w:rsidP="00C32893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</w:p>
    <w:p w:rsidR="00A953A8" w:rsidRDefault="00A953A8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A953A8" w:rsidRDefault="00A953A8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A953A8" w:rsidRDefault="00A953A8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787ECE" w:rsidRDefault="00787ECE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787ECE" w:rsidRDefault="00787ECE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787ECE" w:rsidRDefault="00787ECE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EA11E0" w:rsidRDefault="00EA11E0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EA11E0" w:rsidRDefault="00EA11E0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787ECE" w:rsidRDefault="00787ECE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6E2A8B" w:rsidRDefault="006E2A8B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6E2A8B" w:rsidRDefault="006E2A8B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6E2A8B" w:rsidRDefault="006E2A8B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6E2A8B" w:rsidRDefault="006E2A8B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6E2A8B" w:rsidRDefault="006E2A8B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EA11E0" w:rsidRDefault="00EA11E0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EA11E0" w:rsidRDefault="00EA11E0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EA11E0" w:rsidRDefault="00EA11E0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EA11E0" w:rsidRDefault="00EA11E0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6E2A8B" w:rsidRDefault="006E2A8B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6E2A8B" w:rsidRDefault="006E2A8B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EA11E0" w:rsidRDefault="00EA11E0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EA11E0" w:rsidRDefault="00EA11E0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6E2A8B" w:rsidRDefault="006E2A8B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787ECE" w:rsidRDefault="00787ECE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787ECE" w:rsidRPr="00330B81" w:rsidRDefault="00787ECE" w:rsidP="00787ECE">
      <w:pPr>
        <w:spacing w:before="120" w:after="120"/>
        <w:jc w:val="both"/>
        <w:rPr>
          <w:rFonts w:ascii="Helvetica-Bold" w:eastAsia="Calibri" w:hAnsi="Helvetica-Bold" w:cs="Helvetica-Bold"/>
          <w:b/>
          <w:bCs/>
          <w:color w:val="333333"/>
          <w:sz w:val="22"/>
          <w:szCs w:val="22"/>
        </w:rPr>
      </w:pPr>
      <w:r w:rsidRPr="00330B81">
        <w:rPr>
          <w:rFonts w:ascii="Helvetica-Bold" w:eastAsia="Calibri" w:hAnsi="Helvetica-Bold" w:cs="Helvetica-Bold"/>
          <w:b/>
          <w:bCs/>
          <w:color w:val="333333"/>
          <w:sz w:val="22"/>
          <w:szCs w:val="22"/>
        </w:rPr>
        <w:lastRenderedPageBreak/>
        <w:t>Quelques éléments du tableau des comptes économiques intégrés</w:t>
      </w:r>
    </w:p>
    <w:p w:rsidR="00787ECE" w:rsidRPr="00330B81" w:rsidRDefault="00787ECE" w:rsidP="00787ECE">
      <w:pPr>
        <w:spacing w:before="120" w:after="120"/>
        <w:jc w:val="center"/>
        <w:rPr>
          <w:rFonts w:ascii="Book Antiqua" w:eastAsia="Calibri" w:hAnsi="Book Antiqua" w:cs="Calibri"/>
          <w:sz w:val="22"/>
          <w:szCs w:val="22"/>
        </w:rPr>
      </w:pPr>
      <w:r w:rsidRPr="00330B81">
        <w:rPr>
          <w:b/>
          <w:color w:val="993300"/>
          <w:sz w:val="22"/>
          <w:szCs w:val="22"/>
        </w:rPr>
        <w:t xml:space="preserve">                                                                                                          (En millions de DH)</w:t>
      </w:r>
    </w:p>
    <w:tbl>
      <w:tblPr>
        <w:tblW w:w="912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5256"/>
        <w:gridCol w:w="234"/>
        <w:gridCol w:w="992"/>
        <w:gridCol w:w="160"/>
        <w:gridCol w:w="1199"/>
        <w:gridCol w:w="160"/>
        <w:gridCol w:w="1125"/>
      </w:tblGrid>
      <w:tr w:rsidR="00787ECE" w:rsidRPr="00330B81" w:rsidTr="006C33E0">
        <w:trPr>
          <w:trHeight w:val="345"/>
        </w:trPr>
        <w:tc>
          <w:tcPr>
            <w:tcW w:w="5256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ind w:right="-211"/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Opérations</w:t>
            </w: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2014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2015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2016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Valeur ajoutée aux prix de base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 w:hint="cs"/>
                <w:sz w:val="22"/>
                <w:szCs w:val="22"/>
                <w:rtl/>
              </w:rPr>
              <w:t xml:space="preserve">830 </w:t>
            </w:r>
            <w:r w:rsidRPr="00330B81">
              <w:rPr>
                <w:rFonts w:ascii="Calibri" w:hAnsi="Calibri" w:cs="Arial"/>
                <w:sz w:val="22"/>
                <w:szCs w:val="22"/>
              </w:rPr>
              <w:t xml:space="preserve"> 708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874 050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895 994</w:t>
            </w:r>
          </w:p>
        </w:tc>
      </w:tr>
      <w:tr w:rsidR="00787ECE" w:rsidRPr="00330B81" w:rsidTr="006C33E0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Impôts nets sur les produits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94 668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113 971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120 125</w:t>
            </w:r>
          </w:p>
        </w:tc>
      </w:tr>
      <w:tr w:rsidR="00787ECE" w:rsidRPr="00330B81" w:rsidTr="006C33E0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Produit intérieur brut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925 376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988 021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1 016 119</w:t>
            </w:r>
          </w:p>
        </w:tc>
      </w:tr>
      <w:tr w:rsidR="00787ECE" w:rsidRPr="00330B81" w:rsidTr="006C33E0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Valeur ajoutée brute des secteurs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 xml:space="preserve">    Sociétés non financières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355 113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377 223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391 042</w:t>
            </w:r>
          </w:p>
        </w:tc>
      </w:tr>
      <w:tr w:rsidR="00787ECE" w:rsidRPr="00330B81" w:rsidTr="006C33E0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 xml:space="preserve">    Sociétés financières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44 003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46 868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48 055</w:t>
            </w:r>
          </w:p>
        </w:tc>
      </w:tr>
      <w:tr w:rsidR="00787ECE" w:rsidRPr="00330B81" w:rsidTr="006C33E0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 xml:space="preserve">    Administrations Publiques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154 183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156 774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160 347</w:t>
            </w:r>
          </w:p>
        </w:tc>
      </w:tr>
      <w:tr w:rsidR="00787ECE" w:rsidRPr="00330B81" w:rsidTr="006C33E0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 xml:space="preserve">    Ménages et ISBLSM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277 409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293 185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296 550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Eléments de partage de la valeur ajoutée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330B8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Sociétés non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   Rémunération des salariés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132 556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136 999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143 728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   Autres impôts nets sur la production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8 102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9 212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10 169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   Excédent brut d'exploitation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214 455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231 012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237 145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   Sociétés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   Rémunération des salariés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14 467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15 146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15 883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   Autres impôts nets sur la production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839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941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960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   Excédent brut d'exploitation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28 697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30 781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31 212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   Administrations Publiques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   Rémunération des salariés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138 937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139 677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142 048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   Autres impôts  sur la production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428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10207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4</w:t>
            </w:r>
            <w:r w:rsidR="00102071" w:rsidRPr="00330B81">
              <w:rPr>
                <w:rFonts w:ascii="Calibri" w:hAnsi="Calibri" w:cs="Arial"/>
                <w:sz w:val="22"/>
                <w:szCs w:val="22"/>
              </w:rPr>
              <w:t>86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530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   Excédent brut d'exploitation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14 818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102071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16</w:t>
            </w:r>
            <w:r w:rsidR="008E363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30B81">
              <w:rPr>
                <w:rFonts w:ascii="Calibri" w:hAnsi="Calibri" w:cs="Arial"/>
                <w:sz w:val="22"/>
                <w:szCs w:val="22"/>
              </w:rPr>
              <w:t>611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17 769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   Ménages et ISBLSM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   Rémunération des salariés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19 288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20 738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19 989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   Autres impôts nets sur la production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443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502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690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   Excédent brut d'exploitation et revenu mixte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257 678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271 945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275 871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Revenu national brut disponible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985 064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1 043 370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1 076 976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Revenu national brut disponible par secteur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8A074E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Sociétés non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107 305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129 989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8A074E" w:rsidRDefault="00787ECE" w:rsidP="008A074E">
            <w:pPr>
              <w:jc w:val="righ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773ABF">
              <w:rPr>
                <w:rFonts w:ascii="Calibri" w:hAnsi="Calibri" w:cs="Arial"/>
                <w:sz w:val="22"/>
                <w:szCs w:val="22"/>
              </w:rPr>
              <w:t>132 1</w:t>
            </w:r>
            <w:r w:rsidR="008A074E" w:rsidRPr="00773ABF">
              <w:rPr>
                <w:rFonts w:ascii="Calibri" w:hAnsi="Calibri" w:cs="Arial" w:hint="cs"/>
                <w:sz w:val="22"/>
                <w:szCs w:val="22"/>
                <w:rtl/>
              </w:rPr>
              <w:t>91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Sociétés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19 690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25 433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773AB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28 0</w:t>
            </w:r>
            <w:r w:rsidR="00773ABF">
              <w:rPr>
                <w:rFonts w:ascii="Calibri" w:hAnsi="Calibri" w:cs="Arial" w:hint="cs"/>
                <w:sz w:val="22"/>
                <w:szCs w:val="22"/>
                <w:rtl/>
              </w:rPr>
              <w:t>2</w:t>
            </w:r>
            <w:r w:rsidRPr="00330B81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Administrations Publiques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219 078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ED2DA9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227 565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1B61C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 w:hint="cs"/>
                <w:sz w:val="22"/>
                <w:szCs w:val="22"/>
                <w:rtl/>
              </w:rPr>
              <w:t>243</w:t>
            </w:r>
            <w:r w:rsidRPr="00EE5B2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 w:hint="cs"/>
                <w:sz w:val="22"/>
                <w:szCs w:val="22"/>
                <w:rtl/>
              </w:rPr>
              <w:t>074</w:t>
            </w:r>
          </w:p>
        </w:tc>
      </w:tr>
      <w:tr w:rsidR="00787ECE" w:rsidRPr="00773ABF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Ménages et ISBLSM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638 991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07D5F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660 383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773ABF" w:rsidRDefault="00B30A78" w:rsidP="008A074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73ABF">
              <w:rPr>
                <w:rFonts w:ascii="Calibri" w:hAnsi="Calibri" w:cs="Arial"/>
                <w:sz w:val="22"/>
                <w:szCs w:val="22"/>
              </w:rPr>
              <w:t>673 68</w:t>
            </w:r>
            <w:r w:rsidR="008A074E" w:rsidRPr="00773ABF">
              <w:rPr>
                <w:rFonts w:ascii="Calibri" w:hAnsi="Calibri" w:cs="Arial" w:hint="cs"/>
                <w:sz w:val="22"/>
                <w:szCs w:val="22"/>
                <w:rtl/>
              </w:rPr>
              <w:t>9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Epargne brute nationale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245 045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284 628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292 727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Epargne brute par secteur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Sociétés non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107 305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129 989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132 188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Sociétés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17 180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22 486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24 734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Administrations Publiques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34 775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37 115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47 476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Ménages et ISBLSM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85 785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95 038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88 329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 xml:space="preserve">Formation brute nationale du capital fixe 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276 237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280 271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306 910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Formation brute du capital fixe par secteur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Sociétés non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153 356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151 399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169 630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Sociétés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2 593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3 352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5 289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Administrations Publiques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41 071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49 348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51 491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bottom w:val="single" w:sz="18" w:space="0" w:color="76923C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Ménages et ISBLSM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79 217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76 172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80 500</w:t>
            </w:r>
          </w:p>
        </w:tc>
      </w:tr>
      <w:tr w:rsidR="00787ECE" w:rsidRPr="00330B81" w:rsidTr="006C33E0">
        <w:trPr>
          <w:trHeight w:val="315"/>
        </w:trPr>
        <w:tc>
          <w:tcPr>
            <w:tcW w:w="91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3E0" w:rsidRPr="00330B81" w:rsidRDefault="006C33E0" w:rsidP="006C33E0">
            <w:pPr>
              <w:spacing w:before="120" w:after="120"/>
              <w:jc w:val="both"/>
              <w:rPr>
                <w:rFonts w:ascii="Helvetica-Bold" w:eastAsia="Calibri" w:hAnsi="Helvetica-Bold" w:cs="Helvetica-Bold"/>
                <w:b/>
                <w:bCs/>
                <w:color w:val="333333"/>
                <w:sz w:val="22"/>
                <w:szCs w:val="22"/>
              </w:rPr>
            </w:pPr>
            <w:r w:rsidRPr="00330B81">
              <w:rPr>
                <w:rFonts w:ascii="Helvetica-Bold" w:eastAsia="Calibri" w:hAnsi="Helvetica-Bold" w:cs="Helvetica-Bold"/>
                <w:b/>
                <w:bCs/>
                <w:color w:val="333333"/>
                <w:sz w:val="22"/>
                <w:szCs w:val="22"/>
              </w:rPr>
              <w:lastRenderedPageBreak/>
              <w:t xml:space="preserve">Quelques éléments du tableau des comptes économiques </w:t>
            </w:r>
            <w:r w:rsidR="00266012" w:rsidRPr="00330B81">
              <w:rPr>
                <w:rFonts w:ascii="Helvetica-Bold" w:eastAsia="Calibri" w:hAnsi="Helvetica-Bold" w:cs="Helvetica-Bold"/>
                <w:b/>
                <w:bCs/>
                <w:color w:val="333333"/>
                <w:sz w:val="22"/>
                <w:szCs w:val="22"/>
              </w:rPr>
              <w:t>intégrés (</w:t>
            </w:r>
            <w:r w:rsidR="004C6A2D" w:rsidRPr="00330B81">
              <w:rPr>
                <w:rFonts w:ascii="Helvetica-Bold" w:eastAsia="Calibri" w:hAnsi="Helvetica-Bold" w:cs="Helvetica-Bold"/>
                <w:b/>
                <w:bCs/>
                <w:color w:val="333333"/>
                <w:sz w:val="22"/>
                <w:szCs w:val="22"/>
              </w:rPr>
              <w:t>suite)</w:t>
            </w:r>
          </w:p>
          <w:p w:rsidR="00787ECE" w:rsidRPr="00330B81" w:rsidRDefault="006C33E0" w:rsidP="00330B81">
            <w:pPr>
              <w:spacing w:before="120" w:after="12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b/>
                <w:color w:val="993300"/>
                <w:sz w:val="22"/>
                <w:szCs w:val="22"/>
              </w:rPr>
              <w:t xml:space="preserve">                                                                                                          (En millions de DH)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ind w:right="-211"/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Opérations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2014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2015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2016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Besoin de financement de l’économie nationale</w:t>
            </w: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B71254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 xml:space="preserve">-56 </w:t>
            </w:r>
            <w:r w:rsidR="00B71254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034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-19 706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-43 188</w:t>
            </w:r>
          </w:p>
        </w:tc>
      </w:tr>
      <w:tr w:rsidR="00787ECE" w:rsidRPr="00330B81" w:rsidTr="006C33E0">
        <w:trPr>
          <w:trHeight w:val="315"/>
        </w:trPr>
        <w:tc>
          <w:tcPr>
            <w:tcW w:w="648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Sociétés non financières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-64 625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-36 353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-54 085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Sociétés financières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12 006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15 720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14 744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Administrations Publiques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-10 003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-14 994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-9 388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Ménages et ISBLSM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B71254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  <w:r w:rsidR="002079B7">
              <w:rPr>
                <w:rFonts w:ascii="Calibri" w:hAnsi="Calibri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588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15 921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5 541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9126" w:type="dxa"/>
            <w:gridSpan w:val="7"/>
            <w:tcBorders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4C6A2D" w:rsidP="006C33E0">
            <w:pPr>
              <w:rPr>
                <w:rFonts w:ascii="Helvetica-Bold" w:eastAsia="Calibri" w:hAnsi="Helvetica-Bold" w:cs="Helvetica-Bold"/>
                <w:b/>
                <w:bCs/>
                <w:color w:val="333333"/>
                <w:sz w:val="22"/>
                <w:szCs w:val="22"/>
              </w:rPr>
            </w:pPr>
            <w:r w:rsidRPr="00330B81">
              <w:rPr>
                <w:rFonts w:ascii="Helvetica-Bold" w:eastAsia="Calibri" w:hAnsi="Helvetica-Bold" w:cs="Helvetica-Bold"/>
                <w:b/>
                <w:bCs/>
                <w:color w:val="333333"/>
                <w:sz w:val="22"/>
                <w:szCs w:val="22"/>
              </w:rPr>
              <w:t>Quelques éléments du compte des ménages :</w:t>
            </w:r>
          </w:p>
          <w:p w:rsidR="004C6A2D" w:rsidRPr="00330B81" w:rsidRDefault="004C6A2D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ind w:right="-211"/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Opérations</w:t>
            </w: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2014</w:t>
            </w:r>
          </w:p>
        </w:tc>
        <w:tc>
          <w:tcPr>
            <w:tcW w:w="16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2015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2016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Revenu brut disponible </w:t>
            </w:r>
            <w:r w:rsidRPr="00330B81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(en millions de DH)</w:t>
            </w: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4C6A2D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630</w:t>
            </w:r>
            <w:r w:rsidR="00AD0C5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30B81">
              <w:rPr>
                <w:rFonts w:ascii="Calibri" w:hAnsi="Calibri" w:cs="Arial"/>
                <w:sz w:val="22"/>
                <w:szCs w:val="22"/>
              </w:rPr>
              <w:t>608</w:t>
            </w:r>
          </w:p>
        </w:tc>
        <w:tc>
          <w:tcPr>
            <w:tcW w:w="160" w:type="dxa"/>
            <w:tcBorders>
              <w:top w:val="single" w:sz="18" w:space="0" w:color="76923C"/>
              <w:left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4C6A2D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651</w:t>
            </w:r>
            <w:r w:rsidR="00AD0C5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30B81">
              <w:rPr>
                <w:rFonts w:ascii="Calibri" w:hAnsi="Calibri" w:cs="Arial"/>
                <w:sz w:val="22"/>
                <w:szCs w:val="22"/>
              </w:rPr>
              <w:t>656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4C6A2D" w:rsidP="00C6088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665</w:t>
            </w:r>
            <w:r w:rsidR="00AD0C5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C60880">
              <w:rPr>
                <w:rFonts w:ascii="Calibri" w:hAnsi="Calibri" w:cs="Arial"/>
                <w:sz w:val="22"/>
                <w:szCs w:val="22"/>
              </w:rPr>
              <w:t>115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Dépense de consommation finale </w:t>
            </w:r>
            <w:r w:rsidRPr="00330B81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(en millions de DH)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4C6A2D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550</w:t>
            </w:r>
            <w:r w:rsidR="00AD0C5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30B81">
              <w:rPr>
                <w:rFonts w:ascii="Calibri" w:hAnsi="Calibri" w:cs="Arial"/>
                <w:sz w:val="22"/>
                <w:szCs w:val="22"/>
              </w:rPr>
              <w:t>793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4C6A2D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562</w:t>
            </w:r>
            <w:r w:rsidR="00AD0C5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30B81">
              <w:rPr>
                <w:rFonts w:ascii="Calibri" w:hAnsi="Calibri" w:cs="Arial"/>
                <w:sz w:val="22"/>
                <w:szCs w:val="22"/>
              </w:rPr>
              <w:t>868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4C6A2D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582</w:t>
            </w:r>
            <w:r w:rsidR="00AD0C5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30B81">
              <w:rPr>
                <w:rFonts w:ascii="Calibri" w:hAnsi="Calibri" w:cs="Arial"/>
                <w:sz w:val="22"/>
                <w:szCs w:val="22"/>
              </w:rPr>
              <w:t>809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Epargne brute </w:t>
            </w:r>
            <w:r w:rsidRPr="00330B81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(en millions de DH)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99460D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82</w:t>
            </w:r>
            <w:r w:rsidR="00AD0C5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30B81">
              <w:rPr>
                <w:rFonts w:ascii="Calibri" w:hAnsi="Calibri" w:cs="Arial"/>
                <w:sz w:val="22"/>
                <w:szCs w:val="22"/>
              </w:rPr>
              <w:t>325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99460D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91</w:t>
            </w:r>
            <w:r w:rsidR="00AD0C5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30B81">
              <w:rPr>
                <w:rFonts w:ascii="Calibri" w:hAnsi="Calibri" w:cs="Arial"/>
                <w:sz w:val="22"/>
                <w:szCs w:val="22"/>
              </w:rPr>
              <w:t>735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99460D" w:rsidP="008A074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85</w:t>
            </w:r>
            <w:r w:rsidR="00AD0C5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30B81">
              <w:rPr>
                <w:rFonts w:ascii="Calibri" w:hAnsi="Calibri" w:cs="Arial"/>
                <w:sz w:val="22"/>
                <w:szCs w:val="22"/>
              </w:rPr>
              <w:t>6</w:t>
            </w:r>
            <w:r w:rsidR="008A074E">
              <w:rPr>
                <w:rFonts w:ascii="Calibri" w:hAnsi="Calibri" w:cs="Arial" w:hint="cs"/>
                <w:sz w:val="22"/>
                <w:szCs w:val="22"/>
                <w:rtl/>
              </w:rPr>
              <w:t>11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E7760D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Taux d’épargne 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E7760D" w:rsidP="00E7760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13,1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E7760D" w:rsidP="00E7760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14,1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E7760D" w:rsidP="00E7760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12,9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Revenu brut disponible par tête </w:t>
            </w:r>
            <w:r w:rsidRPr="00330B81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(en DH)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99460D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>18</w:t>
            </w:r>
            <w:r w:rsidR="00AD0C5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30B81">
              <w:rPr>
                <w:rFonts w:ascii="Calibri" w:hAnsi="Calibri" w:cs="Calibri"/>
                <w:sz w:val="22"/>
                <w:szCs w:val="22"/>
              </w:rPr>
              <w:t>674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99460D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>19</w:t>
            </w:r>
            <w:r w:rsidR="00AD0C5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30B81">
              <w:rPr>
                <w:rFonts w:ascii="Calibri" w:hAnsi="Calibri" w:cs="Calibri"/>
                <w:sz w:val="22"/>
                <w:szCs w:val="22"/>
              </w:rPr>
              <w:t>096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99460D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>19</w:t>
            </w:r>
            <w:r w:rsidR="00AD0C5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30B81">
              <w:rPr>
                <w:rFonts w:ascii="Calibri" w:hAnsi="Calibri" w:cs="Calibri"/>
                <w:sz w:val="22"/>
                <w:szCs w:val="22"/>
              </w:rPr>
              <w:t>286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Revenu brut disponible par tête </w:t>
            </w:r>
            <w:r w:rsidRPr="00330B81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(évolution)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E7760D" w:rsidP="00A60F5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>-1,1</w:t>
            </w:r>
            <w:r w:rsidR="00787ECE" w:rsidRPr="00330B81">
              <w:rPr>
                <w:rFonts w:ascii="Calibri" w:hAnsi="Calibri" w:cs="Calibri"/>
                <w:sz w:val="22"/>
                <w:szCs w:val="22"/>
              </w:rPr>
              <w:t xml:space="preserve"> %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E7760D" w:rsidP="00A60F5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>2,3</w:t>
            </w:r>
            <w:r w:rsidR="00787ECE" w:rsidRPr="00330B81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E776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>1%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Indice des prix à la consommation </w:t>
            </w:r>
            <w:r w:rsidRPr="00330B81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(évolution)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0,4 %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D5795F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1,6%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D5795F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1,6%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Pouvoir d’achat des ménages </w:t>
            </w:r>
            <w:r w:rsidRPr="00330B81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(évolution)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E7760D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-1,5</w:t>
            </w:r>
            <w:r w:rsidR="00787ECE" w:rsidRPr="00330B81">
              <w:rPr>
                <w:rFonts w:ascii="Calibri" w:hAnsi="Calibri" w:cs="Arial"/>
                <w:sz w:val="22"/>
                <w:szCs w:val="22"/>
              </w:rPr>
              <w:t xml:space="preserve"> %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D5795F" w:rsidP="007E56A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0,7</w:t>
            </w:r>
            <w:r w:rsidR="00AD0C57" w:rsidRPr="00330B81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D5795F" w:rsidP="00D5795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-</w:t>
            </w:r>
            <w:r w:rsidR="00F06874" w:rsidRPr="00330B8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30B81">
              <w:rPr>
                <w:rFonts w:ascii="Calibri" w:hAnsi="Calibri" w:cs="Arial"/>
                <w:sz w:val="22"/>
                <w:szCs w:val="22"/>
              </w:rPr>
              <w:t>0,6</w:t>
            </w:r>
            <w:r w:rsidR="00AD0C57" w:rsidRPr="00330B81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A01735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8F776F" w:rsidRDefault="00787ECE" w:rsidP="006C33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Default="00787ECE" w:rsidP="006C33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51217F" w:rsidRDefault="00787ECE" w:rsidP="006C33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Default="00787ECE" w:rsidP="006C33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51217F" w:rsidRDefault="00787ECE" w:rsidP="006C33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Default="00787ECE" w:rsidP="006C33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51217F" w:rsidRDefault="00787ECE" w:rsidP="006C33E0">
            <w:pPr>
              <w:jc w:val="right"/>
              <w:rPr>
                <w:rFonts w:ascii="Calibri" w:hAnsi="Calibri" w:cs="Arial"/>
              </w:rPr>
            </w:pPr>
          </w:p>
        </w:tc>
      </w:tr>
      <w:tr w:rsidR="00787ECE" w:rsidRPr="00A01735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8F776F" w:rsidRDefault="00787ECE" w:rsidP="006C33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Default="00787ECE" w:rsidP="006C33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51217F" w:rsidRDefault="00787ECE" w:rsidP="006C33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Default="00787ECE" w:rsidP="006C33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51217F" w:rsidRDefault="00787ECE" w:rsidP="006C33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Default="00787ECE" w:rsidP="006C33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51217F" w:rsidRDefault="00787ECE" w:rsidP="006C33E0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787ECE" w:rsidRDefault="00787ECE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tbl>
      <w:tblPr>
        <w:tblW w:w="912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5256"/>
        <w:gridCol w:w="234"/>
        <w:gridCol w:w="992"/>
        <w:gridCol w:w="160"/>
        <w:gridCol w:w="1199"/>
        <w:gridCol w:w="160"/>
        <w:gridCol w:w="1125"/>
      </w:tblGrid>
      <w:tr w:rsidR="00425BF6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5BF6" w:rsidRPr="008F776F" w:rsidRDefault="00425BF6" w:rsidP="00787ECE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425BF6" w:rsidRDefault="00425BF6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BF6" w:rsidRPr="0051217F" w:rsidRDefault="00425BF6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BF6" w:rsidRDefault="00425BF6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BF6" w:rsidRPr="0051217F" w:rsidRDefault="00425BF6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BF6" w:rsidRDefault="00425BF6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BF6" w:rsidRPr="0051217F" w:rsidRDefault="00425BF6" w:rsidP="002B3DE0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5049EE" w:rsidRDefault="005049EE" w:rsidP="00FD06EC">
      <w:pPr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943634"/>
          <w:sz w:val="28"/>
          <w:szCs w:val="28"/>
        </w:rPr>
      </w:pPr>
    </w:p>
    <w:sectPr w:rsidR="005049EE" w:rsidSect="00331B3E">
      <w:footerReference w:type="default" r:id="rId10"/>
      <w:pgSz w:w="11900" w:h="16840"/>
      <w:pgMar w:top="624" w:right="1418" w:bottom="1247" w:left="147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8F1" w:rsidRDefault="007248F1" w:rsidP="00611FF6">
      <w:r>
        <w:separator/>
      </w:r>
    </w:p>
  </w:endnote>
  <w:endnote w:type="continuationSeparator" w:id="1">
    <w:p w:rsidR="007248F1" w:rsidRDefault="007248F1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3E0" w:rsidRDefault="00CB3956">
    <w:pPr>
      <w:pStyle w:val="Pieddepage"/>
      <w:jc w:val="center"/>
    </w:pPr>
    <w:fldSimple w:instr=" PAGE   \* MERGEFORMAT ">
      <w:r w:rsidR="00AF4F3E">
        <w:rPr>
          <w:noProof/>
        </w:rPr>
        <w:t>1</w:t>
      </w:r>
    </w:fldSimple>
  </w:p>
  <w:p w:rsidR="006C33E0" w:rsidRDefault="006C33E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8F1" w:rsidRDefault="007248F1" w:rsidP="00611FF6">
      <w:r>
        <w:separator/>
      </w:r>
    </w:p>
  </w:footnote>
  <w:footnote w:type="continuationSeparator" w:id="1">
    <w:p w:rsidR="007248F1" w:rsidRDefault="007248F1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85pt;height:11.85pt" o:bullet="t">
        <v:imagedata r:id="rId1" o:title="clip_bullet001"/>
      </v:shape>
    </w:pict>
  </w:numPicBullet>
  <w:abstractNum w:abstractNumId="0">
    <w:nsid w:val="02CF71ED"/>
    <w:multiLevelType w:val="hybridMultilevel"/>
    <w:tmpl w:val="DB70D338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06116646"/>
    <w:multiLevelType w:val="hybridMultilevel"/>
    <w:tmpl w:val="FD6A7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31272"/>
    <w:multiLevelType w:val="hybridMultilevel"/>
    <w:tmpl w:val="0D8404AA"/>
    <w:lvl w:ilvl="0" w:tplc="6E2E5E16">
      <w:start w:val="1"/>
      <w:numFmt w:val="bullet"/>
      <w:lvlText w:val="▪"/>
      <w:lvlJc w:val="left"/>
      <w:pPr>
        <w:ind w:left="1080" w:hanging="360"/>
      </w:pPr>
      <w:rPr>
        <w:rFonts w:ascii="Sylfaen" w:hAnsi="Sylfaen" w:cs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080FAF"/>
    <w:multiLevelType w:val="hybridMultilevel"/>
    <w:tmpl w:val="E48081F6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6">
    <w:nsid w:val="116618E2"/>
    <w:multiLevelType w:val="hybridMultilevel"/>
    <w:tmpl w:val="E1148206"/>
    <w:lvl w:ilvl="0" w:tplc="040C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5E2A88"/>
    <w:multiLevelType w:val="hybridMultilevel"/>
    <w:tmpl w:val="D94AA3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C617D7"/>
    <w:multiLevelType w:val="hybridMultilevel"/>
    <w:tmpl w:val="89DC1C88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54687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D855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D9A4B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8F4B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9045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5A13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E1A8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EC0E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>
    <w:nsid w:val="39CC7947"/>
    <w:multiLevelType w:val="hybridMultilevel"/>
    <w:tmpl w:val="F3327A8C"/>
    <w:lvl w:ilvl="0" w:tplc="EE781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6DE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249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414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0AC5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096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210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A0E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BCEC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C338AA"/>
    <w:multiLevelType w:val="hybridMultilevel"/>
    <w:tmpl w:val="EFFAE5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3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4">
    <w:nsid w:val="42992A1F"/>
    <w:multiLevelType w:val="hybridMultilevel"/>
    <w:tmpl w:val="500C488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8FE7DFD"/>
    <w:multiLevelType w:val="hybridMultilevel"/>
    <w:tmpl w:val="9F1C9AC8"/>
    <w:lvl w:ilvl="0" w:tplc="9B9ACFA6">
      <w:start w:val="1"/>
      <w:numFmt w:val="decimal"/>
      <w:lvlText w:val="(%1)"/>
      <w:lvlJc w:val="left"/>
      <w:pPr>
        <w:ind w:left="1212" w:hanging="360"/>
      </w:pPr>
      <w:rPr>
        <w:rFonts w:cs="Times New Roman" w:hint="default"/>
        <w:b w:val="0"/>
        <w:color w:val="000000"/>
        <w:w w:val="1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C0C2599"/>
    <w:multiLevelType w:val="hybridMultilevel"/>
    <w:tmpl w:val="7522F9F2"/>
    <w:lvl w:ilvl="0" w:tplc="8A5C855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9">
    <w:nsid w:val="52E7386C"/>
    <w:multiLevelType w:val="hybridMultilevel"/>
    <w:tmpl w:val="AC20B84A"/>
    <w:lvl w:ilvl="0" w:tplc="CD8ADB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C5B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83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75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8F2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060E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CBF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1223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3890104"/>
    <w:multiLevelType w:val="hybridMultilevel"/>
    <w:tmpl w:val="B10EFBD8"/>
    <w:lvl w:ilvl="0" w:tplc="1C009E76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44889"/>
    <w:multiLevelType w:val="hybridMultilevel"/>
    <w:tmpl w:val="FFC25ADC"/>
    <w:lvl w:ilvl="0" w:tplc="9E467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E022EE"/>
    <w:multiLevelType w:val="hybridMultilevel"/>
    <w:tmpl w:val="6EF07286"/>
    <w:lvl w:ilvl="0" w:tplc="040C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3">
    <w:nsid w:val="6B0912AF"/>
    <w:multiLevelType w:val="hybridMultilevel"/>
    <w:tmpl w:val="01706F4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C11AED"/>
    <w:multiLevelType w:val="hybridMultilevel"/>
    <w:tmpl w:val="199A67A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026BEB"/>
    <w:multiLevelType w:val="hybridMultilevel"/>
    <w:tmpl w:val="16507516"/>
    <w:lvl w:ilvl="0" w:tplc="20A233A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7907F2"/>
    <w:multiLevelType w:val="hybridMultilevel"/>
    <w:tmpl w:val="E69EF696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42401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08B8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8C2E22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FE2C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621E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C045F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58C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6C4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7">
    <w:nsid w:val="78356DCC"/>
    <w:multiLevelType w:val="hybridMultilevel"/>
    <w:tmpl w:val="9C34F912"/>
    <w:lvl w:ilvl="0" w:tplc="60783F0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8263A3"/>
    <w:multiLevelType w:val="hybridMultilevel"/>
    <w:tmpl w:val="92680822"/>
    <w:lvl w:ilvl="0" w:tplc="04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12"/>
  </w:num>
  <w:num w:numId="5">
    <w:abstractNumId w:val="18"/>
  </w:num>
  <w:num w:numId="6">
    <w:abstractNumId w:val="7"/>
  </w:num>
  <w:num w:numId="7">
    <w:abstractNumId w:val="5"/>
  </w:num>
  <w:num w:numId="8">
    <w:abstractNumId w:val="29"/>
  </w:num>
  <w:num w:numId="9">
    <w:abstractNumId w:val="23"/>
  </w:num>
  <w:num w:numId="10">
    <w:abstractNumId w:val="20"/>
  </w:num>
  <w:num w:numId="11">
    <w:abstractNumId w:val="19"/>
  </w:num>
  <w:num w:numId="12">
    <w:abstractNumId w:val="6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7"/>
  </w:num>
  <w:num w:numId="21">
    <w:abstractNumId w:val="2"/>
  </w:num>
  <w:num w:numId="22">
    <w:abstractNumId w:val="8"/>
  </w:num>
  <w:num w:numId="23">
    <w:abstractNumId w:val="1"/>
  </w:num>
  <w:num w:numId="24">
    <w:abstractNumId w:val="3"/>
  </w:num>
  <w:num w:numId="25">
    <w:abstractNumId w:val="15"/>
  </w:num>
  <w:num w:numId="26">
    <w:abstractNumId w:val="17"/>
  </w:num>
  <w:num w:numId="27">
    <w:abstractNumId w:val="28"/>
  </w:num>
  <w:num w:numId="28">
    <w:abstractNumId w:val="11"/>
  </w:num>
  <w:num w:numId="29">
    <w:abstractNumId w:val="24"/>
  </w:num>
  <w:num w:numId="30">
    <w:abstractNumId w:val="14"/>
  </w:num>
  <w:num w:numId="31">
    <w:abstractNumId w:val="22"/>
  </w:num>
  <w:num w:numId="32">
    <w:abstractNumId w:val="25"/>
  </w:num>
  <w:num w:numId="33">
    <w:abstractNumId w:val="10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10B1"/>
    <w:rsid w:val="00000EC8"/>
    <w:rsid w:val="00004FEC"/>
    <w:rsid w:val="000072AB"/>
    <w:rsid w:val="00007F6C"/>
    <w:rsid w:val="0001513B"/>
    <w:rsid w:val="00027760"/>
    <w:rsid w:val="0003047A"/>
    <w:rsid w:val="00031F6A"/>
    <w:rsid w:val="000325AF"/>
    <w:rsid w:val="00036DC1"/>
    <w:rsid w:val="00042514"/>
    <w:rsid w:val="00044FC6"/>
    <w:rsid w:val="000532E5"/>
    <w:rsid w:val="000535AB"/>
    <w:rsid w:val="0005395B"/>
    <w:rsid w:val="00053BAE"/>
    <w:rsid w:val="00053CCE"/>
    <w:rsid w:val="0006003D"/>
    <w:rsid w:val="000604C4"/>
    <w:rsid w:val="000661CA"/>
    <w:rsid w:val="0006664F"/>
    <w:rsid w:val="00070FA9"/>
    <w:rsid w:val="0007102C"/>
    <w:rsid w:val="0007573E"/>
    <w:rsid w:val="000764F4"/>
    <w:rsid w:val="00085217"/>
    <w:rsid w:val="0008668A"/>
    <w:rsid w:val="00087A9F"/>
    <w:rsid w:val="00090AEF"/>
    <w:rsid w:val="000911F6"/>
    <w:rsid w:val="00091B25"/>
    <w:rsid w:val="0009383B"/>
    <w:rsid w:val="00094078"/>
    <w:rsid w:val="000A5F43"/>
    <w:rsid w:val="000B0B65"/>
    <w:rsid w:val="000B1129"/>
    <w:rsid w:val="000C09AF"/>
    <w:rsid w:val="000C23CB"/>
    <w:rsid w:val="000C41A3"/>
    <w:rsid w:val="000C4F8C"/>
    <w:rsid w:val="000D0DFC"/>
    <w:rsid w:val="000D1107"/>
    <w:rsid w:val="000D29AB"/>
    <w:rsid w:val="000D63C8"/>
    <w:rsid w:val="000D6BD3"/>
    <w:rsid w:val="000E1B0A"/>
    <w:rsid w:val="000E526E"/>
    <w:rsid w:val="000F3D3D"/>
    <w:rsid w:val="000F4FE7"/>
    <w:rsid w:val="000F75DC"/>
    <w:rsid w:val="00101BEE"/>
    <w:rsid w:val="00102071"/>
    <w:rsid w:val="0010418D"/>
    <w:rsid w:val="00111F64"/>
    <w:rsid w:val="00114E37"/>
    <w:rsid w:val="00115CC3"/>
    <w:rsid w:val="00116F14"/>
    <w:rsid w:val="0011786F"/>
    <w:rsid w:val="00126DA6"/>
    <w:rsid w:val="001275B2"/>
    <w:rsid w:val="00127952"/>
    <w:rsid w:val="00130493"/>
    <w:rsid w:val="0013085D"/>
    <w:rsid w:val="00131CEC"/>
    <w:rsid w:val="00140AF5"/>
    <w:rsid w:val="00144A0A"/>
    <w:rsid w:val="00153501"/>
    <w:rsid w:val="00153F1B"/>
    <w:rsid w:val="0015763C"/>
    <w:rsid w:val="001610B6"/>
    <w:rsid w:val="00162934"/>
    <w:rsid w:val="00163195"/>
    <w:rsid w:val="001652A3"/>
    <w:rsid w:val="00166DB1"/>
    <w:rsid w:val="00172297"/>
    <w:rsid w:val="001727AC"/>
    <w:rsid w:val="0017399D"/>
    <w:rsid w:val="001776B8"/>
    <w:rsid w:val="0018215F"/>
    <w:rsid w:val="0018364A"/>
    <w:rsid w:val="00184704"/>
    <w:rsid w:val="001940E6"/>
    <w:rsid w:val="001978BE"/>
    <w:rsid w:val="001A0192"/>
    <w:rsid w:val="001A0777"/>
    <w:rsid w:val="001A1C09"/>
    <w:rsid w:val="001A4A33"/>
    <w:rsid w:val="001A5C14"/>
    <w:rsid w:val="001B4853"/>
    <w:rsid w:val="001B61C0"/>
    <w:rsid w:val="001B7045"/>
    <w:rsid w:val="001B7A37"/>
    <w:rsid w:val="001C01C0"/>
    <w:rsid w:val="001C0E5B"/>
    <w:rsid w:val="001D36CE"/>
    <w:rsid w:val="001D6326"/>
    <w:rsid w:val="001E14D4"/>
    <w:rsid w:val="001E282C"/>
    <w:rsid w:val="001E5BF8"/>
    <w:rsid w:val="001F1BDB"/>
    <w:rsid w:val="00204F31"/>
    <w:rsid w:val="002079B7"/>
    <w:rsid w:val="002105CD"/>
    <w:rsid w:val="002138C2"/>
    <w:rsid w:val="00214114"/>
    <w:rsid w:val="00214222"/>
    <w:rsid w:val="0021605E"/>
    <w:rsid w:val="00220060"/>
    <w:rsid w:val="00220C1C"/>
    <w:rsid w:val="002313F7"/>
    <w:rsid w:val="002317F0"/>
    <w:rsid w:val="002325A2"/>
    <w:rsid w:val="002333D9"/>
    <w:rsid w:val="00235022"/>
    <w:rsid w:val="00235AC8"/>
    <w:rsid w:val="00236759"/>
    <w:rsid w:val="0023693B"/>
    <w:rsid w:val="00237927"/>
    <w:rsid w:val="00242919"/>
    <w:rsid w:val="002434D0"/>
    <w:rsid w:val="002460AB"/>
    <w:rsid w:val="00252408"/>
    <w:rsid w:val="00261BD6"/>
    <w:rsid w:val="002634B8"/>
    <w:rsid w:val="00264581"/>
    <w:rsid w:val="002649A4"/>
    <w:rsid w:val="00266012"/>
    <w:rsid w:val="00267202"/>
    <w:rsid w:val="002679E2"/>
    <w:rsid w:val="002706D3"/>
    <w:rsid w:val="002744B8"/>
    <w:rsid w:val="0028536F"/>
    <w:rsid w:val="0028577D"/>
    <w:rsid w:val="002874DC"/>
    <w:rsid w:val="00296A0C"/>
    <w:rsid w:val="002A2143"/>
    <w:rsid w:val="002A2ECE"/>
    <w:rsid w:val="002A42FF"/>
    <w:rsid w:val="002A5D52"/>
    <w:rsid w:val="002A628B"/>
    <w:rsid w:val="002A67AB"/>
    <w:rsid w:val="002A762F"/>
    <w:rsid w:val="002B3DE0"/>
    <w:rsid w:val="002B4871"/>
    <w:rsid w:val="002B61F1"/>
    <w:rsid w:val="002B6FC8"/>
    <w:rsid w:val="002C1ACC"/>
    <w:rsid w:val="002C271E"/>
    <w:rsid w:val="002C3FFB"/>
    <w:rsid w:val="002C60F4"/>
    <w:rsid w:val="002C702F"/>
    <w:rsid w:val="002D51DB"/>
    <w:rsid w:val="002D7DF2"/>
    <w:rsid w:val="002E0857"/>
    <w:rsid w:val="002E1150"/>
    <w:rsid w:val="002E32E7"/>
    <w:rsid w:val="002E5B65"/>
    <w:rsid w:val="002E7900"/>
    <w:rsid w:val="002E7983"/>
    <w:rsid w:val="002F06D0"/>
    <w:rsid w:val="002F2F51"/>
    <w:rsid w:val="002F3F44"/>
    <w:rsid w:val="002F4207"/>
    <w:rsid w:val="00301E59"/>
    <w:rsid w:val="00304E3D"/>
    <w:rsid w:val="00310172"/>
    <w:rsid w:val="0031028E"/>
    <w:rsid w:val="00310AC3"/>
    <w:rsid w:val="00315D02"/>
    <w:rsid w:val="003175CA"/>
    <w:rsid w:val="003254D1"/>
    <w:rsid w:val="00325671"/>
    <w:rsid w:val="00326654"/>
    <w:rsid w:val="0032680B"/>
    <w:rsid w:val="00330B81"/>
    <w:rsid w:val="00331839"/>
    <w:rsid w:val="00331B3E"/>
    <w:rsid w:val="00331ECC"/>
    <w:rsid w:val="00334BA3"/>
    <w:rsid w:val="00336153"/>
    <w:rsid w:val="003406B2"/>
    <w:rsid w:val="003504B9"/>
    <w:rsid w:val="00353212"/>
    <w:rsid w:val="0035438D"/>
    <w:rsid w:val="00354B44"/>
    <w:rsid w:val="00355B15"/>
    <w:rsid w:val="003607A5"/>
    <w:rsid w:val="003614BB"/>
    <w:rsid w:val="00362681"/>
    <w:rsid w:val="00365E93"/>
    <w:rsid w:val="003725F0"/>
    <w:rsid w:val="003726F2"/>
    <w:rsid w:val="00374617"/>
    <w:rsid w:val="00377E82"/>
    <w:rsid w:val="003811C4"/>
    <w:rsid w:val="00381C63"/>
    <w:rsid w:val="003844C1"/>
    <w:rsid w:val="00385F5C"/>
    <w:rsid w:val="0038626B"/>
    <w:rsid w:val="0038671F"/>
    <w:rsid w:val="00387214"/>
    <w:rsid w:val="00391333"/>
    <w:rsid w:val="0039250E"/>
    <w:rsid w:val="00393F0A"/>
    <w:rsid w:val="00395D09"/>
    <w:rsid w:val="003A298E"/>
    <w:rsid w:val="003A72BC"/>
    <w:rsid w:val="003B1D13"/>
    <w:rsid w:val="003B489D"/>
    <w:rsid w:val="003B70DB"/>
    <w:rsid w:val="003C0365"/>
    <w:rsid w:val="003C1E9B"/>
    <w:rsid w:val="003D144A"/>
    <w:rsid w:val="003D2B4C"/>
    <w:rsid w:val="003E1082"/>
    <w:rsid w:val="003E1434"/>
    <w:rsid w:val="003E5B3C"/>
    <w:rsid w:val="003F0099"/>
    <w:rsid w:val="003F0EDB"/>
    <w:rsid w:val="003F36F7"/>
    <w:rsid w:val="003F520A"/>
    <w:rsid w:val="003F6E61"/>
    <w:rsid w:val="003F73D5"/>
    <w:rsid w:val="003F7551"/>
    <w:rsid w:val="00405DAC"/>
    <w:rsid w:val="00406475"/>
    <w:rsid w:val="00411E45"/>
    <w:rsid w:val="00411FF2"/>
    <w:rsid w:val="004125AD"/>
    <w:rsid w:val="00414945"/>
    <w:rsid w:val="00414ADC"/>
    <w:rsid w:val="0041701F"/>
    <w:rsid w:val="0042028A"/>
    <w:rsid w:val="00425BF6"/>
    <w:rsid w:val="00440848"/>
    <w:rsid w:val="00445A67"/>
    <w:rsid w:val="00447191"/>
    <w:rsid w:val="00452366"/>
    <w:rsid w:val="00453819"/>
    <w:rsid w:val="00453FB2"/>
    <w:rsid w:val="00454B87"/>
    <w:rsid w:val="004553B2"/>
    <w:rsid w:val="00457EE8"/>
    <w:rsid w:val="00462DA0"/>
    <w:rsid w:val="00466D15"/>
    <w:rsid w:val="00467BEF"/>
    <w:rsid w:val="0047047A"/>
    <w:rsid w:val="0047119E"/>
    <w:rsid w:val="0047123D"/>
    <w:rsid w:val="00483696"/>
    <w:rsid w:val="00483CA2"/>
    <w:rsid w:val="0049194E"/>
    <w:rsid w:val="00493A27"/>
    <w:rsid w:val="00495D86"/>
    <w:rsid w:val="004B234D"/>
    <w:rsid w:val="004B3B96"/>
    <w:rsid w:val="004B5D15"/>
    <w:rsid w:val="004C6512"/>
    <w:rsid w:val="004C6A2D"/>
    <w:rsid w:val="004C7245"/>
    <w:rsid w:val="004D3702"/>
    <w:rsid w:val="004D509B"/>
    <w:rsid w:val="004E07C6"/>
    <w:rsid w:val="004E2BA5"/>
    <w:rsid w:val="004F5216"/>
    <w:rsid w:val="00500683"/>
    <w:rsid w:val="00501518"/>
    <w:rsid w:val="00502659"/>
    <w:rsid w:val="005042E1"/>
    <w:rsid w:val="005049EE"/>
    <w:rsid w:val="0051217F"/>
    <w:rsid w:val="005171DC"/>
    <w:rsid w:val="00517558"/>
    <w:rsid w:val="005232D1"/>
    <w:rsid w:val="0052535A"/>
    <w:rsid w:val="00527898"/>
    <w:rsid w:val="0053489A"/>
    <w:rsid w:val="005361CB"/>
    <w:rsid w:val="00544766"/>
    <w:rsid w:val="00544E8F"/>
    <w:rsid w:val="005453AA"/>
    <w:rsid w:val="00545A3A"/>
    <w:rsid w:val="005460FF"/>
    <w:rsid w:val="005506AA"/>
    <w:rsid w:val="00552317"/>
    <w:rsid w:val="00552BA4"/>
    <w:rsid w:val="00560D21"/>
    <w:rsid w:val="0056297F"/>
    <w:rsid w:val="00565E01"/>
    <w:rsid w:val="0056661B"/>
    <w:rsid w:val="00566C3E"/>
    <w:rsid w:val="0057077B"/>
    <w:rsid w:val="00573D39"/>
    <w:rsid w:val="0057462D"/>
    <w:rsid w:val="00574F7B"/>
    <w:rsid w:val="00581388"/>
    <w:rsid w:val="00581491"/>
    <w:rsid w:val="00583738"/>
    <w:rsid w:val="00583AF0"/>
    <w:rsid w:val="005850D7"/>
    <w:rsid w:val="005911F4"/>
    <w:rsid w:val="00591734"/>
    <w:rsid w:val="00593D95"/>
    <w:rsid w:val="00593DBB"/>
    <w:rsid w:val="00594AEB"/>
    <w:rsid w:val="005A0094"/>
    <w:rsid w:val="005A109D"/>
    <w:rsid w:val="005A1757"/>
    <w:rsid w:val="005A1F0F"/>
    <w:rsid w:val="005A5125"/>
    <w:rsid w:val="005A5700"/>
    <w:rsid w:val="005B40E7"/>
    <w:rsid w:val="005B4E44"/>
    <w:rsid w:val="005B52BA"/>
    <w:rsid w:val="005B53CC"/>
    <w:rsid w:val="005B5E05"/>
    <w:rsid w:val="005B69D1"/>
    <w:rsid w:val="005C35FA"/>
    <w:rsid w:val="005C6153"/>
    <w:rsid w:val="005D0854"/>
    <w:rsid w:val="005D139A"/>
    <w:rsid w:val="005D1F4C"/>
    <w:rsid w:val="005D2309"/>
    <w:rsid w:val="005D4183"/>
    <w:rsid w:val="005D43C3"/>
    <w:rsid w:val="005D47CE"/>
    <w:rsid w:val="005D7DE5"/>
    <w:rsid w:val="005E23AE"/>
    <w:rsid w:val="005E3DDE"/>
    <w:rsid w:val="005E5F5A"/>
    <w:rsid w:val="005F3D36"/>
    <w:rsid w:val="005F4449"/>
    <w:rsid w:val="00601E93"/>
    <w:rsid w:val="00611FF6"/>
    <w:rsid w:val="0061291A"/>
    <w:rsid w:val="00612AEC"/>
    <w:rsid w:val="00613FD6"/>
    <w:rsid w:val="00617CED"/>
    <w:rsid w:val="00620843"/>
    <w:rsid w:val="00624CC3"/>
    <w:rsid w:val="00627A37"/>
    <w:rsid w:val="00627F7F"/>
    <w:rsid w:val="00630ACF"/>
    <w:rsid w:val="00630E5D"/>
    <w:rsid w:val="006414D5"/>
    <w:rsid w:val="00643C0E"/>
    <w:rsid w:val="00643E53"/>
    <w:rsid w:val="006468FC"/>
    <w:rsid w:val="0064731F"/>
    <w:rsid w:val="00651B4A"/>
    <w:rsid w:val="00654239"/>
    <w:rsid w:val="006551CD"/>
    <w:rsid w:val="00655475"/>
    <w:rsid w:val="00655A5D"/>
    <w:rsid w:val="006607D0"/>
    <w:rsid w:val="00662CA5"/>
    <w:rsid w:val="006709D1"/>
    <w:rsid w:val="00670F45"/>
    <w:rsid w:val="00677067"/>
    <w:rsid w:val="00684363"/>
    <w:rsid w:val="0068542A"/>
    <w:rsid w:val="00686ACA"/>
    <w:rsid w:val="00690DEE"/>
    <w:rsid w:val="0069351C"/>
    <w:rsid w:val="006973E9"/>
    <w:rsid w:val="006A015F"/>
    <w:rsid w:val="006A58AC"/>
    <w:rsid w:val="006B1155"/>
    <w:rsid w:val="006B244E"/>
    <w:rsid w:val="006B4218"/>
    <w:rsid w:val="006B5299"/>
    <w:rsid w:val="006C098E"/>
    <w:rsid w:val="006C14FB"/>
    <w:rsid w:val="006C17FF"/>
    <w:rsid w:val="006C2A4C"/>
    <w:rsid w:val="006C33E0"/>
    <w:rsid w:val="006C4535"/>
    <w:rsid w:val="006C4DF2"/>
    <w:rsid w:val="006C4FF6"/>
    <w:rsid w:val="006C5CE1"/>
    <w:rsid w:val="006D0A5F"/>
    <w:rsid w:val="006D1BD0"/>
    <w:rsid w:val="006D2CA1"/>
    <w:rsid w:val="006E2A8B"/>
    <w:rsid w:val="006E31A1"/>
    <w:rsid w:val="006E429F"/>
    <w:rsid w:val="006F5946"/>
    <w:rsid w:val="006F7E04"/>
    <w:rsid w:val="00704845"/>
    <w:rsid w:val="007052E2"/>
    <w:rsid w:val="00707D5F"/>
    <w:rsid w:val="00707EC0"/>
    <w:rsid w:val="007117CA"/>
    <w:rsid w:val="00711921"/>
    <w:rsid w:val="00712000"/>
    <w:rsid w:val="00715BDF"/>
    <w:rsid w:val="00716799"/>
    <w:rsid w:val="007169B0"/>
    <w:rsid w:val="007248F1"/>
    <w:rsid w:val="00726808"/>
    <w:rsid w:val="00734AE5"/>
    <w:rsid w:val="007534BE"/>
    <w:rsid w:val="00754931"/>
    <w:rsid w:val="00761185"/>
    <w:rsid w:val="00766767"/>
    <w:rsid w:val="007676F1"/>
    <w:rsid w:val="00773ABF"/>
    <w:rsid w:val="007747BE"/>
    <w:rsid w:val="007801D3"/>
    <w:rsid w:val="00782F49"/>
    <w:rsid w:val="0078408F"/>
    <w:rsid w:val="00787ECE"/>
    <w:rsid w:val="00790FC8"/>
    <w:rsid w:val="00792438"/>
    <w:rsid w:val="0079618F"/>
    <w:rsid w:val="007A02EF"/>
    <w:rsid w:val="007A0670"/>
    <w:rsid w:val="007A079B"/>
    <w:rsid w:val="007A3D1B"/>
    <w:rsid w:val="007A3E4A"/>
    <w:rsid w:val="007A478A"/>
    <w:rsid w:val="007A49A7"/>
    <w:rsid w:val="007A7EB6"/>
    <w:rsid w:val="007B15A7"/>
    <w:rsid w:val="007B3948"/>
    <w:rsid w:val="007B4A23"/>
    <w:rsid w:val="007B4BED"/>
    <w:rsid w:val="007D008E"/>
    <w:rsid w:val="007D105C"/>
    <w:rsid w:val="007D5451"/>
    <w:rsid w:val="007D5E13"/>
    <w:rsid w:val="007D78FA"/>
    <w:rsid w:val="007D7B3D"/>
    <w:rsid w:val="007E0533"/>
    <w:rsid w:val="007E0B1B"/>
    <w:rsid w:val="007E56A1"/>
    <w:rsid w:val="007E6293"/>
    <w:rsid w:val="007E7367"/>
    <w:rsid w:val="007F4792"/>
    <w:rsid w:val="00807C7B"/>
    <w:rsid w:val="00810202"/>
    <w:rsid w:val="008103CF"/>
    <w:rsid w:val="00810E1C"/>
    <w:rsid w:val="008131FD"/>
    <w:rsid w:val="008160A2"/>
    <w:rsid w:val="0082297E"/>
    <w:rsid w:val="00825001"/>
    <w:rsid w:val="00830912"/>
    <w:rsid w:val="00832526"/>
    <w:rsid w:val="0083261D"/>
    <w:rsid w:val="008330A0"/>
    <w:rsid w:val="00840246"/>
    <w:rsid w:val="0084087E"/>
    <w:rsid w:val="00842670"/>
    <w:rsid w:val="00842C92"/>
    <w:rsid w:val="008431EA"/>
    <w:rsid w:val="008437D7"/>
    <w:rsid w:val="00843B94"/>
    <w:rsid w:val="00844837"/>
    <w:rsid w:val="0084567E"/>
    <w:rsid w:val="0084756B"/>
    <w:rsid w:val="00851D45"/>
    <w:rsid w:val="008527AF"/>
    <w:rsid w:val="00852EBA"/>
    <w:rsid w:val="008552FA"/>
    <w:rsid w:val="00855C2B"/>
    <w:rsid w:val="00856A05"/>
    <w:rsid w:val="00856F76"/>
    <w:rsid w:val="00860B1F"/>
    <w:rsid w:val="00862634"/>
    <w:rsid w:val="0086299B"/>
    <w:rsid w:val="0086308A"/>
    <w:rsid w:val="00866048"/>
    <w:rsid w:val="00866E05"/>
    <w:rsid w:val="00870C10"/>
    <w:rsid w:val="00873EF8"/>
    <w:rsid w:val="00882655"/>
    <w:rsid w:val="00884C62"/>
    <w:rsid w:val="00892303"/>
    <w:rsid w:val="00892C76"/>
    <w:rsid w:val="0089325D"/>
    <w:rsid w:val="008A074E"/>
    <w:rsid w:val="008A0B6A"/>
    <w:rsid w:val="008A1940"/>
    <w:rsid w:val="008A1CEF"/>
    <w:rsid w:val="008A2726"/>
    <w:rsid w:val="008B0105"/>
    <w:rsid w:val="008B0D42"/>
    <w:rsid w:val="008B72B0"/>
    <w:rsid w:val="008C116A"/>
    <w:rsid w:val="008C292C"/>
    <w:rsid w:val="008D128A"/>
    <w:rsid w:val="008D1FD4"/>
    <w:rsid w:val="008E1A8F"/>
    <w:rsid w:val="008E3639"/>
    <w:rsid w:val="008E5F0A"/>
    <w:rsid w:val="008F222D"/>
    <w:rsid w:val="008F5FC3"/>
    <w:rsid w:val="008F776F"/>
    <w:rsid w:val="009000E0"/>
    <w:rsid w:val="0090051C"/>
    <w:rsid w:val="00900B41"/>
    <w:rsid w:val="0090135E"/>
    <w:rsid w:val="00902870"/>
    <w:rsid w:val="00907003"/>
    <w:rsid w:val="009075E2"/>
    <w:rsid w:val="00907AF2"/>
    <w:rsid w:val="00911090"/>
    <w:rsid w:val="00912AF8"/>
    <w:rsid w:val="00915A71"/>
    <w:rsid w:val="009160F6"/>
    <w:rsid w:val="00917EA6"/>
    <w:rsid w:val="00922153"/>
    <w:rsid w:val="009304F3"/>
    <w:rsid w:val="00931202"/>
    <w:rsid w:val="00933CA5"/>
    <w:rsid w:val="0093642E"/>
    <w:rsid w:val="00936ACA"/>
    <w:rsid w:val="00936D5A"/>
    <w:rsid w:val="00940FCE"/>
    <w:rsid w:val="00943A2F"/>
    <w:rsid w:val="00944ADD"/>
    <w:rsid w:val="00950A5F"/>
    <w:rsid w:val="0095406B"/>
    <w:rsid w:val="0095454E"/>
    <w:rsid w:val="009548EC"/>
    <w:rsid w:val="00954C71"/>
    <w:rsid w:val="00954F5A"/>
    <w:rsid w:val="00957E66"/>
    <w:rsid w:val="00962ECB"/>
    <w:rsid w:val="00964263"/>
    <w:rsid w:val="00965FDB"/>
    <w:rsid w:val="009733A9"/>
    <w:rsid w:val="009744F8"/>
    <w:rsid w:val="00976663"/>
    <w:rsid w:val="00976B3D"/>
    <w:rsid w:val="00976C97"/>
    <w:rsid w:val="00981C01"/>
    <w:rsid w:val="00984975"/>
    <w:rsid w:val="00986867"/>
    <w:rsid w:val="00990C65"/>
    <w:rsid w:val="00993477"/>
    <w:rsid w:val="0099460D"/>
    <w:rsid w:val="0099779E"/>
    <w:rsid w:val="00997FB9"/>
    <w:rsid w:val="009A1922"/>
    <w:rsid w:val="009A6AD0"/>
    <w:rsid w:val="009B188D"/>
    <w:rsid w:val="009B25BC"/>
    <w:rsid w:val="009B5B8E"/>
    <w:rsid w:val="009C670F"/>
    <w:rsid w:val="009D02F6"/>
    <w:rsid w:val="009D3DC5"/>
    <w:rsid w:val="009E07DF"/>
    <w:rsid w:val="009F0079"/>
    <w:rsid w:val="009F3C04"/>
    <w:rsid w:val="009F53CD"/>
    <w:rsid w:val="00A0020B"/>
    <w:rsid w:val="00A00613"/>
    <w:rsid w:val="00A01C87"/>
    <w:rsid w:val="00A020DA"/>
    <w:rsid w:val="00A044A5"/>
    <w:rsid w:val="00A04CE7"/>
    <w:rsid w:val="00A04EE4"/>
    <w:rsid w:val="00A06624"/>
    <w:rsid w:val="00A10BB9"/>
    <w:rsid w:val="00A11E02"/>
    <w:rsid w:val="00A1223E"/>
    <w:rsid w:val="00A1415C"/>
    <w:rsid w:val="00A14A61"/>
    <w:rsid w:val="00A1530E"/>
    <w:rsid w:val="00A22A70"/>
    <w:rsid w:val="00A31489"/>
    <w:rsid w:val="00A32969"/>
    <w:rsid w:val="00A32AD0"/>
    <w:rsid w:val="00A34850"/>
    <w:rsid w:val="00A35941"/>
    <w:rsid w:val="00A3667F"/>
    <w:rsid w:val="00A36B3C"/>
    <w:rsid w:val="00A40F5A"/>
    <w:rsid w:val="00A44D22"/>
    <w:rsid w:val="00A47AA8"/>
    <w:rsid w:val="00A52295"/>
    <w:rsid w:val="00A53F63"/>
    <w:rsid w:val="00A559EF"/>
    <w:rsid w:val="00A60F5B"/>
    <w:rsid w:val="00A63082"/>
    <w:rsid w:val="00A6369B"/>
    <w:rsid w:val="00A64920"/>
    <w:rsid w:val="00A6499F"/>
    <w:rsid w:val="00A66BCE"/>
    <w:rsid w:val="00A671AA"/>
    <w:rsid w:val="00A711B5"/>
    <w:rsid w:val="00A71820"/>
    <w:rsid w:val="00A71D6E"/>
    <w:rsid w:val="00A72BDE"/>
    <w:rsid w:val="00A746C8"/>
    <w:rsid w:val="00A86254"/>
    <w:rsid w:val="00A91B31"/>
    <w:rsid w:val="00A93EEC"/>
    <w:rsid w:val="00A953A8"/>
    <w:rsid w:val="00A959ED"/>
    <w:rsid w:val="00A96C5A"/>
    <w:rsid w:val="00AA3FE1"/>
    <w:rsid w:val="00AA51E8"/>
    <w:rsid w:val="00AA537F"/>
    <w:rsid w:val="00AB0640"/>
    <w:rsid w:val="00AB47DD"/>
    <w:rsid w:val="00AB47E1"/>
    <w:rsid w:val="00AB4BE9"/>
    <w:rsid w:val="00AC0648"/>
    <w:rsid w:val="00AC1717"/>
    <w:rsid w:val="00AC4F73"/>
    <w:rsid w:val="00AC50E1"/>
    <w:rsid w:val="00AC7BB7"/>
    <w:rsid w:val="00AD0C57"/>
    <w:rsid w:val="00AE0E7E"/>
    <w:rsid w:val="00AE3542"/>
    <w:rsid w:val="00AE5A6D"/>
    <w:rsid w:val="00AE6A7E"/>
    <w:rsid w:val="00AE7A99"/>
    <w:rsid w:val="00AF0E66"/>
    <w:rsid w:val="00AF15ED"/>
    <w:rsid w:val="00AF21B4"/>
    <w:rsid w:val="00AF4F3E"/>
    <w:rsid w:val="00B005FE"/>
    <w:rsid w:val="00B02A52"/>
    <w:rsid w:val="00B04857"/>
    <w:rsid w:val="00B12374"/>
    <w:rsid w:val="00B1446A"/>
    <w:rsid w:val="00B15B9E"/>
    <w:rsid w:val="00B16B0D"/>
    <w:rsid w:val="00B16B86"/>
    <w:rsid w:val="00B179A0"/>
    <w:rsid w:val="00B20517"/>
    <w:rsid w:val="00B22AA8"/>
    <w:rsid w:val="00B3013A"/>
    <w:rsid w:val="00B30A78"/>
    <w:rsid w:val="00B3138A"/>
    <w:rsid w:val="00B32235"/>
    <w:rsid w:val="00B33493"/>
    <w:rsid w:val="00B34D48"/>
    <w:rsid w:val="00B37986"/>
    <w:rsid w:val="00B43A33"/>
    <w:rsid w:val="00B462B3"/>
    <w:rsid w:val="00B463A1"/>
    <w:rsid w:val="00B503EA"/>
    <w:rsid w:val="00B53052"/>
    <w:rsid w:val="00B53510"/>
    <w:rsid w:val="00B5600B"/>
    <w:rsid w:val="00B57AC9"/>
    <w:rsid w:val="00B6038F"/>
    <w:rsid w:val="00B61B9E"/>
    <w:rsid w:val="00B6467E"/>
    <w:rsid w:val="00B671FE"/>
    <w:rsid w:val="00B71254"/>
    <w:rsid w:val="00B717A8"/>
    <w:rsid w:val="00B719B0"/>
    <w:rsid w:val="00B7560B"/>
    <w:rsid w:val="00B76184"/>
    <w:rsid w:val="00B81CA5"/>
    <w:rsid w:val="00B85FFD"/>
    <w:rsid w:val="00B8745B"/>
    <w:rsid w:val="00B87AE4"/>
    <w:rsid w:val="00B92222"/>
    <w:rsid w:val="00B9256A"/>
    <w:rsid w:val="00BA5F09"/>
    <w:rsid w:val="00BA70D1"/>
    <w:rsid w:val="00BB2508"/>
    <w:rsid w:val="00BB3DB1"/>
    <w:rsid w:val="00BB5D3F"/>
    <w:rsid w:val="00BC20D1"/>
    <w:rsid w:val="00BC40FE"/>
    <w:rsid w:val="00BC4918"/>
    <w:rsid w:val="00BD034B"/>
    <w:rsid w:val="00BD0B07"/>
    <w:rsid w:val="00BD52F6"/>
    <w:rsid w:val="00BD6186"/>
    <w:rsid w:val="00BE35F1"/>
    <w:rsid w:val="00BE3EE9"/>
    <w:rsid w:val="00BE45AF"/>
    <w:rsid w:val="00BE4C61"/>
    <w:rsid w:val="00BF04E0"/>
    <w:rsid w:val="00BF289E"/>
    <w:rsid w:val="00BF32FD"/>
    <w:rsid w:val="00BF3785"/>
    <w:rsid w:val="00BF5587"/>
    <w:rsid w:val="00BF5729"/>
    <w:rsid w:val="00BF6E55"/>
    <w:rsid w:val="00C00522"/>
    <w:rsid w:val="00C04E24"/>
    <w:rsid w:val="00C078B0"/>
    <w:rsid w:val="00C1055C"/>
    <w:rsid w:val="00C11221"/>
    <w:rsid w:val="00C13D2E"/>
    <w:rsid w:val="00C174AC"/>
    <w:rsid w:val="00C20029"/>
    <w:rsid w:val="00C303C0"/>
    <w:rsid w:val="00C32893"/>
    <w:rsid w:val="00C3716C"/>
    <w:rsid w:val="00C37BF4"/>
    <w:rsid w:val="00C425C8"/>
    <w:rsid w:val="00C504BD"/>
    <w:rsid w:val="00C60880"/>
    <w:rsid w:val="00C6365B"/>
    <w:rsid w:val="00C665D8"/>
    <w:rsid w:val="00C666B6"/>
    <w:rsid w:val="00C67E52"/>
    <w:rsid w:val="00C70B0C"/>
    <w:rsid w:val="00C75B2A"/>
    <w:rsid w:val="00C76BA2"/>
    <w:rsid w:val="00C8232E"/>
    <w:rsid w:val="00C85F85"/>
    <w:rsid w:val="00C86008"/>
    <w:rsid w:val="00C903EC"/>
    <w:rsid w:val="00C91943"/>
    <w:rsid w:val="00C959DB"/>
    <w:rsid w:val="00C95F2B"/>
    <w:rsid w:val="00CA2501"/>
    <w:rsid w:val="00CA3FF4"/>
    <w:rsid w:val="00CA6DC0"/>
    <w:rsid w:val="00CB09B6"/>
    <w:rsid w:val="00CB1CA0"/>
    <w:rsid w:val="00CB3956"/>
    <w:rsid w:val="00CB6F79"/>
    <w:rsid w:val="00CB7151"/>
    <w:rsid w:val="00CC51B6"/>
    <w:rsid w:val="00CD23CB"/>
    <w:rsid w:val="00CD5BCB"/>
    <w:rsid w:val="00CD6928"/>
    <w:rsid w:val="00CD7581"/>
    <w:rsid w:val="00CE06FB"/>
    <w:rsid w:val="00CE2139"/>
    <w:rsid w:val="00CE4A9C"/>
    <w:rsid w:val="00CE7BED"/>
    <w:rsid w:val="00CF2E7B"/>
    <w:rsid w:val="00CF3FFC"/>
    <w:rsid w:val="00CF730F"/>
    <w:rsid w:val="00CF7DF7"/>
    <w:rsid w:val="00D03540"/>
    <w:rsid w:val="00D05E13"/>
    <w:rsid w:val="00D10385"/>
    <w:rsid w:val="00D13135"/>
    <w:rsid w:val="00D2128F"/>
    <w:rsid w:val="00D24703"/>
    <w:rsid w:val="00D31447"/>
    <w:rsid w:val="00D37390"/>
    <w:rsid w:val="00D42665"/>
    <w:rsid w:val="00D43012"/>
    <w:rsid w:val="00D43371"/>
    <w:rsid w:val="00D43D00"/>
    <w:rsid w:val="00D43D53"/>
    <w:rsid w:val="00D464F3"/>
    <w:rsid w:val="00D52027"/>
    <w:rsid w:val="00D52854"/>
    <w:rsid w:val="00D52D7E"/>
    <w:rsid w:val="00D57635"/>
    <w:rsid w:val="00D5795F"/>
    <w:rsid w:val="00D66084"/>
    <w:rsid w:val="00D702FF"/>
    <w:rsid w:val="00D70381"/>
    <w:rsid w:val="00D70876"/>
    <w:rsid w:val="00D734D1"/>
    <w:rsid w:val="00D811FB"/>
    <w:rsid w:val="00D825FB"/>
    <w:rsid w:val="00D8622E"/>
    <w:rsid w:val="00D8789E"/>
    <w:rsid w:val="00D91246"/>
    <w:rsid w:val="00D91CF6"/>
    <w:rsid w:val="00D96B45"/>
    <w:rsid w:val="00D97ACE"/>
    <w:rsid w:val="00DA0838"/>
    <w:rsid w:val="00DA2BB2"/>
    <w:rsid w:val="00DA5D14"/>
    <w:rsid w:val="00DB164A"/>
    <w:rsid w:val="00DB1C94"/>
    <w:rsid w:val="00DB30DC"/>
    <w:rsid w:val="00DB6B89"/>
    <w:rsid w:val="00DC199E"/>
    <w:rsid w:val="00DC5729"/>
    <w:rsid w:val="00DC5F53"/>
    <w:rsid w:val="00DD1ED6"/>
    <w:rsid w:val="00DD2554"/>
    <w:rsid w:val="00DD2F2B"/>
    <w:rsid w:val="00DE0BEB"/>
    <w:rsid w:val="00DE0D6D"/>
    <w:rsid w:val="00DE2212"/>
    <w:rsid w:val="00DE49FE"/>
    <w:rsid w:val="00DE54FA"/>
    <w:rsid w:val="00DF08A0"/>
    <w:rsid w:val="00DF1FFB"/>
    <w:rsid w:val="00DF677F"/>
    <w:rsid w:val="00E027DA"/>
    <w:rsid w:val="00E02EC7"/>
    <w:rsid w:val="00E04D01"/>
    <w:rsid w:val="00E146BE"/>
    <w:rsid w:val="00E16142"/>
    <w:rsid w:val="00E30AE6"/>
    <w:rsid w:val="00E318F1"/>
    <w:rsid w:val="00E37DB3"/>
    <w:rsid w:val="00E4466A"/>
    <w:rsid w:val="00E45B73"/>
    <w:rsid w:val="00E51788"/>
    <w:rsid w:val="00E51C04"/>
    <w:rsid w:val="00E52619"/>
    <w:rsid w:val="00E53C9E"/>
    <w:rsid w:val="00E545EF"/>
    <w:rsid w:val="00E60E05"/>
    <w:rsid w:val="00E6636B"/>
    <w:rsid w:val="00E67531"/>
    <w:rsid w:val="00E70667"/>
    <w:rsid w:val="00E72285"/>
    <w:rsid w:val="00E7760D"/>
    <w:rsid w:val="00E77E36"/>
    <w:rsid w:val="00E80038"/>
    <w:rsid w:val="00E8018B"/>
    <w:rsid w:val="00E86210"/>
    <w:rsid w:val="00E862FE"/>
    <w:rsid w:val="00E9622C"/>
    <w:rsid w:val="00EA11E0"/>
    <w:rsid w:val="00EA1D95"/>
    <w:rsid w:val="00EA21E8"/>
    <w:rsid w:val="00EA2ED3"/>
    <w:rsid w:val="00EA42C5"/>
    <w:rsid w:val="00EA5C24"/>
    <w:rsid w:val="00EA5CB6"/>
    <w:rsid w:val="00EA6570"/>
    <w:rsid w:val="00EB1E5B"/>
    <w:rsid w:val="00EB69E8"/>
    <w:rsid w:val="00EC3394"/>
    <w:rsid w:val="00ED0F87"/>
    <w:rsid w:val="00ED2DA9"/>
    <w:rsid w:val="00ED3A44"/>
    <w:rsid w:val="00EE4247"/>
    <w:rsid w:val="00EE47AC"/>
    <w:rsid w:val="00EE4D05"/>
    <w:rsid w:val="00EE5843"/>
    <w:rsid w:val="00EE58EA"/>
    <w:rsid w:val="00EF33AD"/>
    <w:rsid w:val="00EF460F"/>
    <w:rsid w:val="00EF5D2A"/>
    <w:rsid w:val="00F00F4A"/>
    <w:rsid w:val="00F01170"/>
    <w:rsid w:val="00F0210E"/>
    <w:rsid w:val="00F061FC"/>
    <w:rsid w:val="00F06874"/>
    <w:rsid w:val="00F07865"/>
    <w:rsid w:val="00F12A8D"/>
    <w:rsid w:val="00F144B4"/>
    <w:rsid w:val="00F15AC5"/>
    <w:rsid w:val="00F26BD9"/>
    <w:rsid w:val="00F32A78"/>
    <w:rsid w:val="00F347A2"/>
    <w:rsid w:val="00F4207D"/>
    <w:rsid w:val="00F434D8"/>
    <w:rsid w:val="00F461D5"/>
    <w:rsid w:val="00F464C2"/>
    <w:rsid w:val="00F6025E"/>
    <w:rsid w:val="00F61069"/>
    <w:rsid w:val="00F610B1"/>
    <w:rsid w:val="00F640A6"/>
    <w:rsid w:val="00F71B74"/>
    <w:rsid w:val="00F76C50"/>
    <w:rsid w:val="00F81841"/>
    <w:rsid w:val="00F91365"/>
    <w:rsid w:val="00F915B6"/>
    <w:rsid w:val="00F931DC"/>
    <w:rsid w:val="00F94379"/>
    <w:rsid w:val="00F959D6"/>
    <w:rsid w:val="00FA27D5"/>
    <w:rsid w:val="00FA311B"/>
    <w:rsid w:val="00FA4232"/>
    <w:rsid w:val="00FB1934"/>
    <w:rsid w:val="00FB1ADD"/>
    <w:rsid w:val="00FB48C6"/>
    <w:rsid w:val="00FC4650"/>
    <w:rsid w:val="00FC489D"/>
    <w:rsid w:val="00FC4D28"/>
    <w:rsid w:val="00FC5D50"/>
    <w:rsid w:val="00FC620B"/>
    <w:rsid w:val="00FD06EC"/>
    <w:rsid w:val="00FD2161"/>
    <w:rsid w:val="00FD7335"/>
    <w:rsid w:val="00FD7EC1"/>
    <w:rsid w:val="00FF018B"/>
    <w:rsid w:val="00FF34DD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Classic 2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qFormat/>
    <w:rsid w:val="00F610B1"/>
    <w:pPr>
      <w:jc w:val="center"/>
    </w:pPr>
    <w:rPr>
      <w:rFonts w:eastAsia="Calibri"/>
      <w:b/>
      <w:bCs/>
      <w:sz w:val="28"/>
      <w:szCs w:val="28"/>
    </w:rPr>
  </w:style>
  <w:style w:type="character" w:customStyle="1" w:styleId="TitreCar">
    <w:name w:val="Titre Car"/>
    <w:link w:val="Titre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character" w:customStyle="1" w:styleId="TitleChar">
    <w:name w:val="Title Char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rsid w:val="00F915B6"/>
    <w:rPr>
      <w:rFonts w:eastAsia="Calibri"/>
      <w:sz w:val="2"/>
      <w:szCs w:val="20"/>
    </w:rPr>
  </w:style>
  <w:style w:type="character" w:customStyle="1" w:styleId="TextedebullesCar">
    <w:name w:val="Texte de bulles Car"/>
    <w:link w:val="Textedebulles"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rsid w:val="00FB193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sid w:val="00FB1934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69351C"/>
    <w:rPr>
      <w:color w:val="0000FF"/>
      <w:u w:val="single"/>
    </w:rPr>
  </w:style>
  <w:style w:type="character" w:styleId="Lienhypertextesuivivisit">
    <w:name w:val="FollowedHyperlink"/>
    <w:uiPriority w:val="99"/>
    <w:rsid w:val="0069351C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6935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CC506-6464-4C65-A9D8-B9A93552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1218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2017-12-12T11:06:00Z</cp:lastPrinted>
  <dcterms:created xsi:type="dcterms:W3CDTF">2017-12-12T14:58:00Z</dcterms:created>
  <dcterms:modified xsi:type="dcterms:W3CDTF">2017-12-12T14:58:00Z</dcterms:modified>
</cp:coreProperties>
</file>