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C1" w:rsidRDefault="0077589B" w:rsidP="00736DDD">
      <w:pPr>
        <w:bidi/>
        <w:ind w:left="49"/>
        <w:jc w:val="center"/>
        <w:outlineLvl w:val="0"/>
      </w:pPr>
      <w:r>
        <w:rPr>
          <w:noProof/>
        </w:rPr>
        <w:pict>
          <v:rect id="_x0000_s1026" style="position:absolute;left:0;text-align:left;margin-left:-91.3pt;margin-top:-39.1pt;width:655pt;height:389.4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574599976" r:id="rId9"/>
        </w:pict>
      </w:r>
      <w:r w:rsidR="008C0B0D">
        <w:t xml:space="preserve">                     </w:t>
      </w:r>
    </w:p>
    <w:p w:rsidR="006A31C1" w:rsidRDefault="006A31C1" w:rsidP="00736DDD">
      <w:pPr>
        <w:bidi/>
        <w:ind w:left="49"/>
        <w:jc w:val="center"/>
        <w:outlineLvl w:val="0"/>
      </w:pPr>
    </w:p>
    <w:p w:rsidR="006A31C1" w:rsidRDefault="006A31C1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CE7BED" w:rsidRDefault="00CE7BED" w:rsidP="00736DDD">
      <w:pPr>
        <w:autoSpaceDE w:val="0"/>
        <w:autoSpaceDN w:val="0"/>
        <w:adjustRightInd w:val="0"/>
        <w:ind w:left="49"/>
        <w:jc w:val="both"/>
        <w:rPr>
          <w:b/>
          <w:bCs/>
        </w:rPr>
      </w:pPr>
    </w:p>
    <w:p w:rsidR="00DB30DC" w:rsidRDefault="00DB30DC" w:rsidP="00736DDD">
      <w:pPr>
        <w:ind w:left="49"/>
        <w:jc w:val="center"/>
        <w:rPr>
          <w:rFonts w:ascii="Book Antiqua" w:hAnsi="Book Antiqua" w:cs="Arial"/>
          <w:b/>
          <w:bCs/>
        </w:rPr>
      </w:pPr>
    </w:p>
    <w:p w:rsidR="006B4218" w:rsidRDefault="006B4218" w:rsidP="00736DDD">
      <w:pPr>
        <w:ind w:left="49"/>
        <w:jc w:val="center"/>
        <w:rPr>
          <w:rFonts w:ascii="Book Antiqua" w:hAnsi="Book Antiqua" w:cs="Arial"/>
          <w:b/>
          <w:bCs/>
        </w:rPr>
      </w:pPr>
    </w:p>
    <w:p w:rsidR="0099181B" w:rsidRPr="00EE5B21" w:rsidRDefault="0099181B" w:rsidP="00736DDD">
      <w:pPr>
        <w:bidi/>
        <w:ind w:left="49"/>
        <w:jc w:val="center"/>
        <w:rPr>
          <w:b/>
          <w:bCs/>
          <w:color w:val="FF0000"/>
          <w:sz w:val="32"/>
          <w:szCs w:val="32"/>
          <w:lang w:bidi="ar-MA"/>
        </w:rPr>
      </w:pPr>
      <w:r w:rsidRPr="00EE5B21">
        <w:rPr>
          <w:b/>
          <w:bCs/>
          <w:color w:val="FF0000"/>
          <w:sz w:val="32"/>
          <w:szCs w:val="32"/>
          <w:rtl/>
          <w:lang w:bidi="ar-MA"/>
        </w:rPr>
        <w:t>مذكرة إخبارية حول الحسابات الوطنية</w:t>
      </w:r>
    </w:p>
    <w:p w:rsidR="0099181B" w:rsidRPr="00EE5B21" w:rsidRDefault="0099181B" w:rsidP="00736DDD">
      <w:pPr>
        <w:bidi/>
        <w:ind w:left="49"/>
        <w:jc w:val="center"/>
        <w:rPr>
          <w:b/>
          <w:bCs/>
          <w:color w:val="FF0000"/>
          <w:sz w:val="32"/>
          <w:szCs w:val="32"/>
          <w:rtl/>
          <w:lang w:bidi="ar-MA"/>
        </w:rPr>
      </w:pPr>
      <w:r w:rsidRPr="00EE5B21">
        <w:rPr>
          <w:b/>
          <w:bCs/>
          <w:color w:val="FF0000"/>
          <w:sz w:val="32"/>
          <w:szCs w:val="32"/>
          <w:rtl/>
          <w:lang w:bidi="ar-MA"/>
        </w:rPr>
        <w:t xml:space="preserve">للقطاعات المؤسساتية لسنة </w:t>
      </w:r>
      <w:r w:rsidRPr="00EE5B21">
        <w:rPr>
          <w:b/>
          <w:bCs/>
          <w:color w:val="FF0000"/>
          <w:sz w:val="32"/>
          <w:szCs w:val="32"/>
          <w:lang w:bidi="ar-MA"/>
        </w:rPr>
        <w:t>2016</w:t>
      </w:r>
    </w:p>
    <w:p w:rsidR="0099181B" w:rsidRPr="001867EA" w:rsidRDefault="0099181B" w:rsidP="00736DDD">
      <w:pPr>
        <w:bidi/>
        <w:ind w:left="49"/>
        <w:rPr>
          <w:color w:val="FF0000"/>
          <w:sz w:val="32"/>
          <w:szCs w:val="32"/>
          <w:rtl/>
          <w:lang w:bidi="ar-MA"/>
        </w:rPr>
      </w:pPr>
    </w:p>
    <w:p w:rsidR="00EE5B21" w:rsidRDefault="00EE5B21" w:rsidP="00736DDD">
      <w:pPr>
        <w:bidi/>
        <w:spacing w:line="276" w:lineRule="auto"/>
        <w:ind w:left="49"/>
        <w:jc w:val="both"/>
        <w:rPr>
          <w:rFonts w:ascii="Book Antiqua" w:eastAsia="SimHei" w:hAnsi="Book Antiqua"/>
          <w:sz w:val="28"/>
          <w:szCs w:val="28"/>
          <w:rtl/>
          <w:lang w:bidi="ar-MA"/>
        </w:rPr>
      </w:pPr>
    </w:p>
    <w:p w:rsidR="00824901" w:rsidRDefault="00824901" w:rsidP="00824901">
      <w:pPr>
        <w:bidi/>
        <w:spacing w:line="276" w:lineRule="auto"/>
        <w:ind w:left="49"/>
        <w:jc w:val="both"/>
        <w:rPr>
          <w:rFonts w:asciiTheme="minorBidi" w:eastAsia="SimHei" w:hAnsiTheme="minorBidi" w:cstheme="minorBidi"/>
          <w:lang w:bidi="ar-MA"/>
        </w:rPr>
      </w:pPr>
      <w:r>
        <w:rPr>
          <w:rFonts w:asciiTheme="minorBidi" w:eastAsia="SimHei" w:hAnsiTheme="minorBidi" w:cstheme="minorBidi"/>
          <w:b/>
          <w:bCs/>
          <w:rtl/>
          <w:lang w:bidi="ar-MA"/>
        </w:rPr>
        <w:t>تعرض هذه المذكرة السلسلة المتكاملة للحسابات غير</w:t>
      </w:r>
      <w:r>
        <w:rPr>
          <w:rFonts w:asciiTheme="minorBidi" w:eastAsia="SimHei" w:hAnsiTheme="minorBidi" w:cstheme="minorBidi"/>
          <w:b/>
          <w:bCs/>
          <w:lang w:bidi="ar-MA"/>
        </w:rPr>
        <w:t xml:space="preserve"> 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>المالية والمالية التي تقدم وضعية الحسابات الوطنية للقطاعات المؤسساتية خلال سنة 2016، وتظهر نتائج هذه الحسابات ما</w:t>
      </w:r>
      <w:r>
        <w:rPr>
          <w:rFonts w:asciiTheme="minorBidi" w:eastAsia="SimHei" w:hAnsiTheme="minorBidi" w:cstheme="minorBidi"/>
          <w:b/>
          <w:bCs/>
          <w:lang w:bidi="ar-MA"/>
        </w:rPr>
        <w:t xml:space="preserve"> 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>يلي</w:t>
      </w:r>
      <w:r>
        <w:rPr>
          <w:rFonts w:asciiTheme="minorBidi" w:eastAsia="SimHei" w:hAnsiTheme="minorBidi" w:cstheme="minorBidi"/>
          <w:rtl/>
          <w:lang w:bidi="ar-MA"/>
        </w:rPr>
        <w:t>:</w:t>
      </w:r>
    </w:p>
    <w:p w:rsidR="00824901" w:rsidRDefault="00824901" w:rsidP="00824901">
      <w:pPr>
        <w:bidi/>
        <w:spacing w:line="276" w:lineRule="auto"/>
        <w:ind w:left="49"/>
        <w:jc w:val="both"/>
        <w:rPr>
          <w:rFonts w:asciiTheme="minorBidi" w:eastAsia="SimHei" w:hAnsiTheme="minorBidi" w:cstheme="minorBidi"/>
          <w:lang w:bidi="ar-MA"/>
        </w:rPr>
      </w:pPr>
    </w:p>
    <w:p w:rsidR="00824901" w:rsidRDefault="00824901" w:rsidP="00824901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lang w:bidi="ar-MA"/>
        </w:rPr>
      </w:pPr>
      <w:r>
        <w:rPr>
          <w:rFonts w:asciiTheme="minorBidi" w:eastAsia="SimHei" w:hAnsiTheme="minorBidi" w:cstheme="minorBidi"/>
          <w:b/>
          <w:bCs/>
          <w:rtl/>
          <w:lang w:bidi="ar-MA"/>
        </w:rPr>
        <w:t>تخلق</w:t>
      </w:r>
      <w:r>
        <w:rPr>
          <w:rFonts w:asciiTheme="minorBidi" w:eastAsia="SimHei" w:hAnsiTheme="minorBidi" w:cstheme="minorBidi"/>
          <w:b/>
          <w:bCs/>
          <w:color w:val="FF0000"/>
          <w:rtl/>
          <w:lang w:bidi="ar-MA"/>
        </w:rPr>
        <w:t xml:space="preserve"> 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>الشركات المالية وغير المالية 43,2% من الثروة الوطنية وتمتلك 14,9% من إجمالي الدخل الوطني المتاح، وتساهم  بنسبة 53,6</w:t>
      </w:r>
      <w:r>
        <w:rPr>
          <w:rFonts w:asciiTheme="minorBidi" w:eastAsia="SimHei" w:hAnsiTheme="minorBidi" w:cstheme="minorBidi"/>
          <w:b/>
          <w:bCs/>
          <w:lang w:bidi="ar-MA"/>
        </w:rPr>
        <w:t xml:space="preserve"> 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>% في الادخار الوطني  وبنسبة 57</w:t>
      </w:r>
      <w:r>
        <w:rPr>
          <w:rFonts w:asciiTheme="minorBidi" w:eastAsia="SimHei" w:hAnsiTheme="minorBidi" w:cstheme="minorBidi"/>
          <w:b/>
          <w:bCs/>
          <w:lang w:bidi="ar-MA"/>
        </w:rPr>
        <w:t xml:space="preserve"> 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>% في الاستثمار (إجمالي تكوين رأس المال الثابت)؛</w:t>
      </w:r>
    </w:p>
    <w:p w:rsidR="00824901" w:rsidRDefault="00824901" w:rsidP="00824901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rtl/>
          <w:lang w:bidi="ar-MA"/>
        </w:rPr>
      </w:pPr>
      <w:r>
        <w:rPr>
          <w:rFonts w:asciiTheme="minorBidi" w:eastAsia="SimHei" w:hAnsiTheme="minorBidi" w:cstheme="minorBidi"/>
          <w:b/>
          <w:bCs/>
          <w:rtl/>
          <w:lang w:bidi="ar-MA"/>
        </w:rPr>
        <w:t>تنتج الأسر والمؤسسات غير الهادفة للربح في خدمة الأسر 29,3% من الثروة الوطنية وتمتلك 62,5% من إجمالي الدخل الوطني المتاح، مع تراجع القدرة الشرائية ب 0,6</w:t>
      </w:r>
      <w:r>
        <w:rPr>
          <w:rFonts w:asciiTheme="minorBidi" w:eastAsia="SimHei" w:hAnsiTheme="minorBidi" w:cstheme="minorBidi"/>
          <w:b/>
          <w:bCs/>
          <w:lang w:bidi="ar-MA"/>
        </w:rPr>
        <w:t>%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 xml:space="preserve"> </w:t>
      </w:r>
      <w:r>
        <w:rPr>
          <w:rFonts w:asciiTheme="minorBidi" w:eastAsia="SimHei" w:hAnsiTheme="minorBidi" w:cstheme="minorBidi" w:hint="cs"/>
          <w:b/>
          <w:bCs/>
          <w:rtl/>
          <w:lang w:bidi="ar-MA"/>
        </w:rPr>
        <w:t xml:space="preserve">في سياق يتسم بالتحكم في التضخم. وتساهم بنسبة 30,2% في الادخار الوطني وبنسبة </w:t>
      </w:r>
      <w:r>
        <w:rPr>
          <w:rFonts w:asciiTheme="minorBidi" w:eastAsia="SimHei" w:hAnsiTheme="minorBidi" w:cstheme="minorBidi"/>
          <w:b/>
          <w:bCs/>
          <w:lang w:bidi="ar-MA"/>
        </w:rPr>
        <w:t>26,2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 xml:space="preserve"> </w:t>
      </w:r>
      <w:r>
        <w:rPr>
          <w:rFonts w:asciiTheme="minorBidi" w:eastAsia="SimHei" w:hAnsiTheme="minorBidi" w:cstheme="minorBidi"/>
          <w:b/>
          <w:bCs/>
          <w:lang w:bidi="ar-MA"/>
        </w:rPr>
        <w:t>%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 xml:space="preserve"> </w:t>
      </w:r>
      <w:r>
        <w:rPr>
          <w:rFonts w:asciiTheme="minorBidi" w:eastAsia="SimHei" w:hAnsiTheme="minorBidi" w:cstheme="minorBidi" w:hint="cs"/>
          <w:b/>
          <w:bCs/>
          <w:rtl/>
          <w:lang w:bidi="ar-MA"/>
        </w:rPr>
        <w:t>في الاستثمار.</w:t>
      </w:r>
    </w:p>
    <w:p w:rsidR="00971A70" w:rsidRPr="00EE5B21" w:rsidRDefault="00971A70" w:rsidP="005202E8">
      <w:pPr>
        <w:bidi/>
        <w:spacing w:line="276" w:lineRule="auto"/>
        <w:ind w:left="774"/>
        <w:jc w:val="both"/>
        <w:rPr>
          <w:rFonts w:asciiTheme="minorBidi" w:eastAsia="SimHei" w:hAnsiTheme="minorBidi" w:cstheme="minorBidi"/>
          <w:b/>
          <w:bCs/>
          <w:lang w:bidi="ar-MA"/>
        </w:rPr>
      </w:pPr>
    </w:p>
    <w:p w:rsidR="00971A70" w:rsidRPr="0082490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lang w:bidi="ar-MA"/>
        </w:rPr>
      </w:pPr>
    </w:p>
    <w:p w:rsidR="00971A70" w:rsidRPr="00824901" w:rsidRDefault="00924FE9" w:rsidP="00924FE9">
      <w:pPr>
        <w:bidi/>
        <w:spacing w:line="276" w:lineRule="auto"/>
        <w:ind w:left="49"/>
        <w:jc w:val="center"/>
        <w:rPr>
          <w:rFonts w:asciiTheme="minorBidi" w:hAnsiTheme="minorBidi" w:cstheme="minorBidi"/>
          <w:b/>
          <w:bCs/>
          <w:lang w:bidi="ar-MA"/>
        </w:rPr>
      </w:pPr>
      <w:r>
        <w:rPr>
          <w:rFonts w:asciiTheme="minorBidi" w:hAnsiTheme="minorBidi" w:cstheme="minorBidi"/>
          <w:b/>
          <w:bCs/>
          <w:lang w:bidi="ar-MA"/>
        </w:rPr>
        <w:t xml:space="preserve">                             </w:t>
      </w: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مساهمة القطاعات المؤسساتية في الناتج الداخلي الإجمالي وإجمالي الدخل الوطني المتاح</w:t>
      </w: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سجل الاقتصاد الوطني ناتجا داخليا إجماليا بالقيمة قدره 1016,1 مليار درهم سنة 2016 , مرتفعا بنسبة 2,8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مقارنة مع سنة 2015. </w:t>
      </w:r>
    </w:p>
    <w:p w:rsidR="00971A70" w:rsidRPr="00EE5B21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عرفت مساهمة </w:t>
      </w:r>
      <w:r w:rsidRPr="00EE5B21">
        <w:rPr>
          <w:rFonts w:asciiTheme="minorBidi" w:hAnsiTheme="minorBidi" w:cstheme="minorBidi"/>
          <w:rtl/>
          <w:lang w:bidi="ar-MA"/>
        </w:rPr>
        <w:t>الشركات المالية وغير المالية</w:t>
      </w:r>
      <w:r>
        <w:rPr>
          <w:rFonts w:asciiTheme="minorBidi" w:hAnsiTheme="minorBidi" w:cstheme="minorBidi" w:hint="cs"/>
          <w:rtl/>
          <w:lang w:bidi="ar-MA"/>
        </w:rPr>
        <w:t xml:space="preserve"> (التي تعتبر المنتج الأول للثروة الوطنية ) في الناتج الداخلي الإجمالي تحسنا طفيفا منتقلا من 42,9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سنة 2015 إلى 43,2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سنة 2016.</w:t>
      </w:r>
    </w:p>
    <w:p w:rsidR="00971A70" w:rsidRPr="00EE5B21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أما </w:t>
      </w:r>
      <w:r w:rsidRPr="00EE5B21">
        <w:rPr>
          <w:rFonts w:asciiTheme="minorBidi" w:hAnsiTheme="minorBidi" w:cstheme="minorBidi"/>
          <w:rtl/>
          <w:lang w:bidi="ar-MA"/>
        </w:rPr>
        <w:t>مساهمة</w:t>
      </w:r>
      <w:r>
        <w:rPr>
          <w:rFonts w:asciiTheme="minorBidi" w:hAnsiTheme="minorBidi" w:cstheme="minorBidi" w:hint="cs"/>
          <w:rtl/>
          <w:lang w:bidi="ar-MA"/>
        </w:rPr>
        <w:t xml:space="preserve"> كل من </w:t>
      </w:r>
      <w:r w:rsidRPr="00EE5B21">
        <w:rPr>
          <w:rFonts w:asciiTheme="minorBidi" w:hAnsiTheme="minorBidi" w:cstheme="minorBidi"/>
          <w:rtl/>
          <w:lang w:bidi="ar-MA"/>
        </w:rPr>
        <w:t>الأسر والمؤسسات غير الهادفة للربح في خدمة الأسر</w:t>
      </w:r>
      <w:r>
        <w:rPr>
          <w:rFonts w:asciiTheme="minorBidi" w:hAnsiTheme="minorBidi" w:cstheme="minorBidi" w:hint="cs"/>
          <w:rtl/>
          <w:lang w:bidi="ar-MA"/>
        </w:rPr>
        <w:t xml:space="preserve"> من جهة والإدارات العمومية من جهة أخرى في الناتج الداخلي الإجمالي فبلغت  29,3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و 15,8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على التوالي </w:t>
      </w:r>
      <w:r w:rsidRPr="00EE5B21">
        <w:rPr>
          <w:rFonts w:asciiTheme="minorBidi" w:hAnsiTheme="minorBidi" w:cstheme="minorBidi"/>
          <w:rtl/>
          <w:lang w:bidi="ar-MA"/>
        </w:rPr>
        <w:t xml:space="preserve"> في الناتج الداخلي الإجمالي،</w:t>
      </w:r>
      <w:r>
        <w:rPr>
          <w:rFonts w:asciiTheme="minorBidi" w:hAnsiTheme="minorBidi" w:cstheme="minorBidi" w:hint="cs"/>
          <w:rtl/>
          <w:lang w:bidi="ar-MA"/>
        </w:rPr>
        <w:t xml:space="preserve"> متراجعة </w:t>
      </w:r>
      <w:r w:rsidRPr="00EE5B21">
        <w:rPr>
          <w:rFonts w:asciiTheme="minorBidi" w:hAnsiTheme="minorBidi" w:cstheme="minorBidi"/>
          <w:rtl/>
          <w:lang w:bidi="ar-MA"/>
        </w:rPr>
        <w:t xml:space="preserve">ب 0,4 نقطة </w:t>
      </w:r>
      <w:r>
        <w:rPr>
          <w:rFonts w:asciiTheme="minorBidi" w:hAnsiTheme="minorBidi" w:cstheme="minorBidi" w:hint="cs"/>
          <w:rtl/>
          <w:lang w:bidi="ar-MA"/>
        </w:rPr>
        <w:t>و0,1 نقطة على التوالي مقارنة بسنة 2015.</w:t>
      </w:r>
    </w:p>
    <w:p w:rsidR="00971A70" w:rsidRPr="00EE5B21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t>و</w:t>
      </w:r>
      <w:r>
        <w:rPr>
          <w:rFonts w:asciiTheme="minorBidi" w:hAnsiTheme="minorBidi" w:cstheme="minorBidi" w:hint="cs"/>
          <w:rtl/>
          <w:lang w:bidi="ar-MA"/>
        </w:rPr>
        <w:t xml:space="preserve">عرف </w:t>
      </w:r>
      <w:r w:rsidRPr="00EE5B21">
        <w:rPr>
          <w:rFonts w:asciiTheme="minorBidi" w:hAnsiTheme="minorBidi" w:cstheme="minorBidi"/>
          <w:rtl/>
          <w:lang w:bidi="ar-MA"/>
        </w:rPr>
        <w:t>إجمالي الدخل الوطني المتاح</w:t>
      </w:r>
      <w:r>
        <w:rPr>
          <w:rFonts w:asciiTheme="minorBidi" w:hAnsiTheme="minorBidi" w:cstheme="minorBidi" w:hint="cs"/>
          <w:rtl/>
          <w:lang w:bidi="ar-MA"/>
        </w:rPr>
        <w:t xml:space="preserve"> بدوره ارتفاعا قدره </w:t>
      </w:r>
      <w:r w:rsidRPr="00EE5B21">
        <w:rPr>
          <w:rFonts w:asciiTheme="minorBidi" w:hAnsiTheme="minorBidi" w:cstheme="minorBidi"/>
          <w:rtl/>
          <w:lang w:bidi="ar-MA"/>
        </w:rPr>
        <w:t xml:space="preserve"> 3,2% </w:t>
      </w:r>
      <w:r>
        <w:rPr>
          <w:rFonts w:asciiTheme="minorBidi" w:hAnsiTheme="minorBidi" w:cstheme="minorBidi" w:hint="cs"/>
          <w:rtl/>
          <w:lang w:bidi="ar-MA"/>
        </w:rPr>
        <w:t xml:space="preserve"> سنة 2016 ليستقر عند </w:t>
      </w:r>
      <w:r w:rsidRPr="00EE5B21">
        <w:rPr>
          <w:rFonts w:asciiTheme="minorBidi" w:hAnsiTheme="minorBidi" w:cstheme="minorBidi"/>
          <w:rtl/>
          <w:lang w:bidi="ar-MA"/>
        </w:rPr>
        <w:t>1076,9 مليار درهم. ويعزى هذا التحسن إلى ارتفاع إجمالي الدخل المتاح</w:t>
      </w:r>
      <w:r>
        <w:rPr>
          <w:rFonts w:asciiTheme="minorBidi" w:hAnsiTheme="minorBidi" w:cstheme="minorBidi" w:hint="cs"/>
          <w:rtl/>
          <w:lang w:bidi="ar-MA"/>
        </w:rPr>
        <w:t xml:space="preserve"> للإدارات العمومية بنسبة 6,8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وللشركات </w:t>
      </w:r>
      <w:r w:rsidRPr="00EE5B21">
        <w:rPr>
          <w:rFonts w:asciiTheme="minorBidi" w:hAnsiTheme="minorBidi" w:cstheme="minorBidi"/>
          <w:rtl/>
          <w:lang w:bidi="ar-MA"/>
        </w:rPr>
        <w:t xml:space="preserve">(المالية وغير المالية) بنسبة </w:t>
      </w:r>
      <w:r w:rsidRPr="00EE5B21">
        <w:rPr>
          <w:rFonts w:asciiTheme="minorBidi" w:hAnsiTheme="minorBidi" w:cstheme="minorBidi"/>
          <w:lang w:bidi="ar-MA"/>
        </w:rPr>
        <w:t xml:space="preserve"> 3,1</w:t>
      </w:r>
      <w:r w:rsidRPr="00EE5B21">
        <w:rPr>
          <w:rFonts w:asciiTheme="minorBidi" w:hAnsiTheme="minorBidi" w:cstheme="minorBidi"/>
          <w:rtl/>
          <w:lang w:bidi="ar-MA"/>
        </w:rPr>
        <w:t>% وللأسر والمؤسسات غير الهادفة للربح في خدمة الأسر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ب</w:t>
      </w:r>
      <w:r>
        <w:rPr>
          <w:rFonts w:asciiTheme="minorBidi" w:hAnsiTheme="minorBidi" w:cstheme="minorBidi" w:hint="cs"/>
          <w:rtl/>
          <w:lang w:bidi="ar-MA"/>
        </w:rPr>
        <w:t xml:space="preserve">نسبة </w:t>
      </w:r>
      <w:r w:rsidRPr="00EE5B21">
        <w:rPr>
          <w:rFonts w:asciiTheme="minorBidi" w:hAnsiTheme="minorBidi" w:cstheme="minorBidi"/>
          <w:lang w:bidi="ar-MA"/>
        </w:rPr>
        <w:t>1</w:t>
      </w:r>
      <w:r w:rsidRPr="00EE5B21">
        <w:rPr>
          <w:rFonts w:asciiTheme="minorBidi" w:hAnsiTheme="minorBidi" w:cstheme="minorBidi"/>
          <w:rtl/>
          <w:lang w:bidi="ar-MA"/>
        </w:rPr>
        <w:t>,2 % .</w:t>
      </w:r>
    </w:p>
    <w:p w:rsidR="00971A70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lang w:bidi="ar-MA"/>
        </w:rPr>
        <w:t xml:space="preserve"> </w:t>
      </w:r>
    </w:p>
    <w:p w:rsidR="00971A70" w:rsidRPr="00EE5B21" w:rsidRDefault="00971A70" w:rsidP="00ED51EA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وهكذا، </w:t>
      </w:r>
      <w:r w:rsidRPr="00EE5B21">
        <w:rPr>
          <w:rFonts w:asciiTheme="minorBidi" w:hAnsiTheme="minorBidi" w:cstheme="minorBidi"/>
          <w:rtl/>
          <w:lang w:bidi="ar-MA"/>
        </w:rPr>
        <w:t xml:space="preserve">بلغت مساهمات القطاعات المؤسساتية في إجمالي الدخل الوطني المتاح سنة 2016: </w:t>
      </w:r>
    </w:p>
    <w:p w:rsidR="00971A70" w:rsidRPr="00EE5B21" w:rsidRDefault="00971A70" w:rsidP="00971A70">
      <w:pPr>
        <w:pStyle w:val="Paragraphedeliste"/>
        <w:numPr>
          <w:ilvl w:val="0"/>
          <w:numId w:val="35"/>
        </w:numPr>
        <w:bidi/>
        <w:spacing w:after="200" w:line="460" w:lineRule="exact"/>
        <w:ind w:left="567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/>
          <w:rtl/>
          <w:lang w:bidi="ar-MA"/>
        </w:rPr>
        <w:lastRenderedPageBreak/>
        <w:t>62,5</w:t>
      </w:r>
      <w:r w:rsidRPr="00EE5B21">
        <w:rPr>
          <w:rFonts w:asciiTheme="minorBidi" w:hAnsiTheme="minorBidi" w:cstheme="minorBidi"/>
          <w:rtl/>
          <w:lang w:bidi="ar-MA"/>
        </w:rPr>
        <w:t xml:space="preserve">% بالنسبة للأسر، </w:t>
      </w:r>
    </w:p>
    <w:p w:rsidR="00971A70" w:rsidRPr="00EE5B21" w:rsidRDefault="00971A70" w:rsidP="00971A70">
      <w:pPr>
        <w:pStyle w:val="Paragraphedeliste"/>
        <w:numPr>
          <w:ilvl w:val="0"/>
          <w:numId w:val="35"/>
        </w:numPr>
        <w:bidi/>
        <w:spacing w:after="200" w:line="460" w:lineRule="exact"/>
        <w:ind w:left="567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/>
          <w:rtl/>
          <w:lang w:bidi="ar-MA"/>
        </w:rPr>
        <w:t>22,6</w:t>
      </w:r>
      <w:r w:rsidRPr="00EE5B21">
        <w:rPr>
          <w:rFonts w:asciiTheme="minorBidi" w:hAnsiTheme="minorBidi" w:cstheme="minorBidi"/>
          <w:rtl/>
          <w:lang w:bidi="ar-MA"/>
        </w:rPr>
        <w:t>% بالنسبة للإدارات العمومية ،</w:t>
      </w:r>
    </w:p>
    <w:p w:rsidR="00971A70" w:rsidRDefault="00971A70" w:rsidP="00971A70">
      <w:pPr>
        <w:pStyle w:val="Paragraphedeliste"/>
        <w:numPr>
          <w:ilvl w:val="0"/>
          <w:numId w:val="35"/>
        </w:numPr>
        <w:bidi/>
        <w:spacing w:after="200" w:line="460" w:lineRule="exact"/>
        <w:ind w:left="567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/>
          <w:rtl/>
          <w:lang w:bidi="ar-MA"/>
        </w:rPr>
        <w:t>14,9</w:t>
      </w:r>
      <w:r w:rsidRPr="00EE5B21">
        <w:rPr>
          <w:rFonts w:asciiTheme="minorBidi" w:hAnsiTheme="minorBidi" w:cstheme="minorBidi"/>
          <w:rtl/>
          <w:lang w:bidi="ar-MA"/>
        </w:rPr>
        <w:t>% بالنسبة للشركات (منها 2,6% تعود للشركات المالية).</w:t>
      </w:r>
    </w:p>
    <w:p w:rsidR="00971A70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بنية إجمالي الدخل المتاح للأسر والقدرة الشرائية</w:t>
      </w:r>
    </w:p>
    <w:p w:rsidR="00971A70" w:rsidRPr="00EE5B21" w:rsidRDefault="00971A70" w:rsidP="00EB73DB">
      <w:pPr>
        <w:bidi/>
        <w:spacing w:before="240" w:line="46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ارتفع </w:t>
      </w:r>
      <w:r w:rsidRPr="00EE5B21">
        <w:rPr>
          <w:rFonts w:asciiTheme="minorBidi" w:hAnsiTheme="minorBidi" w:cstheme="minorBidi"/>
          <w:rtl/>
          <w:lang w:bidi="ar-MA"/>
        </w:rPr>
        <w:t>إجمال</w:t>
      </w:r>
      <w:r>
        <w:rPr>
          <w:rFonts w:asciiTheme="minorBidi" w:hAnsiTheme="minorBidi" w:cstheme="minorBidi"/>
          <w:rtl/>
          <w:lang w:bidi="ar-MA"/>
        </w:rPr>
        <w:t>ي الدخل المتاح للأسر بنسبة</w:t>
      </w:r>
      <w:r>
        <w:rPr>
          <w:rFonts w:asciiTheme="minorBidi" w:hAnsiTheme="minorBidi" w:cstheme="minorBidi" w:hint="cs"/>
          <w:rtl/>
          <w:lang w:bidi="ar-MA"/>
        </w:rPr>
        <w:t xml:space="preserve"> 2,1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ليبلغ 665,1 مليار درهم سنة 2016، وخصصت </w:t>
      </w:r>
      <w:r w:rsidRPr="00EE5B21">
        <w:rPr>
          <w:rFonts w:asciiTheme="minorBidi" w:hAnsiTheme="minorBidi" w:cstheme="minorBidi"/>
          <w:rtl/>
          <w:lang w:bidi="ar-MA"/>
        </w:rPr>
        <w:t xml:space="preserve">نسبة 87,6 % </w:t>
      </w:r>
      <w:r>
        <w:rPr>
          <w:rFonts w:asciiTheme="minorBidi" w:hAnsiTheme="minorBidi" w:cstheme="minorBidi" w:hint="cs"/>
          <w:rtl/>
          <w:lang w:bidi="ar-MA"/>
        </w:rPr>
        <w:t xml:space="preserve">منه لنفقات الاستهلاك النهائي عوض 86,4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المسجلة سنة 2015. وفي هذه الظروف، تراجع معدل ادخار الأسر ب 1,2 نقطة ليبلغ 12,9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سنة 2016. </w:t>
      </w:r>
    </w:p>
    <w:p w:rsidR="00971A70" w:rsidRPr="00EE5B21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t>وقد بلغ الدخل المتاح للأسر حسب الفرد</w:t>
      </w:r>
      <w:r>
        <w:rPr>
          <w:rFonts w:asciiTheme="minorBidi" w:hAnsiTheme="minorBidi" w:cstheme="minorBidi" w:hint="cs"/>
          <w:rtl/>
          <w:lang w:bidi="ar-MA"/>
        </w:rPr>
        <w:t xml:space="preserve"> 19286 </w:t>
      </w:r>
      <w:r w:rsidRPr="00EE5B21">
        <w:rPr>
          <w:rFonts w:asciiTheme="minorBidi" w:hAnsiTheme="minorBidi" w:cstheme="minorBidi"/>
          <w:rtl/>
          <w:lang w:bidi="ar-MA"/>
        </w:rPr>
        <w:t xml:space="preserve">درهما سنة 2016 </w:t>
      </w:r>
      <w:r>
        <w:rPr>
          <w:rFonts w:asciiTheme="minorBidi" w:hAnsiTheme="minorBidi" w:cstheme="minorBidi" w:hint="cs"/>
          <w:rtl/>
          <w:lang w:bidi="ar-MA"/>
        </w:rPr>
        <w:t xml:space="preserve">مرتفعا بنسبة 1 </w:t>
      </w:r>
      <w:r w:rsidR="00ED51EA">
        <w:rPr>
          <w:rFonts w:asciiTheme="minorBidi" w:hAnsiTheme="minorBidi" w:cstheme="minorBidi"/>
          <w:lang w:bidi="ar-MA"/>
        </w:rPr>
        <w:t>%</w:t>
      </w:r>
      <w:r w:rsidR="00ED51EA">
        <w:rPr>
          <w:rFonts w:asciiTheme="minorBidi" w:hAnsiTheme="minorBidi" w:cstheme="minorBidi" w:hint="cs"/>
          <w:rtl/>
          <w:lang w:bidi="ar-MA"/>
        </w:rPr>
        <w:t>.</w:t>
      </w:r>
      <w:r>
        <w:rPr>
          <w:rFonts w:asciiTheme="minorBidi" w:hAnsiTheme="minorBidi" w:cstheme="minorBidi" w:hint="cs"/>
          <w:rtl/>
          <w:lang w:bidi="ar-MA"/>
        </w:rPr>
        <w:t xml:space="preserve"> كما ارتفعت </w:t>
      </w:r>
      <w:r>
        <w:rPr>
          <w:rFonts w:asciiTheme="minorBidi" w:hAnsiTheme="minorBidi" w:cstheme="minorBidi"/>
          <w:rtl/>
          <w:lang w:bidi="ar-MA"/>
        </w:rPr>
        <w:t>الأسعار عند الاستهلاك بنسبة 1,6</w:t>
      </w:r>
      <w:r w:rsidRPr="00EE5B21">
        <w:rPr>
          <w:rFonts w:asciiTheme="minorBidi" w:hAnsiTheme="minorBidi" w:cstheme="minorBidi"/>
          <w:rtl/>
          <w:lang w:bidi="ar-MA"/>
        </w:rPr>
        <w:t>% سنة 2016. ونتيجة لذلك تراجعت القدرة الشرائية للأسر بنسبة</w:t>
      </w:r>
      <w:r>
        <w:rPr>
          <w:rFonts w:asciiTheme="minorBidi" w:hAnsiTheme="minorBidi" w:cstheme="minorBidi" w:hint="cs"/>
          <w:rtl/>
          <w:lang w:bidi="ar-MA"/>
        </w:rPr>
        <w:t xml:space="preserve"> 0,6 </w:t>
      </w:r>
      <w:r w:rsidRPr="00EE5B21">
        <w:rPr>
          <w:rFonts w:asciiTheme="minorBidi" w:hAnsiTheme="minorBidi" w:cstheme="minorBidi"/>
          <w:rtl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. </w:t>
      </w:r>
    </w:p>
    <w:p w:rsidR="00971A70" w:rsidRPr="00EE5B21" w:rsidRDefault="00971A70" w:rsidP="00971A70">
      <w:pPr>
        <w:bidi/>
        <w:spacing w:line="40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Pr="00EE5B21" w:rsidRDefault="00971A70" w:rsidP="00971A70">
      <w:pPr>
        <w:bidi/>
        <w:spacing w:line="400" w:lineRule="exact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إجمالي تكوين رأس المال الثابت ووسائل تمويله</w:t>
      </w:r>
    </w:p>
    <w:p w:rsidR="00971A70" w:rsidRPr="006A5F89" w:rsidRDefault="00971A70" w:rsidP="00EB73DB">
      <w:pPr>
        <w:bidi/>
        <w:spacing w:before="240" w:line="46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 w:rsidRPr="006A5F89">
        <w:rPr>
          <w:rFonts w:asciiTheme="minorBidi" w:hAnsiTheme="minorBidi" w:cstheme="minorBidi"/>
          <w:rtl/>
          <w:lang w:bidi="ar-MA"/>
        </w:rPr>
        <w:t xml:space="preserve">بلغ إجمالي تكوين رأس المال الثابت 306,9 مليار درهم سنة 2016 بزيادة 9,5 </w:t>
      </w:r>
      <w:r w:rsidRPr="006A5F89">
        <w:rPr>
          <w:rFonts w:asciiTheme="minorBidi" w:hAnsiTheme="minorBidi" w:cstheme="minorBidi"/>
          <w:lang w:bidi="ar-MA"/>
        </w:rPr>
        <w:t>%</w:t>
      </w:r>
      <w:r w:rsidRPr="006A5F89">
        <w:rPr>
          <w:rFonts w:asciiTheme="minorBidi" w:hAnsiTheme="minorBidi" w:cstheme="minorBidi"/>
          <w:rtl/>
          <w:lang w:bidi="ar-MA"/>
        </w:rPr>
        <w:t xml:space="preserve"> مقارنة مع سنة 2015. </w:t>
      </w:r>
      <w:r>
        <w:rPr>
          <w:rFonts w:asciiTheme="minorBidi" w:hAnsiTheme="minorBidi" w:cstheme="minorBidi" w:hint="cs"/>
          <w:rtl/>
          <w:lang w:bidi="ar-MA"/>
        </w:rPr>
        <w:t xml:space="preserve">وتظل </w:t>
      </w:r>
      <w:r w:rsidRPr="006A5F89">
        <w:rPr>
          <w:rFonts w:asciiTheme="minorBidi" w:hAnsiTheme="minorBidi" w:cstheme="minorBidi"/>
          <w:rtl/>
          <w:lang w:bidi="ar-MA"/>
        </w:rPr>
        <w:t>الشركات المالية وغير المالية</w:t>
      </w:r>
      <w:r>
        <w:rPr>
          <w:rFonts w:asciiTheme="minorBidi" w:hAnsiTheme="minorBidi" w:cstheme="minorBidi" w:hint="cs"/>
          <w:rtl/>
          <w:lang w:bidi="ar-MA"/>
        </w:rPr>
        <w:t xml:space="preserve"> المستثمر الأول بالمغرب بمساهمة متزايدة في إجمالي تكوين رأس المال الثابت حيث انتقلت </w:t>
      </w:r>
      <w:r w:rsidRPr="006A5F89">
        <w:rPr>
          <w:rFonts w:asciiTheme="minorBidi" w:hAnsiTheme="minorBidi" w:cstheme="minorBidi"/>
          <w:rtl/>
          <w:lang w:bidi="ar-MA"/>
        </w:rPr>
        <w:t>من 55,2 % سنة 2015 إلى  57 % سنة 2016</w:t>
      </w:r>
      <w:r>
        <w:rPr>
          <w:rFonts w:asciiTheme="minorBidi" w:hAnsiTheme="minorBidi" w:cstheme="minorBidi" w:hint="cs"/>
          <w:rtl/>
          <w:lang w:bidi="ar-MA"/>
        </w:rPr>
        <w:t xml:space="preserve">. </w:t>
      </w:r>
      <w:r w:rsidRPr="006A5F89">
        <w:rPr>
          <w:rFonts w:asciiTheme="minorBidi" w:hAnsiTheme="minorBidi" w:cstheme="minorBidi"/>
          <w:rtl/>
          <w:lang w:bidi="ar-MA"/>
        </w:rPr>
        <w:t xml:space="preserve">في حين </w:t>
      </w:r>
      <w:r>
        <w:rPr>
          <w:rFonts w:asciiTheme="minorBidi" w:hAnsiTheme="minorBidi" w:cstheme="minorBidi" w:hint="cs"/>
          <w:rtl/>
          <w:lang w:bidi="ar-MA"/>
        </w:rPr>
        <w:t xml:space="preserve">انخفضت </w:t>
      </w:r>
      <w:r w:rsidRPr="006A5F89">
        <w:rPr>
          <w:rFonts w:asciiTheme="minorBidi" w:hAnsiTheme="minorBidi" w:cstheme="minorBidi"/>
          <w:rtl/>
          <w:lang w:bidi="ar-MA"/>
        </w:rPr>
        <w:t xml:space="preserve">مساهمة الأسر </w:t>
      </w:r>
      <w:r>
        <w:rPr>
          <w:rFonts w:asciiTheme="minorBidi" w:hAnsiTheme="minorBidi" w:cstheme="minorBidi" w:hint="cs"/>
          <w:rtl/>
          <w:lang w:bidi="ar-MA"/>
        </w:rPr>
        <w:t>من</w:t>
      </w:r>
      <w:r w:rsidRPr="006A5F89">
        <w:rPr>
          <w:rFonts w:asciiTheme="minorBidi" w:hAnsiTheme="minorBidi" w:cstheme="minorBidi"/>
          <w:rtl/>
          <w:lang w:bidi="ar-MA"/>
        </w:rPr>
        <w:t xml:space="preserve"> 26,9 %</w:t>
      </w:r>
      <w:r>
        <w:rPr>
          <w:rFonts w:asciiTheme="minorBidi" w:hAnsiTheme="minorBidi" w:cstheme="minorBidi" w:hint="cs"/>
          <w:rtl/>
          <w:lang w:bidi="ar-MA"/>
        </w:rPr>
        <w:t xml:space="preserve"> إلى </w:t>
      </w:r>
      <w:r w:rsidRPr="006A5F89">
        <w:rPr>
          <w:rFonts w:asciiTheme="minorBidi" w:hAnsiTheme="minorBidi" w:cstheme="minorBidi"/>
          <w:rtl/>
          <w:lang w:bidi="ar-MA"/>
        </w:rPr>
        <w:t>25,9 %</w:t>
      </w:r>
      <w:r>
        <w:rPr>
          <w:rFonts w:asciiTheme="minorBidi" w:hAnsiTheme="minorBidi" w:cstheme="minorBidi" w:hint="cs"/>
          <w:rtl/>
          <w:lang w:bidi="ar-MA"/>
        </w:rPr>
        <w:t xml:space="preserve"> وكذلك </w:t>
      </w:r>
      <w:r w:rsidRPr="006A5F89">
        <w:rPr>
          <w:rFonts w:asciiTheme="minorBidi" w:hAnsiTheme="minorBidi" w:cstheme="minorBidi"/>
          <w:rtl/>
          <w:lang w:bidi="ar-MA"/>
        </w:rPr>
        <w:t xml:space="preserve">مساهمة الإدارات العمومية </w:t>
      </w:r>
      <w:r>
        <w:rPr>
          <w:rFonts w:asciiTheme="minorBidi" w:hAnsiTheme="minorBidi" w:cstheme="minorBidi" w:hint="cs"/>
          <w:rtl/>
          <w:lang w:bidi="ar-MA"/>
        </w:rPr>
        <w:t xml:space="preserve">من </w:t>
      </w:r>
      <w:r w:rsidRPr="006A5F89">
        <w:rPr>
          <w:rFonts w:asciiTheme="minorBidi" w:hAnsiTheme="minorBidi" w:cstheme="minorBidi"/>
          <w:rtl/>
          <w:lang w:bidi="ar-MA"/>
        </w:rPr>
        <w:t xml:space="preserve">17,6 </w:t>
      </w:r>
      <w:r w:rsidRPr="006A5F89"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إلى </w:t>
      </w:r>
      <w:r w:rsidRPr="006A5F89">
        <w:rPr>
          <w:rFonts w:asciiTheme="minorBidi" w:hAnsiTheme="minorBidi" w:cstheme="minorBidi"/>
          <w:rtl/>
          <w:lang w:bidi="ar-MA"/>
        </w:rPr>
        <w:t xml:space="preserve">16,8 </w:t>
      </w:r>
      <w:r w:rsidRPr="006A5F89"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.</w:t>
      </w:r>
    </w:p>
    <w:p w:rsidR="00971A70" w:rsidRPr="006A5F89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6A5F89">
        <w:rPr>
          <w:rFonts w:asciiTheme="minorBidi" w:hAnsiTheme="minorBidi" w:cstheme="minorBidi"/>
          <w:rtl/>
          <w:lang w:bidi="ar-MA"/>
        </w:rPr>
        <w:t>وبلغ الادخار الوطني من جهته 292,7 مليار درهم سنة 2016 عوض 284,6</w:t>
      </w:r>
      <w:r w:rsidRPr="006A5F89">
        <w:rPr>
          <w:rFonts w:asciiTheme="minorBidi" w:hAnsiTheme="minorBidi" w:cstheme="minorBidi"/>
          <w:lang w:bidi="ar-MA"/>
        </w:rPr>
        <w:t xml:space="preserve"> </w:t>
      </w:r>
      <w:r w:rsidRPr="006A5F89">
        <w:rPr>
          <w:rFonts w:asciiTheme="minorBidi" w:hAnsiTheme="minorBidi" w:cstheme="minorBidi"/>
          <w:rtl/>
          <w:lang w:bidi="ar-MA"/>
        </w:rPr>
        <w:t xml:space="preserve"> مليار درهم سنة 2015  مسجلا تحسنا ب 2,8 </w:t>
      </w:r>
      <w:r w:rsidRPr="006A5F89"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. </w:t>
      </w:r>
      <w:r w:rsidRPr="006A5F89">
        <w:rPr>
          <w:rFonts w:asciiTheme="minorBidi" w:hAnsiTheme="minorBidi" w:cstheme="minorBidi"/>
          <w:rtl/>
          <w:lang w:bidi="ar-MA"/>
        </w:rPr>
        <w:t>ويظهر توزيعه حسب القطاعات المؤسساتية أن الشركات المالية وغير المالية تساهم بنسبة 53,6</w:t>
      </w:r>
      <w:r w:rsidRPr="006A5F89">
        <w:rPr>
          <w:rFonts w:asciiTheme="minorBidi" w:hAnsiTheme="minorBidi" w:cstheme="minorBidi"/>
          <w:lang w:bidi="ar-MA"/>
        </w:rPr>
        <w:t xml:space="preserve">% </w:t>
      </w:r>
      <w:r w:rsidRPr="006A5F89">
        <w:rPr>
          <w:rFonts w:asciiTheme="minorBidi" w:hAnsiTheme="minorBidi" w:cstheme="minorBidi"/>
          <w:rtl/>
          <w:lang w:bidi="ar-MA"/>
        </w:rPr>
        <w:t xml:space="preserve"> متبوعة بالأسر والمؤسسات غير الهادفة للربح في خدمة الأسر بنسبة 30,2 </w:t>
      </w:r>
      <w:r w:rsidRPr="006A5F89">
        <w:rPr>
          <w:rFonts w:asciiTheme="minorBidi" w:hAnsiTheme="minorBidi" w:cstheme="minorBidi"/>
          <w:lang w:bidi="ar-MA"/>
        </w:rPr>
        <w:t>%</w:t>
      </w:r>
      <w:r w:rsidRPr="006A5F89">
        <w:rPr>
          <w:rFonts w:asciiTheme="minorBidi" w:hAnsiTheme="minorBidi" w:cstheme="minorBidi"/>
          <w:rtl/>
          <w:lang w:bidi="ar-MA"/>
        </w:rPr>
        <w:t xml:space="preserve">  ثم الإدارات العمومية بنسبة 16,2 </w:t>
      </w:r>
      <w:r w:rsidRPr="006A5F89">
        <w:rPr>
          <w:rFonts w:asciiTheme="minorBidi" w:hAnsiTheme="minorBidi" w:cstheme="minorBidi"/>
          <w:lang w:bidi="ar-MA"/>
        </w:rPr>
        <w:t>%</w:t>
      </w:r>
      <w:r w:rsidRPr="006A5F89">
        <w:rPr>
          <w:rFonts w:asciiTheme="minorBidi" w:hAnsiTheme="minorBidi" w:cstheme="minorBidi"/>
          <w:rtl/>
          <w:lang w:bidi="ar-MA"/>
        </w:rPr>
        <w:t>.</w:t>
      </w:r>
    </w:p>
    <w:p w:rsidR="00971A70" w:rsidRPr="006A5F89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lang w:bidi="ar-MA"/>
        </w:rPr>
      </w:pPr>
      <w:r w:rsidRPr="006A5F89">
        <w:rPr>
          <w:rFonts w:asciiTheme="minorBidi" w:hAnsiTheme="minorBidi" w:cstheme="minorBidi"/>
          <w:rtl/>
          <w:lang w:bidi="ar-MA"/>
        </w:rPr>
        <w:t>إجمالا، فإن الحاجة إلى تمويل الاقتصاد الوطني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6A5F89">
        <w:rPr>
          <w:rFonts w:asciiTheme="minorBidi" w:hAnsiTheme="minorBidi" w:cstheme="minorBidi"/>
          <w:rtl/>
          <w:lang w:bidi="ar-MA"/>
        </w:rPr>
        <w:t xml:space="preserve">بلغت 43,2 مليار درهم سنة 2016 </w:t>
      </w:r>
      <w:r>
        <w:rPr>
          <w:rFonts w:asciiTheme="minorBidi" w:hAnsiTheme="minorBidi" w:cstheme="minorBidi" w:hint="cs"/>
          <w:rtl/>
          <w:lang w:bidi="ar-MA"/>
        </w:rPr>
        <w:t xml:space="preserve">ممثلة </w:t>
      </w:r>
      <w:r w:rsidRPr="006A5F89">
        <w:rPr>
          <w:rFonts w:asciiTheme="minorBidi" w:hAnsiTheme="minorBidi" w:cstheme="minorBidi"/>
          <w:rtl/>
          <w:lang w:bidi="ar-MA"/>
        </w:rPr>
        <w:t>4,2 % من الناتج الداخلي الإجمالي عوض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6A5F89">
        <w:rPr>
          <w:rFonts w:asciiTheme="minorBidi" w:hAnsiTheme="minorBidi" w:cstheme="minorBidi"/>
          <w:rtl/>
          <w:lang w:bidi="ar-MA"/>
        </w:rPr>
        <w:t>2 % سنة من قبل</w:t>
      </w:r>
      <w:r>
        <w:rPr>
          <w:rFonts w:asciiTheme="minorBidi" w:hAnsiTheme="minorBidi" w:cstheme="minorBidi" w:hint="cs"/>
          <w:rtl/>
          <w:lang w:bidi="ar-MA"/>
        </w:rPr>
        <w:t xml:space="preserve">. وتفسر هذه الوضعية </w:t>
      </w:r>
      <w:r w:rsidRPr="006A5F89">
        <w:rPr>
          <w:rFonts w:asciiTheme="minorBidi" w:hAnsiTheme="minorBidi" w:cstheme="minorBidi"/>
          <w:rtl/>
          <w:lang w:bidi="ar-MA"/>
        </w:rPr>
        <w:t xml:space="preserve">أساسا إلى الزيادة الكبيرة في الحاجة التمويلية للشركات غير المالية </w:t>
      </w:r>
      <w:r>
        <w:rPr>
          <w:rFonts w:asciiTheme="minorBidi" w:hAnsiTheme="minorBidi" w:cstheme="minorBidi" w:hint="cs"/>
          <w:rtl/>
          <w:lang w:bidi="ar-MA"/>
        </w:rPr>
        <w:t>ب 17,8 مليار درهم لتبلغ</w:t>
      </w:r>
      <w:r w:rsidRPr="006A5F89">
        <w:rPr>
          <w:rFonts w:asciiTheme="minorBidi" w:hAnsiTheme="minorBidi" w:cstheme="minorBidi"/>
          <w:rtl/>
          <w:lang w:bidi="ar-MA"/>
        </w:rPr>
        <w:t xml:space="preserve"> 54,1 مليار درهم سنة 2016</w:t>
      </w:r>
      <w:r>
        <w:rPr>
          <w:rFonts w:asciiTheme="minorBidi" w:hAnsiTheme="minorBidi" w:cstheme="minorBidi" w:hint="cs"/>
          <w:rtl/>
          <w:lang w:bidi="ar-MA"/>
        </w:rPr>
        <w:t>. بينما تقلصت ا</w:t>
      </w:r>
      <w:r w:rsidRPr="006A5F89">
        <w:rPr>
          <w:rFonts w:asciiTheme="minorBidi" w:hAnsiTheme="minorBidi" w:cstheme="minorBidi"/>
          <w:rtl/>
          <w:lang w:bidi="ar-MA"/>
        </w:rPr>
        <w:t>لحاجة التمويلية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6A5F89">
        <w:rPr>
          <w:rFonts w:asciiTheme="minorBidi" w:hAnsiTheme="minorBidi" w:cstheme="minorBidi"/>
          <w:rtl/>
          <w:lang w:bidi="ar-MA"/>
        </w:rPr>
        <w:t xml:space="preserve">للإدارات العمومية بمقدار 5,6 مليار درهم </w:t>
      </w:r>
      <w:r>
        <w:rPr>
          <w:rFonts w:asciiTheme="minorBidi" w:hAnsiTheme="minorBidi" w:cstheme="minorBidi" w:hint="cs"/>
          <w:rtl/>
          <w:lang w:bidi="ar-MA"/>
        </w:rPr>
        <w:t>لتصل إلى 9,4 مليار درهم . ومن جهتها انخفضت الحاجة التمويلية للأسر ب 10,4 مليار درهم وللشركات المالية ب 976 مليون درهم لتبلغ 5,5 مليار درهم و14,7 مليار درهم على التوالي سنة 2016 .</w:t>
      </w:r>
    </w:p>
    <w:p w:rsidR="00C350FE" w:rsidRPr="00971A70" w:rsidRDefault="00C350FE" w:rsidP="00971A70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736DDD">
      <w:pPr>
        <w:bidi/>
        <w:spacing w:line="400" w:lineRule="exact"/>
        <w:ind w:left="49"/>
        <w:jc w:val="both"/>
        <w:rPr>
          <w:rFonts w:ascii="Book Antiqua" w:hAnsi="Book Antiqua"/>
          <w:sz w:val="28"/>
          <w:szCs w:val="28"/>
          <w:lang w:bidi="ar-MA"/>
        </w:rPr>
      </w:pPr>
    </w:p>
    <w:p w:rsidR="00102449" w:rsidRDefault="00102449" w:rsidP="00736DDD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lang w:bidi="ar-MA"/>
        </w:rPr>
      </w:pPr>
    </w:p>
    <w:p w:rsidR="00057319" w:rsidRDefault="00057319" w:rsidP="00057319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Pr="001867EA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EE5B21" w:rsidRDefault="00EE5B21" w:rsidP="00736DDD">
      <w:pPr>
        <w:bidi/>
        <w:ind w:left="49"/>
        <w:jc w:val="center"/>
        <w:rPr>
          <w:sz w:val="32"/>
          <w:szCs w:val="32"/>
          <w:rtl/>
          <w:lang w:bidi="ar-MA"/>
        </w:rPr>
      </w:pPr>
    </w:p>
    <w:p w:rsidR="00E52CA4" w:rsidRDefault="00E52CA4" w:rsidP="00EE5B21">
      <w:pPr>
        <w:bidi/>
        <w:ind w:left="49"/>
        <w:jc w:val="center"/>
        <w:rPr>
          <w:b/>
          <w:bCs/>
          <w:color w:val="002060"/>
          <w:sz w:val="28"/>
          <w:szCs w:val="28"/>
          <w:rtl/>
          <w:lang w:bidi="ar-MA"/>
        </w:rPr>
      </w:pPr>
      <w:r>
        <w:rPr>
          <w:sz w:val="32"/>
          <w:szCs w:val="32"/>
          <w:rtl/>
          <w:lang w:bidi="ar-MA"/>
        </w:rPr>
        <w:lastRenderedPageBreak/>
        <w:t xml:space="preserve">   </w:t>
      </w:r>
      <w:r>
        <w:rPr>
          <w:b/>
          <w:bCs/>
          <w:color w:val="002060"/>
          <w:sz w:val="28"/>
          <w:szCs w:val="28"/>
          <w:rtl/>
          <w:lang w:bidi="ar-MA"/>
        </w:rPr>
        <w:t>بعض عناصر جدول الحسابات الاقتصادية المتكاملة</w:t>
      </w:r>
    </w:p>
    <w:p w:rsidR="00E52CA4" w:rsidRPr="00BD2CAE" w:rsidRDefault="00BD2CAE" w:rsidP="00EE5B21">
      <w:pPr>
        <w:bidi/>
        <w:ind w:left="49" w:right="284"/>
        <w:jc w:val="right"/>
        <w:rPr>
          <w:b/>
          <w:bCs/>
          <w:i/>
          <w:iCs/>
          <w:rtl/>
          <w:lang w:bidi="ar-MA"/>
        </w:rPr>
      </w:pPr>
      <w:r>
        <w:rPr>
          <w:rFonts w:hint="cs"/>
          <w:b/>
          <w:bCs/>
          <w:i/>
          <w:iCs/>
          <w:sz w:val="22"/>
          <w:szCs w:val="22"/>
          <w:rtl/>
          <w:lang w:bidi="ar-MA"/>
        </w:rPr>
        <w:t xml:space="preserve">      </w:t>
      </w:r>
      <w:r w:rsidR="00E52CA4" w:rsidRPr="00BD2CAE">
        <w:rPr>
          <w:b/>
          <w:bCs/>
          <w:i/>
          <w:iCs/>
          <w:sz w:val="22"/>
          <w:szCs w:val="22"/>
          <w:rtl/>
          <w:lang w:bidi="ar-MA"/>
        </w:rPr>
        <w:t xml:space="preserve">بمليون درهم </w:t>
      </w: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E52CA4" w:rsidRPr="00EE5B21" w:rsidTr="005150F0">
        <w:trPr>
          <w:jc w:val="center"/>
        </w:trPr>
        <w:tc>
          <w:tcPr>
            <w:tcW w:w="521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E52CA4" w:rsidP="00736DDD">
            <w:pPr>
              <w:bidi/>
              <w:ind w:left="49"/>
              <w:jc w:val="center"/>
              <w:rPr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FFFF"/>
                <w:sz w:val="22"/>
                <w:szCs w:val="22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BD2CAE" w:rsidP="00736DDD">
            <w:pPr>
              <w:bidi/>
              <w:ind w:left="49"/>
              <w:jc w:val="center"/>
              <w:rPr>
                <w:color w:val="FFFFFF"/>
                <w:sz w:val="22"/>
                <w:szCs w:val="22"/>
                <w:lang w:eastAsia="en-US" w:bidi="ar-MA"/>
              </w:rPr>
            </w:pPr>
            <w:r w:rsidRPr="00EE5B21">
              <w:rPr>
                <w:rFonts w:hint="cs"/>
                <w:b/>
                <w:bCs/>
                <w:color w:val="FFFFFF"/>
                <w:sz w:val="22"/>
                <w:szCs w:val="22"/>
                <w:rtl/>
                <w:lang w:bidi="ar-MA"/>
              </w:rPr>
              <w:t>2014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BD2CAE" w:rsidP="00736DDD">
            <w:pPr>
              <w:bidi/>
              <w:ind w:left="49"/>
              <w:jc w:val="center"/>
              <w:rPr>
                <w:color w:val="FFFFFF"/>
                <w:sz w:val="22"/>
                <w:szCs w:val="22"/>
                <w:lang w:eastAsia="en-US" w:bidi="ar-MA"/>
              </w:rPr>
            </w:pPr>
            <w:r w:rsidRPr="00EE5B21">
              <w:rPr>
                <w:rFonts w:hint="cs"/>
                <w:b/>
                <w:bCs/>
                <w:color w:val="FFFFFF"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BD2CAE" w:rsidP="00736DDD">
            <w:pPr>
              <w:bidi/>
              <w:ind w:left="49"/>
              <w:jc w:val="center"/>
              <w:rPr>
                <w:color w:val="FFFFFF"/>
                <w:sz w:val="22"/>
                <w:szCs w:val="22"/>
                <w:lang w:eastAsia="en-US" w:bidi="ar-MA"/>
              </w:rPr>
            </w:pPr>
            <w:r w:rsidRPr="00EE5B21">
              <w:rPr>
                <w:rFonts w:hint="cs"/>
                <w:b/>
                <w:bCs/>
                <w:color w:val="FFFFFF"/>
                <w:sz w:val="22"/>
                <w:szCs w:val="22"/>
                <w:rtl/>
                <w:lang w:bidi="ar-MA"/>
              </w:rPr>
              <w:t>2016</w:t>
            </w: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174" w:type="dxa"/>
            <w:shd w:val="clear" w:color="auto" w:fill="F2DBDB"/>
            <w:hideMark/>
          </w:tcPr>
          <w:p w:rsidR="00E52CA4" w:rsidRPr="00EE5B21" w:rsidRDefault="00BD2CAE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lang w:bidi="ar-MA"/>
              </w:rPr>
              <w:t>925 376</w:t>
            </w:r>
          </w:p>
        </w:tc>
        <w:tc>
          <w:tcPr>
            <w:tcW w:w="1373" w:type="dxa"/>
            <w:shd w:val="clear" w:color="auto" w:fill="F2DBDB"/>
            <w:hideMark/>
          </w:tcPr>
          <w:p w:rsidR="00E52CA4" w:rsidRPr="00EE5B21" w:rsidRDefault="00BD2CAE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lang w:bidi="ar-MA"/>
              </w:rPr>
              <w:t>988 021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EE5B21" w:rsidRDefault="00BD2CAE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lang w:bidi="ar-MA"/>
              </w:rPr>
              <w:t>1 016 119</w:t>
            </w:r>
          </w:p>
        </w:tc>
      </w:tr>
      <w:tr w:rsidR="00BD2CAE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BD2CAE" w:rsidRPr="00EE5B21" w:rsidRDefault="00BD2CAE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بالسعر الأساسي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 w:hint="cs"/>
                <w:sz w:val="22"/>
                <w:szCs w:val="22"/>
                <w:rtl/>
              </w:rPr>
              <w:t xml:space="preserve">830 </w:t>
            </w:r>
            <w:r w:rsidRPr="00EE5B21">
              <w:rPr>
                <w:rFonts w:ascii="Calibri" w:hAnsi="Calibri" w:cs="Arial"/>
                <w:sz w:val="22"/>
                <w:szCs w:val="22"/>
              </w:rPr>
              <w:t xml:space="preserve"> 708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874 050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895 994</w:t>
            </w:r>
          </w:p>
        </w:tc>
      </w:tr>
      <w:tr w:rsidR="00BD2CAE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BD2CAE" w:rsidRPr="00EE5B21" w:rsidRDefault="00BD2CAE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المنتجات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94 668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113 971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120 125</w:t>
            </w:r>
          </w:p>
        </w:tc>
      </w:tr>
      <w:tr w:rsidR="00E52CA4" w:rsidRPr="00EE5B21" w:rsidTr="005150F0">
        <w:trPr>
          <w:trHeight w:val="209"/>
          <w:jc w:val="center"/>
        </w:trPr>
        <w:tc>
          <w:tcPr>
            <w:tcW w:w="521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الإجمالية للقطاعات</w:t>
            </w:r>
          </w:p>
        </w:tc>
        <w:tc>
          <w:tcPr>
            <w:tcW w:w="1174" w:type="dxa"/>
            <w:shd w:val="clear" w:color="auto" w:fill="F2DBDB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BD2CAE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BD2CAE" w:rsidRPr="00EE5B21" w:rsidRDefault="00BD2CAE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355 113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377 223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391 042</w:t>
            </w:r>
          </w:p>
        </w:tc>
      </w:tr>
      <w:tr w:rsidR="00BD2CAE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BD2CAE" w:rsidRPr="00EE5B21" w:rsidRDefault="00BD2CAE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44 003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46 868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48 055</w:t>
            </w:r>
          </w:p>
        </w:tc>
      </w:tr>
      <w:tr w:rsidR="00BD2CAE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BD2CAE" w:rsidRPr="00EE5B21" w:rsidRDefault="00BD2CAE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154 183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156 774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160 347</w:t>
            </w:r>
          </w:p>
        </w:tc>
      </w:tr>
      <w:tr w:rsidR="00BD2CAE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BD2CAE" w:rsidRPr="00EE5B21" w:rsidRDefault="00BD2CAE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277 409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293 185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296 550</w:t>
            </w: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عناصر توزيع القيمة المضافة</w:t>
            </w:r>
          </w:p>
        </w:tc>
        <w:tc>
          <w:tcPr>
            <w:tcW w:w="1174" w:type="dxa"/>
            <w:shd w:val="clear" w:color="auto" w:fill="F2DBDB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EE5B21" w:rsidRDefault="00E52CA4" w:rsidP="00736DDD">
            <w:pPr>
              <w:bidi/>
              <w:ind w:left="49"/>
              <w:rPr>
                <w:color w:val="FF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8871CA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8871CA" w:rsidRPr="00EE5B21" w:rsidRDefault="008871C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132 556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136 999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143 728</w:t>
            </w:r>
          </w:p>
        </w:tc>
      </w:tr>
      <w:tr w:rsidR="008871CA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8871CA" w:rsidRPr="00EE5B21" w:rsidRDefault="008871C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8 102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9 212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10 169</w:t>
            </w:r>
          </w:p>
        </w:tc>
      </w:tr>
      <w:tr w:rsidR="008871CA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8871CA" w:rsidRPr="00EE5B21" w:rsidRDefault="008871C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214 455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231 012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237 145</w:t>
            </w: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الشركات</w:t>
            </w: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</w:t>
            </w: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المالية</w:t>
            </w: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</w:tr>
      <w:tr w:rsidR="008871CA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8871CA" w:rsidRPr="00EE5B21" w:rsidRDefault="008871C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14 467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15 146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15 883</w:t>
            </w:r>
          </w:p>
        </w:tc>
      </w:tr>
      <w:tr w:rsidR="008871CA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8871CA" w:rsidRPr="00EE5B21" w:rsidRDefault="008871C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839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941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960</w:t>
            </w:r>
          </w:p>
        </w:tc>
      </w:tr>
      <w:tr w:rsidR="008871CA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8871CA" w:rsidRPr="00EE5B21" w:rsidRDefault="008871C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28 697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30 781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31 212</w:t>
            </w: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138 937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139 677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142 048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428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E6588" w:rsidRPr="00EE5B21" w:rsidRDefault="0030463D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486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530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14 818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30463D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16 611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17 769</w:t>
            </w: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19 288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20 738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19 989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443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502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690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257 678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271 945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275 871</w:t>
            </w: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الدخل الوطني الإجمالي المتاح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985 064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1 043 370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1 076 976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الدخل الوطني الإجمالي المتاح حسب القطاعات</w:t>
            </w:r>
          </w:p>
        </w:tc>
        <w:tc>
          <w:tcPr>
            <w:tcW w:w="1174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107 305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129 989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E6588" w:rsidRPr="00EE5B21" w:rsidRDefault="004E6588" w:rsidP="00ED51EA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132 1</w:t>
            </w:r>
            <w:r w:rsidR="00ED51EA">
              <w:rPr>
                <w:rFonts w:ascii="Calibri" w:hAnsi="Calibri" w:cs="Arial" w:hint="cs"/>
                <w:sz w:val="22"/>
                <w:szCs w:val="22"/>
                <w:rtl/>
              </w:rPr>
              <w:t>91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19 690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25 433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28 032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219 078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227 565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E6588" w:rsidRPr="00EE5B21" w:rsidRDefault="00A84D86" w:rsidP="00A84D86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 w:hint="cs"/>
                <w:sz w:val="22"/>
                <w:szCs w:val="22"/>
                <w:rtl/>
              </w:rPr>
              <w:t>243</w:t>
            </w:r>
            <w:r w:rsidR="004E6588" w:rsidRPr="00EE5B2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 w:hint="cs"/>
                <w:sz w:val="22"/>
                <w:szCs w:val="22"/>
                <w:rtl/>
              </w:rPr>
              <w:t>074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638 991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660 383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EE5B21" w:rsidRDefault="00166385" w:rsidP="00ED51EA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673 68</w:t>
            </w:r>
            <w:r w:rsidR="00ED51EA">
              <w:rPr>
                <w:rFonts w:ascii="Calibri" w:hAnsi="Calibri" w:cs="Arial" w:hint="cs"/>
                <w:sz w:val="22"/>
                <w:szCs w:val="22"/>
                <w:rtl/>
              </w:rPr>
              <w:t>9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الادخار الوطني الإجمالي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245 045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284 628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292 727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الادخار الوطني الإجمالي حسب القطاعات</w:t>
            </w:r>
          </w:p>
        </w:tc>
        <w:tc>
          <w:tcPr>
            <w:tcW w:w="1174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107 305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129 989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E6588" w:rsidRPr="00EE5B21" w:rsidRDefault="004E6588" w:rsidP="00ED51EA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132 1</w:t>
            </w:r>
            <w:r w:rsidR="00ED51EA">
              <w:rPr>
                <w:rFonts w:ascii="Calibri" w:hAnsi="Calibri" w:cs="Arial" w:hint="cs"/>
                <w:sz w:val="22"/>
                <w:szCs w:val="22"/>
                <w:rtl/>
              </w:rPr>
              <w:t>91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17 180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22 486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24 734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34 775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37 115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47 476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85 785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95 038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88 329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B05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  <w:vAlign w:val="center"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إجمالي تكوين رأس المال الثابت الوطني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276 237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280 271</w:t>
            </w:r>
          </w:p>
        </w:tc>
        <w:tc>
          <w:tcPr>
            <w:tcW w:w="1276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306 910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b/>
                <w:bCs/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تكوين رأس المال الثابت الوطني حسب القطاعات</w:t>
            </w:r>
          </w:p>
        </w:tc>
        <w:tc>
          <w:tcPr>
            <w:tcW w:w="1174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153 356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151 399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169 630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2 593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3 352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5 289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41 071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49 348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51 491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79 217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76 172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80 500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206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206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2060"/>
                <w:sz w:val="22"/>
                <w:szCs w:val="22"/>
                <w:lang w:eastAsia="en-US" w:bidi="ar-MA"/>
              </w:rPr>
            </w:pPr>
          </w:p>
        </w:tc>
      </w:tr>
      <w:tr w:rsidR="00EE5B21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E5B21" w:rsidRDefault="00EE5B21" w:rsidP="00EE5B21">
            <w:pPr>
              <w:bidi/>
              <w:ind w:left="49"/>
              <w:jc w:val="center"/>
              <w:rPr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EE5B21" w:rsidRPr="00EE5B21" w:rsidRDefault="00EE5B21" w:rsidP="00736DDD">
            <w:pPr>
              <w:ind w:left="49"/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EE5B21" w:rsidRPr="00EE5B21" w:rsidRDefault="00EE5B21" w:rsidP="00736DDD">
            <w:pPr>
              <w:ind w:left="49"/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EE5B21" w:rsidRPr="00EE5B21" w:rsidRDefault="00EE5B21" w:rsidP="00736DDD">
            <w:pPr>
              <w:ind w:left="49"/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</w:tr>
    </w:tbl>
    <w:p w:rsidR="00057319" w:rsidRDefault="00057319" w:rsidP="00D9181B">
      <w:pPr>
        <w:bidi/>
        <w:ind w:left="38"/>
        <w:jc w:val="center"/>
        <w:rPr>
          <w:b/>
          <w:bCs/>
          <w:color w:val="002060"/>
          <w:lang w:bidi="ar-MA"/>
        </w:rPr>
      </w:pPr>
    </w:p>
    <w:p w:rsidR="00057319" w:rsidRDefault="00057319" w:rsidP="00057319">
      <w:pPr>
        <w:bidi/>
        <w:ind w:left="38"/>
        <w:jc w:val="center"/>
        <w:rPr>
          <w:b/>
          <w:bCs/>
          <w:color w:val="002060"/>
          <w:lang w:bidi="ar-MA"/>
        </w:rPr>
      </w:pPr>
    </w:p>
    <w:p w:rsidR="00D9181B" w:rsidRPr="00EE5B21" w:rsidRDefault="00D9181B" w:rsidP="00057319">
      <w:pPr>
        <w:bidi/>
        <w:ind w:left="38"/>
        <w:jc w:val="center"/>
        <w:rPr>
          <w:b/>
          <w:bCs/>
          <w:color w:val="002060"/>
          <w:rtl/>
          <w:lang w:bidi="ar-MA"/>
        </w:rPr>
      </w:pPr>
      <w:r w:rsidRPr="00EE5B21">
        <w:rPr>
          <w:b/>
          <w:bCs/>
          <w:color w:val="002060"/>
          <w:rtl/>
          <w:lang w:bidi="ar-MA"/>
        </w:rPr>
        <w:lastRenderedPageBreak/>
        <w:t>بعض عناصر جدول الحسابات الاقتصادية المتكاملة</w:t>
      </w:r>
      <w:r w:rsidRPr="00EE5B21">
        <w:rPr>
          <w:rFonts w:hint="cs"/>
          <w:b/>
          <w:bCs/>
          <w:color w:val="002060"/>
          <w:rtl/>
          <w:lang w:bidi="ar-MA"/>
        </w:rPr>
        <w:t xml:space="preserve"> (تتمة)</w:t>
      </w:r>
    </w:p>
    <w:p w:rsidR="00E52CA4" w:rsidRPr="00E52CA4" w:rsidRDefault="00E52CA4" w:rsidP="00736DDD">
      <w:pPr>
        <w:bidi/>
        <w:ind w:left="49"/>
        <w:jc w:val="center"/>
        <w:rPr>
          <w:rFonts w:ascii="Calibri" w:hAnsi="Calibri" w:cs="Arial"/>
          <w:sz w:val="22"/>
          <w:szCs w:val="22"/>
          <w:rtl/>
          <w:lang w:eastAsia="en-US" w:bidi="ar-MA"/>
        </w:rPr>
      </w:pPr>
    </w:p>
    <w:p w:rsidR="00E52CA4" w:rsidRDefault="00E52CA4" w:rsidP="00736DDD">
      <w:pPr>
        <w:bidi/>
        <w:ind w:left="49"/>
        <w:jc w:val="center"/>
        <w:rPr>
          <w:b/>
          <w:bCs/>
          <w:lang w:bidi="ar-MA"/>
        </w:rPr>
      </w:pP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D9181B" w:rsidRPr="00D9181B" w:rsidTr="00D9181B">
        <w:trPr>
          <w:jc w:val="center"/>
        </w:trPr>
        <w:tc>
          <w:tcPr>
            <w:tcW w:w="5214" w:type="dxa"/>
            <w:shd w:val="clear" w:color="auto" w:fill="943634" w:themeFill="accent2" w:themeFillShade="BF"/>
            <w:hideMark/>
          </w:tcPr>
          <w:p w:rsidR="00D9181B" w:rsidRPr="00D9181B" w:rsidRDefault="00D9181B" w:rsidP="00D9181B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shd w:val="clear" w:color="auto" w:fill="943634" w:themeFill="accent2" w:themeFillShade="BF"/>
            <w:vAlign w:val="bottom"/>
            <w:hideMark/>
          </w:tcPr>
          <w:p w:rsidR="00D9181B" w:rsidRPr="00D9181B" w:rsidRDefault="00D9181B" w:rsidP="00D9181B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  <w:t>2014</w:t>
            </w:r>
          </w:p>
        </w:tc>
        <w:tc>
          <w:tcPr>
            <w:tcW w:w="1373" w:type="dxa"/>
            <w:shd w:val="clear" w:color="auto" w:fill="943634" w:themeFill="accent2" w:themeFillShade="BF"/>
            <w:vAlign w:val="bottom"/>
            <w:hideMark/>
          </w:tcPr>
          <w:p w:rsidR="00D9181B" w:rsidRPr="00D9181B" w:rsidRDefault="00D9181B" w:rsidP="00D9181B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  <w:t>2015</w:t>
            </w:r>
          </w:p>
        </w:tc>
        <w:tc>
          <w:tcPr>
            <w:tcW w:w="1276" w:type="dxa"/>
            <w:shd w:val="clear" w:color="auto" w:fill="943634" w:themeFill="accent2" w:themeFillShade="BF"/>
            <w:vAlign w:val="bottom"/>
            <w:hideMark/>
          </w:tcPr>
          <w:p w:rsidR="00D9181B" w:rsidRPr="00D9181B" w:rsidRDefault="00D9181B" w:rsidP="00D9181B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  <w:t>2016</w:t>
            </w:r>
          </w:p>
        </w:tc>
      </w:tr>
      <w:tr w:rsidR="00D9181B" w:rsidRPr="00D9181B" w:rsidTr="00410ABF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9181B" w:rsidRPr="00D9181B" w:rsidRDefault="00D9181B" w:rsidP="00410ABF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</w:pPr>
          </w:p>
          <w:p w:rsidR="00D9181B" w:rsidRPr="00D9181B" w:rsidRDefault="00D9181B" w:rsidP="00410ABF">
            <w:pPr>
              <w:bidi/>
              <w:ind w:left="49"/>
              <w:rPr>
                <w:rFonts w:asciiTheme="minorBidi" w:hAnsiTheme="minorBidi" w:cstheme="minorBidi"/>
                <w:color w:val="00206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  <w:t>الحاجة إلى تمويل الاقتصاد الوطني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b/>
                <w:bCs/>
                <w:color w:val="800080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800080"/>
                <w:sz w:val="20"/>
                <w:szCs w:val="20"/>
              </w:rPr>
              <w:t>-56 034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b/>
                <w:bCs/>
                <w:color w:val="800080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800080"/>
                <w:sz w:val="20"/>
                <w:szCs w:val="20"/>
              </w:rPr>
              <w:t>-19 706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b/>
                <w:bCs/>
                <w:color w:val="800080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800080"/>
                <w:sz w:val="20"/>
                <w:szCs w:val="20"/>
              </w:rPr>
              <w:t>-43 188</w:t>
            </w:r>
          </w:p>
        </w:tc>
      </w:tr>
      <w:tr w:rsidR="00D9181B" w:rsidRPr="00D9181B" w:rsidTr="00410ABF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9181B" w:rsidRPr="00D9181B" w:rsidRDefault="00D9181B" w:rsidP="00410ABF">
            <w:pPr>
              <w:bidi/>
              <w:ind w:left="49"/>
              <w:rPr>
                <w:rFonts w:asciiTheme="minorBidi" w:hAnsiTheme="minorBidi" w:cstheme="minorBidi"/>
                <w:color w:val="00206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القدرة (+) أو الحاجة (-) إلى التمويل حسب القطاعات</w:t>
            </w:r>
          </w:p>
        </w:tc>
        <w:tc>
          <w:tcPr>
            <w:tcW w:w="1174" w:type="dxa"/>
            <w:shd w:val="clear" w:color="auto" w:fill="F2DBDB"/>
            <w:vAlign w:val="bottom"/>
          </w:tcPr>
          <w:p w:rsidR="00D9181B" w:rsidRPr="00D9181B" w:rsidRDefault="00D9181B" w:rsidP="00410ABF">
            <w:pPr>
              <w:ind w:left="49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  <w:vAlign w:val="bottom"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DBDB"/>
            <w:vAlign w:val="bottom"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9181B" w:rsidRPr="00D9181B" w:rsidTr="00410ABF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9181B" w:rsidRPr="00D9181B" w:rsidRDefault="00D9181B" w:rsidP="00410ABF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-64 625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-36 353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-54 085</w:t>
            </w:r>
          </w:p>
        </w:tc>
      </w:tr>
      <w:tr w:rsidR="00D9181B" w:rsidRPr="00D9181B" w:rsidTr="00410ABF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9181B" w:rsidRPr="00D9181B" w:rsidRDefault="00D9181B" w:rsidP="00410ABF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12 006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15 720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14 744</w:t>
            </w:r>
          </w:p>
        </w:tc>
      </w:tr>
      <w:tr w:rsidR="00D9181B" w:rsidRPr="00D9181B" w:rsidTr="00410ABF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9181B" w:rsidRPr="00D9181B" w:rsidRDefault="00D9181B" w:rsidP="00410ABF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-10 003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-14 994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-9 388</w:t>
            </w:r>
          </w:p>
        </w:tc>
      </w:tr>
      <w:tr w:rsidR="00D9181B" w:rsidRPr="00D9181B" w:rsidTr="00410ABF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9181B" w:rsidRPr="00D9181B" w:rsidRDefault="00D9181B" w:rsidP="00410ABF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6 588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15 921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5 541</w:t>
            </w:r>
          </w:p>
        </w:tc>
      </w:tr>
    </w:tbl>
    <w:p w:rsidR="00D9181B" w:rsidRDefault="00D9181B" w:rsidP="00D9181B">
      <w:pPr>
        <w:bidi/>
        <w:ind w:left="49"/>
        <w:jc w:val="center"/>
        <w:rPr>
          <w:b/>
          <w:bCs/>
          <w:rtl/>
          <w:lang w:bidi="ar-MA"/>
        </w:rPr>
      </w:pPr>
    </w:p>
    <w:p w:rsidR="00102449" w:rsidRDefault="00102449" w:rsidP="00736DDD">
      <w:pPr>
        <w:bidi/>
        <w:ind w:left="49"/>
        <w:jc w:val="center"/>
        <w:rPr>
          <w:b/>
          <w:bCs/>
          <w:rtl/>
          <w:lang w:bidi="ar-MA"/>
        </w:rPr>
      </w:pPr>
    </w:p>
    <w:p w:rsidR="00102449" w:rsidRDefault="00102449" w:rsidP="00736DDD">
      <w:pPr>
        <w:bidi/>
        <w:ind w:left="49"/>
        <w:jc w:val="center"/>
        <w:rPr>
          <w:b/>
          <w:bCs/>
          <w:lang w:bidi="ar-MA"/>
        </w:rPr>
      </w:pPr>
    </w:p>
    <w:p w:rsidR="00E52CA4" w:rsidRPr="004E6588" w:rsidRDefault="00E52CA4" w:rsidP="00736DDD">
      <w:pPr>
        <w:bidi/>
        <w:ind w:left="49"/>
        <w:jc w:val="center"/>
        <w:rPr>
          <w:b/>
          <w:bCs/>
          <w:color w:val="002060"/>
          <w:sz w:val="28"/>
          <w:szCs w:val="28"/>
          <w:lang w:bidi="ar-MA"/>
        </w:rPr>
      </w:pPr>
      <w:r w:rsidRPr="004E6588">
        <w:rPr>
          <w:b/>
          <w:bCs/>
          <w:color w:val="002060"/>
          <w:sz w:val="28"/>
          <w:szCs w:val="28"/>
          <w:rtl/>
          <w:lang w:bidi="ar-MA"/>
        </w:rPr>
        <w:t>بعض عناصر حساب الأسر</w:t>
      </w:r>
    </w:p>
    <w:p w:rsidR="00E52CA4" w:rsidRDefault="00E52CA4" w:rsidP="00736DDD">
      <w:pPr>
        <w:bidi/>
        <w:ind w:left="49"/>
        <w:jc w:val="center"/>
        <w:rPr>
          <w:b/>
          <w:bCs/>
          <w:rtl/>
          <w:lang w:bidi="ar-MA"/>
        </w:rPr>
      </w:pPr>
    </w:p>
    <w:tbl>
      <w:tblPr>
        <w:bidiVisual/>
        <w:tblW w:w="0" w:type="auto"/>
        <w:jc w:val="center"/>
        <w:tblInd w:w="-401" w:type="dxa"/>
        <w:tblLook w:val="04A0"/>
      </w:tblPr>
      <w:tblGrid>
        <w:gridCol w:w="5079"/>
        <w:gridCol w:w="1276"/>
        <w:gridCol w:w="1276"/>
        <w:gridCol w:w="1275"/>
      </w:tblGrid>
      <w:tr w:rsidR="00E52CA4" w:rsidRPr="00D9181B" w:rsidTr="00DC1205">
        <w:trPr>
          <w:jc w:val="center"/>
        </w:trPr>
        <w:tc>
          <w:tcPr>
            <w:tcW w:w="507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D9181B" w:rsidRDefault="00E52CA4" w:rsidP="00736DDD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  <w:lang w:bidi="ar-MA"/>
              </w:rPr>
              <w:t>العمليات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D9181B" w:rsidRDefault="00A25B28" w:rsidP="00736DDD">
            <w:pPr>
              <w:bidi/>
              <w:ind w:left="49"/>
              <w:jc w:val="center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D9181B" w:rsidRDefault="00A25B28" w:rsidP="00736DDD">
            <w:pPr>
              <w:bidi/>
              <w:ind w:left="49"/>
              <w:jc w:val="center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  <w:t>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D9181B" w:rsidRDefault="00A25B28" w:rsidP="00736DDD">
            <w:pPr>
              <w:bidi/>
              <w:ind w:left="49"/>
              <w:jc w:val="center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  <w:t>2016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2DBDB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الدخل الإجمالي المتاح (بمليون درهم)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630 608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651 656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4E6588" w:rsidRPr="00D9181B" w:rsidRDefault="004E6588" w:rsidP="00D9181B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665 1</w:t>
            </w:r>
            <w:r w:rsidR="00D9181B">
              <w:rPr>
                <w:rFonts w:asciiTheme="minorBidi" w:hAnsiTheme="minorBidi" w:cstheme="minorBidi" w:hint="cs"/>
                <w:sz w:val="20"/>
                <w:szCs w:val="20"/>
                <w:rtl/>
              </w:rPr>
              <w:t>15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8EDED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نفقات الاستهلاك النهائي (بمليون درهم)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550 793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562 868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582 809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2DBDB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الادخار الإجمالي (بمليون درهم)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82 325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91 735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4E6588" w:rsidRPr="00D9181B" w:rsidRDefault="004E6588" w:rsidP="00ED51EA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85 6</w:t>
            </w:r>
            <w:r w:rsidR="00ED51EA">
              <w:rPr>
                <w:rFonts w:asciiTheme="minorBidi" w:hAnsiTheme="minorBidi" w:cstheme="minorBidi" w:hint="cs"/>
                <w:sz w:val="20"/>
                <w:szCs w:val="20"/>
                <w:rtl/>
              </w:rPr>
              <w:t>11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8EDED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معدل الادخار (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13,1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14,1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12,9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2DBDB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الدخل الإجمالي المتاح حسب الفرد (بالدرهم)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18 674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19 096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19</w:t>
            </w:r>
            <w:r w:rsidR="00D828B6" w:rsidRPr="00D9181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D9181B">
              <w:rPr>
                <w:rFonts w:asciiTheme="minorBidi" w:hAnsiTheme="minorBidi" w:cstheme="minorBidi"/>
                <w:sz w:val="20"/>
                <w:szCs w:val="20"/>
              </w:rPr>
              <w:t>286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8EDED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تطور الدخل الإجمالي المتاح حسب الفرد (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D828B6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 xml:space="preserve">-1,1 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D828B6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2,3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4E6588" w:rsidRPr="00D9181B" w:rsidRDefault="00D9181B" w:rsidP="00D828B6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1,0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2DBDB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تطور الرقم الاستدلالي للأسعار عند الاستهلاك (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D828B6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 xml:space="preserve">0,4 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D828B6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4E6588" w:rsidRPr="00D9181B" w:rsidRDefault="004E6588" w:rsidP="00D828B6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1,6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8EDED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تطور القدرة الشرائية للأسر (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D828B6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 xml:space="preserve">-1,5 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0,7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- 0,6</w:t>
            </w:r>
          </w:p>
        </w:tc>
      </w:tr>
    </w:tbl>
    <w:p w:rsidR="00E52CA4" w:rsidRPr="00E52CA4" w:rsidRDefault="00E52CA4" w:rsidP="00736DDD">
      <w:pPr>
        <w:bidi/>
        <w:ind w:left="49"/>
        <w:jc w:val="center"/>
        <w:rPr>
          <w:rFonts w:ascii="Calibri" w:hAnsi="Calibri" w:cs="Arial"/>
          <w:sz w:val="22"/>
          <w:szCs w:val="22"/>
          <w:rtl/>
          <w:lang w:eastAsia="en-US" w:bidi="ar-MA"/>
        </w:rPr>
      </w:pPr>
    </w:p>
    <w:p w:rsidR="00E52CA4" w:rsidRDefault="00E52CA4" w:rsidP="00736DDD">
      <w:pPr>
        <w:bidi/>
        <w:ind w:left="49"/>
        <w:jc w:val="center"/>
        <w:rPr>
          <w:rtl/>
          <w:lang w:bidi="ar-MA"/>
        </w:rPr>
      </w:pPr>
    </w:p>
    <w:p w:rsidR="00E52CA4" w:rsidRDefault="00E52CA4" w:rsidP="00736DDD">
      <w:pPr>
        <w:bidi/>
        <w:ind w:left="49"/>
        <w:jc w:val="center"/>
        <w:rPr>
          <w:rtl/>
          <w:lang w:bidi="ar-MA"/>
        </w:rPr>
      </w:pPr>
    </w:p>
    <w:p w:rsidR="00E52CA4" w:rsidRDefault="00E52CA4" w:rsidP="00736DDD">
      <w:pPr>
        <w:bidi/>
        <w:ind w:left="49"/>
        <w:jc w:val="center"/>
        <w:rPr>
          <w:rtl/>
          <w:lang w:bidi="ar-MA"/>
        </w:rPr>
      </w:pPr>
    </w:p>
    <w:p w:rsidR="00E52CA4" w:rsidRDefault="00E52CA4" w:rsidP="00736DDD">
      <w:pPr>
        <w:ind w:left="49"/>
        <w:jc w:val="center"/>
        <w:rPr>
          <w:rtl/>
          <w:lang w:bidi="ar-MA"/>
        </w:rPr>
      </w:pPr>
    </w:p>
    <w:p w:rsidR="00E52CA4" w:rsidRDefault="00E52CA4" w:rsidP="00736DDD">
      <w:pPr>
        <w:bidi/>
        <w:ind w:left="49"/>
        <w:rPr>
          <w:sz w:val="32"/>
          <w:szCs w:val="32"/>
          <w:rtl/>
          <w:lang w:bidi="ar-MA"/>
        </w:rPr>
      </w:pPr>
    </w:p>
    <w:p w:rsidR="00957E66" w:rsidRDefault="00957E66" w:rsidP="00736DDD">
      <w:pPr>
        <w:ind w:left="49"/>
        <w:jc w:val="center"/>
        <w:rPr>
          <w:rFonts w:ascii="Book Antiqua" w:hAnsi="Book Antiqua"/>
          <w:b/>
          <w:shadow/>
          <w:color w:val="FF0000"/>
          <w:sz w:val="32"/>
          <w:szCs w:val="32"/>
        </w:rPr>
      </w:pPr>
    </w:p>
    <w:sectPr w:rsidR="00957E66" w:rsidSect="00EB73DB">
      <w:footerReference w:type="default" r:id="rId10"/>
      <w:pgSz w:w="11900" w:h="16840"/>
      <w:pgMar w:top="1021" w:right="1418" w:bottom="1247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967" w:rsidRDefault="00197967" w:rsidP="00611FF6">
      <w:r>
        <w:separator/>
      </w:r>
    </w:p>
  </w:endnote>
  <w:endnote w:type="continuationSeparator" w:id="1">
    <w:p w:rsidR="00197967" w:rsidRDefault="00197967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77589B">
    <w:pPr>
      <w:pStyle w:val="Pieddepage"/>
      <w:jc w:val="center"/>
    </w:pPr>
    <w:fldSimple w:instr=" PAGE   \* MERGEFORMAT ">
      <w:r w:rsidR="00924FE9">
        <w:rPr>
          <w:noProof/>
        </w:rPr>
        <w:t>1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967" w:rsidRDefault="00197967" w:rsidP="00611FF6">
      <w:r>
        <w:separator/>
      </w:r>
    </w:p>
  </w:footnote>
  <w:footnote w:type="continuationSeparator" w:id="1">
    <w:p w:rsidR="00197967" w:rsidRDefault="00197967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85pt;height:11.85pt" o:bullet="t">
        <v:imagedata r:id="rId1" o:title="clip_bullet001"/>
      </v:shape>
    </w:pict>
  </w:numPicBullet>
  <w:abstractNum w:abstractNumId="0">
    <w:nsid w:val="00EB749B"/>
    <w:multiLevelType w:val="hybridMultilevel"/>
    <w:tmpl w:val="6EF886BC"/>
    <w:lvl w:ilvl="0" w:tplc="040C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F7225F"/>
    <w:multiLevelType w:val="hybridMultilevel"/>
    <w:tmpl w:val="5D9CA7E6"/>
    <w:lvl w:ilvl="0" w:tplc="B97C49CC"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1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3E555B"/>
    <w:multiLevelType w:val="hybridMultilevel"/>
    <w:tmpl w:val="D324C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4"/>
  </w:num>
  <w:num w:numId="5">
    <w:abstractNumId w:val="20"/>
  </w:num>
  <w:num w:numId="6">
    <w:abstractNumId w:val="8"/>
  </w:num>
  <w:num w:numId="7">
    <w:abstractNumId w:val="6"/>
  </w:num>
  <w:num w:numId="8">
    <w:abstractNumId w:val="31"/>
  </w:num>
  <w:num w:numId="9">
    <w:abstractNumId w:val="25"/>
  </w:num>
  <w:num w:numId="10">
    <w:abstractNumId w:val="22"/>
  </w:num>
  <w:num w:numId="11">
    <w:abstractNumId w:val="21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9"/>
  </w:num>
  <w:num w:numId="21">
    <w:abstractNumId w:val="3"/>
  </w:num>
  <w:num w:numId="22">
    <w:abstractNumId w:val="10"/>
  </w:num>
  <w:num w:numId="23">
    <w:abstractNumId w:val="2"/>
  </w:num>
  <w:num w:numId="24">
    <w:abstractNumId w:val="4"/>
  </w:num>
  <w:num w:numId="25">
    <w:abstractNumId w:val="17"/>
  </w:num>
  <w:num w:numId="26">
    <w:abstractNumId w:val="19"/>
  </w:num>
  <w:num w:numId="27">
    <w:abstractNumId w:val="30"/>
  </w:num>
  <w:num w:numId="28">
    <w:abstractNumId w:val="13"/>
  </w:num>
  <w:num w:numId="29">
    <w:abstractNumId w:val="26"/>
  </w:num>
  <w:num w:numId="30">
    <w:abstractNumId w:val="16"/>
  </w:num>
  <w:num w:numId="31">
    <w:abstractNumId w:val="24"/>
  </w:num>
  <w:num w:numId="32">
    <w:abstractNumId w:val="27"/>
  </w:num>
  <w:num w:numId="33">
    <w:abstractNumId w:val="12"/>
  </w:num>
  <w:num w:numId="34">
    <w:abstractNumId w:val="1"/>
  </w:num>
  <w:num w:numId="35">
    <w:abstractNumId w:val="32"/>
  </w:num>
  <w:num w:numId="36">
    <w:abstractNumId w:val="0"/>
  </w:num>
  <w:num w:numId="37">
    <w:abstractNumId w:val="9"/>
  </w:num>
  <w:num w:numId="3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EC8"/>
    <w:rsid w:val="00007F6C"/>
    <w:rsid w:val="0001513B"/>
    <w:rsid w:val="0003047A"/>
    <w:rsid w:val="00033A60"/>
    <w:rsid w:val="00044FC6"/>
    <w:rsid w:val="000532E5"/>
    <w:rsid w:val="000535AB"/>
    <w:rsid w:val="0005395B"/>
    <w:rsid w:val="00053BAE"/>
    <w:rsid w:val="00053CCE"/>
    <w:rsid w:val="00057319"/>
    <w:rsid w:val="000604C4"/>
    <w:rsid w:val="0006664F"/>
    <w:rsid w:val="00070FA9"/>
    <w:rsid w:val="0007102C"/>
    <w:rsid w:val="00073000"/>
    <w:rsid w:val="0007573E"/>
    <w:rsid w:val="000764F4"/>
    <w:rsid w:val="00085217"/>
    <w:rsid w:val="0008668A"/>
    <w:rsid w:val="000911F6"/>
    <w:rsid w:val="00091B25"/>
    <w:rsid w:val="0009383B"/>
    <w:rsid w:val="00097B06"/>
    <w:rsid w:val="000A5F43"/>
    <w:rsid w:val="000B0B65"/>
    <w:rsid w:val="000B30F3"/>
    <w:rsid w:val="000C09AF"/>
    <w:rsid w:val="000C23CB"/>
    <w:rsid w:val="000C4F8C"/>
    <w:rsid w:val="000D0DFC"/>
    <w:rsid w:val="000D29AB"/>
    <w:rsid w:val="000D63C8"/>
    <w:rsid w:val="000E1B0A"/>
    <w:rsid w:val="000F3D3D"/>
    <w:rsid w:val="000F4FE7"/>
    <w:rsid w:val="000F5D97"/>
    <w:rsid w:val="000F75DC"/>
    <w:rsid w:val="00101BEE"/>
    <w:rsid w:val="00102449"/>
    <w:rsid w:val="0010418D"/>
    <w:rsid w:val="00111F64"/>
    <w:rsid w:val="00114E37"/>
    <w:rsid w:val="00115CC3"/>
    <w:rsid w:val="0011786F"/>
    <w:rsid w:val="00126DA6"/>
    <w:rsid w:val="00127952"/>
    <w:rsid w:val="00130493"/>
    <w:rsid w:val="0013085D"/>
    <w:rsid w:val="0013131A"/>
    <w:rsid w:val="00131CEC"/>
    <w:rsid w:val="0014749E"/>
    <w:rsid w:val="00153501"/>
    <w:rsid w:val="00153F1B"/>
    <w:rsid w:val="0015763C"/>
    <w:rsid w:val="001605CB"/>
    <w:rsid w:val="001610B6"/>
    <w:rsid w:val="00163195"/>
    <w:rsid w:val="001652A3"/>
    <w:rsid w:val="00166385"/>
    <w:rsid w:val="001704A9"/>
    <w:rsid w:val="00172297"/>
    <w:rsid w:val="001727AC"/>
    <w:rsid w:val="0017399D"/>
    <w:rsid w:val="001776B8"/>
    <w:rsid w:val="0018215F"/>
    <w:rsid w:val="001867EA"/>
    <w:rsid w:val="001940E6"/>
    <w:rsid w:val="001978BE"/>
    <w:rsid w:val="00197967"/>
    <w:rsid w:val="001A0192"/>
    <w:rsid w:val="001A0777"/>
    <w:rsid w:val="001A1C09"/>
    <w:rsid w:val="001A4A33"/>
    <w:rsid w:val="001A5C14"/>
    <w:rsid w:val="001B4853"/>
    <w:rsid w:val="001B7045"/>
    <w:rsid w:val="001B7A37"/>
    <w:rsid w:val="001C01C0"/>
    <w:rsid w:val="001C70BB"/>
    <w:rsid w:val="001D181C"/>
    <w:rsid w:val="001D36CE"/>
    <w:rsid w:val="001D57E3"/>
    <w:rsid w:val="001E14D4"/>
    <w:rsid w:val="001E282C"/>
    <w:rsid w:val="001F1BDB"/>
    <w:rsid w:val="00204F31"/>
    <w:rsid w:val="002105CD"/>
    <w:rsid w:val="002138C2"/>
    <w:rsid w:val="00214114"/>
    <w:rsid w:val="00214222"/>
    <w:rsid w:val="0021605E"/>
    <w:rsid w:val="00220060"/>
    <w:rsid w:val="0022563E"/>
    <w:rsid w:val="002325A2"/>
    <w:rsid w:val="002333D9"/>
    <w:rsid w:val="00235022"/>
    <w:rsid w:val="00242919"/>
    <w:rsid w:val="002434D0"/>
    <w:rsid w:val="002460AB"/>
    <w:rsid w:val="00252408"/>
    <w:rsid w:val="00260F6B"/>
    <w:rsid w:val="00261BD6"/>
    <w:rsid w:val="00264581"/>
    <w:rsid w:val="002649A4"/>
    <w:rsid w:val="002679E2"/>
    <w:rsid w:val="002706D3"/>
    <w:rsid w:val="0028131C"/>
    <w:rsid w:val="0028536F"/>
    <w:rsid w:val="0028577D"/>
    <w:rsid w:val="002874DC"/>
    <w:rsid w:val="00296A0C"/>
    <w:rsid w:val="002A2143"/>
    <w:rsid w:val="002A2ECE"/>
    <w:rsid w:val="002A42FF"/>
    <w:rsid w:val="002A5D52"/>
    <w:rsid w:val="002A628B"/>
    <w:rsid w:val="002A67AB"/>
    <w:rsid w:val="002B176B"/>
    <w:rsid w:val="002B4871"/>
    <w:rsid w:val="002B61F1"/>
    <w:rsid w:val="002B6FC8"/>
    <w:rsid w:val="002C1472"/>
    <w:rsid w:val="002C1ACC"/>
    <w:rsid w:val="002C271E"/>
    <w:rsid w:val="002C3FFB"/>
    <w:rsid w:val="002C60F4"/>
    <w:rsid w:val="002C702F"/>
    <w:rsid w:val="002D51DB"/>
    <w:rsid w:val="002E0857"/>
    <w:rsid w:val="002E1150"/>
    <w:rsid w:val="002E140C"/>
    <w:rsid w:val="002E32E7"/>
    <w:rsid w:val="002E5B65"/>
    <w:rsid w:val="002E7900"/>
    <w:rsid w:val="002F06D0"/>
    <w:rsid w:val="002F2F51"/>
    <w:rsid w:val="002F3F44"/>
    <w:rsid w:val="0030463D"/>
    <w:rsid w:val="00304E3D"/>
    <w:rsid w:val="00310172"/>
    <w:rsid w:val="0031028E"/>
    <w:rsid w:val="00310AC3"/>
    <w:rsid w:val="00315D02"/>
    <w:rsid w:val="003175CA"/>
    <w:rsid w:val="003231DA"/>
    <w:rsid w:val="003254D1"/>
    <w:rsid w:val="00325671"/>
    <w:rsid w:val="00326654"/>
    <w:rsid w:val="0032680B"/>
    <w:rsid w:val="00331839"/>
    <w:rsid w:val="00331ECC"/>
    <w:rsid w:val="00334BA3"/>
    <w:rsid w:val="00336153"/>
    <w:rsid w:val="003504B9"/>
    <w:rsid w:val="00353212"/>
    <w:rsid w:val="00354B44"/>
    <w:rsid w:val="00355B15"/>
    <w:rsid w:val="003607A5"/>
    <w:rsid w:val="003614BB"/>
    <w:rsid w:val="00365E93"/>
    <w:rsid w:val="003725F0"/>
    <w:rsid w:val="003726F2"/>
    <w:rsid w:val="00377E82"/>
    <w:rsid w:val="003811C4"/>
    <w:rsid w:val="00381C63"/>
    <w:rsid w:val="003844C1"/>
    <w:rsid w:val="00385F5C"/>
    <w:rsid w:val="0038626B"/>
    <w:rsid w:val="00387214"/>
    <w:rsid w:val="00391333"/>
    <w:rsid w:val="00391674"/>
    <w:rsid w:val="0039250E"/>
    <w:rsid w:val="003A24CA"/>
    <w:rsid w:val="003A298E"/>
    <w:rsid w:val="003A72BC"/>
    <w:rsid w:val="003B1D13"/>
    <w:rsid w:val="003B489D"/>
    <w:rsid w:val="003B70DB"/>
    <w:rsid w:val="003C0365"/>
    <w:rsid w:val="003C1E9B"/>
    <w:rsid w:val="003D144A"/>
    <w:rsid w:val="003D504A"/>
    <w:rsid w:val="003D78B4"/>
    <w:rsid w:val="003E1434"/>
    <w:rsid w:val="003E5B3C"/>
    <w:rsid w:val="003F0099"/>
    <w:rsid w:val="003F11B3"/>
    <w:rsid w:val="003F481F"/>
    <w:rsid w:val="003F520A"/>
    <w:rsid w:val="003F6E61"/>
    <w:rsid w:val="003F73D5"/>
    <w:rsid w:val="00406475"/>
    <w:rsid w:val="00411FF2"/>
    <w:rsid w:val="004125AD"/>
    <w:rsid w:val="00414945"/>
    <w:rsid w:val="00414ADC"/>
    <w:rsid w:val="004358B1"/>
    <w:rsid w:val="00440848"/>
    <w:rsid w:val="00445A67"/>
    <w:rsid w:val="00447191"/>
    <w:rsid w:val="00452366"/>
    <w:rsid w:val="00453819"/>
    <w:rsid w:val="00453FB2"/>
    <w:rsid w:val="00454B87"/>
    <w:rsid w:val="004553B2"/>
    <w:rsid w:val="00457EE8"/>
    <w:rsid w:val="00462DA0"/>
    <w:rsid w:val="00466D15"/>
    <w:rsid w:val="00467BEF"/>
    <w:rsid w:val="0047119E"/>
    <w:rsid w:val="00483696"/>
    <w:rsid w:val="00483CA2"/>
    <w:rsid w:val="0049194E"/>
    <w:rsid w:val="00493A27"/>
    <w:rsid w:val="004B234D"/>
    <w:rsid w:val="004B3B96"/>
    <w:rsid w:val="004C6512"/>
    <w:rsid w:val="004D3AA8"/>
    <w:rsid w:val="004D509B"/>
    <w:rsid w:val="004E07C6"/>
    <w:rsid w:val="004E2BA5"/>
    <w:rsid w:val="004E6588"/>
    <w:rsid w:val="004F5216"/>
    <w:rsid w:val="00500683"/>
    <w:rsid w:val="00501518"/>
    <w:rsid w:val="00502659"/>
    <w:rsid w:val="005133D3"/>
    <w:rsid w:val="005150F0"/>
    <w:rsid w:val="005171DC"/>
    <w:rsid w:val="00517558"/>
    <w:rsid w:val="005202E8"/>
    <w:rsid w:val="005232D1"/>
    <w:rsid w:val="0052535A"/>
    <w:rsid w:val="00527898"/>
    <w:rsid w:val="0053489A"/>
    <w:rsid w:val="005361CB"/>
    <w:rsid w:val="00544E8F"/>
    <w:rsid w:val="005453AA"/>
    <w:rsid w:val="005460FF"/>
    <w:rsid w:val="005506AA"/>
    <w:rsid w:val="00552317"/>
    <w:rsid w:val="00552BA4"/>
    <w:rsid w:val="00560D21"/>
    <w:rsid w:val="0056297F"/>
    <w:rsid w:val="00566C3E"/>
    <w:rsid w:val="0057077B"/>
    <w:rsid w:val="00573D39"/>
    <w:rsid w:val="0057462D"/>
    <w:rsid w:val="00581388"/>
    <w:rsid w:val="00583738"/>
    <w:rsid w:val="00583AF0"/>
    <w:rsid w:val="005850D7"/>
    <w:rsid w:val="00591734"/>
    <w:rsid w:val="00593D95"/>
    <w:rsid w:val="00593DBB"/>
    <w:rsid w:val="00594AEB"/>
    <w:rsid w:val="005A0094"/>
    <w:rsid w:val="005A1757"/>
    <w:rsid w:val="005A1F0F"/>
    <w:rsid w:val="005A5125"/>
    <w:rsid w:val="005B40E7"/>
    <w:rsid w:val="005B4E44"/>
    <w:rsid w:val="005B52BA"/>
    <w:rsid w:val="005B53CC"/>
    <w:rsid w:val="005B5E05"/>
    <w:rsid w:val="005B69D1"/>
    <w:rsid w:val="005B78FD"/>
    <w:rsid w:val="005D0854"/>
    <w:rsid w:val="005D139A"/>
    <w:rsid w:val="005D1F4C"/>
    <w:rsid w:val="005D2309"/>
    <w:rsid w:val="005D4183"/>
    <w:rsid w:val="005D43C3"/>
    <w:rsid w:val="005D47CE"/>
    <w:rsid w:val="005D7DE5"/>
    <w:rsid w:val="005E3DDE"/>
    <w:rsid w:val="005E53C6"/>
    <w:rsid w:val="005E5F5A"/>
    <w:rsid w:val="005F3D36"/>
    <w:rsid w:val="005F4449"/>
    <w:rsid w:val="00601E93"/>
    <w:rsid w:val="00611FF6"/>
    <w:rsid w:val="00612AEC"/>
    <w:rsid w:val="00614A69"/>
    <w:rsid w:val="00617CED"/>
    <w:rsid w:val="00624CC3"/>
    <w:rsid w:val="00627A37"/>
    <w:rsid w:val="00627F7F"/>
    <w:rsid w:val="00630ACF"/>
    <w:rsid w:val="00630E5D"/>
    <w:rsid w:val="006435D5"/>
    <w:rsid w:val="00643C0E"/>
    <w:rsid w:val="00643E53"/>
    <w:rsid w:val="0064731F"/>
    <w:rsid w:val="00651B4A"/>
    <w:rsid w:val="00654239"/>
    <w:rsid w:val="006551CD"/>
    <w:rsid w:val="00655475"/>
    <w:rsid w:val="00655A5D"/>
    <w:rsid w:val="00662CA5"/>
    <w:rsid w:val="006709D1"/>
    <w:rsid w:val="00670F45"/>
    <w:rsid w:val="00677067"/>
    <w:rsid w:val="00684363"/>
    <w:rsid w:val="0068542A"/>
    <w:rsid w:val="00686ACA"/>
    <w:rsid w:val="00686D5D"/>
    <w:rsid w:val="00690DEE"/>
    <w:rsid w:val="0069351C"/>
    <w:rsid w:val="006973E9"/>
    <w:rsid w:val="006A015F"/>
    <w:rsid w:val="006A2B3F"/>
    <w:rsid w:val="006A31C1"/>
    <w:rsid w:val="006B1155"/>
    <w:rsid w:val="006B244E"/>
    <w:rsid w:val="006B4218"/>
    <w:rsid w:val="006B5299"/>
    <w:rsid w:val="006C14FB"/>
    <w:rsid w:val="006C17FF"/>
    <w:rsid w:val="006C2A4C"/>
    <w:rsid w:val="006C4535"/>
    <w:rsid w:val="006C4FF6"/>
    <w:rsid w:val="006C5CE1"/>
    <w:rsid w:val="006D1BD0"/>
    <w:rsid w:val="006D2CA1"/>
    <w:rsid w:val="006E31A1"/>
    <w:rsid w:val="006F5946"/>
    <w:rsid w:val="006F7E04"/>
    <w:rsid w:val="00704845"/>
    <w:rsid w:val="0070523B"/>
    <w:rsid w:val="007052E2"/>
    <w:rsid w:val="00706A75"/>
    <w:rsid w:val="00707EC0"/>
    <w:rsid w:val="007117CA"/>
    <w:rsid w:val="00711921"/>
    <w:rsid w:val="00712000"/>
    <w:rsid w:val="00715BDF"/>
    <w:rsid w:val="007169B0"/>
    <w:rsid w:val="00726808"/>
    <w:rsid w:val="0073509B"/>
    <w:rsid w:val="00736DDD"/>
    <w:rsid w:val="00737AE9"/>
    <w:rsid w:val="00754ED7"/>
    <w:rsid w:val="00761185"/>
    <w:rsid w:val="00766767"/>
    <w:rsid w:val="007676F1"/>
    <w:rsid w:val="0077589B"/>
    <w:rsid w:val="0077770A"/>
    <w:rsid w:val="007801D3"/>
    <w:rsid w:val="007810A5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2F5C"/>
    <w:rsid w:val="007B3948"/>
    <w:rsid w:val="007B4A23"/>
    <w:rsid w:val="007B4BED"/>
    <w:rsid w:val="007D105C"/>
    <w:rsid w:val="007D5451"/>
    <w:rsid w:val="007D7B3D"/>
    <w:rsid w:val="007E6293"/>
    <w:rsid w:val="007E7367"/>
    <w:rsid w:val="007F023E"/>
    <w:rsid w:val="00801659"/>
    <w:rsid w:val="00804FBF"/>
    <w:rsid w:val="00807C7B"/>
    <w:rsid w:val="00810202"/>
    <w:rsid w:val="008131FD"/>
    <w:rsid w:val="008160A2"/>
    <w:rsid w:val="00824901"/>
    <w:rsid w:val="00827E1B"/>
    <w:rsid w:val="00832526"/>
    <w:rsid w:val="008330A0"/>
    <w:rsid w:val="00840246"/>
    <w:rsid w:val="00842670"/>
    <w:rsid w:val="00842C92"/>
    <w:rsid w:val="008431EA"/>
    <w:rsid w:val="008437D7"/>
    <w:rsid w:val="00844837"/>
    <w:rsid w:val="008477C8"/>
    <w:rsid w:val="00851D45"/>
    <w:rsid w:val="008527AF"/>
    <w:rsid w:val="00854264"/>
    <w:rsid w:val="008552FA"/>
    <w:rsid w:val="00855C2B"/>
    <w:rsid w:val="00856A05"/>
    <w:rsid w:val="00856F76"/>
    <w:rsid w:val="00860B1F"/>
    <w:rsid w:val="0086299B"/>
    <w:rsid w:val="0086308A"/>
    <w:rsid w:val="00870C10"/>
    <w:rsid w:val="00873EF8"/>
    <w:rsid w:val="00882655"/>
    <w:rsid w:val="00884C62"/>
    <w:rsid w:val="008871CA"/>
    <w:rsid w:val="00892303"/>
    <w:rsid w:val="00892919"/>
    <w:rsid w:val="00892C76"/>
    <w:rsid w:val="00897784"/>
    <w:rsid w:val="008A0B6A"/>
    <w:rsid w:val="008A1CEF"/>
    <w:rsid w:val="008A6542"/>
    <w:rsid w:val="008B0D42"/>
    <w:rsid w:val="008B5A86"/>
    <w:rsid w:val="008B72B0"/>
    <w:rsid w:val="008C0B0D"/>
    <w:rsid w:val="008C116A"/>
    <w:rsid w:val="008C292C"/>
    <w:rsid w:val="008C296D"/>
    <w:rsid w:val="008D128A"/>
    <w:rsid w:val="008D2C71"/>
    <w:rsid w:val="008E1A8F"/>
    <w:rsid w:val="008E5F0A"/>
    <w:rsid w:val="008F222D"/>
    <w:rsid w:val="008F5FC3"/>
    <w:rsid w:val="009000E0"/>
    <w:rsid w:val="0090051C"/>
    <w:rsid w:val="00900B41"/>
    <w:rsid w:val="00902870"/>
    <w:rsid w:val="00907003"/>
    <w:rsid w:val="00911090"/>
    <w:rsid w:val="00912AF8"/>
    <w:rsid w:val="00915A71"/>
    <w:rsid w:val="009160F6"/>
    <w:rsid w:val="0091789F"/>
    <w:rsid w:val="00917EA6"/>
    <w:rsid w:val="00922153"/>
    <w:rsid w:val="00924FE9"/>
    <w:rsid w:val="009304F3"/>
    <w:rsid w:val="00931202"/>
    <w:rsid w:val="00933CA5"/>
    <w:rsid w:val="00936D5A"/>
    <w:rsid w:val="00943A2F"/>
    <w:rsid w:val="00944ADD"/>
    <w:rsid w:val="0095406B"/>
    <w:rsid w:val="0095454E"/>
    <w:rsid w:val="009548EC"/>
    <w:rsid w:val="00954C71"/>
    <w:rsid w:val="00954F5A"/>
    <w:rsid w:val="009567C7"/>
    <w:rsid w:val="00957E66"/>
    <w:rsid w:val="00962ECB"/>
    <w:rsid w:val="00965FDB"/>
    <w:rsid w:val="00971A70"/>
    <w:rsid w:val="009733A9"/>
    <w:rsid w:val="009744F8"/>
    <w:rsid w:val="00976663"/>
    <w:rsid w:val="00976C97"/>
    <w:rsid w:val="00981C01"/>
    <w:rsid w:val="00984975"/>
    <w:rsid w:val="00986867"/>
    <w:rsid w:val="00990C65"/>
    <w:rsid w:val="0099181B"/>
    <w:rsid w:val="00993477"/>
    <w:rsid w:val="0099779E"/>
    <w:rsid w:val="00997FB9"/>
    <w:rsid w:val="009A1922"/>
    <w:rsid w:val="009A6AD0"/>
    <w:rsid w:val="009B188D"/>
    <w:rsid w:val="009B5B8E"/>
    <w:rsid w:val="009C3528"/>
    <w:rsid w:val="009C57E7"/>
    <w:rsid w:val="009C670F"/>
    <w:rsid w:val="009D02F6"/>
    <w:rsid w:val="009D2879"/>
    <w:rsid w:val="009D3DC5"/>
    <w:rsid w:val="009E1BC3"/>
    <w:rsid w:val="009E2974"/>
    <w:rsid w:val="009F3C04"/>
    <w:rsid w:val="009F3D97"/>
    <w:rsid w:val="009F53CD"/>
    <w:rsid w:val="00A0020B"/>
    <w:rsid w:val="00A00613"/>
    <w:rsid w:val="00A01C87"/>
    <w:rsid w:val="00A044A5"/>
    <w:rsid w:val="00A04EE4"/>
    <w:rsid w:val="00A06624"/>
    <w:rsid w:val="00A10BB9"/>
    <w:rsid w:val="00A11E02"/>
    <w:rsid w:val="00A1223E"/>
    <w:rsid w:val="00A1415C"/>
    <w:rsid w:val="00A14A61"/>
    <w:rsid w:val="00A1530E"/>
    <w:rsid w:val="00A22A70"/>
    <w:rsid w:val="00A25B28"/>
    <w:rsid w:val="00A31489"/>
    <w:rsid w:val="00A32969"/>
    <w:rsid w:val="00A32AD0"/>
    <w:rsid w:val="00A35941"/>
    <w:rsid w:val="00A3667F"/>
    <w:rsid w:val="00A40F5A"/>
    <w:rsid w:val="00A47AA8"/>
    <w:rsid w:val="00A52295"/>
    <w:rsid w:val="00A53F63"/>
    <w:rsid w:val="00A559EF"/>
    <w:rsid w:val="00A6369B"/>
    <w:rsid w:val="00A6499F"/>
    <w:rsid w:val="00A66BCE"/>
    <w:rsid w:val="00A671AA"/>
    <w:rsid w:val="00A71820"/>
    <w:rsid w:val="00A72BDE"/>
    <w:rsid w:val="00A746C8"/>
    <w:rsid w:val="00A84D86"/>
    <w:rsid w:val="00A91B31"/>
    <w:rsid w:val="00A93EEC"/>
    <w:rsid w:val="00A96C5A"/>
    <w:rsid w:val="00AA51E8"/>
    <w:rsid w:val="00AA537F"/>
    <w:rsid w:val="00AB0640"/>
    <w:rsid w:val="00AB294B"/>
    <w:rsid w:val="00AB47DD"/>
    <w:rsid w:val="00AB47E1"/>
    <w:rsid w:val="00AB4BE9"/>
    <w:rsid w:val="00AC0648"/>
    <w:rsid w:val="00AC50E1"/>
    <w:rsid w:val="00AC528C"/>
    <w:rsid w:val="00AC7BB7"/>
    <w:rsid w:val="00AE3542"/>
    <w:rsid w:val="00AE5A6D"/>
    <w:rsid w:val="00AE6A7E"/>
    <w:rsid w:val="00AE7A99"/>
    <w:rsid w:val="00AF0E66"/>
    <w:rsid w:val="00AF15ED"/>
    <w:rsid w:val="00AF75D1"/>
    <w:rsid w:val="00B005FE"/>
    <w:rsid w:val="00B12374"/>
    <w:rsid w:val="00B1446A"/>
    <w:rsid w:val="00B15B9E"/>
    <w:rsid w:val="00B16B86"/>
    <w:rsid w:val="00B179A0"/>
    <w:rsid w:val="00B3013A"/>
    <w:rsid w:val="00B3138A"/>
    <w:rsid w:val="00B32235"/>
    <w:rsid w:val="00B33493"/>
    <w:rsid w:val="00B37D18"/>
    <w:rsid w:val="00B43A33"/>
    <w:rsid w:val="00B45BE1"/>
    <w:rsid w:val="00B462B3"/>
    <w:rsid w:val="00B463A1"/>
    <w:rsid w:val="00B53052"/>
    <w:rsid w:val="00B5600B"/>
    <w:rsid w:val="00B57AC9"/>
    <w:rsid w:val="00B6038F"/>
    <w:rsid w:val="00B61B9E"/>
    <w:rsid w:val="00B6467E"/>
    <w:rsid w:val="00B717A8"/>
    <w:rsid w:val="00B719B0"/>
    <w:rsid w:val="00B85FFD"/>
    <w:rsid w:val="00B8745B"/>
    <w:rsid w:val="00B87AE4"/>
    <w:rsid w:val="00B92222"/>
    <w:rsid w:val="00B9256A"/>
    <w:rsid w:val="00BA0399"/>
    <w:rsid w:val="00BA70D1"/>
    <w:rsid w:val="00BB2508"/>
    <w:rsid w:val="00BB3DB1"/>
    <w:rsid w:val="00BC20D1"/>
    <w:rsid w:val="00BC40FE"/>
    <w:rsid w:val="00BC4918"/>
    <w:rsid w:val="00BC5DBE"/>
    <w:rsid w:val="00BD034B"/>
    <w:rsid w:val="00BD0B07"/>
    <w:rsid w:val="00BD2CAE"/>
    <w:rsid w:val="00BD52F6"/>
    <w:rsid w:val="00BD69E5"/>
    <w:rsid w:val="00BE35F1"/>
    <w:rsid w:val="00BE3EE9"/>
    <w:rsid w:val="00BE45AF"/>
    <w:rsid w:val="00BE4C61"/>
    <w:rsid w:val="00BF04E0"/>
    <w:rsid w:val="00BF32FD"/>
    <w:rsid w:val="00BF5729"/>
    <w:rsid w:val="00BF6E55"/>
    <w:rsid w:val="00C00522"/>
    <w:rsid w:val="00C04E24"/>
    <w:rsid w:val="00C078B0"/>
    <w:rsid w:val="00C1055C"/>
    <w:rsid w:val="00C11221"/>
    <w:rsid w:val="00C13D2E"/>
    <w:rsid w:val="00C174AC"/>
    <w:rsid w:val="00C20029"/>
    <w:rsid w:val="00C303C0"/>
    <w:rsid w:val="00C350FE"/>
    <w:rsid w:val="00C3716C"/>
    <w:rsid w:val="00C374DD"/>
    <w:rsid w:val="00C37BF4"/>
    <w:rsid w:val="00C425C8"/>
    <w:rsid w:val="00C504BD"/>
    <w:rsid w:val="00C6365B"/>
    <w:rsid w:val="00C665D8"/>
    <w:rsid w:val="00C666B6"/>
    <w:rsid w:val="00C67E52"/>
    <w:rsid w:val="00C70B0C"/>
    <w:rsid w:val="00C75B2A"/>
    <w:rsid w:val="00C76BA2"/>
    <w:rsid w:val="00C8232E"/>
    <w:rsid w:val="00C85F85"/>
    <w:rsid w:val="00C86008"/>
    <w:rsid w:val="00C903EC"/>
    <w:rsid w:val="00C91943"/>
    <w:rsid w:val="00C957BE"/>
    <w:rsid w:val="00C959DB"/>
    <w:rsid w:val="00C95F2B"/>
    <w:rsid w:val="00CA3FF4"/>
    <w:rsid w:val="00CA6DC0"/>
    <w:rsid w:val="00CB09B6"/>
    <w:rsid w:val="00CB4635"/>
    <w:rsid w:val="00CB6F79"/>
    <w:rsid w:val="00CB7151"/>
    <w:rsid w:val="00CC51B6"/>
    <w:rsid w:val="00CD23CB"/>
    <w:rsid w:val="00CD5BCB"/>
    <w:rsid w:val="00CD6928"/>
    <w:rsid w:val="00CD7581"/>
    <w:rsid w:val="00CE2139"/>
    <w:rsid w:val="00CE4A9C"/>
    <w:rsid w:val="00CE7BED"/>
    <w:rsid w:val="00CF3FFC"/>
    <w:rsid w:val="00CF730F"/>
    <w:rsid w:val="00CF7DF7"/>
    <w:rsid w:val="00D03540"/>
    <w:rsid w:val="00D05E13"/>
    <w:rsid w:val="00D13135"/>
    <w:rsid w:val="00D2128F"/>
    <w:rsid w:val="00D24703"/>
    <w:rsid w:val="00D31447"/>
    <w:rsid w:val="00D37390"/>
    <w:rsid w:val="00D41E22"/>
    <w:rsid w:val="00D42665"/>
    <w:rsid w:val="00D43371"/>
    <w:rsid w:val="00D43D00"/>
    <w:rsid w:val="00D43D53"/>
    <w:rsid w:val="00D464F3"/>
    <w:rsid w:val="00D52027"/>
    <w:rsid w:val="00D52D7E"/>
    <w:rsid w:val="00D57F69"/>
    <w:rsid w:val="00D66084"/>
    <w:rsid w:val="00D702FF"/>
    <w:rsid w:val="00D70381"/>
    <w:rsid w:val="00D70876"/>
    <w:rsid w:val="00D734D1"/>
    <w:rsid w:val="00D825FB"/>
    <w:rsid w:val="00D828B6"/>
    <w:rsid w:val="00D8622E"/>
    <w:rsid w:val="00D8789E"/>
    <w:rsid w:val="00D91246"/>
    <w:rsid w:val="00D9181B"/>
    <w:rsid w:val="00D97ACE"/>
    <w:rsid w:val="00DA0838"/>
    <w:rsid w:val="00DA2BB2"/>
    <w:rsid w:val="00DB164A"/>
    <w:rsid w:val="00DB1C94"/>
    <w:rsid w:val="00DB30DC"/>
    <w:rsid w:val="00DC1205"/>
    <w:rsid w:val="00DC5729"/>
    <w:rsid w:val="00DC5F53"/>
    <w:rsid w:val="00DD2554"/>
    <w:rsid w:val="00DD2F2B"/>
    <w:rsid w:val="00DE0788"/>
    <w:rsid w:val="00DE0BEB"/>
    <w:rsid w:val="00DE2212"/>
    <w:rsid w:val="00DE49FE"/>
    <w:rsid w:val="00DF08A0"/>
    <w:rsid w:val="00DF677F"/>
    <w:rsid w:val="00E00499"/>
    <w:rsid w:val="00E027DA"/>
    <w:rsid w:val="00E02EC7"/>
    <w:rsid w:val="00E04D01"/>
    <w:rsid w:val="00E10468"/>
    <w:rsid w:val="00E169B7"/>
    <w:rsid w:val="00E2413E"/>
    <w:rsid w:val="00E252DA"/>
    <w:rsid w:val="00E30AE6"/>
    <w:rsid w:val="00E318F1"/>
    <w:rsid w:val="00E37DB3"/>
    <w:rsid w:val="00E45B73"/>
    <w:rsid w:val="00E51788"/>
    <w:rsid w:val="00E52CA4"/>
    <w:rsid w:val="00E53C9E"/>
    <w:rsid w:val="00E545EF"/>
    <w:rsid w:val="00E60E05"/>
    <w:rsid w:val="00E620C9"/>
    <w:rsid w:val="00E6636B"/>
    <w:rsid w:val="00E70667"/>
    <w:rsid w:val="00E72285"/>
    <w:rsid w:val="00E73C3B"/>
    <w:rsid w:val="00E80038"/>
    <w:rsid w:val="00E8018B"/>
    <w:rsid w:val="00E86210"/>
    <w:rsid w:val="00E862FE"/>
    <w:rsid w:val="00EA1D95"/>
    <w:rsid w:val="00EA21E8"/>
    <w:rsid w:val="00EA42C5"/>
    <w:rsid w:val="00EA5C24"/>
    <w:rsid w:val="00EA6570"/>
    <w:rsid w:val="00EB1E5B"/>
    <w:rsid w:val="00EB69E8"/>
    <w:rsid w:val="00EB73DB"/>
    <w:rsid w:val="00ED0F87"/>
    <w:rsid w:val="00ED3A44"/>
    <w:rsid w:val="00ED51EA"/>
    <w:rsid w:val="00EE4D05"/>
    <w:rsid w:val="00EE5B21"/>
    <w:rsid w:val="00EF33AD"/>
    <w:rsid w:val="00EF5D2A"/>
    <w:rsid w:val="00F00F4A"/>
    <w:rsid w:val="00F01170"/>
    <w:rsid w:val="00F061FC"/>
    <w:rsid w:val="00F07865"/>
    <w:rsid w:val="00F07FEB"/>
    <w:rsid w:val="00F12A8D"/>
    <w:rsid w:val="00F144B4"/>
    <w:rsid w:val="00F15AC5"/>
    <w:rsid w:val="00F26BD9"/>
    <w:rsid w:val="00F32A78"/>
    <w:rsid w:val="00F347A2"/>
    <w:rsid w:val="00F4207D"/>
    <w:rsid w:val="00F434D8"/>
    <w:rsid w:val="00F45C18"/>
    <w:rsid w:val="00F461D5"/>
    <w:rsid w:val="00F467E9"/>
    <w:rsid w:val="00F6025E"/>
    <w:rsid w:val="00F61069"/>
    <w:rsid w:val="00F610B1"/>
    <w:rsid w:val="00F640A6"/>
    <w:rsid w:val="00F71B74"/>
    <w:rsid w:val="00F76C50"/>
    <w:rsid w:val="00F81841"/>
    <w:rsid w:val="00F81E01"/>
    <w:rsid w:val="00F91365"/>
    <w:rsid w:val="00F915B6"/>
    <w:rsid w:val="00F94379"/>
    <w:rsid w:val="00FA311B"/>
    <w:rsid w:val="00FA4232"/>
    <w:rsid w:val="00FB1934"/>
    <w:rsid w:val="00FB48C6"/>
    <w:rsid w:val="00FB52D0"/>
    <w:rsid w:val="00FC4650"/>
    <w:rsid w:val="00FC489D"/>
    <w:rsid w:val="00FC4D28"/>
    <w:rsid w:val="00FC5D50"/>
    <w:rsid w:val="00FD2161"/>
    <w:rsid w:val="00FD7335"/>
    <w:rsid w:val="00FD7EC1"/>
    <w:rsid w:val="00FE28AF"/>
    <w:rsid w:val="00FE39ED"/>
    <w:rsid w:val="00FF018B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  <w:style w:type="table" w:styleId="Listecouleur-Accent2">
    <w:name w:val="Colorful List Accent 2"/>
    <w:basedOn w:val="TableauNormal"/>
    <w:uiPriority w:val="72"/>
    <w:rsid w:val="00E52CA4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F9EC-9C0F-409B-9F8C-23E8FCEB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2017-12-12T12:00:00Z</cp:lastPrinted>
  <dcterms:created xsi:type="dcterms:W3CDTF">2017-12-12T15:07:00Z</dcterms:created>
  <dcterms:modified xsi:type="dcterms:W3CDTF">2017-12-12T15:07:00Z</dcterms:modified>
</cp:coreProperties>
</file>