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CA" w:rsidRDefault="00D30383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        </w:t>
      </w: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15E39" w:rsidRDefault="00115E39" w:rsidP="00115E3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461B8C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NOTE D’INFORMATION </w:t>
      </w:r>
      <w:r w:rsidR="00DC5784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DU HAUT COMMISSARIAT AU PLAN RELATIVE AUX PRINCIPAUX INDICATEURS 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DU MARCHE DU TRAVAIL</w:t>
      </w:r>
      <w:r w:rsidR="00785D09">
        <w:rPr>
          <w:rFonts w:ascii="Book Antiqua" w:hAnsi="Book Antiqua" w:cs="Times New Roman" w:hint="cs"/>
          <w:b/>
          <w:bCs/>
          <w:noProof w:val="0"/>
          <w:color w:val="B33B69"/>
          <w:sz w:val="30"/>
          <w:szCs w:val="30"/>
          <w:rtl/>
        </w:rPr>
        <w:t xml:space="preserve"> 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AU </w:t>
      </w:r>
      <w:r w:rsidR="00461B8C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TROISIEME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 TRIMESTRE </w:t>
      </w:r>
      <w:r w:rsidR="00F52909"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201</w:t>
      </w:r>
      <w:r w:rsidR="00D809B3"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7</w:t>
      </w:r>
    </w:p>
    <w:p w:rsidR="00162307" w:rsidRDefault="00162307" w:rsidP="0016230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  <w:rtl/>
        </w:rPr>
      </w:pPr>
    </w:p>
    <w:p w:rsidR="00F228CA" w:rsidRDefault="00F228CA" w:rsidP="00F22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Book Antiqua" w:hAnsi="Book Antiqua" w:cstheme="majorBidi"/>
          <w:color w:val="212121"/>
          <w:sz w:val="26"/>
          <w:szCs w:val="26"/>
        </w:rPr>
      </w:pPr>
    </w:p>
    <w:p w:rsidR="00562615" w:rsidRPr="00955515" w:rsidRDefault="00562615" w:rsidP="007529A1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Entre le </w:t>
      </w:r>
      <w:r w:rsidR="00955515" w:rsidRPr="0095551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troisième 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trimestre de l’année 2016 et 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la même période de 2017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, l’économie marocaine a créé </w:t>
      </w:r>
      <w:r w:rsidR="00D03CC1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7529A1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postes d’emploi, </w:t>
      </w:r>
      <w:r w:rsidR="001F5D2F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 w:rsidR="007529A1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 en milieu urbain et 6</w:t>
      </w:r>
      <w:r w:rsidR="001F5D2F">
        <w:rPr>
          <w:rFonts w:ascii="Book Antiqua" w:hAnsi="Book Antiqua" w:cstheme="majorBidi"/>
          <w:b/>
          <w:bCs/>
          <w:color w:val="0070C0"/>
          <w:sz w:val="28"/>
          <w:szCs w:val="28"/>
        </w:rPr>
        <w:t>0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en milieu rural, contre une perte de </w:t>
      </w:r>
      <w:r w:rsidR="007529A1">
        <w:rPr>
          <w:rFonts w:ascii="Book Antiqua" w:hAnsi="Book Antiqua" w:cstheme="majorBidi"/>
          <w:b/>
          <w:bCs/>
          <w:color w:val="0070C0"/>
          <w:sz w:val="28"/>
          <w:szCs w:val="28"/>
        </w:rPr>
        <w:t>73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 une année auparavant.</w:t>
      </w:r>
    </w:p>
    <w:p w:rsidR="00562615" w:rsidRDefault="003947EF" w:rsidP="007529A1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L’"agriculture, forêt et pêche" a </w:t>
      </w:r>
      <w:r w:rsidR="0056261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créé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="007529A1">
        <w:rPr>
          <w:rFonts w:ascii="Book Antiqua" w:hAnsi="Book Antiqua" w:cstheme="majorBidi"/>
          <w:b/>
          <w:bCs/>
          <w:color w:val="0070C0"/>
          <w:sz w:val="28"/>
          <w:szCs w:val="28"/>
        </w:rPr>
        <w:t>47</w:t>
      </w:r>
      <w:r w:rsidR="0056261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emplois, 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"services" </w:t>
      </w:r>
      <w:r w:rsidR="007529A1">
        <w:rPr>
          <w:rFonts w:ascii="Book Antiqua" w:hAnsi="Book Antiqua" w:cstheme="majorBidi"/>
          <w:b/>
          <w:bCs/>
          <w:color w:val="0070C0"/>
          <w:sz w:val="28"/>
          <w:szCs w:val="28"/>
        </w:rPr>
        <w:t>20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.000, </w:t>
      </w:r>
      <w:r w:rsidR="007529A1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l’"industrie y compris l'artisanat" </w:t>
      </w:r>
      <w:r w:rsidR="007529A1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15.000 et </w:t>
      </w:r>
      <w:r w:rsidR="0056261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BTP 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56261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.000. </w:t>
      </w:r>
    </w:p>
    <w:p w:rsidR="00EB06E0" w:rsidRPr="00EB06E0" w:rsidRDefault="00EB06E0" w:rsidP="007D6A1E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Dans ces conditions, et avec une hausse du volume du chômage (+3,5%) plus importante que celle de l’emploi (+0,9%), le taux de chômage a augmenté de 10,4% à 10,6% au niveau national et de 14,5% à 14,9% en milieu urbain, restant stable à 4,6% en milieu rural. En volume, il s’est accru de 42.000 personnes, 38.000 en milieu urbain et 4.000 en milieu rural, portant l’effectif global du chômage à 1.236.000 personnes au niveau national.  </w:t>
      </w:r>
    </w:p>
    <w:p w:rsidR="00D46545" w:rsidRDefault="00D46545" w:rsidP="00F1273B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Le chômage reste élevé parmi les femmes,</w:t>
      </w:r>
      <w:r w:rsidR="0058340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="0058340E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les diplômés</w:t>
      </w:r>
      <w:r w:rsidR="0058340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et </w:t>
      </w:r>
      <w:r w:rsidR="0058340E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les jeunes âgés de 15 à 24 ans</w:t>
      </w:r>
      <w:r w:rsidR="00F1273B">
        <w:rPr>
          <w:rFonts w:ascii="Book Antiqua" w:hAnsi="Book Antiqua" w:cstheme="majorBidi"/>
          <w:b/>
          <w:bCs/>
          <w:color w:val="0070C0"/>
          <w:sz w:val="28"/>
          <w:szCs w:val="28"/>
        </w:rPr>
        <w:t>, l</w:t>
      </w:r>
      <w:r w:rsidR="0058340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eurs taux </w:t>
      </w:r>
      <w:r w:rsidR="00F1273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sont passés </w:t>
      </w:r>
      <w:r w:rsidR="0058340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respectivement de 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1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4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1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5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1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%, 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de 1</w:t>
      </w:r>
      <w:r w:rsidR="00115E39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115E39">
        <w:rPr>
          <w:rFonts w:ascii="Book Antiqua" w:hAnsi="Book Antiqua" w:cstheme="majorBidi"/>
          <w:b/>
          <w:bCs/>
          <w:color w:val="0070C0"/>
          <w:sz w:val="28"/>
          <w:szCs w:val="28"/>
        </w:rPr>
        <w:t>1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1</w:t>
      </w:r>
      <w:r w:rsidR="00115E39">
        <w:rPr>
          <w:rFonts w:ascii="Book Antiqua" w:hAnsi="Book Antiqua" w:cstheme="majorBidi"/>
          <w:b/>
          <w:bCs/>
          <w:color w:val="0070C0"/>
          <w:sz w:val="28"/>
          <w:szCs w:val="28"/>
        </w:rPr>
        <w:t>8,2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et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="0031272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de 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2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3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</w:t>
      </w:r>
    </w:p>
    <w:p w:rsidR="00D46545" w:rsidRPr="00955515" w:rsidRDefault="00562615" w:rsidP="000232B7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  <w:rtl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De son côté, 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a population sous-employée s’est établie à 1.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027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 personnes. Le taux de sous-emploi s’est accru de 0,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point, par rapport au </w:t>
      </w:r>
      <w:r w:rsidR="000232B7" w:rsidRPr="0095551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troisième 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trimestre de 2016, passant ainsi de 9,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9,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% au niveau national ; de 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8,2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% à 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3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en milieu urbain et de 1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1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5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1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1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en milieu rural.</w:t>
      </w:r>
    </w:p>
    <w:p w:rsidR="00F24677" w:rsidRPr="00857F9F" w:rsidRDefault="00F24677" w:rsidP="006424B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857F9F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Légère baisse des taux d’activité et d’emploi</w:t>
      </w:r>
    </w:p>
    <w:p w:rsidR="009F49C5" w:rsidRPr="00F24677" w:rsidRDefault="009F49C5" w:rsidP="009F4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0941F7" w:rsidRPr="00CA615A" w:rsidRDefault="000941F7" w:rsidP="0031272B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7D6A1E">
        <w:rPr>
          <w:rFonts w:ascii="Book Antiqua" w:hAnsi="Book Antiqua" w:cs="Times New Roman"/>
          <w:noProof w:val="0"/>
          <w:sz w:val="26"/>
          <w:szCs w:val="26"/>
        </w:rPr>
        <w:t>11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7D6A1E">
        <w:rPr>
          <w:rFonts w:ascii="Book Antiqua" w:hAnsi="Book Antiqua" w:cs="Times New Roman"/>
          <w:noProof w:val="0"/>
          <w:sz w:val="26"/>
          <w:szCs w:val="26"/>
        </w:rPr>
        <w:t>639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personnes, la population active âgée de 15 ans et plus a 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augmenté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, entre les </w:t>
      </w:r>
      <w:r w:rsidR="007D6A1E">
        <w:rPr>
          <w:rFonts w:ascii="Book Antiqua" w:hAnsi="Book Antiqua" w:cs="Times New Roman"/>
          <w:noProof w:val="0"/>
          <w:sz w:val="26"/>
          <w:szCs w:val="26"/>
        </w:rPr>
        <w:t>troisièmes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trimestres de 201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201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, de </w:t>
      </w:r>
      <w:r w:rsidR="007D6A1E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7D6A1E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au niveau national (</w:t>
      </w:r>
      <w:r w:rsidR="007D6A1E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D253CD">
        <w:rPr>
          <w:rFonts w:ascii="Book Antiqua" w:hAnsi="Book Antiqua" w:cs="Times New Roman"/>
          <w:noProof w:val="0"/>
          <w:sz w:val="26"/>
          <w:szCs w:val="26"/>
        </w:rPr>
        <w:t>1</w:t>
      </w:r>
      <w:r w:rsidR="007D6A1E">
        <w:rPr>
          <w:rFonts w:ascii="Book Antiqua" w:hAnsi="Book Antiqua" w:cs="Times New Roman"/>
          <w:noProof w:val="0"/>
          <w:sz w:val="26"/>
          <w:szCs w:val="26"/>
        </w:rPr>
        <w:t>,3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rural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). La population en âge d’activité s’est accrue, quant à elle, de 1,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  <w:r w:rsidR="005D7925">
        <w:rPr>
          <w:rFonts w:ascii="Book Antiqua" w:hAnsi="Book Antiqua" w:cs="Times New Roman"/>
          <w:noProof w:val="0"/>
          <w:sz w:val="26"/>
          <w:szCs w:val="26"/>
        </w:rPr>
        <w:t>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 taux d’activité </w:t>
      </w:r>
      <w:r w:rsidR="0031272B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continu</w:t>
      </w:r>
      <w:r w:rsidR="0031272B">
        <w:rPr>
          <w:rFonts w:ascii="Book Antiqua" w:hAnsi="Book Antiqua" w:cs="Times New Roman"/>
          <w:noProof w:val="0"/>
          <w:sz w:val="26"/>
          <w:szCs w:val="26"/>
        </w:rPr>
        <w:t>é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, ainsi, sa tendance à la baisse p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ass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ant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 entre les deux périodes, de 4</w:t>
      </w:r>
      <w:r w:rsidR="00FB11FD">
        <w:rPr>
          <w:rFonts w:ascii="Book Antiqua" w:hAnsi="Book Antiqua" w:cs="Times New Roman"/>
          <w:noProof w:val="0"/>
          <w:sz w:val="26"/>
          <w:szCs w:val="26"/>
        </w:rPr>
        <w:t>5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FB11FD">
        <w:rPr>
          <w:rFonts w:ascii="Book Antiqua" w:hAnsi="Book Antiqua" w:cs="Times New Roman"/>
          <w:noProof w:val="0"/>
          <w:sz w:val="26"/>
          <w:szCs w:val="26"/>
        </w:rPr>
        <w:t>8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FB11FD">
        <w:rPr>
          <w:rFonts w:ascii="Book Antiqua" w:hAnsi="Book Antiqua" w:cs="Times New Roman"/>
          <w:noProof w:val="0"/>
          <w:sz w:val="26"/>
          <w:szCs w:val="26"/>
        </w:rPr>
        <w:t>5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FB11FD">
        <w:rPr>
          <w:rFonts w:ascii="Book Antiqua" w:hAnsi="Book Antiqua" w:cs="Times New Roman"/>
          <w:noProof w:val="0"/>
          <w:sz w:val="26"/>
          <w:szCs w:val="26"/>
        </w:rPr>
        <w:t>5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%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0941F7" w:rsidRPr="00CA615A" w:rsidRDefault="000941F7" w:rsidP="000941F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0941F7" w:rsidRDefault="005D7925" w:rsidP="000A175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b/>
          <w:bCs/>
          <w:noProof w:val="0"/>
          <w:color w:val="000000" w:themeColor="text1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402747">
        <w:rPr>
          <w:rFonts w:ascii="Book Antiqua" w:hAnsi="Book Antiqua" w:cs="Times New Roman"/>
          <w:noProof w:val="0"/>
          <w:sz w:val="26"/>
          <w:szCs w:val="26"/>
        </w:rPr>
        <w:t>emplois créé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au cours de </w:t>
      </w:r>
      <w:r w:rsidR="00246DBB">
        <w:rPr>
          <w:rFonts w:ascii="Book Antiqua" w:hAnsi="Book Antiqua" w:cs="Times New Roman"/>
          <w:noProof w:val="0"/>
          <w:sz w:val="26"/>
          <w:szCs w:val="26"/>
        </w:rPr>
        <w:t>cette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période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31272B">
        <w:rPr>
          <w:rFonts w:ascii="Book Antiqua" w:hAnsi="Book Antiqua" w:cs="Times New Roman"/>
          <w:noProof w:val="0"/>
          <w:sz w:val="26"/>
          <w:szCs w:val="26"/>
        </w:rPr>
        <w:t xml:space="preserve">ont été </w:t>
      </w:r>
      <w:r w:rsidR="00EC1B56">
        <w:rPr>
          <w:rFonts w:ascii="Book Antiqua" w:hAnsi="Book Antiqua" w:cs="Times New Roman"/>
          <w:noProof w:val="0"/>
          <w:sz w:val="26"/>
          <w:szCs w:val="26"/>
        </w:rPr>
        <w:t>5</w:t>
      </w:r>
      <w:r w:rsidR="00FB11FD">
        <w:rPr>
          <w:rFonts w:ascii="Book Antiqua" w:hAnsi="Book Antiqua" w:cs="Times New Roman"/>
          <w:noProof w:val="0"/>
          <w:sz w:val="26"/>
          <w:szCs w:val="26"/>
        </w:rPr>
        <w:t>4</w:t>
      </w:r>
      <w:r w:rsidR="00141B87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d’emploi rémunérés 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FB11FD">
        <w:rPr>
          <w:rFonts w:ascii="Book Antiqua" w:hAnsi="Book Antiqua" w:cs="Times New Roman"/>
          <w:noProof w:val="0"/>
          <w:sz w:val="26"/>
          <w:szCs w:val="26"/>
        </w:rPr>
        <w:t>22</w:t>
      </w:r>
      <w:r w:rsidR="00141B87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 w:rsidR="000A1756">
        <w:rPr>
          <w:rFonts w:ascii="Book Antiqua" w:hAnsi="Book Antiqua" w:cs="Times New Roman"/>
          <w:noProof w:val="0"/>
          <w:sz w:val="26"/>
          <w:szCs w:val="26"/>
        </w:rPr>
        <w:t>urbain</w:t>
      </w:r>
      <w:r w:rsidR="00141B87" w:rsidRPr="00694793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FB11FD">
        <w:rPr>
          <w:rFonts w:ascii="Book Antiqua" w:hAnsi="Book Antiqua" w:cs="Times New Roman"/>
          <w:noProof w:val="0"/>
          <w:sz w:val="26"/>
          <w:szCs w:val="26"/>
        </w:rPr>
        <w:t>32</w:t>
      </w:r>
      <w:r w:rsidR="00141B87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 w:rsidR="000A1756">
        <w:rPr>
          <w:rFonts w:ascii="Book Antiqua" w:hAnsi="Book Antiqua" w:cs="Times New Roman"/>
          <w:noProof w:val="0"/>
          <w:sz w:val="26"/>
          <w:szCs w:val="26"/>
        </w:rPr>
        <w:t>rural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) et </w:t>
      </w:r>
      <w:r w:rsidR="00213DF5">
        <w:rPr>
          <w:rFonts w:ascii="Book Antiqua" w:hAnsi="Book Antiqua" w:cs="Times New Roman"/>
          <w:noProof w:val="0"/>
          <w:sz w:val="26"/>
          <w:szCs w:val="26"/>
        </w:rPr>
        <w:t>35</w:t>
      </w:r>
      <w:r>
        <w:rPr>
          <w:rFonts w:ascii="Book Antiqua" w:hAnsi="Book Antiqua" w:cs="Times New Roman"/>
          <w:noProof w:val="0"/>
          <w:sz w:val="26"/>
          <w:szCs w:val="26"/>
        </w:rPr>
        <w:t>.000 postes d’emploi non rémunéré</w:t>
      </w:r>
      <w:r w:rsidR="000036D5">
        <w:rPr>
          <w:rFonts w:ascii="Book Antiqua" w:hAnsi="Book Antiqua" w:cs="Times New Roman"/>
          <w:noProof w:val="0"/>
          <w:sz w:val="26"/>
          <w:szCs w:val="26"/>
        </w:rPr>
        <w:t>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13DF5">
        <w:rPr>
          <w:rFonts w:ascii="Book Antiqua" w:hAnsi="Book Antiqua" w:cs="Times New Roman"/>
          <w:noProof w:val="0"/>
          <w:sz w:val="26"/>
          <w:szCs w:val="26"/>
        </w:rPr>
        <w:t>28</w:t>
      </w:r>
      <w:r w:rsidR="000941F7"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zones rurales et </w:t>
      </w:r>
      <w:r w:rsidR="00213DF5">
        <w:rPr>
          <w:rFonts w:ascii="Book Antiqua" w:hAnsi="Book Antiqua" w:cs="Times New Roman"/>
          <w:noProof w:val="0"/>
          <w:sz w:val="26"/>
          <w:szCs w:val="26"/>
        </w:rPr>
        <w:t>7</w:t>
      </w:r>
      <w:r w:rsidR="000941F7" w:rsidRPr="00CA615A">
        <w:rPr>
          <w:rFonts w:ascii="Book Antiqua" w:hAnsi="Book Antiqua" w:cs="Times New Roman"/>
          <w:noProof w:val="0"/>
          <w:sz w:val="26"/>
          <w:szCs w:val="26"/>
        </w:rPr>
        <w:t>.000 en zones urbaines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0941F7" w:rsidRPr="0054799F">
        <w:rPr>
          <w:rFonts w:ascii="Book Antiqua" w:hAnsi="Book Antiqua" w:cs="Times New Roman"/>
          <w:b/>
          <w:bCs/>
          <w:noProof w:val="0"/>
          <w:color w:val="000000" w:themeColor="text1"/>
          <w:sz w:val="26"/>
          <w:szCs w:val="26"/>
        </w:rPr>
        <w:t xml:space="preserve">. </w:t>
      </w:r>
    </w:p>
    <w:p w:rsidR="009B7BDC" w:rsidRPr="000941F7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754D0C" w:rsidRDefault="009B7BDC" w:rsidP="00532C83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les </w:t>
      </w:r>
      <w:r w:rsidR="00532C83" w:rsidRPr="00532C83"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="00532C8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trimestres de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7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0602F1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 w:rsidRPr="000602F1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69616" cy="2374711"/>
            <wp:effectExtent l="19050" t="0" r="12084" b="6539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0941F7" w:rsidRPr="00DA6A9A" w:rsidRDefault="00AC27CD" w:rsidP="00AA0C4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89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.000 postes d’emploi</w:t>
      </w:r>
      <w:r>
        <w:rPr>
          <w:rFonts w:ascii="Book Antiqua" w:hAnsi="Book Antiqua" w:cs="Times New Roman"/>
          <w:noProof w:val="0"/>
          <w:sz w:val="26"/>
          <w:szCs w:val="26"/>
        </w:rPr>
        <w:t> créés par l</w:t>
      </w:r>
      <w:r w:rsidR="00F46A28" w:rsidRPr="00DA6A9A">
        <w:rPr>
          <w:rFonts w:ascii="Book Antiqua" w:hAnsi="Book Antiqua" w:cs="Times New Roman"/>
          <w:noProof w:val="0"/>
          <w:sz w:val="26"/>
          <w:szCs w:val="26"/>
        </w:rPr>
        <w:t xml:space="preserve">’économie marocaine </w:t>
      </w:r>
      <w:r w:rsidR="00EE1147">
        <w:rPr>
          <w:rFonts w:ascii="Book Antiqua" w:hAnsi="Book Antiqua" w:cs="Times New Roman"/>
          <w:noProof w:val="0"/>
          <w:sz w:val="26"/>
          <w:szCs w:val="26"/>
        </w:rPr>
        <w:t xml:space="preserve">entre le </w:t>
      </w:r>
      <w:r w:rsidR="000602F1">
        <w:rPr>
          <w:rFonts w:ascii="Book Antiqua" w:hAnsi="Book Antiqua" w:cs="Times New Roman"/>
          <w:noProof w:val="0"/>
          <w:sz w:val="26"/>
          <w:szCs w:val="26"/>
        </w:rPr>
        <w:t>3</w:t>
      </w:r>
      <w:r w:rsidR="001567BD">
        <w:rPr>
          <w:rFonts w:ascii="Book Antiqua" w:hAnsi="Book Antiqua" w:cs="Times New Roman"/>
          <w:noProof w:val="0"/>
          <w:sz w:val="26"/>
          <w:szCs w:val="26"/>
          <w:vertAlign w:val="superscript"/>
        </w:rPr>
        <w:t>ème</w:t>
      </w:r>
      <w:r w:rsidR="00EE1147">
        <w:rPr>
          <w:rFonts w:ascii="Book Antiqua" w:hAnsi="Book Antiqua" w:cs="Times New Roman"/>
          <w:noProof w:val="0"/>
          <w:sz w:val="26"/>
          <w:szCs w:val="26"/>
        </w:rPr>
        <w:t xml:space="preserve"> trimestre de 2016 et celui de 2017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e volume </w:t>
      </w:r>
      <w:r w:rsidR="00262DE6">
        <w:rPr>
          <w:rFonts w:ascii="Book Antiqua" w:hAnsi="Book Antiqua" w:cs="Times New Roman"/>
          <w:noProof w:val="0"/>
          <w:sz w:val="26"/>
          <w:szCs w:val="26"/>
        </w:rPr>
        <w:t xml:space="preserve">de l’emploi est passé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 10.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314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403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.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000 personnes. Le taux d’emploi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 quant à lui, reculé de 0,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4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point au niveau national, passant de 4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1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0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7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9477D2">
        <w:rPr>
          <w:rFonts w:ascii="Book Antiqua" w:hAnsi="Book Antiqua" w:cs="Times New Roman"/>
          <w:noProof w:val="0"/>
          <w:sz w:val="26"/>
          <w:szCs w:val="26"/>
        </w:rPr>
        <w:t xml:space="preserve">Ce taux 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6B01AA">
        <w:rPr>
          <w:rFonts w:ascii="Book Antiqua" w:hAnsi="Book Antiqua" w:cs="Times New Roman"/>
          <w:noProof w:val="0"/>
          <w:sz w:val="26"/>
          <w:szCs w:val="26"/>
        </w:rPr>
        <w:t>baissé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A7F83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6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1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 à 3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5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3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 xml:space="preserve"> (-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0,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7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)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6B01AA">
        <w:rPr>
          <w:rFonts w:ascii="Book Antiqua" w:hAnsi="Book Antiqua" w:cs="Times New Roman"/>
          <w:noProof w:val="0"/>
          <w:sz w:val="26"/>
          <w:szCs w:val="26"/>
        </w:rPr>
        <w:t>a augmenté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A7F83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0A7F83">
        <w:rPr>
          <w:rFonts w:ascii="Book Antiqua" w:hAnsi="Book Antiqua" w:cs="Times New Roman"/>
          <w:noProof w:val="0"/>
          <w:sz w:val="26"/>
          <w:szCs w:val="26"/>
        </w:rPr>
        <w:t>n milieu rural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49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6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 à 5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0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0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E700E1">
        <w:rPr>
          <w:rFonts w:ascii="Book Antiqua" w:hAnsi="Book Antiqua" w:cs="Times New Roman"/>
          <w:noProof w:val="0"/>
          <w:sz w:val="26"/>
          <w:szCs w:val="26"/>
        </w:rPr>
        <w:t>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)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36114C" w:rsidRDefault="0036114C" w:rsidP="004E191F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AC27CD" w:rsidRDefault="00AC27CD" w:rsidP="00AC27CD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0602F1" w:rsidRDefault="000602F1" w:rsidP="000602F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0602F1" w:rsidRDefault="000602F1" w:rsidP="000602F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0602F1" w:rsidRDefault="000602F1" w:rsidP="000602F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DC5784" w:rsidRDefault="00DC5784" w:rsidP="00DC578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7F67B1" w:rsidRDefault="004850F2" w:rsidP="002904D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Contribution sectorielle à la création</w:t>
      </w:r>
      <w:r w:rsidR="00F10756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nette</w:t>
      </w: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d’emploi</w:t>
      </w:r>
      <w:r w:rsidR="00AC27CD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</w:t>
      </w:r>
    </w:p>
    <w:p w:rsidR="00D2180A" w:rsidRPr="00E63C59" w:rsidRDefault="00D2180A" w:rsidP="00D2180A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4"/>
          <w:szCs w:val="14"/>
        </w:rPr>
      </w:pPr>
    </w:p>
    <w:p w:rsidR="00D2180A" w:rsidRDefault="00D2180A" w:rsidP="000A1756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235C37">
        <w:rPr>
          <w:rFonts w:ascii="Book Antiqua" w:hAnsi="Book Antiqua" w:cstheme="majorBidi"/>
          <w:noProof w:val="0"/>
          <w:sz w:val="26"/>
          <w:szCs w:val="26"/>
        </w:rPr>
        <w:t>Avec un accroissement de 1,</w:t>
      </w:r>
      <w:r>
        <w:rPr>
          <w:rFonts w:ascii="Book Antiqua" w:hAnsi="Book Antiqua" w:cstheme="majorBidi"/>
          <w:noProof w:val="0"/>
          <w:sz w:val="26"/>
          <w:szCs w:val="26"/>
        </w:rPr>
        <w:t>3</w:t>
      </w:r>
      <w:r w:rsidRPr="00235C37">
        <w:rPr>
          <w:rFonts w:ascii="Book Antiqua" w:hAnsi="Book Antiqua" w:cstheme="majorBidi"/>
          <w:noProof w:val="0"/>
          <w:sz w:val="26"/>
          <w:szCs w:val="26"/>
        </w:rPr>
        <w:t>%, le volume d’emploi dans le secteur de l’</w:t>
      </w:r>
      <w:r w:rsidRPr="003E551D">
        <w:rPr>
          <w:rFonts w:ascii="Book Antiqua" w:hAnsi="Book Antiqua" w:cstheme="majorBidi"/>
          <w:b/>
          <w:noProof w:val="0"/>
          <w:sz w:val="26"/>
          <w:szCs w:val="26"/>
        </w:rPr>
        <w:t>"agriculture forêt et pêche"</w:t>
      </w:r>
      <w:r w:rsidRPr="00235C37">
        <w:rPr>
          <w:rFonts w:ascii="Book Antiqua" w:hAnsi="Book Antiqua" w:cstheme="majorBidi"/>
          <w:noProof w:val="0"/>
          <w:sz w:val="26"/>
          <w:szCs w:val="26"/>
        </w:rPr>
        <w:t xml:space="preserve"> s’est accru de </w:t>
      </w:r>
      <w:r w:rsidR="009F7CBB">
        <w:rPr>
          <w:rFonts w:ascii="Book Antiqua" w:hAnsi="Book Antiqua" w:cstheme="majorBidi"/>
          <w:noProof w:val="0"/>
          <w:sz w:val="26"/>
          <w:szCs w:val="26"/>
        </w:rPr>
        <w:t>47</w:t>
      </w:r>
      <w:r w:rsidRPr="00235C37">
        <w:rPr>
          <w:rFonts w:ascii="Book Antiqua" w:hAnsi="Book Antiqua" w:cstheme="majorBidi"/>
          <w:noProof w:val="0"/>
          <w:sz w:val="26"/>
          <w:szCs w:val="26"/>
        </w:rPr>
        <w:t>.000 postes au niveau national</w:t>
      </w:r>
      <w:r w:rsidR="00AE27B6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AE27B6">
        <w:rPr>
          <w:rFonts w:ascii="Book Antiqua" w:hAnsi="Book Antiqua" w:cs="Times New Roman"/>
          <w:noProof w:val="0"/>
          <w:sz w:val="26"/>
          <w:szCs w:val="26"/>
        </w:rPr>
        <w:t>(</w:t>
      </w:r>
      <w:r w:rsidR="00694895">
        <w:rPr>
          <w:rFonts w:ascii="Book Antiqua" w:hAnsi="Book Antiqua" w:cs="Times New Roman"/>
          <w:noProof w:val="0"/>
          <w:sz w:val="26"/>
          <w:szCs w:val="26"/>
        </w:rPr>
        <w:t>40</w:t>
      </w:r>
      <w:r w:rsidR="00AE27B6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 w:rsidR="00694895">
        <w:rPr>
          <w:rFonts w:ascii="Book Antiqua" w:hAnsi="Book Antiqua" w:cs="Times New Roman"/>
          <w:noProof w:val="0"/>
          <w:sz w:val="26"/>
          <w:szCs w:val="26"/>
        </w:rPr>
        <w:t>rural</w:t>
      </w:r>
      <w:r w:rsidR="00AE27B6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694895">
        <w:rPr>
          <w:rFonts w:ascii="Book Antiqua" w:hAnsi="Book Antiqua" w:cs="Times New Roman"/>
          <w:noProof w:val="0"/>
          <w:sz w:val="26"/>
          <w:szCs w:val="26"/>
        </w:rPr>
        <w:t>7</w:t>
      </w:r>
      <w:r w:rsidR="00AE27B6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 w:rsidR="000A1756">
        <w:rPr>
          <w:rFonts w:ascii="Book Antiqua" w:hAnsi="Book Antiqua" w:cs="Times New Roman"/>
          <w:noProof w:val="0"/>
          <w:sz w:val="26"/>
          <w:szCs w:val="26"/>
        </w:rPr>
        <w:t>urbain</w:t>
      </w:r>
      <w:r w:rsidR="00AE27B6">
        <w:rPr>
          <w:rFonts w:ascii="Book Antiqua" w:hAnsi="Book Antiqua" w:cs="Times New Roman"/>
          <w:noProof w:val="0"/>
          <w:sz w:val="26"/>
          <w:szCs w:val="26"/>
        </w:rPr>
        <w:t>)</w:t>
      </w:r>
      <w:r w:rsidRPr="00235C37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contre </w:t>
      </w:r>
      <w:r w:rsidR="00873B48">
        <w:rPr>
          <w:rFonts w:ascii="Book Antiqua" w:hAnsi="Book Antiqua" w:cstheme="majorBidi"/>
          <w:noProof w:val="0"/>
          <w:sz w:val="26"/>
          <w:szCs w:val="26"/>
        </w:rPr>
        <w:t xml:space="preserve">des </w:t>
      </w:r>
      <w:r w:rsidR="00D42077">
        <w:rPr>
          <w:rFonts w:ascii="Book Antiqua" w:hAnsi="Book Antiqua" w:cstheme="majorBidi"/>
          <w:noProof w:val="0"/>
          <w:sz w:val="26"/>
          <w:szCs w:val="26"/>
        </w:rPr>
        <w:t>perte</w:t>
      </w:r>
      <w:r w:rsidR="00873B48">
        <w:rPr>
          <w:rFonts w:ascii="Book Antiqua" w:hAnsi="Book Antiqua" w:cstheme="majorBidi"/>
          <w:noProof w:val="0"/>
          <w:sz w:val="26"/>
          <w:szCs w:val="26"/>
        </w:rPr>
        <w:t>s</w:t>
      </w:r>
      <w:r w:rsidR="00D42077">
        <w:rPr>
          <w:rFonts w:ascii="Book Antiqua" w:hAnsi="Book Antiqua" w:cstheme="majorBidi"/>
          <w:noProof w:val="0"/>
          <w:sz w:val="26"/>
          <w:szCs w:val="26"/>
        </w:rPr>
        <w:t xml:space="preserve"> de </w:t>
      </w:r>
      <w:r w:rsidR="005F436C">
        <w:rPr>
          <w:rFonts w:ascii="Book Antiqua" w:hAnsi="Book Antiqua" w:cstheme="majorBidi"/>
          <w:noProof w:val="0"/>
          <w:sz w:val="26"/>
          <w:szCs w:val="26"/>
        </w:rPr>
        <w:t>7</w:t>
      </w:r>
      <w:r w:rsidR="009F7CBB">
        <w:rPr>
          <w:rFonts w:ascii="Book Antiqua" w:hAnsi="Book Antiqua" w:cstheme="majorBidi"/>
          <w:noProof w:val="0"/>
          <w:sz w:val="26"/>
          <w:szCs w:val="26"/>
        </w:rPr>
        <w:t>5</w:t>
      </w:r>
      <w:r w:rsidR="005F436C">
        <w:rPr>
          <w:rFonts w:ascii="Book Antiqua" w:hAnsi="Book Antiqua" w:cstheme="majorBidi"/>
          <w:noProof w:val="0"/>
          <w:sz w:val="26"/>
          <w:szCs w:val="26"/>
        </w:rPr>
        <w:t xml:space="preserve">.000 </w:t>
      </w:r>
      <w:r w:rsidR="00326668">
        <w:rPr>
          <w:rFonts w:ascii="Book Antiqua" w:hAnsi="Book Antiqua" w:cstheme="majorBidi"/>
          <w:noProof w:val="0"/>
          <w:sz w:val="26"/>
          <w:szCs w:val="26"/>
        </w:rPr>
        <w:t xml:space="preserve">postes </w:t>
      </w:r>
      <w:r w:rsidR="005F436C">
        <w:rPr>
          <w:rFonts w:ascii="Book Antiqua" w:hAnsi="Book Antiqua" w:cstheme="majorBidi"/>
          <w:noProof w:val="0"/>
          <w:sz w:val="26"/>
          <w:szCs w:val="26"/>
        </w:rPr>
        <w:t xml:space="preserve">en 2014, </w:t>
      </w:r>
      <w:r w:rsidR="009F7CBB">
        <w:rPr>
          <w:rFonts w:ascii="Book Antiqua" w:hAnsi="Book Antiqua" w:cstheme="majorBidi"/>
          <w:noProof w:val="0"/>
          <w:sz w:val="26"/>
          <w:szCs w:val="26"/>
        </w:rPr>
        <w:t>27</w:t>
      </w:r>
      <w:r w:rsidR="005F436C" w:rsidRPr="00235C37">
        <w:rPr>
          <w:rFonts w:ascii="Book Antiqua" w:hAnsi="Book Antiqua" w:cstheme="majorBidi"/>
          <w:noProof w:val="0"/>
          <w:sz w:val="26"/>
          <w:szCs w:val="26"/>
        </w:rPr>
        <w:t xml:space="preserve">.000 </w:t>
      </w:r>
      <w:r w:rsidR="005F436C">
        <w:rPr>
          <w:rFonts w:ascii="Book Antiqua" w:hAnsi="Book Antiqua" w:cstheme="majorBidi"/>
          <w:noProof w:val="0"/>
          <w:sz w:val="26"/>
          <w:szCs w:val="26"/>
        </w:rPr>
        <w:t>en 2015 et</w:t>
      </w:r>
      <w:r w:rsidR="005F436C" w:rsidRPr="00235C3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9F7CBB">
        <w:rPr>
          <w:rFonts w:ascii="Book Antiqua" w:hAnsi="Book Antiqua" w:cstheme="majorBidi"/>
          <w:noProof w:val="0"/>
          <w:sz w:val="26"/>
          <w:szCs w:val="26"/>
        </w:rPr>
        <w:t>66</w:t>
      </w:r>
      <w:r w:rsidR="00FA7631" w:rsidRPr="00235C37">
        <w:rPr>
          <w:rFonts w:ascii="Book Antiqua" w:hAnsi="Book Antiqua" w:cstheme="majorBidi"/>
          <w:noProof w:val="0"/>
          <w:sz w:val="26"/>
          <w:szCs w:val="26"/>
        </w:rPr>
        <w:t xml:space="preserve">.000 </w:t>
      </w:r>
      <w:r w:rsidR="00FA7631">
        <w:rPr>
          <w:rFonts w:ascii="Book Antiqua" w:hAnsi="Book Antiqua" w:cstheme="majorBidi"/>
          <w:noProof w:val="0"/>
          <w:sz w:val="26"/>
          <w:szCs w:val="26"/>
        </w:rPr>
        <w:t>l’année dernière</w:t>
      </w:r>
      <w:r w:rsidRPr="00235C37">
        <w:rPr>
          <w:rFonts w:ascii="Book Antiqua" w:hAnsi="Book Antiqua" w:cstheme="majorBidi"/>
          <w:noProof w:val="0"/>
          <w:sz w:val="26"/>
          <w:szCs w:val="26"/>
        </w:rPr>
        <w:t>.</w:t>
      </w:r>
    </w:p>
    <w:p w:rsidR="00745765" w:rsidRDefault="00745765" w:rsidP="00F821AB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D42077">
        <w:rPr>
          <w:rFonts w:ascii="Book Antiqua" w:hAnsi="Book Antiqua" w:cstheme="majorBidi"/>
          <w:noProof w:val="0"/>
          <w:sz w:val="26"/>
          <w:szCs w:val="26"/>
        </w:rPr>
        <w:t xml:space="preserve">Le secteur des </w:t>
      </w:r>
      <w:r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"services"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 xml:space="preserve">, qui représentait le principal pourvoyeur d’emploi au cours des </w:t>
      </w:r>
      <w:r w:rsidR="0073004D">
        <w:rPr>
          <w:rFonts w:ascii="Book Antiqua" w:hAnsi="Book Antiqua" w:cstheme="majorBidi"/>
          <w:noProof w:val="0"/>
          <w:sz w:val="26"/>
          <w:szCs w:val="26"/>
        </w:rPr>
        <w:t>dix</w:t>
      </w:r>
      <w:r w:rsidR="00694895" w:rsidRPr="00D4207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>dernières années</w:t>
      </w:r>
      <w:r w:rsidR="00D613A4">
        <w:rPr>
          <w:rFonts w:ascii="Book Antiqua" w:hAnsi="Book Antiqua" w:cstheme="majorBidi"/>
          <w:noProof w:val="0"/>
          <w:sz w:val="26"/>
          <w:szCs w:val="26"/>
        </w:rPr>
        <w:t xml:space="preserve"> (</w:t>
      </w:r>
      <w:r w:rsidR="0073004D" w:rsidRPr="0073004D">
        <w:rPr>
          <w:rFonts w:ascii="Book Antiqua" w:hAnsi="Book Antiqua" w:cstheme="majorBidi"/>
          <w:noProof w:val="0"/>
          <w:sz w:val="26"/>
          <w:szCs w:val="26"/>
        </w:rPr>
        <w:t>environ 100</w:t>
      </w:r>
      <w:r w:rsidRPr="0073004D">
        <w:rPr>
          <w:rFonts w:ascii="Book Antiqua" w:hAnsi="Book Antiqua" w:cstheme="majorBidi"/>
          <w:noProof w:val="0"/>
          <w:sz w:val="26"/>
          <w:szCs w:val="26"/>
        </w:rPr>
        <w:t xml:space="preserve">.000 </w:t>
      </w:r>
      <w:r w:rsidR="00694895" w:rsidRPr="0073004D">
        <w:rPr>
          <w:rFonts w:ascii="Book Antiqua" w:hAnsi="Book Antiqua" w:cstheme="majorBidi"/>
          <w:noProof w:val="0"/>
          <w:sz w:val="26"/>
          <w:szCs w:val="26"/>
        </w:rPr>
        <w:t>postes</w:t>
      </w:r>
      <w:r w:rsidR="00694895" w:rsidRPr="00D4207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>durant les années 200</w:t>
      </w:r>
      <w:r w:rsidR="0073004D">
        <w:rPr>
          <w:rFonts w:ascii="Book Antiqua" w:hAnsi="Book Antiqua" w:cstheme="majorBidi"/>
          <w:noProof w:val="0"/>
          <w:sz w:val="26"/>
          <w:szCs w:val="26"/>
        </w:rPr>
        <w:t>7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 xml:space="preserve">-2012 et 50.000 </w:t>
      </w:r>
      <w:r w:rsidR="00D613A4">
        <w:rPr>
          <w:rFonts w:ascii="Book Antiqua" w:hAnsi="Book Antiqua" w:cstheme="majorBidi"/>
          <w:noProof w:val="0"/>
          <w:sz w:val="26"/>
          <w:szCs w:val="26"/>
        </w:rPr>
        <w:t xml:space="preserve">durant les 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>années 2013-2015</w:t>
      </w:r>
      <w:r w:rsidR="00D613A4">
        <w:rPr>
          <w:rFonts w:ascii="Book Antiqua" w:hAnsi="Book Antiqua" w:cstheme="majorBidi"/>
          <w:noProof w:val="0"/>
          <w:sz w:val="26"/>
          <w:szCs w:val="26"/>
        </w:rPr>
        <w:t xml:space="preserve">), 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a </w:t>
      </w:r>
      <w:r w:rsidR="00694895" w:rsidRPr="00BF1DA0">
        <w:rPr>
          <w:rFonts w:ascii="Book Antiqua" w:hAnsi="Book Antiqua" w:cstheme="majorBidi"/>
          <w:noProof w:val="0"/>
          <w:sz w:val="26"/>
          <w:szCs w:val="26"/>
        </w:rPr>
        <w:t>enregistr</w:t>
      </w:r>
      <w:r w:rsidR="00F821AB">
        <w:rPr>
          <w:rFonts w:ascii="Book Antiqua" w:hAnsi="Book Antiqua" w:cstheme="majorBidi"/>
          <w:noProof w:val="0"/>
          <w:sz w:val="26"/>
          <w:szCs w:val="26"/>
        </w:rPr>
        <w:t>é</w:t>
      </w:r>
      <w:r w:rsidR="00694895" w:rsidRPr="00BF1DA0">
        <w:rPr>
          <w:rFonts w:ascii="Book Antiqua" w:hAnsi="Book Antiqua" w:cstheme="majorBidi"/>
          <w:noProof w:val="0"/>
          <w:sz w:val="26"/>
          <w:szCs w:val="26"/>
        </w:rPr>
        <w:t xml:space="preserve"> un recul dans 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ce domaine </w:t>
      </w:r>
      <w:r w:rsidR="00D613A4">
        <w:rPr>
          <w:rFonts w:ascii="Book Antiqua" w:hAnsi="Book Antiqua" w:cstheme="majorBidi"/>
          <w:noProof w:val="0"/>
          <w:sz w:val="26"/>
          <w:szCs w:val="26"/>
        </w:rPr>
        <w:t xml:space="preserve">avec une </w:t>
      </w:r>
      <w:r w:rsidR="00694895" w:rsidRPr="00D42077">
        <w:rPr>
          <w:rFonts w:ascii="Book Antiqua" w:hAnsi="Book Antiqua" w:cstheme="majorBidi"/>
          <w:noProof w:val="0"/>
          <w:sz w:val="26"/>
          <w:szCs w:val="26"/>
        </w:rPr>
        <w:t>per</w:t>
      </w:r>
      <w:r w:rsidR="00D613A4">
        <w:rPr>
          <w:rFonts w:ascii="Book Antiqua" w:hAnsi="Book Antiqua" w:cstheme="majorBidi"/>
          <w:noProof w:val="0"/>
          <w:sz w:val="26"/>
          <w:szCs w:val="26"/>
        </w:rPr>
        <w:t xml:space="preserve">te de 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>15.000 emplois l’année dernière</w:t>
      </w:r>
      <w:r w:rsidR="00D613A4">
        <w:rPr>
          <w:rFonts w:ascii="Book Antiqua" w:hAnsi="Book Antiqua" w:cstheme="majorBidi"/>
          <w:noProof w:val="0"/>
          <w:sz w:val="26"/>
          <w:szCs w:val="26"/>
        </w:rPr>
        <w:t xml:space="preserve"> et </w:t>
      </w:r>
      <w:r w:rsidR="00694895" w:rsidRPr="00D42077">
        <w:rPr>
          <w:rFonts w:ascii="Book Antiqua" w:hAnsi="Book Antiqua" w:cstheme="majorBidi"/>
          <w:noProof w:val="0"/>
          <w:sz w:val="26"/>
          <w:szCs w:val="26"/>
        </w:rPr>
        <w:t xml:space="preserve">une création de 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>20.000 cette année</w:t>
      </w:r>
      <w:r w:rsidR="00D42077" w:rsidRPr="00D4207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D42077" w:rsidRPr="00BF1DA0">
        <w:rPr>
          <w:rFonts w:ascii="Book Antiqua" w:hAnsi="Book Antiqua" w:cstheme="majorBidi"/>
          <w:noProof w:val="0"/>
          <w:sz w:val="26"/>
          <w:szCs w:val="26"/>
        </w:rPr>
        <w:t>(un accroissement de 0,4%)</w:t>
      </w:r>
      <w:r w:rsidR="00D42077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694895" w:rsidRPr="00D42077">
        <w:rPr>
          <w:rFonts w:ascii="Book Antiqua" w:hAnsi="Book Antiqua" w:cstheme="majorBidi"/>
          <w:noProof w:val="0"/>
          <w:sz w:val="26"/>
          <w:szCs w:val="26"/>
        </w:rPr>
        <w:t>8.000 postes en milieu urbain et 12.000 postes en milieu rural</w:t>
      </w:r>
      <w:r w:rsidRPr="00D42077">
        <w:rPr>
          <w:rFonts w:ascii="Book Antiqua" w:hAnsi="Book Antiqua" w:cstheme="majorBidi"/>
          <w:noProof w:val="0"/>
          <w:sz w:val="26"/>
          <w:szCs w:val="26"/>
        </w:rPr>
        <w:t>.</w:t>
      </w:r>
    </w:p>
    <w:p w:rsidR="00B35F84" w:rsidRPr="009F7CBB" w:rsidRDefault="00B35F84" w:rsidP="00907294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color w:val="FF000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Pr="00B35F84">
        <w:rPr>
          <w:rFonts w:ascii="Book Antiqua" w:hAnsi="Book Antiqua" w:cstheme="majorBidi"/>
          <w:noProof w:val="0"/>
          <w:sz w:val="26"/>
          <w:szCs w:val="26"/>
        </w:rPr>
        <w:t>e secteur de l’</w:t>
      </w:r>
      <w:r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"industrie</w:t>
      </w:r>
      <w:r w:rsidR="00F821AB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y compris l’artisanat</w:t>
      </w:r>
      <w:r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</w:t>
      </w:r>
      <w:r w:rsidRPr="00B35F84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a, avec </w:t>
      </w:r>
      <w:r w:rsidR="00F821AB" w:rsidRPr="00B35F84">
        <w:rPr>
          <w:rFonts w:ascii="Book Antiqua" w:hAnsi="Book Antiqua" w:cstheme="majorBidi"/>
          <w:noProof w:val="0"/>
          <w:sz w:val="26"/>
          <w:szCs w:val="26"/>
        </w:rPr>
        <w:t xml:space="preserve">une </w:t>
      </w:r>
      <w:r w:rsidR="00F821AB">
        <w:rPr>
          <w:rFonts w:ascii="Book Antiqua" w:hAnsi="Book Antiqua" w:cstheme="majorBidi"/>
          <w:noProof w:val="0"/>
          <w:sz w:val="26"/>
          <w:szCs w:val="26"/>
        </w:rPr>
        <w:t>hausse</w:t>
      </w:r>
      <w:r w:rsidR="00F821AB" w:rsidRPr="00B35F84">
        <w:rPr>
          <w:rFonts w:ascii="Book Antiqua" w:hAnsi="Book Antiqua" w:cstheme="majorBidi"/>
          <w:noProof w:val="0"/>
          <w:sz w:val="26"/>
          <w:szCs w:val="26"/>
        </w:rPr>
        <w:t xml:space="preserve"> de </w:t>
      </w:r>
      <w:r w:rsidR="00F821AB">
        <w:rPr>
          <w:rFonts w:ascii="Book Antiqua" w:hAnsi="Book Antiqua" w:cstheme="majorBidi"/>
          <w:noProof w:val="0"/>
          <w:sz w:val="26"/>
          <w:szCs w:val="26"/>
        </w:rPr>
        <w:t>1</w:t>
      </w:r>
      <w:r w:rsidR="00F821AB" w:rsidRPr="00B35F84">
        <w:rPr>
          <w:rFonts w:ascii="Book Antiqua" w:hAnsi="Book Antiqua" w:cstheme="majorBidi"/>
          <w:noProof w:val="0"/>
          <w:sz w:val="26"/>
          <w:szCs w:val="26"/>
        </w:rPr>
        <w:t>,</w:t>
      </w:r>
      <w:r w:rsidR="00F821AB">
        <w:rPr>
          <w:rFonts w:ascii="Book Antiqua" w:hAnsi="Book Antiqua" w:cstheme="majorBidi"/>
          <w:noProof w:val="0"/>
          <w:sz w:val="26"/>
          <w:szCs w:val="26"/>
        </w:rPr>
        <w:t>2</w:t>
      </w:r>
      <w:r w:rsidR="00F821AB" w:rsidRPr="00B35F84">
        <w:rPr>
          <w:rFonts w:ascii="Book Antiqua" w:hAnsi="Book Antiqua" w:cstheme="majorBidi"/>
          <w:noProof w:val="0"/>
          <w:sz w:val="26"/>
          <w:szCs w:val="26"/>
        </w:rPr>
        <w:t>% du volume d’emploi du secteur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>
        <w:rPr>
          <w:rFonts w:ascii="Book Antiqua" w:hAnsi="Book Antiqua" w:cstheme="majorBidi"/>
          <w:noProof w:val="0"/>
          <w:sz w:val="26"/>
          <w:szCs w:val="26"/>
        </w:rPr>
        <w:t>créé</w:t>
      </w:r>
      <w:r w:rsidRPr="00B35F84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>
        <w:rPr>
          <w:rFonts w:ascii="Book Antiqua" w:hAnsi="Book Antiqua" w:cstheme="majorBidi"/>
          <w:noProof w:val="0"/>
          <w:sz w:val="26"/>
          <w:szCs w:val="26"/>
        </w:rPr>
        <w:t>15</w:t>
      </w:r>
      <w:r w:rsidRPr="00B35F84">
        <w:rPr>
          <w:rFonts w:ascii="Book Antiqua" w:hAnsi="Book Antiqua" w:cstheme="majorBidi"/>
          <w:noProof w:val="0"/>
          <w:sz w:val="26"/>
          <w:szCs w:val="26"/>
        </w:rPr>
        <w:t>.000 postes d’emploi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(10.000 en milieu urbain et 5.000 en milieu rural)</w:t>
      </w:r>
      <w:r w:rsidRPr="00B35F84">
        <w:rPr>
          <w:rFonts w:ascii="Book Antiqua" w:hAnsi="Book Antiqua" w:cstheme="majorBidi"/>
          <w:noProof w:val="0"/>
          <w:sz w:val="26"/>
          <w:szCs w:val="26"/>
        </w:rPr>
        <w:t xml:space="preserve">, contre une </w:t>
      </w:r>
      <w:r>
        <w:rPr>
          <w:rFonts w:ascii="Book Antiqua" w:hAnsi="Book Antiqua" w:cstheme="majorBidi"/>
          <w:noProof w:val="0"/>
          <w:sz w:val="26"/>
          <w:szCs w:val="26"/>
        </w:rPr>
        <w:t>perte de 44.000 postes l’année dernière</w:t>
      </w:r>
      <w:r w:rsidR="008C451D">
        <w:rPr>
          <w:rStyle w:val="Appelnotedebasdep"/>
          <w:rFonts w:ascii="Book Antiqua" w:hAnsi="Book Antiqua" w:cstheme="majorBidi"/>
          <w:noProof w:val="0"/>
          <w:sz w:val="26"/>
          <w:szCs w:val="26"/>
        </w:rPr>
        <w:footnoteReference w:id="2"/>
      </w:r>
      <w:r w:rsidRPr="00B35F84">
        <w:rPr>
          <w:rFonts w:ascii="Book Antiqua" w:hAnsi="Book Antiqua" w:cstheme="majorBidi"/>
          <w:noProof w:val="0"/>
          <w:sz w:val="26"/>
          <w:szCs w:val="26"/>
        </w:rPr>
        <w:t xml:space="preserve">. </w:t>
      </w:r>
      <w:r w:rsidRPr="00D12A12">
        <w:rPr>
          <w:rFonts w:ascii="Book Antiqua" w:hAnsi="Book Antiqua" w:cs="Times New Roman"/>
          <w:noProof w:val="0"/>
          <w:sz w:val="26"/>
          <w:szCs w:val="26"/>
        </w:rPr>
        <w:t xml:space="preserve">Ces nouveaux postes </w:t>
      </w:r>
      <w:r w:rsidR="00907294">
        <w:rPr>
          <w:rFonts w:ascii="Book Antiqua" w:hAnsi="Book Antiqua" w:cs="Times New Roman"/>
          <w:noProof w:val="0"/>
          <w:sz w:val="26"/>
          <w:szCs w:val="26"/>
        </w:rPr>
        <w:t xml:space="preserve">ont été </w:t>
      </w:r>
      <w:r w:rsidRPr="00D12A12">
        <w:rPr>
          <w:rFonts w:ascii="Book Antiqua" w:hAnsi="Book Antiqua" w:cs="Times New Roman"/>
          <w:noProof w:val="0"/>
          <w:sz w:val="26"/>
          <w:szCs w:val="26"/>
        </w:rPr>
        <w:t xml:space="preserve">principalement </w:t>
      </w:r>
      <w:r w:rsidR="00907294">
        <w:rPr>
          <w:rFonts w:ascii="Book Antiqua" w:hAnsi="Book Antiqua" w:cs="Times New Roman"/>
          <w:noProof w:val="0"/>
          <w:sz w:val="26"/>
          <w:szCs w:val="26"/>
        </w:rPr>
        <w:t xml:space="preserve">pourvus </w:t>
      </w:r>
      <w:r w:rsidRPr="00D12A12">
        <w:rPr>
          <w:rFonts w:ascii="Book Antiqua" w:hAnsi="Book Antiqua" w:cs="Times New Roman"/>
          <w:noProof w:val="0"/>
          <w:sz w:val="26"/>
          <w:szCs w:val="26"/>
        </w:rPr>
        <w:t>de la branche d</w:t>
      </w:r>
      <w:r w:rsidR="00EC130F">
        <w:rPr>
          <w:rFonts w:ascii="Book Antiqua" w:hAnsi="Book Antiqua" w:cs="Times New Roman"/>
          <w:noProof w:val="0"/>
          <w:sz w:val="26"/>
          <w:szCs w:val="26"/>
        </w:rPr>
        <w:t>es</w:t>
      </w:r>
      <w:r w:rsidRPr="00D12A12">
        <w:rPr>
          <w:rFonts w:ascii="Book Antiqua" w:hAnsi="Book Antiqua" w:cs="Times New Roman"/>
          <w:noProof w:val="0"/>
          <w:sz w:val="26"/>
          <w:szCs w:val="26"/>
        </w:rPr>
        <w:t xml:space="preserve"> "</w:t>
      </w:r>
      <w:r w:rsidR="00D12A12" w:rsidRPr="00D12A12">
        <w:rPr>
          <w:rFonts w:ascii="Book Antiqua" w:hAnsi="Book Antiqua" w:cs="Times New Roman"/>
          <w:noProof w:val="0"/>
          <w:sz w:val="26"/>
          <w:szCs w:val="26"/>
        </w:rPr>
        <w:t>Industries alimentaires et de boissons</w:t>
      </w:r>
      <w:r w:rsidRPr="00D12A12">
        <w:rPr>
          <w:rFonts w:ascii="Book Antiqua" w:hAnsi="Book Antiqua" w:cs="Times New Roman"/>
          <w:noProof w:val="0"/>
          <w:sz w:val="26"/>
          <w:szCs w:val="26"/>
        </w:rPr>
        <w:t xml:space="preserve">" avec </w:t>
      </w:r>
      <w:r w:rsidR="00D12A12" w:rsidRPr="00D12A12">
        <w:rPr>
          <w:rFonts w:ascii="Book Antiqua" w:hAnsi="Book Antiqua" w:cs="Times New Roman"/>
          <w:noProof w:val="0"/>
          <w:sz w:val="26"/>
          <w:szCs w:val="26"/>
        </w:rPr>
        <w:t>1</w:t>
      </w:r>
      <w:r w:rsidR="00D12A12">
        <w:rPr>
          <w:rFonts w:ascii="Book Antiqua" w:hAnsi="Book Antiqua" w:cs="Times New Roman"/>
          <w:noProof w:val="0"/>
          <w:sz w:val="26"/>
          <w:szCs w:val="26"/>
        </w:rPr>
        <w:t>2</w:t>
      </w:r>
      <w:r w:rsidRPr="00D12A12">
        <w:rPr>
          <w:rFonts w:ascii="Book Antiqua" w:hAnsi="Book Antiqua" w:cs="Times New Roman"/>
          <w:noProof w:val="0"/>
          <w:sz w:val="26"/>
          <w:szCs w:val="26"/>
        </w:rPr>
        <w:t>.000 postes.</w:t>
      </w:r>
    </w:p>
    <w:p w:rsidR="00D2180A" w:rsidRDefault="003E551D" w:rsidP="00907294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235C37">
        <w:rPr>
          <w:rFonts w:ascii="Book Antiqua" w:hAnsi="Book Antiqua" w:cstheme="majorBidi"/>
          <w:noProof w:val="0"/>
          <w:sz w:val="26"/>
          <w:szCs w:val="26"/>
        </w:rPr>
        <w:t>De son côté</w:t>
      </w:r>
      <w:r>
        <w:rPr>
          <w:rFonts w:ascii="Book Antiqua" w:hAnsi="Book Antiqua" w:cstheme="majorBidi"/>
          <w:noProof w:val="0"/>
          <w:sz w:val="26"/>
          <w:szCs w:val="26"/>
        </w:rPr>
        <w:t>, l</w:t>
      </w:r>
      <w:r w:rsidR="00D2180A" w:rsidRPr="00235C37">
        <w:rPr>
          <w:rFonts w:ascii="Book Antiqua" w:hAnsi="Book Antiqua" w:cstheme="majorBidi"/>
          <w:noProof w:val="0"/>
          <w:sz w:val="26"/>
          <w:szCs w:val="26"/>
        </w:rPr>
        <w:t xml:space="preserve">e secteur des </w:t>
      </w:r>
      <w:r w:rsidR="00D2180A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BTP</w:t>
      </w:r>
      <w:r w:rsidR="00907294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, </w:t>
      </w:r>
      <w:r w:rsidR="00907294" w:rsidRPr="00907294">
        <w:rPr>
          <w:rFonts w:ascii="Book Antiqua" w:hAnsi="Book Antiqua" w:cstheme="majorBidi"/>
          <w:noProof w:val="0"/>
          <w:sz w:val="26"/>
          <w:szCs w:val="26"/>
        </w:rPr>
        <w:t>et après</w:t>
      </w:r>
      <w:r w:rsidR="00907294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907294">
        <w:rPr>
          <w:rFonts w:ascii="Book Antiqua" w:hAnsi="Book Antiqua" w:cstheme="majorBidi"/>
          <w:noProof w:val="0"/>
          <w:sz w:val="26"/>
          <w:szCs w:val="26"/>
        </w:rPr>
        <w:t>une c</w:t>
      </w:r>
      <w:r w:rsidR="00907294" w:rsidRPr="00235C37">
        <w:rPr>
          <w:rFonts w:ascii="Book Antiqua" w:hAnsi="Book Antiqua" w:cstheme="majorBidi"/>
          <w:noProof w:val="0"/>
          <w:sz w:val="26"/>
          <w:szCs w:val="26"/>
        </w:rPr>
        <w:t xml:space="preserve">réation annuelle moyenne </w:t>
      </w:r>
      <w:r w:rsidR="00907294">
        <w:rPr>
          <w:rFonts w:ascii="Book Antiqua" w:hAnsi="Book Antiqua" w:cstheme="majorBidi"/>
          <w:noProof w:val="0"/>
          <w:sz w:val="26"/>
          <w:szCs w:val="26"/>
        </w:rPr>
        <w:t xml:space="preserve">de l’ordre de </w:t>
      </w:r>
      <w:r w:rsidR="00907294" w:rsidRPr="00EC130F">
        <w:rPr>
          <w:rFonts w:ascii="Book Antiqua" w:hAnsi="Book Antiqua" w:cstheme="majorBidi"/>
          <w:noProof w:val="0"/>
          <w:sz w:val="26"/>
          <w:szCs w:val="26"/>
        </w:rPr>
        <w:t>40.000</w:t>
      </w:r>
      <w:r w:rsidR="00907294" w:rsidRPr="00235C37">
        <w:rPr>
          <w:rFonts w:ascii="Book Antiqua" w:hAnsi="Book Antiqua" w:cstheme="majorBidi"/>
          <w:noProof w:val="0"/>
          <w:sz w:val="26"/>
          <w:szCs w:val="26"/>
        </w:rPr>
        <w:t xml:space="preserve"> postes au cours des </w:t>
      </w:r>
      <w:r w:rsidR="00907294">
        <w:rPr>
          <w:rFonts w:ascii="Book Antiqua" w:hAnsi="Book Antiqua" w:cstheme="majorBidi"/>
          <w:noProof w:val="0"/>
          <w:sz w:val="26"/>
          <w:szCs w:val="26"/>
        </w:rPr>
        <w:t xml:space="preserve">trois dernières années, </w:t>
      </w:r>
      <w:r>
        <w:rPr>
          <w:rFonts w:ascii="Book Antiqua" w:hAnsi="Book Antiqua" w:cstheme="majorBidi"/>
          <w:noProof w:val="0"/>
          <w:sz w:val="26"/>
          <w:szCs w:val="26"/>
        </w:rPr>
        <w:t>a créé</w:t>
      </w:r>
      <w:r w:rsidR="00D2180A" w:rsidRPr="00235C37">
        <w:rPr>
          <w:rFonts w:ascii="Book Antiqua" w:hAnsi="Book Antiqua" w:cstheme="majorBidi"/>
          <w:noProof w:val="0"/>
          <w:sz w:val="26"/>
          <w:szCs w:val="26"/>
        </w:rPr>
        <w:t>,</w:t>
      </w:r>
      <w:r w:rsidRPr="003E551D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AE27B6">
        <w:rPr>
          <w:rFonts w:ascii="Book Antiqua" w:hAnsi="Book Antiqua" w:cstheme="majorBidi"/>
          <w:noProof w:val="0"/>
          <w:sz w:val="26"/>
          <w:szCs w:val="26"/>
        </w:rPr>
        <w:t xml:space="preserve">entre le </w:t>
      </w:r>
      <w:r w:rsidR="00B35F84">
        <w:rPr>
          <w:rFonts w:ascii="Book Antiqua" w:hAnsi="Book Antiqua" w:cstheme="majorBidi"/>
          <w:noProof w:val="0"/>
          <w:sz w:val="26"/>
          <w:szCs w:val="26"/>
        </w:rPr>
        <w:t>3</w:t>
      </w:r>
      <w:r w:rsidRPr="00AE27B6">
        <w:rPr>
          <w:rFonts w:ascii="Book Antiqua" w:hAnsi="Book Antiqua" w:cstheme="majorBidi"/>
          <w:noProof w:val="0"/>
          <w:sz w:val="26"/>
          <w:szCs w:val="26"/>
          <w:vertAlign w:val="superscript"/>
        </w:rPr>
        <w:t>ème</w:t>
      </w:r>
      <w:r w:rsidRPr="00AE27B6">
        <w:rPr>
          <w:rFonts w:ascii="Book Antiqua" w:hAnsi="Book Antiqua" w:cstheme="majorBidi"/>
          <w:noProof w:val="0"/>
          <w:sz w:val="26"/>
          <w:szCs w:val="26"/>
        </w:rPr>
        <w:t xml:space="preserve"> trimestre de 2016 et la même période de 2017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D2180A" w:rsidRPr="00235C37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>
        <w:rPr>
          <w:rFonts w:ascii="Book Antiqua" w:hAnsi="Book Antiqua" w:cstheme="majorBidi"/>
          <w:noProof w:val="0"/>
          <w:sz w:val="26"/>
          <w:szCs w:val="26"/>
        </w:rPr>
        <w:t>7</w:t>
      </w:r>
      <w:r w:rsidRPr="00235C37">
        <w:rPr>
          <w:rFonts w:ascii="Book Antiqua" w:hAnsi="Book Antiqua" w:cstheme="majorBidi"/>
          <w:noProof w:val="0"/>
          <w:sz w:val="26"/>
          <w:szCs w:val="26"/>
        </w:rPr>
        <w:t xml:space="preserve">.000 </w:t>
      </w:r>
      <w:r>
        <w:rPr>
          <w:rFonts w:ascii="Book Antiqua" w:hAnsi="Book Antiqua" w:cstheme="majorBidi"/>
          <w:noProof w:val="0"/>
          <w:sz w:val="26"/>
          <w:szCs w:val="26"/>
        </w:rPr>
        <w:t>postes d’</w:t>
      </w:r>
      <w:r w:rsidRPr="00235C37">
        <w:rPr>
          <w:rFonts w:ascii="Book Antiqua" w:hAnsi="Book Antiqua" w:cstheme="majorBidi"/>
          <w:noProof w:val="0"/>
          <w:sz w:val="26"/>
          <w:szCs w:val="26"/>
        </w:rPr>
        <w:t>emploi</w:t>
      </w:r>
      <w:r w:rsidR="00A06F61">
        <w:rPr>
          <w:rFonts w:ascii="Book Antiqua" w:hAnsi="Book Antiqua" w:cstheme="majorBidi"/>
          <w:noProof w:val="0"/>
          <w:sz w:val="26"/>
          <w:szCs w:val="26"/>
        </w:rPr>
        <w:t xml:space="preserve"> au niveau national </w:t>
      </w:r>
      <w:r w:rsidR="00A06F61">
        <w:rPr>
          <w:rFonts w:ascii="Book Antiqua" w:hAnsi="Book Antiqua" w:cs="Times New Roman"/>
          <w:noProof w:val="0"/>
          <w:sz w:val="26"/>
          <w:szCs w:val="26"/>
        </w:rPr>
        <w:t>(</w:t>
      </w:r>
      <w:r w:rsidR="00D12A12">
        <w:rPr>
          <w:rFonts w:ascii="Book Antiqua" w:hAnsi="Book Antiqua" w:cs="Times New Roman"/>
          <w:noProof w:val="0"/>
          <w:sz w:val="26"/>
          <w:szCs w:val="26"/>
        </w:rPr>
        <w:t>4</w:t>
      </w:r>
      <w:r w:rsidR="00A06F61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D12A12">
        <w:rPr>
          <w:rFonts w:ascii="Book Antiqua" w:hAnsi="Book Antiqua" w:cs="Times New Roman"/>
          <w:noProof w:val="0"/>
          <w:sz w:val="26"/>
          <w:szCs w:val="26"/>
        </w:rPr>
        <w:t>3</w:t>
      </w:r>
      <w:r w:rsidR="00A06F61">
        <w:rPr>
          <w:rFonts w:ascii="Book Antiqua" w:hAnsi="Book Antiqua" w:cs="Times New Roman"/>
          <w:noProof w:val="0"/>
          <w:sz w:val="26"/>
          <w:szCs w:val="26"/>
        </w:rPr>
        <w:t>.000 en milieu rural)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A06F61" w:rsidRPr="00235C37">
        <w:rPr>
          <w:rFonts w:ascii="Book Antiqua" w:hAnsi="Book Antiqua" w:cstheme="majorBidi"/>
          <w:noProof w:val="0"/>
          <w:sz w:val="26"/>
          <w:szCs w:val="26"/>
        </w:rPr>
        <w:t xml:space="preserve">ce qui correspond à une hausse de </w:t>
      </w:r>
      <w:r w:rsidR="00A06F61">
        <w:rPr>
          <w:rFonts w:ascii="Book Antiqua" w:hAnsi="Book Antiqua" w:cstheme="majorBidi"/>
          <w:noProof w:val="0"/>
          <w:sz w:val="26"/>
          <w:szCs w:val="26"/>
        </w:rPr>
        <w:t>0,6</w:t>
      </w:r>
      <w:r w:rsidR="00A06F61" w:rsidRPr="00235C37">
        <w:rPr>
          <w:rFonts w:ascii="Book Antiqua" w:hAnsi="Book Antiqua" w:cstheme="majorBidi"/>
          <w:noProof w:val="0"/>
          <w:sz w:val="26"/>
          <w:szCs w:val="26"/>
        </w:rPr>
        <w:t>% du volume d’emploi du secteur</w:t>
      </w:r>
      <w:r w:rsidR="007A4F6D">
        <w:rPr>
          <w:rFonts w:ascii="Book Antiqua" w:hAnsi="Book Antiqua" w:cstheme="majorBidi"/>
          <w:noProof w:val="0"/>
          <w:sz w:val="26"/>
          <w:szCs w:val="26"/>
        </w:rPr>
        <w:t xml:space="preserve">. </w:t>
      </w:r>
    </w:p>
    <w:p w:rsidR="00D2180A" w:rsidRPr="001B752F" w:rsidRDefault="00D2180A" w:rsidP="00D2180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6"/>
          <w:szCs w:val="6"/>
        </w:rPr>
      </w:pPr>
    </w:p>
    <w:p w:rsidR="00732456" w:rsidRDefault="009B7BDC" w:rsidP="00D4207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2. Créations nettes d’emploi 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D42077" w:rsidRPr="00532C83"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="00D4207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trimestres de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A82335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2017 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162307" w:rsidRPr="00987B4B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9B7BDC" w:rsidRPr="00754D0C" w:rsidRDefault="009F7CBB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9F7CBB">
        <w:rPr>
          <w:rFonts w:ascii="Book Antiqua" w:hAnsi="Book Antiqua"/>
        </w:rPr>
        <w:drawing>
          <wp:inline distT="0" distB="0" distL="0" distR="0">
            <wp:extent cx="6368415" cy="1944806"/>
            <wp:effectExtent l="19050" t="0" r="13335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7BDC" w:rsidRPr="00DA6A9A" w:rsidRDefault="00F228CA" w:rsidP="00955515">
      <w:pPr>
        <w:bidi w:val="0"/>
        <w:spacing w:before="240" w:line="276" w:lineRule="auto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lastRenderedPageBreak/>
        <w:t>C</w:t>
      </w:r>
      <w:r w:rsidR="00EB32E6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hômage et sous-emploi en hausse</w:t>
      </w:r>
    </w:p>
    <w:p w:rsidR="00A0113F" w:rsidRPr="00A0113F" w:rsidRDefault="00A0113F" w:rsidP="00A0113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EB32E6" w:rsidRPr="008C74AD" w:rsidRDefault="00077CA6" w:rsidP="003357ED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L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e nombre de chômeurs est passé, entre le </w:t>
      </w:r>
      <w:r w:rsidR="0005515C" w:rsidRPr="0005515C">
        <w:rPr>
          <w:rFonts w:ascii="Book Antiqua" w:hAnsi="Book Antiqua" w:cs="Times New Roman"/>
          <w:noProof w:val="0"/>
          <w:sz w:val="27"/>
          <w:szCs w:val="27"/>
        </w:rPr>
        <w:t>troisième</w:t>
      </w:r>
      <w:r w:rsidR="0005515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trimestre de 2016 et 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celui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de 201</w:t>
      </w:r>
      <w:r w:rsidR="00A43641">
        <w:rPr>
          <w:rFonts w:ascii="Book Antiqua" w:hAnsi="Book Antiqua" w:cs="Times New Roman"/>
          <w:noProof w:val="0"/>
          <w:sz w:val="27"/>
          <w:szCs w:val="27"/>
        </w:rPr>
        <w:t>7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>
        <w:rPr>
          <w:rFonts w:ascii="Book Antiqua" w:hAnsi="Book Antiqua" w:cs="Times New Roman"/>
          <w:noProof w:val="0"/>
          <w:sz w:val="27"/>
          <w:szCs w:val="27"/>
        </w:rPr>
        <w:t>1.</w:t>
      </w:r>
      <w:r w:rsidR="002C6F14">
        <w:rPr>
          <w:rFonts w:ascii="Book Antiqua" w:hAnsi="Book Antiqua" w:cs="Times New Roman"/>
          <w:noProof w:val="0"/>
          <w:sz w:val="27"/>
          <w:szCs w:val="27"/>
        </w:rPr>
        <w:t>194</w:t>
      </w:r>
      <w:r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2C6F14">
        <w:rPr>
          <w:rFonts w:ascii="Book Antiqua" w:hAnsi="Book Antiqua" w:cs="Times New Roman"/>
          <w:noProof w:val="0"/>
          <w:sz w:val="27"/>
          <w:szCs w:val="27"/>
        </w:rPr>
        <w:t>236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.000 personnes, ce qui représente une hausse de </w:t>
      </w:r>
      <w:r w:rsidR="002C6F14">
        <w:rPr>
          <w:rFonts w:ascii="Book Antiqua" w:hAnsi="Book Antiqua" w:cs="Times New Roman"/>
          <w:noProof w:val="0"/>
          <w:sz w:val="27"/>
          <w:szCs w:val="27"/>
        </w:rPr>
        <w:t>42</w:t>
      </w:r>
      <w:r>
        <w:rPr>
          <w:rFonts w:ascii="Book Antiqua" w:hAnsi="Book Antiqua" w:cs="Times New Roman"/>
          <w:noProof w:val="0"/>
          <w:sz w:val="27"/>
          <w:szCs w:val="27"/>
        </w:rPr>
        <w:t>.000 personnes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013BA3">
        <w:rPr>
          <w:rFonts w:ascii="Book Antiqua" w:hAnsi="Book Antiqua" w:cs="Times New Roman"/>
          <w:noProof w:val="0"/>
          <w:sz w:val="27"/>
          <w:szCs w:val="27"/>
        </w:rPr>
        <w:t>au niveau national</w:t>
      </w:r>
      <w:r w:rsidR="002C6F14">
        <w:rPr>
          <w:rFonts w:ascii="Book Antiqua" w:hAnsi="Book Antiqua" w:cs="Times New Roman"/>
          <w:noProof w:val="0"/>
          <w:sz w:val="27"/>
          <w:szCs w:val="27"/>
        </w:rPr>
        <w:t>, 38</w:t>
      </w:r>
      <w:r w:rsidR="00013BA3">
        <w:rPr>
          <w:rFonts w:ascii="Book Antiqua" w:hAnsi="Book Antiqua" w:cs="Times New Roman"/>
          <w:noProof w:val="0"/>
          <w:sz w:val="27"/>
          <w:szCs w:val="27"/>
        </w:rPr>
        <w:t xml:space="preserve">.000 en milieu urbain et </w:t>
      </w:r>
      <w:r w:rsidR="002C6F14">
        <w:rPr>
          <w:rFonts w:ascii="Book Antiqua" w:hAnsi="Book Antiqua" w:cs="Times New Roman"/>
          <w:noProof w:val="0"/>
          <w:sz w:val="27"/>
          <w:szCs w:val="27"/>
        </w:rPr>
        <w:t>4</w:t>
      </w:r>
      <w:r w:rsidR="00013BA3">
        <w:rPr>
          <w:rFonts w:ascii="Book Antiqua" w:hAnsi="Book Antiqua" w:cs="Times New Roman"/>
          <w:noProof w:val="0"/>
          <w:sz w:val="27"/>
          <w:szCs w:val="27"/>
        </w:rPr>
        <w:t>.000 en milieu rural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.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Le t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aux de chômage est ainsi passé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de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10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4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10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6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enregistrant une hausse de 14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,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5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14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,9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en milieu urbain et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 xml:space="preserve">une stagnation à 4,6% 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en milieu rural.</w:t>
      </w:r>
    </w:p>
    <w:p w:rsidR="000C3F2F" w:rsidRDefault="0031789D" w:rsidP="003357E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taux de chômage les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plus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élevés sont </w:t>
      </w:r>
      <w:r w:rsidR="0003105E">
        <w:rPr>
          <w:rFonts w:ascii="Book Antiqua" w:hAnsi="Book Antiqua" w:cs="Times New Roman"/>
          <w:noProof w:val="0"/>
          <w:sz w:val="27"/>
          <w:szCs w:val="27"/>
        </w:rPr>
        <w:t>enregistrés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parmi les jeunes âgés de 15 à 24 ans (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2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9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,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3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%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) et les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 xml:space="preserve">personnes ayant un diplôme 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(1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8,2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%</w:t>
      </w:r>
      <w:r w:rsidR="00786E25">
        <w:rPr>
          <w:rFonts w:ascii="Book Antiqua" w:hAnsi="Book Antiqua" w:cs="Times New Roman"/>
          <w:noProof w:val="0"/>
          <w:sz w:val="27"/>
          <w:szCs w:val="27"/>
        </w:rPr>
        <w:t>).</w:t>
      </w:r>
    </w:p>
    <w:p w:rsidR="00B920A2" w:rsidRPr="008C74AD" w:rsidRDefault="00B920A2" w:rsidP="00B920A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4F377E" w:rsidRPr="001F0CDE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162307" w:rsidRPr="001F0CDE" w:rsidRDefault="009B7BDC" w:rsidP="00D4207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3 : Evolution du taux de chômage </w:t>
      </w:r>
      <w:r w:rsidR="000E520F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D42077" w:rsidRPr="00532C83"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="00D4207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E520F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trimestres de </w:t>
      </w:r>
      <w:r w:rsidR="000E520F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0E520F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0E520F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</w:t>
      </w:r>
      <w:r w:rsidR="000E520F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sexe et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milieu de résidence (en %).</w:t>
      </w: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CE5DDF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CE5DDF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4917942" cy="2565779"/>
            <wp:effectExtent l="19050" t="0" r="16008" b="5971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58D2" w:rsidRDefault="002658D2" w:rsidP="002658D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0E520F" w:rsidRDefault="002F61B0" w:rsidP="003821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 xml:space="preserve">Par ailleurs, </w:t>
      </w:r>
      <w:r w:rsidR="00A43641">
        <w:rPr>
          <w:rFonts w:ascii="Book Antiqua" w:hAnsi="Book Antiqua" w:cs="Times New Roman"/>
          <w:noProof w:val="0"/>
          <w:sz w:val="27"/>
          <w:szCs w:val="27"/>
        </w:rPr>
        <w:t>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e volume des actifs occupés 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en situation de sous-emploi a 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augmenté, 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>entre le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s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3821F6" w:rsidRPr="0005515C">
        <w:rPr>
          <w:rFonts w:ascii="Book Antiqua" w:hAnsi="Book Antiqua" w:cs="Times New Roman"/>
          <w:noProof w:val="0"/>
          <w:sz w:val="27"/>
          <w:szCs w:val="27"/>
        </w:rPr>
        <w:t>troisième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s</w:t>
      </w:r>
      <w:r w:rsidR="003821F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>trimestre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s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 xml:space="preserve"> de 2016 et 201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998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0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27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au niveau national, de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470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479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dans les villes et de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528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548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dans la campagne. Le taux de sous-emploi est ainsi passé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de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2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3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urbain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 et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1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5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1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rural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E54B24" w:rsidRDefault="00E54B24" w:rsidP="00E54B24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E54B24" w:rsidRDefault="00E54B24" w:rsidP="00E54B24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3821F6" w:rsidRDefault="003821F6" w:rsidP="003821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0E520F" w:rsidRPr="001F0CDE" w:rsidRDefault="000E520F" w:rsidP="00D4207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lastRenderedPageBreak/>
        <w:t xml:space="preserve">Figure </w:t>
      </w:r>
      <w:r w:rsidR="00982928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</w:t>
      </w:r>
      <w:r w:rsidR="001377D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sous-emploi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D42077" w:rsidRPr="00532C83"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="00D4207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trimestres de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sexe et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milieu de résidence (en %).</w:t>
      </w:r>
    </w:p>
    <w:p w:rsidR="000E520F" w:rsidRPr="00B21092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0E520F" w:rsidRDefault="00F506B6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F506B6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208043" cy="2833654"/>
            <wp:effectExtent l="19050" t="0" r="11657" b="4796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520F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1370F6" w:rsidRPr="00E74D6D" w:rsidRDefault="001370F6" w:rsidP="001370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18"/>
          <w:szCs w:val="18"/>
        </w:rPr>
      </w:pPr>
    </w:p>
    <w:p w:rsidR="00CA23A0" w:rsidRDefault="00A04014" w:rsidP="00A04014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taux de sous-emploi </w:t>
      </w:r>
      <w:r w:rsidR="00E74D6D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atteint 11,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2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% parmi l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es hommes 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(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8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,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3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 xml:space="preserve">% en milieu urbain contre 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15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% en milieu rural) et 5,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4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% parmi les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 femmes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8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,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2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% en milieu urbain contre 2</w:t>
      </w:r>
      <w:r w:rsidR="004A6379">
        <w:rPr>
          <w:rFonts w:ascii="Book Antiqua" w:hAnsi="Book Antiqua" w:cs="Times New Roman"/>
          <w:noProof w:val="0"/>
          <w:sz w:val="26"/>
          <w:szCs w:val="26"/>
        </w:rPr>
        <w:t>,</w:t>
      </w:r>
      <w:r w:rsidR="00F506B6">
        <w:rPr>
          <w:rFonts w:ascii="Book Antiqua" w:hAnsi="Book Antiqua" w:cs="Times New Roman"/>
          <w:noProof w:val="0"/>
          <w:sz w:val="26"/>
          <w:szCs w:val="26"/>
        </w:rPr>
        <w:t>8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% en milieu rural).</w:t>
      </w: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7749F3" w:rsidRDefault="007749F3" w:rsidP="007749F3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370F6" w:rsidRDefault="001370F6" w:rsidP="001370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370F6" w:rsidRDefault="001370F6" w:rsidP="001370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645857" w:rsidRDefault="009B7BDC" w:rsidP="00CA23A0">
      <w:pPr>
        <w:pStyle w:val="Titre1"/>
        <w:bidi w:val="0"/>
        <w:spacing w:after="0"/>
        <w:jc w:val="center"/>
        <w:rPr>
          <w:rFonts w:ascii="Book Antiqua" w:hAnsi="Book Antiqua"/>
          <w:sz w:val="22"/>
          <w:szCs w:val="22"/>
        </w:rPr>
      </w:pPr>
      <w:r w:rsidRPr="00645857">
        <w:rPr>
          <w:rFonts w:ascii="Book Antiqua" w:hAnsi="Book Antiqua" w:cs="Times New Roman"/>
          <w:color w:val="0070C0"/>
          <w:sz w:val="22"/>
          <w:szCs w:val="22"/>
        </w:rPr>
        <w:lastRenderedPageBreak/>
        <w:t xml:space="preserve">Indicateurs trimestriels d'activité, d’emploi et de chômage par milieu de résidence </w:t>
      </w:r>
      <w:r w:rsidRPr="00645857">
        <w:rPr>
          <w:rFonts w:ascii="Book Antiqua" w:hAnsi="Book Antiqua" w:cs="Times New Roman"/>
          <w:color w:val="0070C0"/>
          <w:sz w:val="22"/>
          <w:szCs w:val="22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0E520F" w:rsidRPr="00645857" w:rsidTr="00631629">
        <w:trPr>
          <w:jc w:val="center"/>
        </w:trPr>
        <w:tc>
          <w:tcPr>
            <w:tcW w:w="4348" w:type="dxa"/>
            <w:vMerge w:val="restart"/>
            <w:vAlign w:val="center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</w:tcPr>
          <w:p w:rsidR="000E520F" w:rsidRPr="00645857" w:rsidRDefault="00461B8C" w:rsidP="00B920A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>
              <w:rPr>
                <w:rFonts w:ascii="Garamond" w:hAnsi="Garamond"/>
                <w:b/>
                <w:spacing w:val="-2"/>
              </w:rPr>
              <w:t>3</w:t>
            </w:r>
            <w:r w:rsidR="002541A4">
              <w:rPr>
                <w:rFonts w:ascii="Garamond" w:hAnsi="Garamond"/>
                <w:b/>
                <w:spacing w:val="-2"/>
                <w:vertAlign w:val="superscript"/>
              </w:rPr>
              <w:t>ème</w:t>
            </w:r>
            <w:r w:rsidR="002541A4" w:rsidRPr="00645857">
              <w:rPr>
                <w:rFonts w:ascii="Garamond" w:hAnsi="Garamond"/>
                <w:b/>
                <w:spacing w:val="-2"/>
              </w:rPr>
              <w:t xml:space="preserve">  </w:t>
            </w:r>
            <w:r w:rsidR="000E520F" w:rsidRPr="00645857">
              <w:rPr>
                <w:rFonts w:ascii="Garamond" w:hAnsi="Garamond"/>
                <w:b/>
                <w:spacing w:val="-2"/>
              </w:rPr>
              <w:t xml:space="preserve">  trimestre 2016</w:t>
            </w:r>
            <w:r w:rsidR="00E33AE0" w:rsidRPr="00645857">
              <w:rPr>
                <w:rFonts w:ascii="Garamond" w:hAnsi="Garamond"/>
                <w:b/>
                <w:color w:val="0070C0"/>
                <w:spacing w:val="-2"/>
              </w:rPr>
              <w:t>*</w:t>
            </w:r>
          </w:p>
        </w:tc>
        <w:tc>
          <w:tcPr>
            <w:tcW w:w="3369" w:type="dxa"/>
            <w:gridSpan w:val="3"/>
          </w:tcPr>
          <w:p w:rsidR="000E520F" w:rsidRPr="00645857" w:rsidRDefault="00461B8C" w:rsidP="002541A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>
              <w:rPr>
                <w:rFonts w:ascii="Garamond" w:hAnsi="Garamond"/>
                <w:b/>
                <w:spacing w:val="-2"/>
              </w:rPr>
              <w:t>3</w:t>
            </w:r>
            <w:r w:rsidR="002541A4">
              <w:rPr>
                <w:rFonts w:ascii="Garamond" w:hAnsi="Garamond"/>
                <w:b/>
                <w:spacing w:val="-2"/>
                <w:vertAlign w:val="superscript"/>
              </w:rPr>
              <w:t>ème</w:t>
            </w:r>
            <w:r w:rsidR="000E520F" w:rsidRPr="00645857">
              <w:rPr>
                <w:rFonts w:ascii="Garamond" w:hAnsi="Garamond"/>
                <w:b/>
                <w:spacing w:val="-2"/>
              </w:rPr>
              <w:t xml:space="preserve">  trimestre 2017</w:t>
            </w:r>
          </w:p>
        </w:tc>
      </w:tr>
      <w:tr w:rsidR="000E520F" w:rsidRPr="00645857" w:rsidTr="00631629">
        <w:trPr>
          <w:trHeight w:val="235"/>
          <w:jc w:val="center"/>
        </w:trPr>
        <w:tc>
          <w:tcPr>
            <w:tcW w:w="4348" w:type="dxa"/>
            <w:vMerge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National</w:t>
            </w:r>
          </w:p>
        </w:tc>
        <w:tc>
          <w:tcPr>
            <w:tcW w:w="1124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National</w:t>
            </w:r>
          </w:p>
        </w:tc>
      </w:tr>
      <w:tr w:rsidR="000E520F" w:rsidRPr="00645857" w:rsidTr="00631629">
        <w:trPr>
          <w:trHeight w:val="170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95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4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</w:tr>
      <w:tr w:rsidR="007529A1" w:rsidRPr="00645857" w:rsidTr="007529A1">
        <w:trPr>
          <w:trHeight w:val="284"/>
          <w:jc w:val="center"/>
        </w:trPr>
        <w:tc>
          <w:tcPr>
            <w:tcW w:w="4348" w:type="dxa"/>
          </w:tcPr>
          <w:p w:rsidR="007529A1" w:rsidRPr="00645857" w:rsidRDefault="007529A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7529A1" w:rsidRDefault="007529A1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6699</w:t>
            </w:r>
          </w:p>
        </w:tc>
        <w:tc>
          <w:tcPr>
            <w:tcW w:w="952" w:type="dxa"/>
            <w:vAlign w:val="center"/>
          </w:tcPr>
          <w:p w:rsidR="007529A1" w:rsidRDefault="007529A1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4809</w:t>
            </w:r>
          </w:p>
        </w:tc>
        <w:tc>
          <w:tcPr>
            <w:tcW w:w="1123" w:type="dxa"/>
            <w:vAlign w:val="center"/>
          </w:tcPr>
          <w:p w:rsidR="007529A1" w:rsidRDefault="007529A1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11508</w:t>
            </w:r>
          </w:p>
        </w:tc>
        <w:tc>
          <w:tcPr>
            <w:tcW w:w="1124" w:type="dxa"/>
            <w:vAlign w:val="center"/>
          </w:tcPr>
          <w:p w:rsidR="007529A1" w:rsidRDefault="007529A1" w:rsidP="007529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6766</w:t>
            </w:r>
          </w:p>
        </w:tc>
        <w:tc>
          <w:tcPr>
            <w:tcW w:w="1122" w:type="dxa"/>
            <w:vAlign w:val="center"/>
          </w:tcPr>
          <w:p w:rsidR="007529A1" w:rsidRDefault="007529A1" w:rsidP="007529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4873</w:t>
            </w:r>
          </w:p>
        </w:tc>
        <w:tc>
          <w:tcPr>
            <w:tcW w:w="1123" w:type="dxa"/>
            <w:vAlign w:val="center"/>
          </w:tcPr>
          <w:p w:rsidR="007529A1" w:rsidRDefault="007529A1" w:rsidP="007529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11639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21,8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26,2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23,6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21,9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26,2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23,7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42,2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52,0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45,8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41,5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52,4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45,5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67,7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76,5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71,0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66,7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77,0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70,5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18,0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27,3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21,3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17,8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27,6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21,3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21,9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32,2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26,1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22,5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33,1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26,8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58,8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59,7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59,1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58,2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61,6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59,4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58,3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65,8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60,9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57,4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66,6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60,6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35,9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55,0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42,7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34,5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54,0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41,3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37,1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54,7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45,7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35,6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54,8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44,9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46,3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44,4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45,9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46,4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46,1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46,3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645857">
              <w:rPr>
                <w:rFonts w:ascii="Garamond" w:hAnsi="Garamond"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5726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4588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10314</w:t>
            </w:r>
          </w:p>
        </w:tc>
        <w:tc>
          <w:tcPr>
            <w:tcW w:w="1124" w:type="dxa"/>
            <w:vAlign w:val="center"/>
          </w:tcPr>
          <w:p w:rsidR="00955515" w:rsidRDefault="007529A1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5755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4648</w:t>
            </w:r>
          </w:p>
        </w:tc>
        <w:tc>
          <w:tcPr>
            <w:tcW w:w="1123" w:type="dxa"/>
            <w:vAlign w:val="center"/>
          </w:tcPr>
          <w:p w:rsidR="00955515" w:rsidRDefault="007529A1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10403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36,1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49,6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41,0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35,3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50,0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40,7</w:t>
            </w:r>
          </w:p>
        </w:tc>
      </w:tr>
      <w:tr w:rsidR="00955515" w:rsidRPr="00645857" w:rsidTr="00955515">
        <w:trPr>
          <w:trHeight w:val="586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97,3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68,5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84,5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97,2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68,3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84,3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68,2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41,5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58,6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67,0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43,4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58,4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vAlign w:val="center"/>
          </w:tcPr>
          <w:p w:rsidR="00955515" w:rsidRDefault="00466A26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52" w:type="dxa"/>
            <w:vAlign w:val="center"/>
          </w:tcPr>
          <w:p w:rsidR="00955515" w:rsidRDefault="00466A26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23" w:type="dxa"/>
            <w:vAlign w:val="center"/>
          </w:tcPr>
          <w:p w:rsidR="00955515" w:rsidRDefault="00466A26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124" w:type="dxa"/>
            <w:vAlign w:val="center"/>
          </w:tcPr>
          <w:p w:rsidR="00955515" w:rsidRDefault="00466A26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122" w:type="dxa"/>
            <w:vAlign w:val="center"/>
          </w:tcPr>
          <w:p w:rsidR="00955515" w:rsidRDefault="00466A26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56,6</w:t>
            </w:r>
          </w:p>
        </w:tc>
        <w:tc>
          <w:tcPr>
            <w:tcW w:w="1123" w:type="dxa"/>
            <w:vAlign w:val="center"/>
          </w:tcPr>
          <w:p w:rsidR="00955515" w:rsidRDefault="00466A26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645857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470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528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998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479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548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1027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8,2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11,5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9,7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8,3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11,8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9,9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bidi w:val="0"/>
              <w:jc w:val="center"/>
              <w:rPr>
                <w:rFonts w:ascii="Arial" w:hAnsi="Arial" w:cs="Arial"/>
              </w:rPr>
            </w:pP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973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221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1194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1011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225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1236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37,0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19,8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33,8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37,0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19,9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33,9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14,5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4,6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10,4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14,9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4,6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10,6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11,7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5,0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9,0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12,1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5,0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9,2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24,6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3,5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14,8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25,2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3,5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15,1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</w:tr>
      <w:tr w:rsidR="00CE5FFA" w:rsidRPr="00645857" w:rsidTr="00955515">
        <w:trPr>
          <w:trHeight w:val="284"/>
          <w:jc w:val="center"/>
        </w:trPr>
        <w:tc>
          <w:tcPr>
            <w:tcW w:w="4348" w:type="dxa"/>
          </w:tcPr>
          <w:p w:rsidR="00CE5FFA" w:rsidRPr="00645857" w:rsidRDefault="00CE5FFA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vAlign w:val="center"/>
          </w:tcPr>
          <w:p w:rsidR="00CE5FFA" w:rsidRDefault="00CE5FFA">
            <w:pPr>
              <w:jc w:val="center"/>
            </w:pPr>
            <w:r>
              <w:rPr>
                <w:rtl/>
              </w:rPr>
              <w:t>44,5</w:t>
            </w:r>
          </w:p>
        </w:tc>
        <w:tc>
          <w:tcPr>
            <w:tcW w:w="952" w:type="dxa"/>
            <w:vAlign w:val="center"/>
          </w:tcPr>
          <w:p w:rsidR="00CE5FFA" w:rsidRDefault="00CE5FFA">
            <w:pPr>
              <w:jc w:val="center"/>
            </w:pPr>
            <w:r>
              <w:rPr>
                <w:rtl/>
              </w:rPr>
              <w:t>13,4</w:t>
            </w:r>
          </w:p>
        </w:tc>
        <w:tc>
          <w:tcPr>
            <w:tcW w:w="1123" w:type="dxa"/>
            <w:vAlign w:val="center"/>
          </w:tcPr>
          <w:p w:rsidR="00CE5FFA" w:rsidRDefault="00CE5FFA">
            <w:pPr>
              <w:jc w:val="center"/>
            </w:pPr>
            <w:r>
              <w:rPr>
                <w:rtl/>
              </w:rPr>
              <w:t>28,9</w:t>
            </w:r>
          </w:p>
        </w:tc>
        <w:tc>
          <w:tcPr>
            <w:tcW w:w="1124" w:type="dxa"/>
            <w:vAlign w:val="center"/>
          </w:tcPr>
          <w:p w:rsidR="00CE5FFA" w:rsidRDefault="00CE5FFA">
            <w:pPr>
              <w:jc w:val="center"/>
            </w:pPr>
            <w:r>
              <w:rPr>
                <w:rtl/>
              </w:rPr>
              <w:t>45,2</w:t>
            </w:r>
          </w:p>
        </w:tc>
        <w:tc>
          <w:tcPr>
            <w:tcW w:w="1122" w:type="dxa"/>
            <w:vAlign w:val="center"/>
          </w:tcPr>
          <w:p w:rsidR="00CE5FFA" w:rsidRDefault="00CE5FFA">
            <w:pPr>
              <w:jc w:val="center"/>
            </w:pPr>
            <w:r>
              <w:rPr>
                <w:rtl/>
              </w:rPr>
              <w:t>13,4</w:t>
            </w:r>
          </w:p>
        </w:tc>
        <w:tc>
          <w:tcPr>
            <w:tcW w:w="1123" w:type="dxa"/>
            <w:vAlign w:val="center"/>
          </w:tcPr>
          <w:p w:rsidR="00CE5FFA" w:rsidRDefault="00CE5FFA">
            <w:pPr>
              <w:jc w:val="center"/>
            </w:pPr>
            <w:r>
              <w:rPr>
                <w:rtl/>
              </w:rPr>
              <w:t>29,3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20,7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5,9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15,3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</w:pPr>
            <w:r>
              <w:rPr>
                <w:rtl/>
              </w:rPr>
              <w:t>21,3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5,9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15,6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7,1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2,4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5,3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7,4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2,4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5,5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3,2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1,1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2,2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3,3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1,1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2,3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5,8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3,8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7,0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4,2</w:t>
            </w:r>
          </w:p>
        </w:tc>
      </w:tr>
      <w:tr w:rsidR="00955515" w:rsidRPr="00645857" w:rsidTr="00955515">
        <w:trPr>
          <w:trHeight w:val="284"/>
          <w:jc w:val="center"/>
        </w:trPr>
        <w:tc>
          <w:tcPr>
            <w:tcW w:w="4348" w:type="dxa"/>
          </w:tcPr>
          <w:p w:rsidR="00955515" w:rsidRPr="00645857" w:rsidRDefault="00955515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19,8</w:t>
            </w:r>
          </w:p>
        </w:tc>
        <w:tc>
          <w:tcPr>
            <w:tcW w:w="95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12,2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18,1</w:t>
            </w:r>
          </w:p>
        </w:tc>
        <w:tc>
          <w:tcPr>
            <w:tcW w:w="1124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19,9</w:t>
            </w:r>
          </w:p>
        </w:tc>
        <w:tc>
          <w:tcPr>
            <w:tcW w:w="1122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12,3</w:t>
            </w:r>
          </w:p>
        </w:tc>
        <w:tc>
          <w:tcPr>
            <w:tcW w:w="1123" w:type="dxa"/>
            <w:vAlign w:val="center"/>
          </w:tcPr>
          <w:p w:rsidR="00955515" w:rsidRDefault="00955515" w:rsidP="0095551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18,2</w:t>
            </w:r>
          </w:p>
        </w:tc>
      </w:tr>
    </w:tbl>
    <w:p w:rsidR="009B7BDC" w:rsidRDefault="000C77C1" w:rsidP="009B7BDC">
      <w:pPr>
        <w:tabs>
          <w:tab w:val="left" w:pos="-720"/>
        </w:tabs>
        <w:suppressAutoHyphens/>
        <w:jc w:val="right"/>
      </w:pPr>
      <w:r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2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E33AE0" w:rsidRPr="00E10ACC" w:rsidRDefault="00E33AE0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E33AE0">
        <w:rPr>
          <w:rFonts w:ascii="Book Antiqua" w:hAnsi="Book Antiqua" w:cs="Times New Roman"/>
          <w:b/>
          <w:sz w:val="16"/>
          <w:szCs w:val="16"/>
        </w:rPr>
        <w:t xml:space="preserve">* : données </w:t>
      </w:r>
      <w:r w:rsidR="0064685F">
        <w:rPr>
          <w:rFonts w:ascii="Book Antiqua" w:hAnsi="Book Antiqua" w:cs="Times New Roman"/>
          <w:b/>
          <w:sz w:val="16"/>
          <w:szCs w:val="16"/>
        </w:rPr>
        <w:t>réajustées</w:t>
      </w:r>
      <w:r w:rsidRPr="00E33AE0">
        <w:rPr>
          <w:rFonts w:ascii="Book Antiqua" w:hAnsi="Book Antiqua" w:cs="Times New Roman"/>
          <w:b/>
          <w:sz w:val="16"/>
          <w:szCs w:val="16"/>
        </w:rPr>
        <w:t xml:space="preserve"> sur la base des nouvelles projections de la population</w:t>
      </w:r>
      <w:r w:rsidR="00E90E9F">
        <w:rPr>
          <w:rFonts w:ascii="Book Antiqua" w:hAnsi="Book Antiqua" w:cs="Times New Roman"/>
          <w:b/>
          <w:sz w:val="16"/>
          <w:szCs w:val="16"/>
        </w:rPr>
        <w:t xml:space="preserve"> basées sur les données du RGPH de 2014</w:t>
      </w:r>
      <w:r>
        <w:rPr>
          <w:rFonts w:ascii="Book Antiqua" w:hAnsi="Book Antiqua" w:cs="Times New Roman"/>
          <w:b/>
          <w:sz w:val="16"/>
          <w:szCs w:val="16"/>
        </w:rPr>
        <w:t>.</w:t>
      </w:r>
    </w:p>
    <w:sectPr w:rsidR="00E33AE0" w:rsidRPr="00E10ACC" w:rsidSect="00656156">
      <w:footerReference w:type="even" r:id="rId13"/>
      <w:footerReference w:type="default" r:id="rId14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BF" w:rsidRDefault="003E44BF" w:rsidP="009B7BDC">
      <w:r>
        <w:separator/>
      </w:r>
    </w:p>
  </w:endnote>
  <w:endnote w:type="continuationSeparator" w:id="1">
    <w:p w:rsidR="003E44BF" w:rsidRDefault="003E44BF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27" w:rsidRDefault="00C7003B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B33D27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B33D27" w:rsidRDefault="00B33D2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27" w:rsidRDefault="00C7003B">
    <w:pPr>
      <w:pStyle w:val="Pieddepage"/>
      <w:jc w:val="center"/>
    </w:pPr>
    <w:fldSimple w:instr=" PAGE   \* MERGEFORMAT ">
      <w:r w:rsidR="00D30383">
        <w:rPr>
          <w:rtl/>
        </w:rPr>
        <w:t>1</w:t>
      </w:r>
    </w:fldSimple>
  </w:p>
  <w:p w:rsidR="00B33D27" w:rsidRDefault="00B33D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BF" w:rsidRDefault="003E44BF" w:rsidP="009B7BDC">
      <w:r>
        <w:separator/>
      </w:r>
    </w:p>
  </w:footnote>
  <w:footnote w:type="continuationSeparator" w:id="1">
    <w:p w:rsidR="003E44BF" w:rsidRDefault="003E44BF" w:rsidP="009B7BDC">
      <w:r>
        <w:continuationSeparator/>
      </w:r>
    </w:p>
  </w:footnote>
  <w:footnote w:id="2">
    <w:p w:rsidR="008C451D" w:rsidRDefault="008C451D" w:rsidP="008C451D">
      <w:pPr>
        <w:pStyle w:val="Notedebasdepage"/>
      </w:pPr>
      <w:r>
        <w:rPr>
          <w:rStyle w:val="Appelnotedebasdep"/>
        </w:rPr>
        <w:footnoteRef/>
      </w:r>
      <w:r>
        <w:t xml:space="preserve"> A souligner que le secteur de </w:t>
      </w:r>
      <w:r w:rsidRPr="008C451D">
        <w:t>l’"industrie y compris l’artisanat"</w:t>
      </w:r>
      <w:r>
        <w:t xml:space="preserve"> a créé </w:t>
      </w:r>
      <w:r w:rsidRPr="008C451D">
        <w:t>34.000 postes en 2014 et 16.000 en 2015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4"/>
  </w:num>
  <w:num w:numId="23">
    <w:abstractNumId w:val="14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36D5"/>
    <w:rsid w:val="000067CA"/>
    <w:rsid w:val="00011D3D"/>
    <w:rsid w:val="00013BA3"/>
    <w:rsid w:val="00014582"/>
    <w:rsid w:val="00014CF6"/>
    <w:rsid w:val="000202F5"/>
    <w:rsid w:val="0002267C"/>
    <w:rsid w:val="000232B7"/>
    <w:rsid w:val="000270BA"/>
    <w:rsid w:val="0003105E"/>
    <w:rsid w:val="00031FF6"/>
    <w:rsid w:val="000321DC"/>
    <w:rsid w:val="00032ECC"/>
    <w:rsid w:val="00034227"/>
    <w:rsid w:val="0003474C"/>
    <w:rsid w:val="00041421"/>
    <w:rsid w:val="00041CFC"/>
    <w:rsid w:val="00045ADB"/>
    <w:rsid w:val="000504B2"/>
    <w:rsid w:val="00051B7D"/>
    <w:rsid w:val="00053261"/>
    <w:rsid w:val="000535DC"/>
    <w:rsid w:val="0005515C"/>
    <w:rsid w:val="000602F1"/>
    <w:rsid w:val="00061F04"/>
    <w:rsid w:val="00072D21"/>
    <w:rsid w:val="000777D9"/>
    <w:rsid w:val="00077CA6"/>
    <w:rsid w:val="00080969"/>
    <w:rsid w:val="00083DF9"/>
    <w:rsid w:val="0008797F"/>
    <w:rsid w:val="00087A04"/>
    <w:rsid w:val="000900D2"/>
    <w:rsid w:val="00093F6E"/>
    <w:rsid w:val="000941F7"/>
    <w:rsid w:val="000956F4"/>
    <w:rsid w:val="00095E28"/>
    <w:rsid w:val="00095F91"/>
    <w:rsid w:val="00096A55"/>
    <w:rsid w:val="00097663"/>
    <w:rsid w:val="000A1756"/>
    <w:rsid w:val="000A2BD0"/>
    <w:rsid w:val="000A7F83"/>
    <w:rsid w:val="000B020E"/>
    <w:rsid w:val="000B0723"/>
    <w:rsid w:val="000B0787"/>
    <w:rsid w:val="000B11D7"/>
    <w:rsid w:val="000B22E0"/>
    <w:rsid w:val="000B40A9"/>
    <w:rsid w:val="000B7C44"/>
    <w:rsid w:val="000C0A3F"/>
    <w:rsid w:val="000C14C7"/>
    <w:rsid w:val="000C1515"/>
    <w:rsid w:val="000C333C"/>
    <w:rsid w:val="000C3F2F"/>
    <w:rsid w:val="000C67DE"/>
    <w:rsid w:val="000C77C1"/>
    <w:rsid w:val="000D1994"/>
    <w:rsid w:val="000D2029"/>
    <w:rsid w:val="000D32D4"/>
    <w:rsid w:val="000D3D51"/>
    <w:rsid w:val="000D4E21"/>
    <w:rsid w:val="000D620D"/>
    <w:rsid w:val="000D6D42"/>
    <w:rsid w:val="000D6E13"/>
    <w:rsid w:val="000E35C2"/>
    <w:rsid w:val="000E3932"/>
    <w:rsid w:val="000E520F"/>
    <w:rsid w:val="000F06FA"/>
    <w:rsid w:val="000F0F08"/>
    <w:rsid w:val="000F2AC1"/>
    <w:rsid w:val="000F5277"/>
    <w:rsid w:val="00100B48"/>
    <w:rsid w:val="00103D01"/>
    <w:rsid w:val="00104C01"/>
    <w:rsid w:val="00105507"/>
    <w:rsid w:val="00105F5B"/>
    <w:rsid w:val="00106903"/>
    <w:rsid w:val="0010723B"/>
    <w:rsid w:val="001079B3"/>
    <w:rsid w:val="001149F3"/>
    <w:rsid w:val="00115E39"/>
    <w:rsid w:val="00121E86"/>
    <w:rsid w:val="00124191"/>
    <w:rsid w:val="00125A7B"/>
    <w:rsid w:val="00130230"/>
    <w:rsid w:val="00134887"/>
    <w:rsid w:val="00136051"/>
    <w:rsid w:val="001370F6"/>
    <w:rsid w:val="001377D7"/>
    <w:rsid w:val="00141451"/>
    <w:rsid w:val="00141B87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42D5"/>
    <w:rsid w:val="00166584"/>
    <w:rsid w:val="00167332"/>
    <w:rsid w:val="001702E4"/>
    <w:rsid w:val="00176A6B"/>
    <w:rsid w:val="00182B14"/>
    <w:rsid w:val="00183B22"/>
    <w:rsid w:val="00191D38"/>
    <w:rsid w:val="00192C7A"/>
    <w:rsid w:val="00193E74"/>
    <w:rsid w:val="00196031"/>
    <w:rsid w:val="00197DD9"/>
    <w:rsid w:val="001A1000"/>
    <w:rsid w:val="001A2FBA"/>
    <w:rsid w:val="001A41FD"/>
    <w:rsid w:val="001A5213"/>
    <w:rsid w:val="001A57B8"/>
    <w:rsid w:val="001A79E3"/>
    <w:rsid w:val="001B752F"/>
    <w:rsid w:val="001C1C98"/>
    <w:rsid w:val="001C2022"/>
    <w:rsid w:val="001C2B79"/>
    <w:rsid w:val="001C3191"/>
    <w:rsid w:val="001C369C"/>
    <w:rsid w:val="001C477B"/>
    <w:rsid w:val="001D056F"/>
    <w:rsid w:val="001D0B3C"/>
    <w:rsid w:val="001D6147"/>
    <w:rsid w:val="001D6423"/>
    <w:rsid w:val="001D69C5"/>
    <w:rsid w:val="001D6C2B"/>
    <w:rsid w:val="001E29FB"/>
    <w:rsid w:val="001E3468"/>
    <w:rsid w:val="001E5A43"/>
    <w:rsid w:val="001F0CDE"/>
    <w:rsid w:val="001F5D2F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12B1D"/>
    <w:rsid w:val="00213DF5"/>
    <w:rsid w:val="002266DF"/>
    <w:rsid w:val="002335AD"/>
    <w:rsid w:val="002335BD"/>
    <w:rsid w:val="002401EC"/>
    <w:rsid w:val="002418DA"/>
    <w:rsid w:val="00244488"/>
    <w:rsid w:val="00245679"/>
    <w:rsid w:val="00246DBB"/>
    <w:rsid w:val="00246FAD"/>
    <w:rsid w:val="0024749E"/>
    <w:rsid w:val="00253C9D"/>
    <w:rsid w:val="002541A4"/>
    <w:rsid w:val="00260506"/>
    <w:rsid w:val="00262DE6"/>
    <w:rsid w:val="002658D2"/>
    <w:rsid w:val="00266EC8"/>
    <w:rsid w:val="002740C0"/>
    <w:rsid w:val="002751AD"/>
    <w:rsid w:val="00280727"/>
    <w:rsid w:val="002904B2"/>
    <w:rsid w:val="002904D5"/>
    <w:rsid w:val="00291E1C"/>
    <w:rsid w:val="002927C0"/>
    <w:rsid w:val="0029702A"/>
    <w:rsid w:val="00297F0C"/>
    <w:rsid w:val="002A705A"/>
    <w:rsid w:val="002B6766"/>
    <w:rsid w:val="002B7327"/>
    <w:rsid w:val="002C0306"/>
    <w:rsid w:val="002C0E45"/>
    <w:rsid w:val="002C6F14"/>
    <w:rsid w:val="002D215C"/>
    <w:rsid w:val="002D3A05"/>
    <w:rsid w:val="002E3D9E"/>
    <w:rsid w:val="002E5331"/>
    <w:rsid w:val="002F0097"/>
    <w:rsid w:val="002F0F38"/>
    <w:rsid w:val="002F1DDA"/>
    <w:rsid w:val="002F2041"/>
    <w:rsid w:val="002F5A6D"/>
    <w:rsid w:val="002F61B0"/>
    <w:rsid w:val="002F6965"/>
    <w:rsid w:val="002F77EA"/>
    <w:rsid w:val="003009BE"/>
    <w:rsid w:val="003016C7"/>
    <w:rsid w:val="00301C9F"/>
    <w:rsid w:val="00303C6A"/>
    <w:rsid w:val="00303D9A"/>
    <w:rsid w:val="00307067"/>
    <w:rsid w:val="0030747B"/>
    <w:rsid w:val="00311472"/>
    <w:rsid w:val="0031272B"/>
    <w:rsid w:val="003147DC"/>
    <w:rsid w:val="0031789D"/>
    <w:rsid w:val="00321589"/>
    <w:rsid w:val="003234EF"/>
    <w:rsid w:val="003243C6"/>
    <w:rsid w:val="00324D85"/>
    <w:rsid w:val="00326668"/>
    <w:rsid w:val="0033138F"/>
    <w:rsid w:val="003327AC"/>
    <w:rsid w:val="00332FCB"/>
    <w:rsid w:val="003339D0"/>
    <w:rsid w:val="00333E03"/>
    <w:rsid w:val="00335229"/>
    <w:rsid w:val="003357ED"/>
    <w:rsid w:val="003406FA"/>
    <w:rsid w:val="00346C90"/>
    <w:rsid w:val="0035285B"/>
    <w:rsid w:val="00354F8F"/>
    <w:rsid w:val="003559CF"/>
    <w:rsid w:val="00356D69"/>
    <w:rsid w:val="0035750D"/>
    <w:rsid w:val="0036114C"/>
    <w:rsid w:val="00365E1C"/>
    <w:rsid w:val="00365F31"/>
    <w:rsid w:val="00366F24"/>
    <w:rsid w:val="00370945"/>
    <w:rsid w:val="00371790"/>
    <w:rsid w:val="00377111"/>
    <w:rsid w:val="00381928"/>
    <w:rsid w:val="003821F6"/>
    <w:rsid w:val="0038352E"/>
    <w:rsid w:val="00387079"/>
    <w:rsid w:val="003916BC"/>
    <w:rsid w:val="00391E0C"/>
    <w:rsid w:val="00392DE5"/>
    <w:rsid w:val="003947EF"/>
    <w:rsid w:val="003974FC"/>
    <w:rsid w:val="003A41F5"/>
    <w:rsid w:val="003B14DA"/>
    <w:rsid w:val="003B2C21"/>
    <w:rsid w:val="003B3864"/>
    <w:rsid w:val="003B532C"/>
    <w:rsid w:val="003B6BD1"/>
    <w:rsid w:val="003C7C3E"/>
    <w:rsid w:val="003D46ED"/>
    <w:rsid w:val="003D7C3C"/>
    <w:rsid w:val="003E021C"/>
    <w:rsid w:val="003E0955"/>
    <w:rsid w:val="003E0AB3"/>
    <w:rsid w:val="003E439F"/>
    <w:rsid w:val="003E44BF"/>
    <w:rsid w:val="003E551D"/>
    <w:rsid w:val="003E5801"/>
    <w:rsid w:val="003E663D"/>
    <w:rsid w:val="003E69E3"/>
    <w:rsid w:val="00401B35"/>
    <w:rsid w:val="00402747"/>
    <w:rsid w:val="00402C0A"/>
    <w:rsid w:val="00407137"/>
    <w:rsid w:val="00407321"/>
    <w:rsid w:val="00411874"/>
    <w:rsid w:val="00415FC5"/>
    <w:rsid w:val="00416531"/>
    <w:rsid w:val="0042300F"/>
    <w:rsid w:val="004239C2"/>
    <w:rsid w:val="00430900"/>
    <w:rsid w:val="00436005"/>
    <w:rsid w:val="00443063"/>
    <w:rsid w:val="004438FD"/>
    <w:rsid w:val="004446EF"/>
    <w:rsid w:val="0044517B"/>
    <w:rsid w:val="004508A6"/>
    <w:rsid w:val="00451EA7"/>
    <w:rsid w:val="00455DCB"/>
    <w:rsid w:val="00455DD5"/>
    <w:rsid w:val="00457E00"/>
    <w:rsid w:val="00461B8C"/>
    <w:rsid w:val="004624DA"/>
    <w:rsid w:val="00463923"/>
    <w:rsid w:val="0046540F"/>
    <w:rsid w:val="00466A26"/>
    <w:rsid w:val="0047003F"/>
    <w:rsid w:val="004714A7"/>
    <w:rsid w:val="00475616"/>
    <w:rsid w:val="00480436"/>
    <w:rsid w:val="004818EB"/>
    <w:rsid w:val="00482CD8"/>
    <w:rsid w:val="0048324E"/>
    <w:rsid w:val="004850F2"/>
    <w:rsid w:val="00485161"/>
    <w:rsid w:val="004865A5"/>
    <w:rsid w:val="00486714"/>
    <w:rsid w:val="00486A69"/>
    <w:rsid w:val="004949BA"/>
    <w:rsid w:val="0049522F"/>
    <w:rsid w:val="004A1C93"/>
    <w:rsid w:val="004A3499"/>
    <w:rsid w:val="004A3846"/>
    <w:rsid w:val="004A6379"/>
    <w:rsid w:val="004A6B2B"/>
    <w:rsid w:val="004B1246"/>
    <w:rsid w:val="004B57CB"/>
    <w:rsid w:val="004C3E90"/>
    <w:rsid w:val="004D5F28"/>
    <w:rsid w:val="004E191F"/>
    <w:rsid w:val="004E591D"/>
    <w:rsid w:val="004E5F1B"/>
    <w:rsid w:val="004F1682"/>
    <w:rsid w:val="004F19A4"/>
    <w:rsid w:val="004F377E"/>
    <w:rsid w:val="004F7EDC"/>
    <w:rsid w:val="005049E1"/>
    <w:rsid w:val="0051011B"/>
    <w:rsid w:val="005107C6"/>
    <w:rsid w:val="005146C1"/>
    <w:rsid w:val="00515FF7"/>
    <w:rsid w:val="00516A0D"/>
    <w:rsid w:val="0052168E"/>
    <w:rsid w:val="0052199A"/>
    <w:rsid w:val="00526EC4"/>
    <w:rsid w:val="005271FB"/>
    <w:rsid w:val="00532C03"/>
    <w:rsid w:val="00532C83"/>
    <w:rsid w:val="00534907"/>
    <w:rsid w:val="00535072"/>
    <w:rsid w:val="005450D3"/>
    <w:rsid w:val="0054799F"/>
    <w:rsid w:val="00551DEF"/>
    <w:rsid w:val="0055311A"/>
    <w:rsid w:val="00553EAF"/>
    <w:rsid w:val="00556660"/>
    <w:rsid w:val="00556844"/>
    <w:rsid w:val="005575CD"/>
    <w:rsid w:val="00560D4E"/>
    <w:rsid w:val="00561BBC"/>
    <w:rsid w:val="00562615"/>
    <w:rsid w:val="00567C6D"/>
    <w:rsid w:val="005712EB"/>
    <w:rsid w:val="00572032"/>
    <w:rsid w:val="0057242B"/>
    <w:rsid w:val="00573B4F"/>
    <w:rsid w:val="005757FC"/>
    <w:rsid w:val="0058340E"/>
    <w:rsid w:val="0058541B"/>
    <w:rsid w:val="00586FB3"/>
    <w:rsid w:val="0058746A"/>
    <w:rsid w:val="00587F1E"/>
    <w:rsid w:val="00592218"/>
    <w:rsid w:val="0059568E"/>
    <w:rsid w:val="00595BCE"/>
    <w:rsid w:val="005963A3"/>
    <w:rsid w:val="00596488"/>
    <w:rsid w:val="0059727A"/>
    <w:rsid w:val="005B4074"/>
    <w:rsid w:val="005B4762"/>
    <w:rsid w:val="005C004D"/>
    <w:rsid w:val="005C4A2E"/>
    <w:rsid w:val="005C4D04"/>
    <w:rsid w:val="005C4DC4"/>
    <w:rsid w:val="005D0BB3"/>
    <w:rsid w:val="005D2D4F"/>
    <w:rsid w:val="005D3E76"/>
    <w:rsid w:val="005D3FBE"/>
    <w:rsid w:val="005D75FA"/>
    <w:rsid w:val="005D7925"/>
    <w:rsid w:val="005D7C6C"/>
    <w:rsid w:val="005E3B8E"/>
    <w:rsid w:val="005F27BD"/>
    <w:rsid w:val="005F436C"/>
    <w:rsid w:val="005F745D"/>
    <w:rsid w:val="006022C1"/>
    <w:rsid w:val="00607EFC"/>
    <w:rsid w:val="0061151B"/>
    <w:rsid w:val="006147D1"/>
    <w:rsid w:val="006158A0"/>
    <w:rsid w:val="00617A07"/>
    <w:rsid w:val="00621116"/>
    <w:rsid w:val="0062483C"/>
    <w:rsid w:val="0062649B"/>
    <w:rsid w:val="00631629"/>
    <w:rsid w:val="00632FC8"/>
    <w:rsid w:val="00633B4C"/>
    <w:rsid w:val="00634C97"/>
    <w:rsid w:val="006369B4"/>
    <w:rsid w:val="0064010A"/>
    <w:rsid w:val="006424B5"/>
    <w:rsid w:val="00645857"/>
    <w:rsid w:val="0064685F"/>
    <w:rsid w:val="00646968"/>
    <w:rsid w:val="0065328B"/>
    <w:rsid w:val="00654DE5"/>
    <w:rsid w:val="00656156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92D50"/>
    <w:rsid w:val="00694895"/>
    <w:rsid w:val="00694C10"/>
    <w:rsid w:val="006A0743"/>
    <w:rsid w:val="006A2722"/>
    <w:rsid w:val="006A7A6F"/>
    <w:rsid w:val="006B01AA"/>
    <w:rsid w:val="006B076E"/>
    <w:rsid w:val="006B2DCD"/>
    <w:rsid w:val="006B4380"/>
    <w:rsid w:val="006B54BC"/>
    <w:rsid w:val="006B5E31"/>
    <w:rsid w:val="006B728A"/>
    <w:rsid w:val="006C0EFF"/>
    <w:rsid w:val="006C27F1"/>
    <w:rsid w:val="006C41C1"/>
    <w:rsid w:val="006D2076"/>
    <w:rsid w:val="006D2DA8"/>
    <w:rsid w:val="006D3A5A"/>
    <w:rsid w:val="006D3CA9"/>
    <w:rsid w:val="006D689B"/>
    <w:rsid w:val="006D6CA2"/>
    <w:rsid w:val="006D78AE"/>
    <w:rsid w:val="006E0314"/>
    <w:rsid w:val="006E2D69"/>
    <w:rsid w:val="006E7126"/>
    <w:rsid w:val="006F12EA"/>
    <w:rsid w:val="006F1B18"/>
    <w:rsid w:val="006F3794"/>
    <w:rsid w:val="006F3A59"/>
    <w:rsid w:val="00700EDE"/>
    <w:rsid w:val="007031F3"/>
    <w:rsid w:val="007074DC"/>
    <w:rsid w:val="00711D60"/>
    <w:rsid w:val="00713ABE"/>
    <w:rsid w:val="00716A57"/>
    <w:rsid w:val="00720F88"/>
    <w:rsid w:val="00722E2B"/>
    <w:rsid w:val="00725405"/>
    <w:rsid w:val="0072639B"/>
    <w:rsid w:val="007277B9"/>
    <w:rsid w:val="0073004D"/>
    <w:rsid w:val="00732456"/>
    <w:rsid w:val="007363FB"/>
    <w:rsid w:val="00737133"/>
    <w:rsid w:val="007403B9"/>
    <w:rsid w:val="00740F5B"/>
    <w:rsid w:val="007416B0"/>
    <w:rsid w:val="007417C8"/>
    <w:rsid w:val="00742B5A"/>
    <w:rsid w:val="007448F5"/>
    <w:rsid w:val="00745765"/>
    <w:rsid w:val="00745D4F"/>
    <w:rsid w:val="007504F7"/>
    <w:rsid w:val="0075061D"/>
    <w:rsid w:val="00752217"/>
    <w:rsid w:val="0075243B"/>
    <w:rsid w:val="007529A1"/>
    <w:rsid w:val="00760EE0"/>
    <w:rsid w:val="00764681"/>
    <w:rsid w:val="00771C92"/>
    <w:rsid w:val="007723E6"/>
    <w:rsid w:val="007747E3"/>
    <w:rsid w:val="007749F3"/>
    <w:rsid w:val="007753FD"/>
    <w:rsid w:val="00776830"/>
    <w:rsid w:val="007818E7"/>
    <w:rsid w:val="00782432"/>
    <w:rsid w:val="0078318D"/>
    <w:rsid w:val="007853EB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B126F"/>
    <w:rsid w:val="007B41B8"/>
    <w:rsid w:val="007B758E"/>
    <w:rsid w:val="007C196B"/>
    <w:rsid w:val="007C30FE"/>
    <w:rsid w:val="007C37A3"/>
    <w:rsid w:val="007D3350"/>
    <w:rsid w:val="007D5A6D"/>
    <w:rsid w:val="007D6A1E"/>
    <w:rsid w:val="007E260A"/>
    <w:rsid w:val="007E592B"/>
    <w:rsid w:val="007E726B"/>
    <w:rsid w:val="007F00DF"/>
    <w:rsid w:val="007F16AC"/>
    <w:rsid w:val="007F67B1"/>
    <w:rsid w:val="008003D8"/>
    <w:rsid w:val="00804DAA"/>
    <w:rsid w:val="00807696"/>
    <w:rsid w:val="00810A54"/>
    <w:rsid w:val="008146CB"/>
    <w:rsid w:val="008226F6"/>
    <w:rsid w:val="00823B59"/>
    <w:rsid w:val="00824645"/>
    <w:rsid w:val="00826974"/>
    <w:rsid w:val="00832E39"/>
    <w:rsid w:val="00837DDF"/>
    <w:rsid w:val="00840CB8"/>
    <w:rsid w:val="00842D0F"/>
    <w:rsid w:val="0084327E"/>
    <w:rsid w:val="00843345"/>
    <w:rsid w:val="00845ACE"/>
    <w:rsid w:val="008475C9"/>
    <w:rsid w:val="00847DF6"/>
    <w:rsid w:val="00852079"/>
    <w:rsid w:val="00854E8C"/>
    <w:rsid w:val="00855EAB"/>
    <w:rsid w:val="008575D2"/>
    <w:rsid w:val="00857F9F"/>
    <w:rsid w:val="00862464"/>
    <w:rsid w:val="00863346"/>
    <w:rsid w:val="00864554"/>
    <w:rsid w:val="00866FDE"/>
    <w:rsid w:val="008719DC"/>
    <w:rsid w:val="00872CCC"/>
    <w:rsid w:val="00873B48"/>
    <w:rsid w:val="00873FB9"/>
    <w:rsid w:val="00887424"/>
    <w:rsid w:val="00887BFD"/>
    <w:rsid w:val="00891862"/>
    <w:rsid w:val="00892C5F"/>
    <w:rsid w:val="00893381"/>
    <w:rsid w:val="008964E5"/>
    <w:rsid w:val="008A1B54"/>
    <w:rsid w:val="008A66DD"/>
    <w:rsid w:val="008B0CB8"/>
    <w:rsid w:val="008B2A79"/>
    <w:rsid w:val="008B3AF1"/>
    <w:rsid w:val="008B52E6"/>
    <w:rsid w:val="008C0C61"/>
    <w:rsid w:val="008C2987"/>
    <w:rsid w:val="008C326A"/>
    <w:rsid w:val="008C428E"/>
    <w:rsid w:val="008C44D7"/>
    <w:rsid w:val="008C451D"/>
    <w:rsid w:val="008C74AD"/>
    <w:rsid w:val="008C7604"/>
    <w:rsid w:val="008D2488"/>
    <w:rsid w:val="008D32FF"/>
    <w:rsid w:val="008D455D"/>
    <w:rsid w:val="008D5AF7"/>
    <w:rsid w:val="008D6077"/>
    <w:rsid w:val="008D6162"/>
    <w:rsid w:val="008E0569"/>
    <w:rsid w:val="008E2DEE"/>
    <w:rsid w:val="008E6B8F"/>
    <w:rsid w:val="008E7CB8"/>
    <w:rsid w:val="008F5F11"/>
    <w:rsid w:val="009029E2"/>
    <w:rsid w:val="00902A5B"/>
    <w:rsid w:val="00905EF1"/>
    <w:rsid w:val="00906579"/>
    <w:rsid w:val="00907294"/>
    <w:rsid w:val="00907776"/>
    <w:rsid w:val="00915E14"/>
    <w:rsid w:val="00917700"/>
    <w:rsid w:val="00923A85"/>
    <w:rsid w:val="00924CEE"/>
    <w:rsid w:val="00925EC2"/>
    <w:rsid w:val="00934160"/>
    <w:rsid w:val="0093445A"/>
    <w:rsid w:val="00935004"/>
    <w:rsid w:val="00936097"/>
    <w:rsid w:val="00936FF7"/>
    <w:rsid w:val="009430FC"/>
    <w:rsid w:val="0094430D"/>
    <w:rsid w:val="0094509D"/>
    <w:rsid w:val="00945675"/>
    <w:rsid w:val="0094638B"/>
    <w:rsid w:val="00947677"/>
    <w:rsid w:val="009477D2"/>
    <w:rsid w:val="0095022F"/>
    <w:rsid w:val="009507C1"/>
    <w:rsid w:val="00951269"/>
    <w:rsid w:val="00952068"/>
    <w:rsid w:val="009539AD"/>
    <w:rsid w:val="00955515"/>
    <w:rsid w:val="009576FF"/>
    <w:rsid w:val="00957B36"/>
    <w:rsid w:val="00960C43"/>
    <w:rsid w:val="00961BF9"/>
    <w:rsid w:val="009624A6"/>
    <w:rsid w:val="00962EDB"/>
    <w:rsid w:val="009677B6"/>
    <w:rsid w:val="00973017"/>
    <w:rsid w:val="00973CF3"/>
    <w:rsid w:val="00974FAC"/>
    <w:rsid w:val="00975662"/>
    <w:rsid w:val="00976A52"/>
    <w:rsid w:val="00981804"/>
    <w:rsid w:val="00982928"/>
    <w:rsid w:val="00986DC4"/>
    <w:rsid w:val="00987679"/>
    <w:rsid w:val="00987B4B"/>
    <w:rsid w:val="00987CBD"/>
    <w:rsid w:val="00991146"/>
    <w:rsid w:val="009970C7"/>
    <w:rsid w:val="009A2E65"/>
    <w:rsid w:val="009B0FC9"/>
    <w:rsid w:val="009B1B4B"/>
    <w:rsid w:val="009B30F8"/>
    <w:rsid w:val="009B36F5"/>
    <w:rsid w:val="009B3CCA"/>
    <w:rsid w:val="009B5D75"/>
    <w:rsid w:val="009B71F3"/>
    <w:rsid w:val="009B7BDC"/>
    <w:rsid w:val="009C0396"/>
    <w:rsid w:val="009C2C7D"/>
    <w:rsid w:val="009C2E76"/>
    <w:rsid w:val="009C3B34"/>
    <w:rsid w:val="009C3EFD"/>
    <w:rsid w:val="009C6C3B"/>
    <w:rsid w:val="009D0019"/>
    <w:rsid w:val="009D1F8E"/>
    <w:rsid w:val="009E6715"/>
    <w:rsid w:val="009E7C97"/>
    <w:rsid w:val="009F1C48"/>
    <w:rsid w:val="009F2CF0"/>
    <w:rsid w:val="009F49C5"/>
    <w:rsid w:val="009F4CE2"/>
    <w:rsid w:val="009F58FE"/>
    <w:rsid w:val="009F5BFE"/>
    <w:rsid w:val="009F7CBB"/>
    <w:rsid w:val="00A0113F"/>
    <w:rsid w:val="00A0226B"/>
    <w:rsid w:val="00A02809"/>
    <w:rsid w:val="00A04014"/>
    <w:rsid w:val="00A06968"/>
    <w:rsid w:val="00A06F61"/>
    <w:rsid w:val="00A079D5"/>
    <w:rsid w:val="00A07B8A"/>
    <w:rsid w:val="00A11B53"/>
    <w:rsid w:val="00A239B8"/>
    <w:rsid w:val="00A26394"/>
    <w:rsid w:val="00A307B4"/>
    <w:rsid w:val="00A31234"/>
    <w:rsid w:val="00A33BF2"/>
    <w:rsid w:val="00A3468F"/>
    <w:rsid w:val="00A3669C"/>
    <w:rsid w:val="00A43641"/>
    <w:rsid w:val="00A4441B"/>
    <w:rsid w:val="00A45ACE"/>
    <w:rsid w:val="00A50A98"/>
    <w:rsid w:val="00A50E6D"/>
    <w:rsid w:val="00A54037"/>
    <w:rsid w:val="00A55B76"/>
    <w:rsid w:val="00A57935"/>
    <w:rsid w:val="00A57BAB"/>
    <w:rsid w:val="00A63AA2"/>
    <w:rsid w:val="00A6451A"/>
    <w:rsid w:val="00A651A0"/>
    <w:rsid w:val="00A65800"/>
    <w:rsid w:val="00A80F1F"/>
    <w:rsid w:val="00A822B6"/>
    <w:rsid w:val="00A82335"/>
    <w:rsid w:val="00A84394"/>
    <w:rsid w:val="00A84CA1"/>
    <w:rsid w:val="00A85D11"/>
    <w:rsid w:val="00A878E6"/>
    <w:rsid w:val="00A879BC"/>
    <w:rsid w:val="00A937D3"/>
    <w:rsid w:val="00A94292"/>
    <w:rsid w:val="00AA0C4A"/>
    <w:rsid w:val="00AA3665"/>
    <w:rsid w:val="00AA559F"/>
    <w:rsid w:val="00AA6DFA"/>
    <w:rsid w:val="00AB0075"/>
    <w:rsid w:val="00AB33E6"/>
    <w:rsid w:val="00AB4C6C"/>
    <w:rsid w:val="00AB5675"/>
    <w:rsid w:val="00AC0687"/>
    <w:rsid w:val="00AC0F7F"/>
    <w:rsid w:val="00AC14CA"/>
    <w:rsid w:val="00AC22EF"/>
    <w:rsid w:val="00AC2330"/>
    <w:rsid w:val="00AC27CD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73E1"/>
    <w:rsid w:val="00AE7C2B"/>
    <w:rsid w:val="00AF3DB7"/>
    <w:rsid w:val="00AF4F4B"/>
    <w:rsid w:val="00AF6AE6"/>
    <w:rsid w:val="00AF73D4"/>
    <w:rsid w:val="00B014CA"/>
    <w:rsid w:val="00B04CDD"/>
    <w:rsid w:val="00B0628E"/>
    <w:rsid w:val="00B10715"/>
    <w:rsid w:val="00B20553"/>
    <w:rsid w:val="00B20A2A"/>
    <w:rsid w:val="00B20A66"/>
    <w:rsid w:val="00B24851"/>
    <w:rsid w:val="00B2485D"/>
    <w:rsid w:val="00B26924"/>
    <w:rsid w:val="00B27800"/>
    <w:rsid w:val="00B30B07"/>
    <w:rsid w:val="00B33A95"/>
    <w:rsid w:val="00B33D27"/>
    <w:rsid w:val="00B35F84"/>
    <w:rsid w:val="00B40C98"/>
    <w:rsid w:val="00B42C52"/>
    <w:rsid w:val="00B43912"/>
    <w:rsid w:val="00B44FE1"/>
    <w:rsid w:val="00B45519"/>
    <w:rsid w:val="00B46596"/>
    <w:rsid w:val="00B46A66"/>
    <w:rsid w:val="00B525D5"/>
    <w:rsid w:val="00B53AF8"/>
    <w:rsid w:val="00B57BF8"/>
    <w:rsid w:val="00B6404D"/>
    <w:rsid w:val="00B65171"/>
    <w:rsid w:val="00B678F1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7D64"/>
    <w:rsid w:val="00B920A2"/>
    <w:rsid w:val="00B937F1"/>
    <w:rsid w:val="00B93D1C"/>
    <w:rsid w:val="00B96570"/>
    <w:rsid w:val="00B9685E"/>
    <w:rsid w:val="00B974F9"/>
    <w:rsid w:val="00BA20F0"/>
    <w:rsid w:val="00BA3EA9"/>
    <w:rsid w:val="00BA4E21"/>
    <w:rsid w:val="00BA59DF"/>
    <w:rsid w:val="00BA6D89"/>
    <w:rsid w:val="00BB07CD"/>
    <w:rsid w:val="00BC39F5"/>
    <w:rsid w:val="00BC6BAE"/>
    <w:rsid w:val="00BC7ECE"/>
    <w:rsid w:val="00BD0F4F"/>
    <w:rsid w:val="00BD52C1"/>
    <w:rsid w:val="00BD760A"/>
    <w:rsid w:val="00BE173C"/>
    <w:rsid w:val="00BE6644"/>
    <w:rsid w:val="00BF112D"/>
    <w:rsid w:val="00BF1DA0"/>
    <w:rsid w:val="00BF2BCE"/>
    <w:rsid w:val="00BF365E"/>
    <w:rsid w:val="00BF5242"/>
    <w:rsid w:val="00BF59F4"/>
    <w:rsid w:val="00BF75D5"/>
    <w:rsid w:val="00C01D64"/>
    <w:rsid w:val="00C02E6F"/>
    <w:rsid w:val="00C04EB8"/>
    <w:rsid w:val="00C05871"/>
    <w:rsid w:val="00C1090E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40001"/>
    <w:rsid w:val="00C412DC"/>
    <w:rsid w:val="00C4323B"/>
    <w:rsid w:val="00C46B55"/>
    <w:rsid w:val="00C508D9"/>
    <w:rsid w:val="00C520A7"/>
    <w:rsid w:val="00C52E95"/>
    <w:rsid w:val="00C534A2"/>
    <w:rsid w:val="00C56D59"/>
    <w:rsid w:val="00C6374D"/>
    <w:rsid w:val="00C63ABB"/>
    <w:rsid w:val="00C64164"/>
    <w:rsid w:val="00C66730"/>
    <w:rsid w:val="00C6785E"/>
    <w:rsid w:val="00C7003B"/>
    <w:rsid w:val="00C71F01"/>
    <w:rsid w:val="00C72658"/>
    <w:rsid w:val="00C75A0F"/>
    <w:rsid w:val="00C76005"/>
    <w:rsid w:val="00C76B7A"/>
    <w:rsid w:val="00C81DFD"/>
    <w:rsid w:val="00C83A4C"/>
    <w:rsid w:val="00C85F15"/>
    <w:rsid w:val="00C871B7"/>
    <w:rsid w:val="00C928F5"/>
    <w:rsid w:val="00C954B1"/>
    <w:rsid w:val="00C9556F"/>
    <w:rsid w:val="00C9721C"/>
    <w:rsid w:val="00CA1B1C"/>
    <w:rsid w:val="00CA23A0"/>
    <w:rsid w:val="00CA3CD3"/>
    <w:rsid w:val="00CA5047"/>
    <w:rsid w:val="00CA615A"/>
    <w:rsid w:val="00CA771E"/>
    <w:rsid w:val="00CA7DEB"/>
    <w:rsid w:val="00CB16CC"/>
    <w:rsid w:val="00CB42CC"/>
    <w:rsid w:val="00CB56CE"/>
    <w:rsid w:val="00CB6AA8"/>
    <w:rsid w:val="00CB72B9"/>
    <w:rsid w:val="00CC2DEA"/>
    <w:rsid w:val="00CC66CB"/>
    <w:rsid w:val="00CD1E69"/>
    <w:rsid w:val="00CD6C0E"/>
    <w:rsid w:val="00CE004D"/>
    <w:rsid w:val="00CE0586"/>
    <w:rsid w:val="00CE16AF"/>
    <w:rsid w:val="00CE43E0"/>
    <w:rsid w:val="00CE5DDF"/>
    <w:rsid w:val="00CE5FFA"/>
    <w:rsid w:val="00CE7038"/>
    <w:rsid w:val="00CF0D64"/>
    <w:rsid w:val="00CF143B"/>
    <w:rsid w:val="00CF16AB"/>
    <w:rsid w:val="00CF24B8"/>
    <w:rsid w:val="00CF6CD1"/>
    <w:rsid w:val="00D0055D"/>
    <w:rsid w:val="00D02100"/>
    <w:rsid w:val="00D03CC1"/>
    <w:rsid w:val="00D12A12"/>
    <w:rsid w:val="00D1318D"/>
    <w:rsid w:val="00D14015"/>
    <w:rsid w:val="00D14C18"/>
    <w:rsid w:val="00D1642D"/>
    <w:rsid w:val="00D17614"/>
    <w:rsid w:val="00D21548"/>
    <w:rsid w:val="00D2180A"/>
    <w:rsid w:val="00D22359"/>
    <w:rsid w:val="00D23E3C"/>
    <w:rsid w:val="00D253CD"/>
    <w:rsid w:val="00D26A55"/>
    <w:rsid w:val="00D30383"/>
    <w:rsid w:val="00D32161"/>
    <w:rsid w:val="00D32454"/>
    <w:rsid w:val="00D349A6"/>
    <w:rsid w:val="00D41F27"/>
    <w:rsid w:val="00D42077"/>
    <w:rsid w:val="00D44710"/>
    <w:rsid w:val="00D45EF9"/>
    <w:rsid w:val="00D46545"/>
    <w:rsid w:val="00D52920"/>
    <w:rsid w:val="00D57840"/>
    <w:rsid w:val="00D609E1"/>
    <w:rsid w:val="00D60B57"/>
    <w:rsid w:val="00D61357"/>
    <w:rsid w:val="00D613A4"/>
    <w:rsid w:val="00D61C4D"/>
    <w:rsid w:val="00D6770D"/>
    <w:rsid w:val="00D702F1"/>
    <w:rsid w:val="00D726D5"/>
    <w:rsid w:val="00D74D73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6A9A"/>
    <w:rsid w:val="00DB4F6D"/>
    <w:rsid w:val="00DB5026"/>
    <w:rsid w:val="00DB55EC"/>
    <w:rsid w:val="00DB64E6"/>
    <w:rsid w:val="00DB6B54"/>
    <w:rsid w:val="00DB6C48"/>
    <w:rsid w:val="00DC170F"/>
    <w:rsid w:val="00DC339F"/>
    <w:rsid w:val="00DC5784"/>
    <w:rsid w:val="00DD07EC"/>
    <w:rsid w:val="00DD0BF2"/>
    <w:rsid w:val="00DD32F8"/>
    <w:rsid w:val="00DE0504"/>
    <w:rsid w:val="00DE5A91"/>
    <w:rsid w:val="00DE6548"/>
    <w:rsid w:val="00DE6DAC"/>
    <w:rsid w:val="00DF00DB"/>
    <w:rsid w:val="00DF1A6A"/>
    <w:rsid w:val="00DF44AC"/>
    <w:rsid w:val="00DF5CD2"/>
    <w:rsid w:val="00DF780D"/>
    <w:rsid w:val="00E02692"/>
    <w:rsid w:val="00E03282"/>
    <w:rsid w:val="00E0682C"/>
    <w:rsid w:val="00E10ACC"/>
    <w:rsid w:val="00E17018"/>
    <w:rsid w:val="00E207B2"/>
    <w:rsid w:val="00E238DB"/>
    <w:rsid w:val="00E24B56"/>
    <w:rsid w:val="00E2690E"/>
    <w:rsid w:val="00E31771"/>
    <w:rsid w:val="00E32B68"/>
    <w:rsid w:val="00E33AE0"/>
    <w:rsid w:val="00E34FEA"/>
    <w:rsid w:val="00E40EF5"/>
    <w:rsid w:val="00E4547C"/>
    <w:rsid w:val="00E52237"/>
    <w:rsid w:val="00E5283D"/>
    <w:rsid w:val="00E5417B"/>
    <w:rsid w:val="00E54B24"/>
    <w:rsid w:val="00E54FD7"/>
    <w:rsid w:val="00E56412"/>
    <w:rsid w:val="00E56570"/>
    <w:rsid w:val="00E56FD0"/>
    <w:rsid w:val="00E63C59"/>
    <w:rsid w:val="00E664DA"/>
    <w:rsid w:val="00E700E1"/>
    <w:rsid w:val="00E71773"/>
    <w:rsid w:val="00E73880"/>
    <w:rsid w:val="00E74D6D"/>
    <w:rsid w:val="00E77DE9"/>
    <w:rsid w:val="00E84086"/>
    <w:rsid w:val="00E90E9F"/>
    <w:rsid w:val="00E95128"/>
    <w:rsid w:val="00E953D1"/>
    <w:rsid w:val="00E9705E"/>
    <w:rsid w:val="00EA0115"/>
    <w:rsid w:val="00EA0434"/>
    <w:rsid w:val="00EA1313"/>
    <w:rsid w:val="00EA1C1B"/>
    <w:rsid w:val="00EA65BF"/>
    <w:rsid w:val="00EB06E0"/>
    <w:rsid w:val="00EB0F6E"/>
    <w:rsid w:val="00EB32E6"/>
    <w:rsid w:val="00EB44A3"/>
    <w:rsid w:val="00EB48C5"/>
    <w:rsid w:val="00EB4CBA"/>
    <w:rsid w:val="00EB5B54"/>
    <w:rsid w:val="00EB5C02"/>
    <w:rsid w:val="00EC130F"/>
    <w:rsid w:val="00EC1B56"/>
    <w:rsid w:val="00EC49A3"/>
    <w:rsid w:val="00EC5169"/>
    <w:rsid w:val="00EC6093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F439F"/>
    <w:rsid w:val="00EF5F95"/>
    <w:rsid w:val="00EF652D"/>
    <w:rsid w:val="00F03802"/>
    <w:rsid w:val="00F043B0"/>
    <w:rsid w:val="00F05958"/>
    <w:rsid w:val="00F07620"/>
    <w:rsid w:val="00F10756"/>
    <w:rsid w:val="00F1273B"/>
    <w:rsid w:val="00F15554"/>
    <w:rsid w:val="00F228CA"/>
    <w:rsid w:val="00F24677"/>
    <w:rsid w:val="00F26674"/>
    <w:rsid w:val="00F27146"/>
    <w:rsid w:val="00F3162B"/>
    <w:rsid w:val="00F36F1A"/>
    <w:rsid w:val="00F427D1"/>
    <w:rsid w:val="00F441BF"/>
    <w:rsid w:val="00F46A28"/>
    <w:rsid w:val="00F506B6"/>
    <w:rsid w:val="00F528B5"/>
    <w:rsid w:val="00F52909"/>
    <w:rsid w:val="00F55849"/>
    <w:rsid w:val="00F6141E"/>
    <w:rsid w:val="00F67337"/>
    <w:rsid w:val="00F7409C"/>
    <w:rsid w:val="00F74A53"/>
    <w:rsid w:val="00F75AF5"/>
    <w:rsid w:val="00F80046"/>
    <w:rsid w:val="00F821AB"/>
    <w:rsid w:val="00F83AF7"/>
    <w:rsid w:val="00F83B82"/>
    <w:rsid w:val="00F8550D"/>
    <w:rsid w:val="00F90B74"/>
    <w:rsid w:val="00F933AC"/>
    <w:rsid w:val="00F94AE8"/>
    <w:rsid w:val="00FA0856"/>
    <w:rsid w:val="00FA4487"/>
    <w:rsid w:val="00FA663C"/>
    <w:rsid w:val="00FA7631"/>
    <w:rsid w:val="00FB00DD"/>
    <w:rsid w:val="00FB065E"/>
    <w:rsid w:val="00FB0CC2"/>
    <w:rsid w:val="00FB11FD"/>
    <w:rsid w:val="00FB16F0"/>
    <w:rsid w:val="00FB2821"/>
    <w:rsid w:val="00FD0DD6"/>
    <w:rsid w:val="00FD25BA"/>
    <w:rsid w:val="00FD363F"/>
    <w:rsid w:val="00FD478A"/>
    <w:rsid w:val="00FD5ACC"/>
    <w:rsid w:val="00FE0EDA"/>
    <w:rsid w:val="00FE2FDA"/>
    <w:rsid w:val="00FE30FC"/>
    <w:rsid w:val="00FE46E4"/>
    <w:rsid w:val="00FE678F"/>
    <w:rsid w:val="00FE6F3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%202017%20-\Traitement%201\trait%202%202017\Jamal__x\Grafiques%20des%20notes%20emploi%20__jamal%20-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%202017%20-\Traitement%201\trait%202%202017\Jamal__x\Grafiques%20des%20notes%20emploi%20__jamal%20-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%202017%20-\Traitement%201\trait%202%202017\Jamal__x\Grafiques%20des%20notes%20emploi%20__jamal%20-%20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%202017%20-\Traitement%201\trait%202%202017\Jamal__x\Grafiques%20des%20notes%20emploi%20__jamal%20-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22000</c:v>
                </c:pt>
                <c:pt idx="1">
                  <c:v>32000</c:v>
                </c:pt>
                <c:pt idx="2">
                  <c:v>54000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7000</c:v>
                </c:pt>
                <c:pt idx="1">
                  <c:v>28000</c:v>
                </c:pt>
                <c:pt idx="2">
                  <c:v>35000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29000</c:v>
                </c:pt>
                <c:pt idx="1">
                  <c:v>60000</c:v>
                </c:pt>
                <c:pt idx="2">
                  <c:v>89000</c:v>
                </c:pt>
              </c:numCache>
            </c:numRef>
          </c:val>
        </c:ser>
        <c:gapWidth val="190"/>
        <c:overlap val="-10"/>
        <c:axId val="80238848"/>
        <c:axId val="80257024"/>
      </c:barChart>
      <c:catAx>
        <c:axId val="80238848"/>
        <c:scaling>
          <c:orientation val="minMax"/>
        </c:scaling>
        <c:axPos val="b"/>
        <c:tickLblPos val="low"/>
        <c:crossAx val="80257024"/>
        <c:crosses val="autoZero"/>
        <c:auto val="1"/>
        <c:lblAlgn val="ctr"/>
        <c:lblOffset val="100"/>
      </c:catAx>
      <c:valAx>
        <c:axId val="80257024"/>
        <c:scaling>
          <c:orientation val="minMax"/>
        </c:scaling>
        <c:delete val="1"/>
        <c:axPos val="l"/>
        <c:numFmt formatCode="General" sourceLinked="1"/>
        <c:tickLblPos val="nextTo"/>
        <c:crossAx val="80238848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233"/>
          <c:h val="0.62701443569554371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7000</c:v>
                </c:pt>
                <c:pt idx="1">
                  <c:v>10000</c:v>
                </c:pt>
                <c:pt idx="2">
                  <c:v>4000</c:v>
                </c:pt>
                <c:pt idx="3">
                  <c:v>8000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40000</c:v>
                </c:pt>
                <c:pt idx="1">
                  <c:v>5000</c:v>
                </c:pt>
                <c:pt idx="2">
                  <c:v>3000</c:v>
                </c:pt>
                <c:pt idx="3">
                  <c:v>12000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47000</c:v>
                </c:pt>
                <c:pt idx="1">
                  <c:v>15000</c:v>
                </c:pt>
                <c:pt idx="2">
                  <c:v>7000</c:v>
                </c:pt>
                <c:pt idx="3">
                  <c:v>20000</c:v>
                </c:pt>
              </c:numCache>
            </c:numRef>
          </c:val>
        </c:ser>
        <c:gapWidth val="70"/>
        <c:overlap val="-10"/>
        <c:axId val="80275712"/>
        <c:axId val="101220352"/>
      </c:barChart>
      <c:catAx>
        <c:axId val="80275712"/>
        <c:scaling>
          <c:orientation val="minMax"/>
        </c:scaling>
        <c:axPos val="b"/>
        <c:tickLblPos val="low"/>
        <c:crossAx val="101220352"/>
        <c:crosses val="autoZero"/>
        <c:auto val="1"/>
        <c:lblAlgn val="ctr"/>
        <c:lblOffset val="100"/>
      </c:catAx>
      <c:valAx>
        <c:axId val="101220352"/>
        <c:scaling>
          <c:orientation val="minMax"/>
        </c:scaling>
        <c:delete val="1"/>
        <c:axPos val="l"/>
        <c:numFmt formatCode="General" sourceLinked="1"/>
        <c:tickLblPos val="nextTo"/>
        <c:crossAx val="8027571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chomage!$D$1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chomage!$C$2:$C$7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chomage!$D$2:$D$7</c:f>
              <c:numCache>
                <c:formatCode>General</c:formatCode>
                <c:ptCount val="6"/>
                <c:pt idx="0">
                  <c:v>9</c:v>
                </c:pt>
                <c:pt idx="1">
                  <c:v>14.8</c:v>
                </c:pt>
                <c:pt idx="2">
                  <c:v>14.5</c:v>
                </c:pt>
                <c:pt idx="3">
                  <c:v>4.5999999999999996</c:v>
                </c:pt>
                <c:pt idx="4">
                  <c:v>28.9</c:v>
                </c:pt>
                <c:pt idx="5">
                  <c:v>10.4</c:v>
                </c:pt>
              </c:numCache>
            </c:numRef>
          </c:val>
        </c:ser>
        <c:ser>
          <c:idx val="1"/>
          <c:order val="1"/>
          <c:tx>
            <c:strRef>
              <c:f>chomage!$E$1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5.5555555555555558E-3"/>
                  <c:y val="-1.3903739412539707E-2"/>
                </c:manualLayout>
              </c:layout>
              <c:showVal val="1"/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3888888888888852E-2"/>
                  <c:y val="0"/>
                </c:manualLayout>
              </c:layout>
              <c:showVal val="1"/>
            </c:dLbl>
            <c:showVal val="1"/>
          </c:dLbls>
          <c:cat>
            <c:strRef>
              <c:f>chomage!$C$2:$C$7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chomage!$E$2:$E$7</c:f>
              <c:numCache>
                <c:formatCode>General</c:formatCode>
                <c:ptCount val="6"/>
                <c:pt idx="0">
                  <c:v>9.2000000000000011</c:v>
                </c:pt>
                <c:pt idx="1">
                  <c:v>15.1</c:v>
                </c:pt>
                <c:pt idx="2">
                  <c:v>14.9</c:v>
                </c:pt>
                <c:pt idx="3">
                  <c:v>4.5999999999999996</c:v>
                </c:pt>
                <c:pt idx="4">
                  <c:v>29.3</c:v>
                </c:pt>
                <c:pt idx="5">
                  <c:v>10.6</c:v>
                </c:pt>
              </c:numCache>
            </c:numRef>
          </c:val>
        </c:ser>
        <c:axId val="104362752"/>
        <c:axId val="104364288"/>
      </c:barChart>
      <c:catAx>
        <c:axId val="104362752"/>
        <c:scaling>
          <c:orientation val="minMax"/>
        </c:scaling>
        <c:axPos val="b"/>
        <c:tickLblPos val="nextTo"/>
        <c:crossAx val="104364288"/>
        <c:crosses val="autoZero"/>
        <c:auto val="1"/>
        <c:lblAlgn val="ctr"/>
        <c:lblOffset val="100"/>
      </c:catAx>
      <c:valAx>
        <c:axId val="104364288"/>
        <c:scaling>
          <c:orientation val="minMax"/>
        </c:scaling>
        <c:delete val="1"/>
        <c:axPos val="l"/>
        <c:numFmt formatCode="General" sourceLinked="1"/>
        <c:tickLblPos val="nextTo"/>
        <c:crossAx val="104362752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'sous emp'!$D$3:$D$8</c:f>
              <c:numCache>
                <c:formatCode>General</c:formatCode>
                <c:ptCount val="6"/>
                <c:pt idx="0">
                  <c:v>11</c:v>
                </c:pt>
                <c:pt idx="1">
                  <c:v>5.2</c:v>
                </c:pt>
                <c:pt idx="2">
                  <c:v>8.2000000000000011</c:v>
                </c:pt>
                <c:pt idx="3">
                  <c:v>11.5</c:v>
                </c:pt>
                <c:pt idx="4">
                  <c:v>16.399999999999999</c:v>
                </c:pt>
                <c:pt idx="5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'sous emp'!$E$2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1.1111111111111125E-2"/>
                  <c:y val="4.6345798041798813E-3"/>
                </c:manualLayout>
              </c:layout>
              <c:showVal val="1"/>
            </c:dLbl>
            <c:dLbl>
              <c:idx val="3"/>
              <c:layout>
                <c:manualLayout>
                  <c:x val="5.5555555555555558E-3"/>
                  <c:y val="-4.6345798041798813E-3"/>
                </c:manualLayout>
              </c:layout>
              <c:showVal val="1"/>
            </c:dLbl>
            <c:showVal val="1"/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'sous emp'!$E$3:$E$8</c:f>
              <c:numCache>
                <c:formatCode>General</c:formatCode>
                <c:ptCount val="6"/>
                <c:pt idx="0">
                  <c:v>11.2</c:v>
                </c:pt>
                <c:pt idx="1">
                  <c:v>5.4</c:v>
                </c:pt>
                <c:pt idx="2">
                  <c:v>8.3000000000000007</c:v>
                </c:pt>
                <c:pt idx="3">
                  <c:v>11.8</c:v>
                </c:pt>
                <c:pt idx="4">
                  <c:v>16.7</c:v>
                </c:pt>
                <c:pt idx="5">
                  <c:v>9.9</c:v>
                </c:pt>
              </c:numCache>
            </c:numRef>
          </c:val>
        </c:ser>
        <c:axId val="104386560"/>
        <c:axId val="104388096"/>
      </c:barChart>
      <c:catAx>
        <c:axId val="104386560"/>
        <c:scaling>
          <c:orientation val="minMax"/>
        </c:scaling>
        <c:axPos val="b"/>
        <c:tickLblPos val="nextTo"/>
        <c:crossAx val="104388096"/>
        <c:crosses val="autoZero"/>
        <c:auto val="1"/>
        <c:lblAlgn val="ctr"/>
        <c:lblOffset val="100"/>
      </c:catAx>
      <c:valAx>
        <c:axId val="104388096"/>
        <c:scaling>
          <c:orientation val="minMax"/>
        </c:scaling>
        <c:delete val="1"/>
        <c:axPos val="l"/>
        <c:numFmt formatCode="General" sourceLinked="1"/>
        <c:tickLblPos val="nextTo"/>
        <c:crossAx val="10438656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FE4E-9D67-4260-B228-4B863304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1277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cp:lastPrinted>2017-11-02T12:14:00Z</cp:lastPrinted>
  <dcterms:created xsi:type="dcterms:W3CDTF">2017-11-03T15:42:00Z</dcterms:created>
  <dcterms:modified xsi:type="dcterms:W3CDTF">2017-11-03T15:42:00Z</dcterms:modified>
</cp:coreProperties>
</file>