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0C5B4F" w:rsidRDefault="000C5B4F" w:rsidP="0032191A">
      <w:pPr>
        <w:pStyle w:val="NormalWeb"/>
        <w:spacing w:before="0" w:beforeAutospacing="0" w:after="0" w:afterAutospacing="0"/>
        <w:jc w:val="center"/>
        <w:rPr>
          <w:b/>
          <w:bCs/>
          <w:sz w:val="14"/>
          <w:szCs w:val="14"/>
        </w:rPr>
      </w:pPr>
    </w:p>
    <w:p w:rsidR="000C5B4F" w:rsidRDefault="000C5B4F" w:rsidP="0032191A">
      <w:pPr>
        <w:pStyle w:val="NormalWeb"/>
        <w:spacing w:before="0" w:beforeAutospacing="0" w:after="0" w:afterAutospacing="0"/>
        <w:jc w:val="center"/>
        <w:rPr>
          <w:b/>
          <w:bCs/>
          <w:sz w:val="14"/>
          <w:szCs w:val="14"/>
        </w:rPr>
      </w:pPr>
    </w:p>
    <w:p w:rsidR="004F160F" w:rsidRDefault="004F160F" w:rsidP="0032191A">
      <w:pPr>
        <w:pStyle w:val="NormalWeb"/>
        <w:spacing w:before="0" w:beforeAutospacing="0" w:after="0" w:afterAutospacing="0"/>
        <w:jc w:val="center"/>
        <w:rPr>
          <w:b/>
          <w:bCs/>
          <w:sz w:val="14"/>
          <w:szCs w:val="14"/>
        </w:rPr>
      </w:pPr>
    </w:p>
    <w:p w:rsidR="000C5B4F" w:rsidRPr="00176080" w:rsidRDefault="000C5B4F" w:rsidP="00016497">
      <w:pPr>
        <w:pStyle w:val="Retraitcorpsdetexte2"/>
        <w:spacing w:after="0" w:line="300" w:lineRule="exact"/>
        <w:ind w:left="708" w:right="1134"/>
        <w:jc w:val="center"/>
        <w:rPr>
          <w:rFonts w:ascii="Bookman Old Style" w:hAnsi="Bookman Old Style"/>
          <w:b/>
          <w:bCs/>
          <w:smallCaps/>
          <w:color w:val="E36C0A"/>
          <w:sz w:val="22"/>
          <w:szCs w:val="22"/>
        </w:rPr>
      </w:pPr>
      <w:r w:rsidRPr="007238C0">
        <w:rPr>
          <w:rFonts w:ascii="Bookman Old Style" w:hAnsi="Bookman Old Style"/>
          <w:b/>
          <w:bCs/>
          <w:smallCaps/>
          <w:color w:val="E36C0A"/>
          <w:sz w:val="28"/>
          <w:szCs w:val="28"/>
        </w:rPr>
        <w:t xml:space="preserve">Enquête Nationale sur les Structures Economiques 2015 : </w:t>
      </w:r>
      <w:r w:rsidRPr="007238C0">
        <w:rPr>
          <w:rFonts w:ascii="Bookman Old Style" w:hAnsi="Bookman Old Style"/>
          <w:b/>
          <w:bCs/>
          <w:smallCaps/>
          <w:color w:val="E36C0A"/>
          <w:sz w:val="26"/>
          <w:szCs w:val="26"/>
        </w:rPr>
        <w:t xml:space="preserve">principaux résultats du secteur des industries </w:t>
      </w:r>
      <w:r w:rsidR="00016497">
        <w:rPr>
          <w:rFonts w:ascii="Bookman Old Style" w:hAnsi="Bookman Old Style"/>
          <w:b/>
          <w:bCs/>
          <w:smallCaps/>
          <w:color w:val="E36C0A"/>
          <w:sz w:val="26"/>
          <w:szCs w:val="26"/>
        </w:rPr>
        <w:t>manufacturière</w:t>
      </w:r>
      <w:r w:rsidRPr="007238C0">
        <w:rPr>
          <w:rFonts w:ascii="Bookman Old Style" w:hAnsi="Bookman Old Style"/>
          <w:b/>
          <w:bCs/>
          <w:smallCaps/>
          <w:color w:val="E36C0A"/>
          <w:sz w:val="26"/>
          <w:szCs w:val="26"/>
        </w:rPr>
        <w:t>s</w:t>
      </w:r>
    </w:p>
    <w:p w:rsidR="000C5B4F" w:rsidRPr="00176080" w:rsidRDefault="000C5B4F" w:rsidP="000C5B4F">
      <w:pPr>
        <w:pStyle w:val="Retraitcorpsdetexte2"/>
        <w:spacing w:after="0" w:line="300" w:lineRule="exact"/>
        <w:ind w:left="708" w:right="1134"/>
        <w:jc w:val="center"/>
        <w:rPr>
          <w:b/>
          <w:bCs/>
          <w:smallCaps/>
          <w:color w:val="E36C0A"/>
          <w:sz w:val="22"/>
          <w:szCs w:val="22"/>
        </w:rPr>
      </w:pPr>
    </w:p>
    <w:p w:rsidR="000C5B4F" w:rsidRPr="006E42D8" w:rsidRDefault="000C5B4F" w:rsidP="000C5B4F">
      <w:pPr>
        <w:pStyle w:val="Retraitcorpsdetexte2"/>
        <w:pBdr>
          <w:bottom w:val="single" w:sz="18" w:space="1" w:color="E36C0A"/>
        </w:pBdr>
        <w:spacing w:after="0" w:line="240" w:lineRule="auto"/>
        <w:ind w:left="0"/>
        <w:jc w:val="center"/>
        <w:rPr>
          <w:rFonts w:ascii="Book Antiqua" w:hAnsi="Book Antiqua" w:cs="Arial"/>
          <w:b/>
          <w:bCs/>
          <w:color w:val="E36C0A"/>
          <w:sz w:val="28"/>
          <w:szCs w:val="28"/>
        </w:rPr>
      </w:pPr>
      <w:r w:rsidRPr="006E42D8">
        <w:rPr>
          <w:rFonts w:ascii="Book Antiqua" w:hAnsi="Book Antiqua" w:cs="Arial"/>
          <w:b/>
          <w:bCs/>
          <w:color w:val="E36C0A"/>
          <w:sz w:val="28"/>
          <w:szCs w:val="28"/>
        </w:rPr>
        <w:t>HCP, 2017</w:t>
      </w:r>
    </w:p>
    <w:p w:rsidR="000C5B4F" w:rsidRPr="006E42D8" w:rsidRDefault="000C5B4F" w:rsidP="000C5B4F">
      <w:pPr>
        <w:pStyle w:val="Retraitcorpsdetexte2"/>
        <w:spacing w:after="0" w:line="240" w:lineRule="auto"/>
        <w:ind w:left="0"/>
        <w:jc w:val="center"/>
        <w:rPr>
          <w:rFonts w:ascii="Book Antiqua" w:hAnsi="Book Antiqua" w:cs="Arial"/>
          <w:b/>
          <w:bCs/>
          <w:sz w:val="26"/>
          <w:szCs w:val="26"/>
        </w:rPr>
      </w:pPr>
    </w:p>
    <w:p w:rsidR="000C5B4F" w:rsidRDefault="000C5B4F" w:rsidP="000C5B4F">
      <w:pPr>
        <w:pStyle w:val="Retraitcorpsdetexte2"/>
        <w:spacing w:after="0" w:line="300" w:lineRule="exact"/>
        <w:ind w:left="708" w:right="1134"/>
        <w:jc w:val="center"/>
        <w:rPr>
          <w:b/>
          <w:bCs/>
          <w:color w:val="E36C0A"/>
          <w:sz w:val="22"/>
          <w:szCs w:val="22"/>
        </w:rPr>
      </w:pPr>
    </w:p>
    <w:p w:rsidR="000C5B4F" w:rsidRPr="00176080" w:rsidRDefault="000C5B4F" w:rsidP="000C5B4F">
      <w:pPr>
        <w:pStyle w:val="Retraitcorpsdetexte2"/>
        <w:spacing w:after="0" w:line="300" w:lineRule="exact"/>
        <w:ind w:left="708" w:right="1134"/>
        <w:jc w:val="center"/>
        <w:rPr>
          <w:b/>
          <w:bCs/>
          <w:color w:val="E36C0A"/>
          <w:sz w:val="22"/>
          <w:szCs w:val="22"/>
        </w:rPr>
      </w:pPr>
    </w:p>
    <w:p w:rsidR="000C5B4F" w:rsidRPr="005B4081" w:rsidRDefault="000C5B4F" w:rsidP="000C5B4F">
      <w:pPr>
        <w:spacing w:line="300" w:lineRule="exact"/>
        <w:jc w:val="both"/>
      </w:pPr>
      <w:r>
        <w:t>A</w:t>
      </w:r>
      <w:r w:rsidRPr="005B4081">
        <w:t>fin de respecter les normes internationales en matière de renouvellement de l’année de base de la comptabilité nationale qui fixe la périodicité des enquêtes de structure à 5 ans, et compte tenu des mutations qu’a connues le tissu économique national ces dernières années, le Haut Commissariat au Plan a réalis</w:t>
      </w:r>
      <w:r>
        <w:t>é</w:t>
      </w:r>
      <w:r w:rsidRPr="005B4081">
        <w:t>, en 2015, l’enquête nationale sur les structures économiques</w:t>
      </w:r>
      <w:r>
        <w:t xml:space="preserve">. L’enquête a touché un échantillon de 15 000 entreprises organisées (disposant d’une comptabilité formelle conformément à la réglementation comptable en vigueur au Maroc), opérant dans les secteurs </w:t>
      </w:r>
      <w:r w:rsidRPr="005B4081">
        <w:t xml:space="preserve">de la pêche, de l’énergie, des mines, de l’industrie </w:t>
      </w:r>
      <w:r w:rsidR="00016497">
        <w:t>industrie manufacturière</w:t>
      </w:r>
      <w:r w:rsidRPr="005B4081">
        <w:t xml:space="preserve">, du </w:t>
      </w:r>
      <w:r>
        <w:t>b</w:t>
      </w:r>
      <w:r w:rsidRPr="005B4081">
        <w:t xml:space="preserve">âtiment et </w:t>
      </w:r>
      <w:r>
        <w:t>t</w:t>
      </w:r>
      <w:r w:rsidRPr="005B4081">
        <w:t xml:space="preserve">ravaux </w:t>
      </w:r>
      <w:r>
        <w:t>p</w:t>
      </w:r>
      <w:r w:rsidRPr="005B4081">
        <w:t xml:space="preserve">ublics, du </w:t>
      </w:r>
      <w:r>
        <w:t>c</w:t>
      </w:r>
      <w:r w:rsidRPr="005B4081">
        <w:t xml:space="preserve">ommerce et des </w:t>
      </w:r>
      <w:r>
        <w:t>s</w:t>
      </w:r>
      <w:r w:rsidRPr="005B4081">
        <w:t>ervices marchands non financiers au titre de l’exercice 2014.</w:t>
      </w:r>
    </w:p>
    <w:p w:rsidR="000C5B4F" w:rsidRPr="00E35492" w:rsidRDefault="000C5B4F" w:rsidP="000C5B4F">
      <w:pPr>
        <w:spacing w:line="300" w:lineRule="exact"/>
        <w:jc w:val="both"/>
      </w:pPr>
    </w:p>
    <w:p w:rsidR="000C5B4F" w:rsidRPr="00E35492" w:rsidRDefault="000C5B4F" w:rsidP="000C5B4F">
      <w:pPr>
        <w:spacing w:line="300" w:lineRule="exact"/>
        <w:jc w:val="both"/>
      </w:pPr>
      <w:r w:rsidRPr="005B4081">
        <w:t>L’enquête s’</w:t>
      </w:r>
      <w:r w:rsidRPr="00E35492">
        <w:t xml:space="preserve">est </w:t>
      </w:r>
      <w:r w:rsidRPr="005B4081">
        <w:t>assign</w:t>
      </w:r>
      <w:r w:rsidRPr="00E35492">
        <w:t>é</w:t>
      </w:r>
      <w:r w:rsidRPr="005B4081">
        <w:t xml:space="preserve">e pour objectif principal </w:t>
      </w:r>
      <w:r>
        <w:t>de fournir</w:t>
      </w:r>
      <w:r w:rsidRPr="005B4081">
        <w:t xml:space="preserve"> </w:t>
      </w:r>
      <w:r w:rsidRPr="00B307A0">
        <w:t xml:space="preserve">à la Comptabilité Nationale </w:t>
      </w:r>
      <w:r>
        <w:t>l</w:t>
      </w:r>
      <w:r w:rsidRPr="00B307A0">
        <w:t>es données requises pour l’élaboration des comptes de production et d’exploitation par branche d’activité économique et ce, selon la nouvelle année de base 2014. L’enquête permet</w:t>
      </w:r>
      <w:r>
        <w:t>tra, par ailleurs,</w:t>
      </w:r>
      <w:r w:rsidRPr="00B307A0">
        <w:t xml:space="preserve"> aux </w:t>
      </w:r>
      <w:r w:rsidRPr="005B4081">
        <w:t xml:space="preserve">décideurs et opérateurs économiques, qu’ils soient publics ou privés, </w:t>
      </w:r>
      <w:r>
        <w:t>de disposer d’</w:t>
      </w:r>
      <w:r w:rsidRPr="005B4081">
        <w:t>une batterie d’indicateurs reflétant aussi bien la structure de production et de consommation par branche</w:t>
      </w:r>
      <w:r w:rsidRPr="00E35492">
        <w:t xml:space="preserve"> d’activité</w:t>
      </w:r>
      <w:r w:rsidRPr="005B4081">
        <w:t xml:space="preserve"> que le comportement des chefs d’entreprises dans les domaines de consommation d’énergie, de gestion </w:t>
      </w:r>
      <w:r w:rsidRPr="00E35492">
        <w:t xml:space="preserve">des </w:t>
      </w:r>
      <w:r w:rsidRPr="005B4081">
        <w:t>ressources humaines, d’investissement, de financement, etc.  </w:t>
      </w:r>
    </w:p>
    <w:p w:rsidR="000C5B4F" w:rsidRPr="00657FF6" w:rsidRDefault="000C5B4F" w:rsidP="00016497">
      <w:pPr>
        <w:spacing w:line="300" w:lineRule="exact"/>
        <w:jc w:val="both"/>
      </w:pPr>
      <w:r w:rsidRPr="005B4081">
        <w:t> </w:t>
      </w:r>
      <w:r w:rsidRPr="005B4081">
        <w:br/>
      </w:r>
      <w:r w:rsidRPr="00657FF6">
        <w:t xml:space="preserve">La présente note relate les principaux résultats </w:t>
      </w:r>
      <w:r>
        <w:t xml:space="preserve">de </w:t>
      </w:r>
      <w:r w:rsidRPr="00657FF6">
        <w:t xml:space="preserve">l’enquête </w:t>
      </w:r>
      <w:r>
        <w:t>relatifs aux</w:t>
      </w:r>
      <w:r w:rsidRPr="00657FF6">
        <w:t xml:space="preserve"> entreprises organisées opérant dans l’industrie </w:t>
      </w:r>
      <w:r w:rsidR="00016497">
        <w:t>manufacturière</w:t>
      </w:r>
      <w:r w:rsidRPr="00657FF6">
        <w:t xml:space="preserve">. La première partie présente la situation du secteur. La deuxième partie, quant à elle, relate </w:t>
      </w:r>
      <w:r>
        <w:t>s</w:t>
      </w:r>
      <w:r w:rsidRPr="00657FF6">
        <w:t xml:space="preserve">es principales structures, tandis que la troisième expose quelques indicateurs économiques et financiers. </w:t>
      </w:r>
    </w:p>
    <w:p w:rsidR="000C5B4F" w:rsidRDefault="000C5B4F" w:rsidP="000C5B4F">
      <w:pPr>
        <w:spacing w:line="300" w:lineRule="exact"/>
        <w:jc w:val="both"/>
      </w:pPr>
    </w:p>
    <w:p w:rsidR="000C5B4F" w:rsidRPr="00AD2190" w:rsidRDefault="000C5B4F" w:rsidP="00016497">
      <w:pPr>
        <w:pStyle w:val="Retraitcorpsdetexte2"/>
        <w:numPr>
          <w:ilvl w:val="0"/>
          <w:numId w:val="6"/>
        </w:numPr>
        <w:spacing w:after="240" w:line="240" w:lineRule="auto"/>
        <w:jc w:val="both"/>
        <w:rPr>
          <w:rFonts w:ascii="Book Antiqua" w:hAnsi="Book Antiqua" w:cs="Arial"/>
          <w:b/>
          <w:bCs/>
          <w:color w:val="E36C0A"/>
          <w:sz w:val="26"/>
          <w:szCs w:val="26"/>
        </w:rPr>
      </w:pPr>
      <w:r>
        <w:rPr>
          <w:rFonts w:ascii="Book Antiqua" w:hAnsi="Book Antiqua" w:cs="Arial"/>
          <w:b/>
          <w:bCs/>
          <w:color w:val="E36C0A"/>
          <w:sz w:val="26"/>
          <w:szCs w:val="26"/>
        </w:rPr>
        <w:t xml:space="preserve">Situations des industries </w:t>
      </w:r>
      <w:r w:rsidR="00016497">
        <w:rPr>
          <w:rFonts w:ascii="Book Antiqua" w:hAnsi="Book Antiqua" w:cs="Arial"/>
          <w:b/>
          <w:bCs/>
          <w:color w:val="E36C0A"/>
          <w:sz w:val="26"/>
          <w:szCs w:val="26"/>
        </w:rPr>
        <w:t>manufacturières</w:t>
      </w:r>
    </w:p>
    <w:p w:rsidR="000C5B4F" w:rsidRDefault="000C5B4F" w:rsidP="000A7589">
      <w:pPr>
        <w:spacing w:line="300" w:lineRule="exact"/>
        <w:jc w:val="both"/>
      </w:pPr>
      <w:r>
        <w:t>L</w:t>
      </w:r>
      <w:r w:rsidRPr="00822A7A">
        <w:t>es industries</w:t>
      </w:r>
      <w:r>
        <w:t xml:space="preserve"> </w:t>
      </w:r>
      <w:r w:rsidR="000A7589">
        <w:t>manufacturière</w:t>
      </w:r>
      <w:r w:rsidR="00223464">
        <w:t>s</w:t>
      </w:r>
      <w:r w:rsidRPr="00822A7A">
        <w:t xml:space="preserve"> ont réalisé un chiffre d’affaires de 434 milliards de DH</w:t>
      </w:r>
      <w:r>
        <w:t xml:space="preserve"> en 2014</w:t>
      </w:r>
      <w:r w:rsidRPr="00822A7A">
        <w:t>, en accroissement annuel moyen de 5,7% depuis 2006. Presque un quart de ce chiffre d’affaire</w:t>
      </w:r>
      <w:r>
        <w:t>s</w:t>
      </w:r>
      <w:r w:rsidRPr="00822A7A">
        <w:t xml:space="preserve"> a été généré </w:t>
      </w:r>
      <w:r>
        <w:t>par</w:t>
      </w:r>
      <w:r w:rsidRPr="00822A7A">
        <w:t xml:space="preserve"> le commerce extérieur. </w:t>
      </w:r>
      <w:r>
        <w:t>Elles ont été à l’origine d’une</w:t>
      </w:r>
      <w:r w:rsidRPr="00A85753">
        <w:t xml:space="preserve"> production</w:t>
      </w:r>
      <w:r>
        <w:t xml:space="preserve"> </w:t>
      </w:r>
      <w:r w:rsidRPr="00A85753">
        <w:t xml:space="preserve">de 409 milliards de DH, </w:t>
      </w:r>
      <w:r>
        <w:t>contribuant pour</w:t>
      </w:r>
      <w:r w:rsidRPr="00A85753">
        <w:t xml:space="preserve"> 26,5% de la production nationale, en progression annuelle moyenne de 5,9%.</w:t>
      </w:r>
      <w:r>
        <w:t xml:space="preserve"> L</w:t>
      </w:r>
      <w:r w:rsidRPr="00176080">
        <w:t xml:space="preserve">a valeur ajoutée du secteur a atteint 93,9 milliards de </w:t>
      </w:r>
      <w:r>
        <w:t>DH</w:t>
      </w:r>
      <w:r w:rsidRPr="00176080">
        <w:t xml:space="preserve">, en hausse annuelle moyenne de 5%. </w:t>
      </w:r>
      <w:r>
        <w:t>S</w:t>
      </w:r>
      <w:r w:rsidRPr="00176080">
        <w:t xml:space="preserve">a contribution à la valeur ajoutée totale </w:t>
      </w:r>
      <w:r>
        <w:t>a</w:t>
      </w:r>
      <w:r w:rsidRPr="00176080">
        <w:t xml:space="preserve"> </w:t>
      </w:r>
      <w:r>
        <w:t>baiss</w:t>
      </w:r>
      <w:r w:rsidRPr="00176080">
        <w:t>é</w:t>
      </w:r>
      <w:r>
        <w:t xml:space="preserve"> d’environ un point pour se situer</w:t>
      </w:r>
      <w:r w:rsidRPr="00176080">
        <w:t xml:space="preserve"> à 11,3% en 2014. </w:t>
      </w:r>
    </w:p>
    <w:p w:rsidR="000C5B4F" w:rsidRDefault="000C5B4F" w:rsidP="000C5B4F">
      <w:pPr>
        <w:spacing w:line="300" w:lineRule="exact"/>
        <w:jc w:val="both"/>
      </w:pPr>
    </w:p>
    <w:p w:rsidR="000C5B4F" w:rsidRDefault="000C5B4F" w:rsidP="000C5B4F">
      <w:pPr>
        <w:pBdr>
          <w:bottom w:val="single" w:sz="18" w:space="1" w:color="F79646" w:themeColor="accent6"/>
        </w:pBdr>
        <w:spacing w:line="300" w:lineRule="exact"/>
        <w:jc w:val="both"/>
      </w:pPr>
    </w:p>
    <w:p w:rsidR="000C5B4F" w:rsidRPr="00844B6C" w:rsidRDefault="000C5B4F" w:rsidP="000C5B4F">
      <w:pPr>
        <w:spacing w:line="300" w:lineRule="exact"/>
        <w:jc w:val="both"/>
        <w:rPr>
          <w:color w:val="000000"/>
        </w:rPr>
      </w:pPr>
      <w:r>
        <w:lastRenderedPageBreak/>
        <w:t>C</w:t>
      </w:r>
      <w:r w:rsidRPr="00844B6C">
        <w:t>e</w:t>
      </w:r>
      <w:r>
        <w:t xml:space="preserve">s industries ont occupé </w:t>
      </w:r>
      <w:r w:rsidRPr="00844B6C">
        <w:t xml:space="preserve">près de 625 000 employés, représentant un peu plus de la moitié de l’emploi total du secteur </w:t>
      </w:r>
      <w:r w:rsidR="00256BCA">
        <w:t xml:space="preserve">industriel </w:t>
      </w:r>
      <w:r w:rsidRPr="00844B6C">
        <w:t xml:space="preserve">(organisé et non organisé) et 6% de la population active occupée </w:t>
      </w:r>
      <w:r>
        <w:t xml:space="preserve">nationale </w:t>
      </w:r>
      <w:r w:rsidRPr="00844B6C">
        <w:t xml:space="preserve">âgée de 15 ans et plus. L’emploi </w:t>
      </w:r>
      <w:r>
        <w:t>total</w:t>
      </w:r>
      <w:r w:rsidRPr="00844B6C">
        <w:t xml:space="preserve"> a été composé à hauteur de 15% de cadres, de 6% d’employés de bureau et de 76% d’ouvriers. </w:t>
      </w:r>
      <w:r>
        <w:t xml:space="preserve">Il </w:t>
      </w:r>
      <w:r w:rsidRPr="00844B6C">
        <w:t xml:space="preserve">a connu une progression annuelle moyenne de 2,6% depuis 2006, </w:t>
      </w:r>
      <w:r>
        <w:t>avec</w:t>
      </w:r>
      <w:r w:rsidRPr="00844B6C">
        <w:t xml:space="preserve"> un rythme en deçà des performances réalisées par </w:t>
      </w:r>
      <w:r>
        <w:t xml:space="preserve">les autres agrégats, notamment </w:t>
      </w:r>
      <w:r w:rsidRPr="00844B6C">
        <w:t xml:space="preserve">la production, </w:t>
      </w:r>
      <w:r>
        <w:t xml:space="preserve">portant </w:t>
      </w:r>
      <w:r w:rsidRPr="00844B6C">
        <w:t xml:space="preserve">la </w:t>
      </w:r>
      <w:r>
        <w:t xml:space="preserve">hausse de la </w:t>
      </w:r>
      <w:r w:rsidRPr="00844B6C">
        <w:t xml:space="preserve">productivité </w:t>
      </w:r>
      <w:r>
        <w:t>à</w:t>
      </w:r>
      <w:r w:rsidRPr="00844B6C">
        <w:t xml:space="preserve"> 2%, en rythme annuel.</w:t>
      </w:r>
      <w:r w:rsidRPr="00844B6C">
        <w:rPr>
          <w:color w:val="000000"/>
        </w:rPr>
        <w:t xml:space="preserve"> </w:t>
      </w:r>
      <w:r>
        <w:rPr>
          <w:color w:val="000000"/>
        </w:rPr>
        <w:t>U</w:t>
      </w:r>
      <w:r w:rsidRPr="00844B6C">
        <w:rPr>
          <w:color w:val="000000"/>
        </w:rPr>
        <w:t>n employé du secteur a cré</w:t>
      </w:r>
      <w:r>
        <w:rPr>
          <w:color w:val="000000"/>
        </w:rPr>
        <w:t>é,</w:t>
      </w:r>
      <w:r w:rsidRPr="00844B6C">
        <w:rPr>
          <w:color w:val="000000"/>
        </w:rPr>
        <w:t xml:space="preserve"> en moyenne</w:t>
      </w:r>
      <w:r>
        <w:rPr>
          <w:color w:val="000000"/>
        </w:rPr>
        <w:t>,</w:t>
      </w:r>
      <w:r w:rsidRPr="00844B6C">
        <w:rPr>
          <w:color w:val="000000"/>
        </w:rPr>
        <w:t xml:space="preserve"> une valeur ajoutée annuelle de 150 000 DH, soit presque le double de la moyenne nationale. </w:t>
      </w:r>
    </w:p>
    <w:p w:rsidR="000C5B4F" w:rsidRPr="00844B6C" w:rsidRDefault="000C5B4F" w:rsidP="000C5B4F">
      <w:pPr>
        <w:spacing w:line="300" w:lineRule="exact"/>
        <w:jc w:val="both"/>
      </w:pPr>
      <w:r>
        <w:rPr>
          <w:noProof/>
        </w:rPr>
        <w:drawing>
          <wp:anchor distT="0" distB="0" distL="114300" distR="114300" simplePos="0" relativeHeight="251661312" behindDoc="1" locked="0" layoutInCell="1" allowOverlap="1">
            <wp:simplePos x="0" y="0"/>
            <wp:positionH relativeFrom="column">
              <wp:posOffset>917575</wp:posOffset>
            </wp:positionH>
            <wp:positionV relativeFrom="paragraph">
              <wp:posOffset>163830</wp:posOffset>
            </wp:positionV>
            <wp:extent cx="4036695" cy="2061210"/>
            <wp:effectExtent l="19050" t="19050" r="20955" b="15240"/>
            <wp:wrapTight wrapText="bothSides">
              <wp:wrapPolygon edited="0">
                <wp:start x="-102" y="-200"/>
                <wp:lineTo x="-102" y="21760"/>
                <wp:lineTo x="21712" y="21760"/>
                <wp:lineTo x="21712" y="-200"/>
                <wp:lineTo x="-102" y="-200"/>
              </wp:wrapPolygon>
            </wp:wrapTight>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srcRect/>
                    <a:stretch>
                      <a:fillRect/>
                    </a:stretch>
                  </pic:blipFill>
                  <pic:spPr bwMode="auto">
                    <a:xfrm>
                      <a:off x="0" y="0"/>
                      <a:ext cx="4036695" cy="2061210"/>
                    </a:xfrm>
                    <a:prstGeom prst="rect">
                      <a:avLst/>
                    </a:prstGeom>
                    <a:noFill/>
                    <a:ln w="9525">
                      <a:solidFill>
                        <a:srgbClr val="000000"/>
                      </a:solidFill>
                      <a:miter lim="800000"/>
                      <a:headEnd/>
                      <a:tailEnd/>
                    </a:ln>
                  </pic:spPr>
                </pic:pic>
              </a:graphicData>
            </a:graphic>
          </wp:anchor>
        </w:drawing>
      </w: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0C5B4F">
      <w:pPr>
        <w:spacing w:line="300" w:lineRule="exact"/>
        <w:jc w:val="both"/>
      </w:pPr>
    </w:p>
    <w:p w:rsidR="000C5B4F" w:rsidRDefault="000C5B4F" w:rsidP="00223464">
      <w:pPr>
        <w:spacing w:line="300" w:lineRule="exact"/>
        <w:jc w:val="both"/>
      </w:pPr>
      <w:r>
        <w:t>L</w:t>
      </w:r>
      <w:r w:rsidRPr="00844B6C">
        <w:t>es industries</w:t>
      </w:r>
      <w:r>
        <w:t xml:space="preserve"> </w:t>
      </w:r>
      <w:r w:rsidR="00223464">
        <w:t>manufacturière</w:t>
      </w:r>
      <w:r w:rsidR="00D24853">
        <w:t>s</w:t>
      </w:r>
      <w:r w:rsidRPr="00844B6C">
        <w:t xml:space="preserve"> ont employé un peu plus de 191 mille femmes, soit 31% de l’effectif global travaillant dans le secteur, dont environ 83% ont</w:t>
      </w:r>
      <w:r>
        <w:t xml:space="preserve"> été</w:t>
      </w:r>
      <w:r w:rsidRPr="00844B6C">
        <w:t xml:space="preserve"> des manœuvres ou des ouvrières qualifiées. Presque la moitié de ces femmes (5</w:t>
      </w:r>
      <w:r>
        <w:t>0</w:t>
      </w:r>
      <w:r w:rsidRPr="00844B6C">
        <w:t>%) a été employée dans les industries de textile et de cuir, tandis que l’industrie chimique et parachimique</w:t>
      </w:r>
      <w:r>
        <w:t xml:space="preserve"> a été</w:t>
      </w:r>
      <w:r w:rsidRPr="00844B6C">
        <w:t xml:space="preserve"> l</w:t>
      </w:r>
      <w:r>
        <w:t>a branche</w:t>
      </w:r>
      <w:r w:rsidRPr="00844B6C">
        <w:t xml:space="preserve"> l</w:t>
      </w:r>
      <w:r>
        <w:t>a</w:t>
      </w:r>
      <w:r w:rsidRPr="00844B6C">
        <w:t xml:space="preserve"> moins féminisé</w:t>
      </w:r>
      <w:r>
        <w:t xml:space="preserve">e, avec un taux de féminisation de </w:t>
      </w:r>
      <w:r w:rsidRPr="00844B6C">
        <w:t>12%, au lieu de 3</w:t>
      </w:r>
      <w:r>
        <w:t>3</w:t>
      </w:r>
      <w:r w:rsidRPr="00844B6C">
        <w:t>% dans les industries électriques et électroniques et 2</w:t>
      </w:r>
      <w:r>
        <w:t>7</w:t>
      </w:r>
      <w:r w:rsidRPr="00844B6C">
        <w:t>% dans l’industrie agroalimentaire.</w:t>
      </w:r>
    </w:p>
    <w:p w:rsidR="000C5B4F" w:rsidRPr="00844B6C" w:rsidRDefault="000C5B4F" w:rsidP="000C5B4F">
      <w:pPr>
        <w:spacing w:line="300" w:lineRule="exact"/>
        <w:jc w:val="both"/>
      </w:pPr>
    </w:p>
    <w:p w:rsidR="000C5B4F" w:rsidRPr="006E42D8" w:rsidRDefault="000C5B4F" w:rsidP="000C5B4F">
      <w:pPr>
        <w:spacing w:line="360" w:lineRule="auto"/>
        <w:jc w:val="center"/>
        <w:rPr>
          <w:b/>
          <w:i/>
          <w:iCs/>
          <w:sz w:val="20"/>
          <w:szCs w:val="20"/>
        </w:rPr>
      </w:pPr>
      <w:r w:rsidRPr="006E42D8">
        <w:rPr>
          <w:b/>
          <w:i/>
          <w:iCs/>
          <w:sz w:val="20"/>
          <w:szCs w:val="20"/>
        </w:rPr>
        <w:t>Part des femmes dans l’emploi global du secteur</w:t>
      </w:r>
    </w:p>
    <w:tbl>
      <w:tblPr>
        <w:tblW w:w="9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tblPr>
      <w:tblGrid>
        <w:gridCol w:w="3563"/>
        <w:gridCol w:w="1073"/>
        <w:gridCol w:w="1289"/>
        <w:gridCol w:w="1507"/>
        <w:gridCol w:w="1644"/>
      </w:tblGrid>
      <w:tr w:rsidR="000C5B4F" w:rsidRPr="006E42D8" w:rsidTr="000C2C7D">
        <w:trPr>
          <w:trHeight w:val="308"/>
          <w:jc w:val="center"/>
        </w:trPr>
        <w:tc>
          <w:tcPr>
            <w:tcW w:w="3563" w:type="dxa"/>
            <w:shd w:val="clear" w:color="auto" w:fill="FFFFFF"/>
            <w:noWrap/>
            <w:vAlign w:val="center"/>
            <w:hideMark/>
          </w:tcPr>
          <w:p w:rsidR="000C5B4F" w:rsidRPr="006E42D8" w:rsidRDefault="000C5B4F" w:rsidP="00343228">
            <w:pPr>
              <w:rPr>
                <w:rFonts w:ascii="Book Antiqua" w:hAnsi="Book Antiqua"/>
                <w:b/>
                <w:bCs/>
                <w:sz w:val="16"/>
                <w:szCs w:val="16"/>
              </w:rPr>
            </w:pPr>
            <w:r w:rsidRPr="006E42D8">
              <w:rPr>
                <w:rFonts w:ascii="Book Antiqua" w:hAnsi="Book Antiqua"/>
                <w:b/>
                <w:bCs/>
                <w:sz w:val="16"/>
                <w:szCs w:val="16"/>
              </w:rPr>
              <w:t>Sous-</w:t>
            </w:r>
            <w:r w:rsidR="00343228">
              <w:rPr>
                <w:rFonts w:ascii="Book Antiqua" w:hAnsi="Book Antiqua"/>
                <w:b/>
                <w:bCs/>
                <w:sz w:val="16"/>
                <w:szCs w:val="16"/>
              </w:rPr>
              <w:t>secteur</w:t>
            </w:r>
            <w:r>
              <w:rPr>
                <w:rFonts w:ascii="Book Antiqua" w:hAnsi="Book Antiqua"/>
                <w:b/>
                <w:bCs/>
                <w:sz w:val="16"/>
                <w:szCs w:val="16"/>
              </w:rPr>
              <w:t>s</w:t>
            </w:r>
          </w:p>
        </w:tc>
        <w:tc>
          <w:tcPr>
            <w:tcW w:w="1073" w:type="dxa"/>
            <w:shd w:val="clear" w:color="auto" w:fill="FFFFFF"/>
            <w:noWrap/>
            <w:vAlign w:val="center"/>
            <w:hideMark/>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Emploi total (en%)</w:t>
            </w:r>
          </w:p>
        </w:tc>
        <w:tc>
          <w:tcPr>
            <w:tcW w:w="1289" w:type="dxa"/>
            <w:shd w:val="clear" w:color="auto" w:fill="FFFFFF"/>
            <w:noWrap/>
            <w:vAlign w:val="center"/>
            <w:hideMark/>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Effectif des femmes (en%)</w:t>
            </w:r>
          </w:p>
        </w:tc>
        <w:tc>
          <w:tcPr>
            <w:tcW w:w="1507" w:type="dxa"/>
            <w:shd w:val="clear" w:color="auto" w:fill="FFFFFF"/>
            <w:noWrap/>
            <w:vAlign w:val="center"/>
            <w:hideMark/>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Part des femmes</w:t>
            </w:r>
          </w:p>
        </w:tc>
        <w:tc>
          <w:tcPr>
            <w:tcW w:w="1644" w:type="dxa"/>
            <w:shd w:val="clear" w:color="auto" w:fill="FFFFFF"/>
            <w:vAlign w:val="center"/>
          </w:tcPr>
          <w:p w:rsidR="000C5B4F" w:rsidRPr="006E42D8" w:rsidRDefault="000C5B4F" w:rsidP="000C2C7D">
            <w:pPr>
              <w:jc w:val="center"/>
              <w:rPr>
                <w:rFonts w:ascii="Book Antiqua" w:hAnsi="Book Antiqua"/>
                <w:b/>
                <w:bCs/>
                <w:sz w:val="16"/>
                <w:szCs w:val="16"/>
              </w:rPr>
            </w:pPr>
            <w:r w:rsidRPr="006E42D8">
              <w:rPr>
                <w:rFonts w:ascii="Book Antiqua" w:hAnsi="Book Antiqua"/>
                <w:b/>
                <w:bCs/>
                <w:sz w:val="16"/>
                <w:szCs w:val="16"/>
              </w:rPr>
              <w:t>Productivité en DH</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Agro-alimentaires</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26%</w:t>
            </w:r>
          </w:p>
        </w:tc>
        <w:tc>
          <w:tcPr>
            <w:tcW w:w="1289" w:type="dxa"/>
            <w:shd w:val="clear" w:color="auto" w:fill="FFFFFF"/>
            <w:noWrap/>
            <w:vAlign w:val="center"/>
            <w:hideMark/>
          </w:tcPr>
          <w:p w:rsidR="00AE483F" w:rsidRPr="006E42D8" w:rsidRDefault="00AE483F" w:rsidP="00C8441C">
            <w:pPr>
              <w:jc w:val="center"/>
              <w:rPr>
                <w:rFonts w:ascii="Book Antiqua" w:hAnsi="Book Antiqua"/>
                <w:sz w:val="18"/>
                <w:szCs w:val="18"/>
              </w:rPr>
            </w:pPr>
            <w:r w:rsidRPr="006E42D8">
              <w:rPr>
                <w:rFonts w:ascii="Book Antiqua" w:hAnsi="Book Antiqua"/>
                <w:sz w:val="18"/>
                <w:szCs w:val="18"/>
              </w:rPr>
              <w:t>22%</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27%</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148 950</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Textiles &amp; du Cuir</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28%</w:t>
            </w:r>
          </w:p>
        </w:tc>
        <w:tc>
          <w:tcPr>
            <w:tcW w:w="1289" w:type="dxa"/>
            <w:shd w:val="clear" w:color="auto" w:fill="FFFFFF"/>
            <w:noWrap/>
            <w:vAlign w:val="center"/>
            <w:hideMark/>
          </w:tcPr>
          <w:p w:rsidR="00AE483F" w:rsidRPr="006E42D8" w:rsidRDefault="00AE483F" w:rsidP="00C8441C">
            <w:pPr>
              <w:jc w:val="center"/>
              <w:rPr>
                <w:rFonts w:ascii="Book Antiqua" w:hAnsi="Book Antiqua"/>
                <w:sz w:val="18"/>
                <w:szCs w:val="18"/>
              </w:rPr>
            </w:pPr>
            <w:r w:rsidRPr="006E42D8">
              <w:rPr>
                <w:rFonts w:ascii="Book Antiqua" w:hAnsi="Book Antiqua"/>
                <w:sz w:val="18"/>
                <w:szCs w:val="18"/>
              </w:rPr>
              <w:t>50%</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54%</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53 837</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Chimiques &amp; Parachimiques</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18%</w:t>
            </w:r>
          </w:p>
        </w:tc>
        <w:tc>
          <w:tcPr>
            <w:tcW w:w="1289" w:type="dxa"/>
            <w:shd w:val="clear" w:color="auto" w:fill="FFFFFF"/>
            <w:noWrap/>
            <w:vAlign w:val="center"/>
            <w:hideMark/>
          </w:tcPr>
          <w:p w:rsidR="00AE483F" w:rsidRPr="006E42D8" w:rsidRDefault="00AE483F" w:rsidP="00C8441C">
            <w:pPr>
              <w:jc w:val="center"/>
              <w:rPr>
                <w:rFonts w:ascii="Book Antiqua" w:hAnsi="Book Antiqua"/>
                <w:sz w:val="18"/>
                <w:szCs w:val="18"/>
              </w:rPr>
            </w:pPr>
            <w:r w:rsidRPr="006E42D8">
              <w:rPr>
                <w:rFonts w:ascii="Book Antiqua" w:hAnsi="Book Antiqua"/>
                <w:sz w:val="18"/>
                <w:szCs w:val="18"/>
              </w:rPr>
              <w:t>7%</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12%</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335 779</w:t>
            </w:r>
          </w:p>
        </w:tc>
      </w:tr>
      <w:tr w:rsidR="00AE483F" w:rsidRPr="006E42D8" w:rsidTr="000C2C7D">
        <w:trPr>
          <w:trHeight w:val="285"/>
          <w:jc w:val="center"/>
        </w:trPr>
        <w:tc>
          <w:tcPr>
            <w:tcW w:w="3563" w:type="dxa"/>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Electriques &amp; Electroniques</w:t>
            </w:r>
          </w:p>
        </w:tc>
        <w:tc>
          <w:tcPr>
            <w:tcW w:w="1073" w:type="dxa"/>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6%</w:t>
            </w:r>
          </w:p>
        </w:tc>
        <w:tc>
          <w:tcPr>
            <w:tcW w:w="1289"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5%</w:t>
            </w:r>
          </w:p>
        </w:tc>
        <w:tc>
          <w:tcPr>
            <w:tcW w:w="1507" w:type="dxa"/>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33%</w:t>
            </w:r>
          </w:p>
        </w:tc>
        <w:tc>
          <w:tcPr>
            <w:tcW w:w="1644" w:type="dxa"/>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124 325</w:t>
            </w:r>
          </w:p>
        </w:tc>
      </w:tr>
      <w:tr w:rsidR="00AE483F" w:rsidRPr="006E42D8" w:rsidTr="000C2C7D">
        <w:trPr>
          <w:trHeight w:val="285"/>
          <w:jc w:val="center"/>
        </w:trPr>
        <w:tc>
          <w:tcPr>
            <w:tcW w:w="3563" w:type="dxa"/>
            <w:tcBorders>
              <w:bottom w:val="single" w:sz="8" w:space="0" w:color="auto"/>
            </w:tcBorders>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Industries Métalliques &amp; Mécaniques</w:t>
            </w:r>
          </w:p>
        </w:tc>
        <w:tc>
          <w:tcPr>
            <w:tcW w:w="1073" w:type="dxa"/>
            <w:tcBorders>
              <w:bottom w:val="single" w:sz="8" w:space="0" w:color="auto"/>
            </w:tcBorders>
            <w:shd w:val="clear" w:color="auto" w:fill="FFFFFF"/>
            <w:noWrap/>
            <w:vAlign w:val="center"/>
            <w:hideMark/>
          </w:tcPr>
          <w:p w:rsidR="00AE483F" w:rsidRPr="006E42D8" w:rsidRDefault="00AE483F" w:rsidP="000C2C7D">
            <w:pPr>
              <w:jc w:val="center"/>
              <w:rPr>
                <w:rFonts w:ascii="Book Antiqua" w:hAnsi="Book Antiqua"/>
                <w:sz w:val="18"/>
                <w:szCs w:val="18"/>
              </w:rPr>
            </w:pPr>
            <w:r w:rsidRPr="006E42D8">
              <w:rPr>
                <w:rFonts w:ascii="Book Antiqua" w:hAnsi="Book Antiqua"/>
                <w:sz w:val="18"/>
                <w:szCs w:val="18"/>
              </w:rPr>
              <w:t>22%</w:t>
            </w:r>
          </w:p>
        </w:tc>
        <w:tc>
          <w:tcPr>
            <w:tcW w:w="1289" w:type="dxa"/>
            <w:tcBorders>
              <w:bottom w:val="single" w:sz="8" w:space="0" w:color="auto"/>
            </w:tcBorders>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16%</w:t>
            </w:r>
          </w:p>
        </w:tc>
        <w:tc>
          <w:tcPr>
            <w:tcW w:w="1507" w:type="dxa"/>
            <w:tcBorders>
              <w:bottom w:val="single" w:sz="8" w:space="0" w:color="auto"/>
            </w:tcBorders>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21%</w:t>
            </w:r>
          </w:p>
        </w:tc>
        <w:tc>
          <w:tcPr>
            <w:tcW w:w="1644" w:type="dxa"/>
            <w:tcBorders>
              <w:bottom w:val="single" w:sz="8" w:space="0" w:color="auto"/>
            </w:tcBorders>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126 951</w:t>
            </w:r>
          </w:p>
        </w:tc>
      </w:tr>
      <w:tr w:rsidR="00AE483F" w:rsidRPr="006E42D8" w:rsidTr="000C2C7D">
        <w:trPr>
          <w:trHeight w:val="285"/>
          <w:jc w:val="center"/>
        </w:trPr>
        <w:tc>
          <w:tcPr>
            <w:tcW w:w="3563" w:type="dxa"/>
            <w:tcBorders>
              <w:bottom w:val="single" w:sz="8" w:space="0" w:color="auto"/>
            </w:tcBorders>
            <w:shd w:val="clear" w:color="auto" w:fill="FFFFFF"/>
            <w:noWrap/>
            <w:vAlign w:val="center"/>
            <w:hideMark/>
          </w:tcPr>
          <w:p w:rsidR="00AE483F" w:rsidRPr="006E42D8" w:rsidRDefault="00AE483F" w:rsidP="000C2C7D">
            <w:pPr>
              <w:rPr>
                <w:rFonts w:ascii="Book Antiqua" w:hAnsi="Book Antiqua"/>
                <w:b/>
                <w:bCs/>
                <w:sz w:val="16"/>
                <w:szCs w:val="16"/>
              </w:rPr>
            </w:pPr>
            <w:r w:rsidRPr="006E42D8">
              <w:rPr>
                <w:rFonts w:ascii="Book Antiqua" w:hAnsi="Book Antiqua"/>
                <w:b/>
                <w:bCs/>
                <w:sz w:val="16"/>
                <w:szCs w:val="16"/>
              </w:rPr>
              <w:t>Total</w:t>
            </w:r>
          </w:p>
        </w:tc>
        <w:tc>
          <w:tcPr>
            <w:tcW w:w="1073" w:type="dxa"/>
            <w:tcBorders>
              <w:bottom w:val="single" w:sz="8" w:space="0" w:color="auto"/>
            </w:tcBorders>
            <w:shd w:val="clear" w:color="auto" w:fill="FFFFFF"/>
            <w:noWrap/>
            <w:vAlign w:val="center"/>
            <w:hideMark/>
          </w:tcPr>
          <w:p w:rsidR="00AE483F" w:rsidRPr="00F84648" w:rsidRDefault="00AE483F" w:rsidP="000C2C7D">
            <w:pPr>
              <w:jc w:val="center"/>
              <w:rPr>
                <w:rFonts w:ascii="Book Antiqua" w:hAnsi="Book Antiqua"/>
                <w:b/>
                <w:bCs/>
                <w:sz w:val="18"/>
                <w:szCs w:val="18"/>
              </w:rPr>
            </w:pPr>
            <w:r w:rsidRPr="00F84648">
              <w:rPr>
                <w:rFonts w:ascii="Book Antiqua" w:hAnsi="Book Antiqua"/>
                <w:b/>
                <w:bCs/>
                <w:sz w:val="18"/>
                <w:szCs w:val="18"/>
              </w:rPr>
              <w:t>100%</w:t>
            </w:r>
          </w:p>
        </w:tc>
        <w:tc>
          <w:tcPr>
            <w:tcW w:w="1289" w:type="dxa"/>
            <w:tcBorders>
              <w:bottom w:val="single" w:sz="8" w:space="0" w:color="auto"/>
            </w:tcBorders>
            <w:shd w:val="clear" w:color="auto" w:fill="FFFFFF"/>
            <w:noWrap/>
            <w:vAlign w:val="center"/>
            <w:hideMark/>
          </w:tcPr>
          <w:p w:rsidR="00AE483F" w:rsidRPr="00F84648" w:rsidRDefault="00AE483F" w:rsidP="00C8441C">
            <w:pPr>
              <w:jc w:val="center"/>
              <w:rPr>
                <w:rFonts w:ascii="Book Antiqua" w:hAnsi="Book Antiqua"/>
                <w:b/>
                <w:bCs/>
                <w:sz w:val="18"/>
                <w:szCs w:val="18"/>
              </w:rPr>
            </w:pPr>
            <w:r w:rsidRPr="00F84648">
              <w:rPr>
                <w:rFonts w:ascii="Book Antiqua" w:hAnsi="Book Antiqua"/>
                <w:b/>
                <w:bCs/>
                <w:sz w:val="18"/>
                <w:szCs w:val="18"/>
              </w:rPr>
              <w:t>100%</w:t>
            </w:r>
          </w:p>
        </w:tc>
        <w:tc>
          <w:tcPr>
            <w:tcW w:w="1507" w:type="dxa"/>
            <w:tcBorders>
              <w:bottom w:val="single" w:sz="8" w:space="0" w:color="auto"/>
            </w:tcBorders>
            <w:shd w:val="clear" w:color="auto" w:fill="FFFFFF"/>
            <w:noWrap/>
            <w:vAlign w:val="center"/>
            <w:hideMark/>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31%</w:t>
            </w:r>
          </w:p>
        </w:tc>
        <w:tc>
          <w:tcPr>
            <w:tcW w:w="1644" w:type="dxa"/>
            <w:tcBorders>
              <w:bottom w:val="single" w:sz="8" w:space="0" w:color="auto"/>
            </w:tcBorders>
            <w:shd w:val="clear" w:color="auto" w:fill="FFFFFF"/>
            <w:vAlign w:val="center"/>
          </w:tcPr>
          <w:p w:rsidR="00AE483F" w:rsidRPr="00AE483F" w:rsidRDefault="00AE483F" w:rsidP="00C8441C">
            <w:pPr>
              <w:jc w:val="center"/>
              <w:rPr>
                <w:rFonts w:ascii="Book Antiqua" w:hAnsi="Book Antiqua"/>
                <w:sz w:val="18"/>
                <w:szCs w:val="18"/>
              </w:rPr>
            </w:pPr>
            <w:r w:rsidRPr="00AE483F">
              <w:rPr>
                <w:rFonts w:ascii="Book Antiqua" w:hAnsi="Book Antiqua"/>
                <w:sz w:val="18"/>
                <w:szCs w:val="18"/>
              </w:rPr>
              <w:t>150 204</w:t>
            </w:r>
          </w:p>
        </w:tc>
      </w:tr>
      <w:tr w:rsidR="000C5B4F" w:rsidRPr="006E42D8" w:rsidTr="000C2C7D">
        <w:trPr>
          <w:trHeight w:val="293"/>
          <w:jc w:val="center"/>
        </w:trPr>
        <w:tc>
          <w:tcPr>
            <w:tcW w:w="9076" w:type="dxa"/>
            <w:gridSpan w:val="5"/>
            <w:tcBorders>
              <w:top w:val="single" w:sz="8" w:space="0" w:color="auto"/>
              <w:left w:val="nil"/>
              <w:bottom w:val="nil"/>
              <w:right w:val="nil"/>
            </w:tcBorders>
            <w:shd w:val="clear" w:color="auto" w:fill="FFFFFF"/>
            <w:noWrap/>
            <w:vAlign w:val="center"/>
            <w:hideMark/>
          </w:tcPr>
          <w:p w:rsidR="000C5B4F" w:rsidRPr="006E42D8" w:rsidRDefault="000C5B4F" w:rsidP="000C2C7D">
            <w:pPr>
              <w:rPr>
                <w:rFonts w:ascii="Book Antiqua" w:hAnsi="Book Antiqua"/>
                <w:sz w:val="16"/>
                <w:szCs w:val="16"/>
              </w:rPr>
            </w:pPr>
            <w:r>
              <w:rPr>
                <w:rFonts w:ascii="Book Antiqua" w:hAnsi="Book Antiqua"/>
                <w:sz w:val="16"/>
                <w:szCs w:val="16"/>
              </w:rPr>
              <w:t>Source : Enquête Nationale de Structure 2015</w:t>
            </w:r>
          </w:p>
        </w:tc>
      </w:tr>
    </w:tbl>
    <w:p w:rsidR="000C5B4F" w:rsidRDefault="000C5B4F" w:rsidP="000C5B4F">
      <w:pPr>
        <w:spacing w:line="300" w:lineRule="exact"/>
        <w:jc w:val="both"/>
        <w:rPr>
          <w:b/>
          <w:bCs/>
          <w:color w:val="993366"/>
        </w:rPr>
      </w:pPr>
    </w:p>
    <w:p w:rsidR="000C5B4F" w:rsidRDefault="000C5B4F" w:rsidP="000C5B4F">
      <w:pPr>
        <w:spacing w:line="300" w:lineRule="exact"/>
        <w:jc w:val="both"/>
        <w:rPr>
          <w:b/>
          <w:bCs/>
          <w:color w:val="993366"/>
        </w:rPr>
      </w:pPr>
      <w:r>
        <w:rPr>
          <w:b/>
          <w:bCs/>
          <w:color w:val="993366"/>
        </w:rPr>
        <w:t xml:space="preserve">Les </w:t>
      </w:r>
      <w:r w:rsidRPr="0043594D">
        <w:rPr>
          <w:b/>
          <w:bCs/>
          <w:color w:val="993366"/>
        </w:rPr>
        <w:t>export</w:t>
      </w:r>
      <w:r>
        <w:rPr>
          <w:b/>
          <w:bCs/>
          <w:color w:val="993366"/>
        </w:rPr>
        <w:t>ations du secteur</w:t>
      </w:r>
    </w:p>
    <w:p w:rsidR="000C5B4F" w:rsidRPr="0043594D" w:rsidRDefault="000C5B4F" w:rsidP="000C5B4F">
      <w:pPr>
        <w:spacing w:line="300" w:lineRule="exact"/>
        <w:jc w:val="both"/>
        <w:rPr>
          <w:b/>
          <w:bCs/>
          <w:color w:val="993366"/>
        </w:rPr>
      </w:pPr>
    </w:p>
    <w:p w:rsidR="000C5B4F" w:rsidRDefault="000C5B4F" w:rsidP="00016497">
      <w:pPr>
        <w:spacing w:line="300" w:lineRule="exact"/>
        <w:jc w:val="both"/>
      </w:pPr>
      <w:r w:rsidRPr="00A85753">
        <w:t xml:space="preserve">Près de 20% des entreprises </w:t>
      </w:r>
      <w:r>
        <w:t>opérant dans l’</w:t>
      </w:r>
      <w:r w:rsidR="00780199">
        <w:t xml:space="preserve">industrie </w:t>
      </w:r>
      <w:r w:rsidR="00016497">
        <w:t>manufacturière</w:t>
      </w:r>
      <w:r>
        <w:t xml:space="preserve"> a</w:t>
      </w:r>
      <w:r w:rsidRPr="00A85753">
        <w:t xml:space="preserve"> réalisé un chiffre d’affaire</w:t>
      </w:r>
      <w:r>
        <w:t>s</w:t>
      </w:r>
      <w:r w:rsidRPr="00A85753">
        <w:t xml:space="preserve"> à l’export. Ce dernier a atteint 112 milliards de DH, </w:t>
      </w:r>
      <w:r>
        <w:t xml:space="preserve">contribuant pour </w:t>
      </w:r>
      <w:r w:rsidRPr="00A85753">
        <w:t xml:space="preserve">26% </w:t>
      </w:r>
      <w:r>
        <w:t>a</w:t>
      </w:r>
      <w:r w:rsidRPr="00A85753">
        <w:t xml:space="preserve">u chiffre d’affaires </w:t>
      </w:r>
      <w:r>
        <w:t>tota</w:t>
      </w:r>
      <w:r w:rsidRPr="00A85753">
        <w:t xml:space="preserve">l, en amélioration de 6,4% en moyenne par an depuis 2006. </w:t>
      </w:r>
      <w:r>
        <w:t xml:space="preserve">Ce </w:t>
      </w:r>
      <w:r w:rsidRPr="00176080">
        <w:t>taux cache</w:t>
      </w:r>
      <w:r>
        <w:t>,</w:t>
      </w:r>
      <w:r w:rsidRPr="00176080">
        <w:t xml:space="preserve"> cependant</w:t>
      </w:r>
      <w:r>
        <w:t>,</w:t>
      </w:r>
      <w:r w:rsidRPr="00176080">
        <w:t xml:space="preserve"> des disparités selon la taille et l’activité de l’entreprise. </w:t>
      </w:r>
      <w:r>
        <w:t>L</w:t>
      </w:r>
      <w:r w:rsidRPr="00176080">
        <w:t xml:space="preserve">e taux d’exportation </w:t>
      </w:r>
      <w:r>
        <w:t>a été</w:t>
      </w:r>
      <w:r w:rsidRPr="00176080">
        <w:t xml:space="preserve"> plus élevé dans les industries du textile et du cuir (80%) et les industries électriques et électroniques (56%), mais plu</w:t>
      </w:r>
      <w:r>
        <w:t>tôt</w:t>
      </w:r>
      <w:r w:rsidRPr="00176080">
        <w:t xml:space="preserve"> faible dans </w:t>
      </w:r>
      <w:r>
        <w:t>l’</w:t>
      </w:r>
      <w:r w:rsidRPr="00176080">
        <w:t>agro-alimentaire (24%).</w:t>
      </w:r>
      <w:r>
        <w:t xml:space="preserve"> </w:t>
      </w:r>
      <w:r w:rsidRPr="00176080">
        <w:t xml:space="preserve">L’effort d’exportation </w:t>
      </w:r>
      <w:r>
        <w:t>a été</w:t>
      </w:r>
      <w:r w:rsidRPr="00176080">
        <w:t xml:space="preserve"> plus soutenu chez les grandes structures où les entreprises exportatrices </w:t>
      </w:r>
      <w:r>
        <w:t>ont</w:t>
      </w:r>
      <w:r w:rsidRPr="00176080">
        <w:t xml:space="preserve"> généré 78% des ventes à l’extérieur, soit près de 38%, en moyenne, de leur production. En revanche, exporter </w:t>
      </w:r>
      <w:r>
        <w:t>a été</w:t>
      </w:r>
      <w:r w:rsidRPr="00176080">
        <w:t xml:space="preserve"> plutôt rare chez les très petites </w:t>
      </w:r>
      <w:r>
        <w:t>entrepris</w:t>
      </w:r>
      <w:r w:rsidRPr="00176080">
        <w:t>es : 4% de celles-ci ont généré un chiffre d’affaire</w:t>
      </w:r>
      <w:r>
        <w:t>s</w:t>
      </w:r>
      <w:r w:rsidRPr="00176080">
        <w:t xml:space="preserve"> avec l’étranger. Pour les petites et moyennes structures</w:t>
      </w:r>
      <w:r>
        <w:t>,</w:t>
      </w:r>
      <w:r w:rsidRPr="00176080">
        <w:t xml:space="preserve"> une entreprise sur </w:t>
      </w:r>
      <w:r>
        <w:t>quatre</w:t>
      </w:r>
      <w:r w:rsidRPr="00176080">
        <w:t xml:space="preserve"> a réalisé une partie de son chiffre d’affaire</w:t>
      </w:r>
      <w:r>
        <w:t>s</w:t>
      </w:r>
      <w:r w:rsidRPr="00176080">
        <w:t xml:space="preserve"> avec l’étranger. </w:t>
      </w:r>
    </w:p>
    <w:p w:rsidR="000C5B4F" w:rsidRPr="00B33954" w:rsidRDefault="000C5B4F" w:rsidP="000C5B4F">
      <w:pPr>
        <w:jc w:val="center"/>
        <w:rPr>
          <w:rFonts w:ascii="Book Antiqua" w:hAnsi="Book Antiqua"/>
          <w:b/>
          <w:bCs/>
          <w:i/>
          <w:iCs/>
        </w:rPr>
      </w:pPr>
      <w:r w:rsidRPr="00B33954">
        <w:rPr>
          <w:rFonts w:ascii="Book Antiqua" w:hAnsi="Book Antiqua"/>
          <w:b/>
          <w:bCs/>
          <w:i/>
          <w:iCs/>
        </w:rPr>
        <w:lastRenderedPageBreak/>
        <w:t>Structures des entreprises exportatrices en 2014</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3"/>
        <w:gridCol w:w="2141"/>
        <w:gridCol w:w="1014"/>
        <w:gridCol w:w="1112"/>
        <w:gridCol w:w="2045"/>
      </w:tblGrid>
      <w:tr w:rsidR="0035446E" w:rsidRPr="006E42D8" w:rsidTr="0035446E">
        <w:trPr>
          <w:trHeight w:val="801"/>
        </w:trPr>
        <w:tc>
          <w:tcPr>
            <w:tcW w:w="3813" w:type="dxa"/>
            <w:noWrap/>
            <w:vAlign w:val="center"/>
            <w:hideMark/>
          </w:tcPr>
          <w:p w:rsidR="0035446E" w:rsidRPr="004A0D58" w:rsidRDefault="0035446E" w:rsidP="000C2C7D">
            <w:pPr>
              <w:rPr>
                <w:rFonts w:ascii="Book Antiqua" w:hAnsi="Book Antiqua"/>
                <w:b/>
                <w:bCs/>
                <w:sz w:val="16"/>
                <w:szCs w:val="16"/>
              </w:rPr>
            </w:pPr>
            <w:r w:rsidRPr="004A0D58">
              <w:rPr>
                <w:rFonts w:ascii="Book Antiqua" w:hAnsi="Book Antiqua"/>
                <w:b/>
                <w:bCs/>
                <w:sz w:val="16"/>
                <w:szCs w:val="16"/>
              </w:rPr>
              <w:t>Rubriques</w:t>
            </w:r>
          </w:p>
        </w:tc>
        <w:tc>
          <w:tcPr>
            <w:tcW w:w="2141" w:type="dxa"/>
            <w:vAlign w:val="center"/>
            <w:hideMark/>
          </w:tcPr>
          <w:p w:rsidR="0035446E" w:rsidRPr="004A0D58" w:rsidRDefault="0035446E" w:rsidP="000C2C7D">
            <w:pPr>
              <w:jc w:val="center"/>
              <w:rPr>
                <w:rFonts w:ascii="Book Antiqua" w:hAnsi="Book Antiqua"/>
                <w:b/>
                <w:bCs/>
                <w:sz w:val="16"/>
                <w:szCs w:val="16"/>
              </w:rPr>
            </w:pPr>
            <w:r w:rsidRPr="004A0D58">
              <w:rPr>
                <w:rFonts w:ascii="Book Antiqua" w:hAnsi="Book Antiqua"/>
                <w:b/>
                <w:bCs/>
                <w:sz w:val="16"/>
                <w:szCs w:val="16"/>
              </w:rPr>
              <w:t>en % des entreprises</w:t>
            </w:r>
          </w:p>
        </w:tc>
        <w:tc>
          <w:tcPr>
            <w:tcW w:w="2126" w:type="dxa"/>
            <w:gridSpan w:val="2"/>
            <w:vAlign w:val="center"/>
            <w:hideMark/>
          </w:tcPr>
          <w:p w:rsidR="0035446E" w:rsidRPr="004A0D58" w:rsidRDefault="0035446E" w:rsidP="0035446E">
            <w:pPr>
              <w:jc w:val="center"/>
              <w:rPr>
                <w:rFonts w:ascii="Book Antiqua" w:hAnsi="Book Antiqua"/>
                <w:b/>
                <w:bCs/>
                <w:sz w:val="16"/>
                <w:szCs w:val="16"/>
              </w:rPr>
            </w:pPr>
            <w:r>
              <w:rPr>
                <w:rFonts w:ascii="Book Antiqua" w:hAnsi="Book Antiqua"/>
                <w:b/>
                <w:bCs/>
                <w:sz w:val="16"/>
                <w:szCs w:val="16"/>
              </w:rPr>
              <w:t xml:space="preserve">Poids du </w:t>
            </w:r>
            <w:r w:rsidRPr="004A0D58">
              <w:rPr>
                <w:rFonts w:ascii="Book Antiqua" w:hAnsi="Book Antiqua"/>
                <w:b/>
                <w:bCs/>
                <w:sz w:val="16"/>
                <w:szCs w:val="16"/>
              </w:rPr>
              <w:t>CA à l'export</w:t>
            </w:r>
          </w:p>
        </w:tc>
        <w:tc>
          <w:tcPr>
            <w:tcW w:w="2045" w:type="dxa"/>
            <w:vAlign w:val="center"/>
            <w:hideMark/>
          </w:tcPr>
          <w:p w:rsidR="0035446E" w:rsidRPr="004A0D58" w:rsidRDefault="0035446E" w:rsidP="000C2C7D">
            <w:pPr>
              <w:jc w:val="center"/>
              <w:rPr>
                <w:rFonts w:ascii="Book Antiqua" w:hAnsi="Book Antiqua"/>
                <w:b/>
                <w:bCs/>
                <w:sz w:val="16"/>
                <w:szCs w:val="16"/>
              </w:rPr>
            </w:pPr>
            <w:r w:rsidRPr="004A0D58">
              <w:rPr>
                <w:rFonts w:ascii="Book Antiqua" w:hAnsi="Book Antiqua"/>
                <w:b/>
                <w:bCs/>
                <w:sz w:val="16"/>
                <w:szCs w:val="16"/>
              </w:rPr>
              <w:t>Taux d'exportation des entreprises exportatrices (en %)</w:t>
            </w:r>
          </w:p>
        </w:tc>
      </w:tr>
      <w:tr w:rsidR="000C5B4F" w:rsidRPr="006E42D8" w:rsidTr="0035446E">
        <w:trPr>
          <w:trHeight w:val="268"/>
        </w:trPr>
        <w:tc>
          <w:tcPr>
            <w:tcW w:w="3813" w:type="dxa"/>
            <w:tcBorders>
              <w:right w:val="nil"/>
            </w:tcBorders>
            <w:noWrap/>
            <w:vAlign w:val="center"/>
          </w:tcPr>
          <w:p w:rsidR="000C5B4F" w:rsidRPr="006E42D8" w:rsidRDefault="000C5B4F" w:rsidP="000C2C7D">
            <w:pPr>
              <w:rPr>
                <w:rFonts w:ascii="Book Antiqua" w:hAnsi="Book Antiqua"/>
                <w:b/>
                <w:bCs/>
                <w:sz w:val="16"/>
                <w:szCs w:val="16"/>
              </w:rPr>
            </w:pPr>
            <w:r>
              <w:rPr>
                <w:rFonts w:ascii="Book Antiqua" w:hAnsi="Book Antiqua"/>
                <w:b/>
                <w:bCs/>
                <w:sz w:val="16"/>
                <w:szCs w:val="16"/>
              </w:rPr>
              <w:t xml:space="preserve">      </w:t>
            </w:r>
            <w:r w:rsidRPr="006E42D8">
              <w:rPr>
                <w:rFonts w:ascii="Book Antiqua" w:hAnsi="Book Antiqua"/>
                <w:b/>
                <w:bCs/>
                <w:sz w:val="16"/>
                <w:szCs w:val="16"/>
              </w:rPr>
              <w:t>Taille</w:t>
            </w:r>
          </w:p>
        </w:tc>
        <w:tc>
          <w:tcPr>
            <w:tcW w:w="2141" w:type="dxa"/>
            <w:tcBorders>
              <w:left w:val="nil"/>
              <w:right w:val="nil"/>
            </w:tcBorders>
            <w:shd w:val="clear" w:color="auto" w:fill="auto"/>
            <w:vAlign w:val="center"/>
          </w:tcPr>
          <w:p w:rsidR="000C5B4F" w:rsidRPr="006E42D8" w:rsidRDefault="000C5B4F" w:rsidP="000C2C7D">
            <w:pPr>
              <w:jc w:val="center"/>
              <w:rPr>
                <w:rFonts w:ascii="Book Antiqua" w:hAnsi="Book Antiqua"/>
                <w:b/>
                <w:bCs/>
                <w:sz w:val="16"/>
                <w:szCs w:val="16"/>
              </w:rPr>
            </w:pPr>
          </w:p>
        </w:tc>
        <w:tc>
          <w:tcPr>
            <w:tcW w:w="1014" w:type="dxa"/>
            <w:tcBorders>
              <w:left w:val="nil"/>
              <w:right w:val="nil"/>
            </w:tcBorders>
            <w:shd w:val="clear" w:color="auto" w:fill="auto"/>
            <w:vAlign w:val="center"/>
          </w:tcPr>
          <w:p w:rsidR="000C5B4F" w:rsidRPr="006E42D8" w:rsidRDefault="000C5B4F" w:rsidP="000C2C7D">
            <w:pPr>
              <w:jc w:val="center"/>
              <w:rPr>
                <w:rFonts w:ascii="Book Antiqua" w:hAnsi="Book Antiqua"/>
                <w:b/>
                <w:bCs/>
                <w:sz w:val="16"/>
                <w:szCs w:val="16"/>
              </w:rPr>
            </w:pPr>
          </w:p>
        </w:tc>
        <w:tc>
          <w:tcPr>
            <w:tcW w:w="1112" w:type="dxa"/>
            <w:tcBorders>
              <w:left w:val="nil"/>
              <w:right w:val="nil"/>
            </w:tcBorders>
            <w:vAlign w:val="center"/>
          </w:tcPr>
          <w:p w:rsidR="000C5B4F" w:rsidRPr="006E42D8" w:rsidRDefault="000C5B4F" w:rsidP="000C2C7D">
            <w:pPr>
              <w:jc w:val="center"/>
              <w:rPr>
                <w:rFonts w:ascii="Book Antiqua" w:hAnsi="Book Antiqua"/>
                <w:b/>
                <w:bCs/>
                <w:sz w:val="16"/>
                <w:szCs w:val="16"/>
              </w:rPr>
            </w:pPr>
          </w:p>
        </w:tc>
        <w:tc>
          <w:tcPr>
            <w:tcW w:w="2045" w:type="dxa"/>
            <w:tcBorders>
              <w:left w:val="nil"/>
            </w:tcBorders>
            <w:shd w:val="clear" w:color="auto" w:fill="auto"/>
            <w:vAlign w:val="center"/>
          </w:tcPr>
          <w:p w:rsidR="000C5B4F" w:rsidRPr="006E42D8" w:rsidRDefault="000C5B4F" w:rsidP="000C2C7D">
            <w:pPr>
              <w:jc w:val="center"/>
              <w:rPr>
                <w:rFonts w:ascii="Book Antiqua" w:hAnsi="Book Antiqua"/>
                <w:b/>
                <w:bCs/>
                <w:sz w:val="16"/>
                <w:szCs w:val="16"/>
              </w:rPr>
            </w:pPr>
          </w:p>
        </w:tc>
      </w:tr>
      <w:tr w:rsidR="0035446E" w:rsidRPr="006E42D8" w:rsidTr="0035446E">
        <w:trPr>
          <w:trHeight w:val="327"/>
        </w:trPr>
        <w:tc>
          <w:tcPr>
            <w:tcW w:w="3813" w:type="dxa"/>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Moins de 10</w:t>
            </w:r>
          </w:p>
        </w:tc>
        <w:tc>
          <w:tcPr>
            <w:tcW w:w="2141"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w:t>
            </w:r>
          </w:p>
        </w:tc>
        <w:tc>
          <w:tcPr>
            <w:tcW w:w="2126" w:type="dxa"/>
            <w:gridSpan w:val="2"/>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0.3%</w:t>
            </w:r>
          </w:p>
        </w:tc>
        <w:tc>
          <w:tcPr>
            <w:tcW w:w="2045"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77%</w:t>
            </w:r>
          </w:p>
        </w:tc>
      </w:tr>
      <w:tr w:rsidR="0035446E" w:rsidRPr="006E42D8" w:rsidTr="0035446E">
        <w:trPr>
          <w:trHeight w:val="327"/>
        </w:trPr>
        <w:tc>
          <w:tcPr>
            <w:tcW w:w="3813" w:type="dxa"/>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10 à 200</w:t>
            </w:r>
          </w:p>
        </w:tc>
        <w:tc>
          <w:tcPr>
            <w:tcW w:w="2141"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26%</w:t>
            </w:r>
          </w:p>
        </w:tc>
        <w:tc>
          <w:tcPr>
            <w:tcW w:w="2126" w:type="dxa"/>
            <w:gridSpan w:val="2"/>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21.6%</w:t>
            </w:r>
          </w:p>
        </w:tc>
        <w:tc>
          <w:tcPr>
            <w:tcW w:w="2045" w:type="dxa"/>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42%</w:t>
            </w:r>
          </w:p>
        </w:tc>
      </w:tr>
      <w:tr w:rsidR="0035446E" w:rsidRPr="006E42D8" w:rsidTr="0035446E">
        <w:trPr>
          <w:trHeight w:val="327"/>
        </w:trPr>
        <w:tc>
          <w:tcPr>
            <w:tcW w:w="3813" w:type="dxa"/>
            <w:tcBorders>
              <w:bottom w:val="single" w:sz="4" w:space="0" w:color="auto"/>
            </w:tcBorders>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 xml:space="preserve">200 </w:t>
            </w:r>
            <w:r>
              <w:rPr>
                <w:rFonts w:ascii="Book Antiqua" w:hAnsi="Book Antiqua"/>
                <w:b/>
                <w:bCs/>
                <w:sz w:val="16"/>
                <w:szCs w:val="16"/>
              </w:rPr>
              <w:t>et plus</w:t>
            </w:r>
          </w:p>
        </w:tc>
        <w:tc>
          <w:tcPr>
            <w:tcW w:w="2141" w:type="dxa"/>
            <w:tcBorders>
              <w:bottom w:val="single" w:sz="4" w:space="0" w:color="auto"/>
            </w:tcBorders>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73%</w:t>
            </w:r>
          </w:p>
        </w:tc>
        <w:tc>
          <w:tcPr>
            <w:tcW w:w="2126" w:type="dxa"/>
            <w:gridSpan w:val="2"/>
            <w:tcBorders>
              <w:bottom w:val="single" w:sz="4" w:space="0" w:color="auto"/>
            </w:tcBorders>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78.1%</w:t>
            </w:r>
          </w:p>
        </w:tc>
        <w:tc>
          <w:tcPr>
            <w:tcW w:w="2045" w:type="dxa"/>
            <w:tcBorders>
              <w:bottom w:val="single" w:sz="4" w:space="0" w:color="auto"/>
            </w:tcBorders>
            <w:shd w:val="clear" w:color="auto" w:fill="auto"/>
            <w:noWrap/>
            <w:vAlign w:val="center"/>
            <w:hideMark/>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38%</w:t>
            </w:r>
          </w:p>
        </w:tc>
      </w:tr>
      <w:tr w:rsidR="000C5B4F" w:rsidRPr="006E42D8" w:rsidTr="0035446E">
        <w:trPr>
          <w:trHeight w:val="327"/>
        </w:trPr>
        <w:tc>
          <w:tcPr>
            <w:tcW w:w="3813" w:type="dxa"/>
            <w:tcBorders>
              <w:top w:val="single" w:sz="4" w:space="0" w:color="auto"/>
              <w:left w:val="single" w:sz="4" w:space="0" w:color="auto"/>
              <w:bottom w:val="single" w:sz="4" w:space="0" w:color="auto"/>
              <w:right w:val="nil"/>
            </w:tcBorders>
            <w:noWrap/>
            <w:vAlign w:val="center"/>
          </w:tcPr>
          <w:p w:rsidR="000C5B4F" w:rsidRPr="006E42D8" w:rsidRDefault="000C5B4F" w:rsidP="00343228">
            <w:pPr>
              <w:rPr>
                <w:rFonts w:ascii="Book Antiqua" w:hAnsi="Book Antiqua"/>
                <w:b/>
                <w:bCs/>
                <w:sz w:val="16"/>
                <w:szCs w:val="16"/>
              </w:rPr>
            </w:pPr>
            <w:r>
              <w:rPr>
                <w:rFonts w:ascii="Book Antiqua" w:hAnsi="Book Antiqua"/>
                <w:b/>
                <w:bCs/>
                <w:sz w:val="16"/>
                <w:szCs w:val="16"/>
              </w:rPr>
              <w:t xml:space="preserve">       </w:t>
            </w:r>
            <w:r w:rsidRPr="006E42D8">
              <w:rPr>
                <w:rFonts w:ascii="Book Antiqua" w:hAnsi="Book Antiqua"/>
                <w:b/>
                <w:bCs/>
                <w:sz w:val="16"/>
                <w:szCs w:val="16"/>
              </w:rPr>
              <w:t>Sous-</w:t>
            </w:r>
            <w:r w:rsidR="00343228">
              <w:rPr>
                <w:rFonts w:ascii="Book Antiqua" w:hAnsi="Book Antiqua"/>
                <w:b/>
                <w:bCs/>
                <w:sz w:val="16"/>
                <w:szCs w:val="16"/>
              </w:rPr>
              <w:t>secteur</w:t>
            </w:r>
            <w:r>
              <w:rPr>
                <w:rFonts w:ascii="Book Antiqua" w:hAnsi="Book Antiqua"/>
                <w:b/>
                <w:bCs/>
                <w:sz w:val="16"/>
                <w:szCs w:val="16"/>
              </w:rPr>
              <w:t>s</w:t>
            </w:r>
          </w:p>
        </w:tc>
        <w:tc>
          <w:tcPr>
            <w:tcW w:w="2141" w:type="dxa"/>
            <w:tcBorders>
              <w:top w:val="single" w:sz="4" w:space="0" w:color="auto"/>
              <w:left w:val="nil"/>
              <w:bottom w:val="single" w:sz="4" w:space="0" w:color="auto"/>
              <w:right w:val="nil"/>
            </w:tcBorders>
            <w:shd w:val="clear" w:color="auto" w:fill="auto"/>
            <w:noWrap/>
            <w:vAlign w:val="center"/>
          </w:tcPr>
          <w:p w:rsidR="000C5B4F" w:rsidRPr="006E42D8" w:rsidRDefault="000C5B4F" w:rsidP="000C2C7D">
            <w:pPr>
              <w:jc w:val="center"/>
              <w:rPr>
                <w:rFonts w:ascii="Book Antiqua" w:hAnsi="Book Antiqua"/>
                <w:sz w:val="16"/>
                <w:szCs w:val="16"/>
              </w:rPr>
            </w:pPr>
          </w:p>
        </w:tc>
        <w:tc>
          <w:tcPr>
            <w:tcW w:w="1014" w:type="dxa"/>
            <w:tcBorders>
              <w:top w:val="single" w:sz="4" w:space="0" w:color="auto"/>
              <w:left w:val="nil"/>
              <w:bottom w:val="single" w:sz="4" w:space="0" w:color="auto"/>
              <w:right w:val="nil"/>
            </w:tcBorders>
            <w:shd w:val="clear" w:color="auto" w:fill="auto"/>
            <w:noWrap/>
            <w:vAlign w:val="center"/>
          </w:tcPr>
          <w:p w:rsidR="000C5B4F" w:rsidRPr="006E42D8" w:rsidRDefault="000C5B4F" w:rsidP="000C2C7D">
            <w:pPr>
              <w:jc w:val="center"/>
              <w:rPr>
                <w:rFonts w:ascii="Book Antiqua" w:hAnsi="Book Antiqua"/>
                <w:sz w:val="16"/>
                <w:szCs w:val="16"/>
              </w:rPr>
            </w:pPr>
          </w:p>
        </w:tc>
        <w:tc>
          <w:tcPr>
            <w:tcW w:w="1112" w:type="dxa"/>
            <w:tcBorders>
              <w:top w:val="single" w:sz="4" w:space="0" w:color="auto"/>
              <w:left w:val="nil"/>
              <w:bottom w:val="single" w:sz="4" w:space="0" w:color="auto"/>
              <w:right w:val="nil"/>
            </w:tcBorders>
            <w:shd w:val="clear" w:color="auto" w:fill="auto"/>
            <w:vAlign w:val="center"/>
          </w:tcPr>
          <w:p w:rsidR="000C5B4F" w:rsidRPr="006E42D8" w:rsidRDefault="000C5B4F" w:rsidP="000C2C7D">
            <w:pPr>
              <w:jc w:val="center"/>
              <w:rPr>
                <w:rFonts w:ascii="Book Antiqua" w:hAnsi="Book Antiqua"/>
                <w:sz w:val="16"/>
                <w:szCs w:val="16"/>
              </w:rPr>
            </w:pPr>
          </w:p>
        </w:tc>
        <w:tc>
          <w:tcPr>
            <w:tcW w:w="2045" w:type="dxa"/>
            <w:tcBorders>
              <w:top w:val="single" w:sz="4" w:space="0" w:color="auto"/>
              <w:left w:val="nil"/>
              <w:bottom w:val="single" w:sz="4" w:space="0" w:color="auto"/>
              <w:right w:val="single" w:sz="4" w:space="0" w:color="auto"/>
            </w:tcBorders>
            <w:shd w:val="clear" w:color="auto" w:fill="auto"/>
            <w:noWrap/>
            <w:vAlign w:val="center"/>
          </w:tcPr>
          <w:p w:rsidR="000C5B4F" w:rsidRPr="006E42D8" w:rsidRDefault="000C5B4F" w:rsidP="000C2C7D">
            <w:pPr>
              <w:jc w:val="center"/>
              <w:rPr>
                <w:rFonts w:ascii="Book Antiqua" w:hAnsi="Book Antiqua"/>
                <w:sz w:val="16"/>
                <w:szCs w:val="16"/>
              </w:rPr>
            </w:pPr>
          </w:p>
        </w:tc>
      </w:tr>
      <w:tr w:rsidR="0035446E" w:rsidRPr="006E42D8" w:rsidTr="0035446E">
        <w:trPr>
          <w:trHeight w:val="327"/>
        </w:trPr>
        <w:tc>
          <w:tcPr>
            <w:tcW w:w="3813" w:type="dxa"/>
            <w:tcBorders>
              <w:top w:val="single" w:sz="4" w:space="0" w:color="auto"/>
            </w:tcBorders>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Agro-alimentaires</w:t>
            </w:r>
          </w:p>
        </w:tc>
        <w:tc>
          <w:tcPr>
            <w:tcW w:w="2141" w:type="dxa"/>
            <w:tcBorders>
              <w:top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16%</w:t>
            </w:r>
          </w:p>
        </w:tc>
        <w:tc>
          <w:tcPr>
            <w:tcW w:w="2126" w:type="dxa"/>
            <w:gridSpan w:val="2"/>
            <w:tcBorders>
              <w:top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15.2%</w:t>
            </w:r>
          </w:p>
        </w:tc>
        <w:tc>
          <w:tcPr>
            <w:tcW w:w="2045" w:type="dxa"/>
            <w:tcBorders>
              <w:top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24%</w:t>
            </w:r>
          </w:p>
        </w:tc>
      </w:tr>
      <w:tr w:rsidR="0035446E" w:rsidRPr="006E42D8" w:rsidTr="0035446E">
        <w:trPr>
          <w:trHeight w:val="327"/>
        </w:trPr>
        <w:tc>
          <w:tcPr>
            <w:tcW w:w="3813" w:type="dxa"/>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Textiles &amp; du Cuir</w:t>
            </w:r>
          </w:p>
        </w:tc>
        <w:tc>
          <w:tcPr>
            <w:tcW w:w="2141"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40%</w:t>
            </w:r>
          </w:p>
        </w:tc>
        <w:tc>
          <w:tcPr>
            <w:tcW w:w="2126" w:type="dxa"/>
            <w:gridSpan w:val="2"/>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16.2%</w:t>
            </w:r>
          </w:p>
        </w:tc>
        <w:tc>
          <w:tcPr>
            <w:tcW w:w="2045"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80%</w:t>
            </w:r>
          </w:p>
        </w:tc>
      </w:tr>
      <w:tr w:rsidR="0035446E" w:rsidRPr="006E42D8" w:rsidTr="0035446E">
        <w:trPr>
          <w:trHeight w:val="327"/>
        </w:trPr>
        <w:tc>
          <w:tcPr>
            <w:tcW w:w="3813" w:type="dxa"/>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Chimiques &amp; Parachimiques</w:t>
            </w:r>
          </w:p>
        </w:tc>
        <w:tc>
          <w:tcPr>
            <w:tcW w:w="2141"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15%</w:t>
            </w:r>
          </w:p>
        </w:tc>
        <w:tc>
          <w:tcPr>
            <w:tcW w:w="2126" w:type="dxa"/>
            <w:gridSpan w:val="2"/>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42.4%</w:t>
            </w:r>
          </w:p>
        </w:tc>
        <w:tc>
          <w:tcPr>
            <w:tcW w:w="2045"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36%</w:t>
            </w:r>
          </w:p>
        </w:tc>
      </w:tr>
      <w:tr w:rsidR="0035446E" w:rsidRPr="006E42D8" w:rsidTr="0035446E">
        <w:trPr>
          <w:trHeight w:val="327"/>
        </w:trPr>
        <w:tc>
          <w:tcPr>
            <w:tcW w:w="3813" w:type="dxa"/>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Electriques &amp; Electroniques</w:t>
            </w:r>
          </w:p>
        </w:tc>
        <w:tc>
          <w:tcPr>
            <w:tcW w:w="2141"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53%</w:t>
            </w:r>
          </w:p>
        </w:tc>
        <w:tc>
          <w:tcPr>
            <w:tcW w:w="2126" w:type="dxa"/>
            <w:gridSpan w:val="2"/>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7.3%</w:t>
            </w:r>
          </w:p>
        </w:tc>
        <w:tc>
          <w:tcPr>
            <w:tcW w:w="2045" w:type="dxa"/>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56%</w:t>
            </w:r>
          </w:p>
        </w:tc>
      </w:tr>
      <w:tr w:rsidR="0035446E" w:rsidRPr="006E42D8" w:rsidTr="0035446E">
        <w:trPr>
          <w:trHeight w:val="327"/>
        </w:trPr>
        <w:tc>
          <w:tcPr>
            <w:tcW w:w="3813" w:type="dxa"/>
            <w:tcBorders>
              <w:bottom w:val="single" w:sz="4" w:space="0" w:color="auto"/>
            </w:tcBorders>
            <w:noWrap/>
            <w:vAlign w:val="center"/>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Industries Métalliques &amp; Mécaniques</w:t>
            </w:r>
          </w:p>
        </w:tc>
        <w:tc>
          <w:tcPr>
            <w:tcW w:w="2141" w:type="dxa"/>
            <w:tcBorders>
              <w:bottom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16%</w:t>
            </w:r>
          </w:p>
        </w:tc>
        <w:tc>
          <w:tcPr>
            <w:tcW w:w="2126" w:type="dxa"/>
            <w:gridSpan w:val="2"/>
            <w:tcBorders>
              <w:bottom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19.0%</w:t>
            </w:r>
          </w:p>
        </w:tc>
        <w:tc>
          <w:tcPr>
            <w:tcW w:w="2045" w:type="dxa"/>
            <w:tcBorders>
              <w:bottom w:val="single" w:sz="4" w:space="0" w:color="auto"/>
            </w:tcBorders>
            <w:shd w:val="clear" w:color="auto" w:fill="auto"/>
            <w:noWrap/>
            <w:vAlign w:val="center"/>
          </w:tcPr>
          <w:p w:rsidR="0035446E" w:rsidRPr="006E42D8" w:rsidRDefault="0035446E" w:rsidP="000C2C7D">
            <w:pPr>
              <w:jc w:val="center"/>
              <w:rPr>
                <w:rFonts w:ascii="Book Antiqua" w:hAnsi="Book Antiqua"/>
                <w:sz w:val="16"/>
                <w:szCs w:val="16"/>
              </w:rPr>
            </w:pPr>
            <w:r w:rsidRPr="006E42D8">
              <w:rPr>
                <w:rFonts w:ascii="Book Antiqua" w:hAnsi="Book Antiqua"/>
                <w:sz w:val="16"/>
                <w:szCs w:val="16"/>
              </w:rPr>
              <w:t>44%</w:t>
            </w:r>
          </w:p>
        </w:tc>
      </w:tr>
      <w:tr w:rsidR="0035446E" w:rsidRPr="006E42D8" w:rsidTr="0035446E">
        <w:trPr>
          <w:trHeight w:val="339"/>
        </w:trPr>
        <w:tc>
          <w:tcPr>
            <w:tcW w:w="3813" w:type="dxa"/>
            <w:tcBorders>
              <w:bottom w:val="single" w:sz="4" w:space="0" w:color="auto"/>
            </w:tcBorders>
            <w:noWrap/>
            <w:vAlign w:val="center"/>
            <w:hideMark/>
          </w:tcPr>
          <w:p w:rsidR="0035446E" w:rsidRPr="006E42D8" w:rsidRDefault="0035446E" w:rsidP="000C2C7D">
            <w:pPr>
              <w:rPr>
                <w:rFonts w:ascii="Book Antiqua" w:hAnsi="Book Antiqua"/>
                <w:b/>
                <w:bCs/>
                <w:sz w:val="16"/>
                <w:szCs w:val="16"/>
              </w:rPr>
            </w:pPr>
            <w:r w:rsidRPr="006E42D8">
              <w:rPr>
                <w:rFonts w:ascii="Book Antiqua" w:hAnsi="Book Antiqua"/>
                <w:b/>
                <w:bCs/>
                <w:sz w:val="16"/>
                <w:szCs w:val="16"/>
              </w:rPr>
              <w:t>Ensemble</w:t>
            </w:r>
          </w:p>
        </w:tc>
        <w:tc>
          <w:tcPr>
            <w:tcW w:w="2141" w:type="dxa"/>
            <w:tcBorders>
              <w:bottom w:val="single" w:sz="4" w:space="0" w:color="auto"/>
            </w:tcBorders>
            <w:shd w:val="clear" w:color="auto" w:fill="auto"/>
            <w:noWrap/>
            <w:vAlign w:val="center"/>
            <w:hideMark/>
          </w:tcPr>
          <w:p w:rsidR="0035446E" w:rsidRPr="00F84648" w:rsidRDefault="0035446E" w:rsidP="000C2C7D">
            <w:pPr>
              <w:jc w:val="center"/>
              <w:rPr>
                <w:rFonts w:ascii="Book Antiqua" w:hAnsi="Book Antiqua"/>
                <w:b/>
                <w:bCs/>
                <w:sz w:val="16"/>
                <w:szCs w:val="16"/>
              </w:rPr>
            </w:pPr>
            <w:r w:rsidRPr="00F84648">
              <w:rPr>
                <w:rFonts w:ascii="Book Antiqua" w:hAnsi="Book Antiqua"/>
                <w:b/>
                <w:bCs/>
                <w:sz w:val="16"/>
                <w:szCs w:val="16"/>
              </w:rPr>
              <w:t>21%</w:t>
            </w:r>
          </w:p>
        </w:tc>
        <w:tc>
          <w:tcPr>
            <w:tcW w:w="2126" w:type="dxa"/>
            <w:gridSpan w:val="2"/>
            <w:tcBorders>
              <w:bottom w:val="single" w:sz="4" w:space="0" w:color="auto"/>
            </w:tcBorders>
            <w:shd w:val="clear" w:color="auto" w:fill="auto"/>
            <w:noWrap/>
            <w:vAlign w:val="center"/>
            <w:hideMark/>
          </w:tcPr>
          <w:p w:rsidR="0035446E" w:rsidRPr="00F84648" w:rsidRDefault="0035446E" w:rsidP="000C2C7D">
            <w:pPr>
              <w:jc w:val="center"/>
              <w:rPr>
                <w:rFonts w:ascii="Book Antiqua" w:hAnsi="Book Antiqua"/>
                <w:b/>
                <w:bCs/>
                <w:sz w:val="16"/>
                <w:szCs w:val="16"/>
              </w:rPr>
            </w:pPr>
            <w:r w:rsidRPr="00F84648">
              <w:rPr>
                <w:rFonts w:ascii="Book Antiqua" w:hAnsi="Book Antiqua"/>
                <w:b/>
                <w:bCs/>
                <w:sz w:val="16"/>
                <w:szCs w:val="16"/>
              </w:rPr>
              <w:t>100.0%</w:t>
            </w:r>
          </w:p>
        </w:tc>
        <w:tc>
          <w:tcPr>
            <w:tcW w:w="2045" w:type="dxa"/>
            <w:tcBorders>
              <w:bottom w:val="single" w:sz="4" w:space="0" w:color="auto"/>
            </w:tcBorders>
            <w:shd w:val="clear" w:color="auto" w:fill="auto"/>
            <w:noWrap/>
            <w:vAlign w:val="center"/>
            <w:hideMark/>
          </w:tcPr>
          <w:p w:rsidR="0035446E" w:rsidRPr="00F84648" w:rsidRDefault="0035446E" w:rsidP="000C2C7D">
            <w:pPr>
              <w:jc w:val="center"/>
              <w:rPr>
                <w:rFonts w:ascii="Book Antiqua" w:hAnsi="Book Antiqua"/>
                <w:b/>
                <w:bCs/>
                <w:sz w:val="16"/>
                <w:szCs w:val="16"/>
              </w:rPr>
            </w:pPr>
            <w:r w:rsidRPr="00F84648">
              <w:rPr>
                <w:rFonts w:ascii="Book Antiqua" w:hAnsi="Book Antiqua"/>
                <w:b/>
                <w:bCs/>
                <w:sz w:val="16"/>
                <w:szCs w:val="16"/>
              </w:rPr>
              <w:t>39%</w:t>
            </w:r>
          </w:p>
        </w:tc>
      </w:tr>
      <w:tr w:rsidR="000C5B4F" w:rsidRPr="006E42D8" w:rsidTr="000C5B4F">
        <w:trPr>
          <w:trHeight w:val="339"/>
        </w:trPr>
        <w:tc>
          <w:tcPr>
            <w:tcW w:w="10125" w:type="dxa"/>
            <w:gridSpan w:val="5"/>
            <w:tcBorders>
              <w:top w:val="single" w:sz="4" w:space="0" w:color="auto"/>
              <w:left w:val="nil"/>
              <w:bottom w:val="nil"/>
              <w:right w:val="nil"/>
            </w:tcBorders>
            <w:noWrap/>
            <w:vAlign w:val="center"/>
            <w:hideMark/>
          </w:tcPr>
          <w:p w:rsidR="000C5B4F" w:rsidRPr="006E42D8" w:rsidRDefault="000C5B4F" w:rsidP="000C2C7D">
            <w:pPr>
              <w:rPr>
                <w:rFonts w:ascii="Book Antiqua" w:hAnsi="Book Antiqua"/>
                <w:sz w:val="16"/>
                <w:szCs w:val="16"/>
              </w:rPr>
            </w:pPr>
            <w:r>
              <w:rPr>
                <w:rFonts w:ascii="Book Antiqua" w:hAnsi="Book Antiqua"/>
                <w:sz w:val="16"/>
                <w:szCs w:val="16"/>
              </w:rPr>
              <w:t>Source : Enquête Nationale de Structure 2015</w:t>
            </w:r>
          </w:p>
        </w:tc>
      </w:tr>
    </w:tbl>
    <w:p w:rsidR="000C5B4F" w:rsidRDefault="000C5B4F" w:rsidP="000C5B4F">
      <w:pPr>
        <w:spacing w:line="300" w:lineRule="exact"/>
        <w:jc w:val="both"/>
      </w:pPr>
    </w:p>
    <w:p w:rsidR="000C5B4F" w:rsidRDefault="000C5B4F" w:rsidP="00D24853">
      <w:pPr>
        <w:spacing w:line="300" w:lineRule="exact"/>
        <w:jc w:val="both"/>
        <w:rPr>
          <w:b/>
          <w:bCs/>
          <w:color w:val="993366"/>
        </w:rPr>
      </w:pPr>
      <w:r>
        <w:rPr>
          <w:b/>
          <w:bCs/>
          <w:color w:val="993366"/>
        </w:rPr>
        <w:t xml:space="preserve">Les industries </w:t>
      </w:r>
      <w:r w:rsidR="00D24853">
        <w:rPr>
          <w:b/>
          <w:bCs/>
          <w:color w:val="993366"/>
        </w:rPr>
        <w:t>manufacturières</w:t>
      </w:r>
      <w:r>
        <w:rPr>
          <w:b/>
          <w:bCs/>
          <w:color w:val="993366"/>
        </w:rPr>
        <w:t xml:space="preserve"> </w:t>
      </w:r>
      <w:r w:rsidRPr="0043594D">
        <w:rPr>
          <w:b/>
          <w:bCs/>
          <w:color w:val="993366"/>
        </w:rPr>
        <w:t xml:space="preserve">par </w:t>
      </w:r>
      <w:r w:rsidR="00D51838">
        <w:rPr>
          <w:b/>
          <w:bCs/>
          <w:color w:val="993366"/>
        </w:rPr>
        <w:t>sous-secteur</w:t>
      </w:r>
    </w:p>
    <w:p w:rsidR="000C5B4F" w:rsidRPr="0043594D" w:rsidRDefault="000C5B4F" w:rsidP="000C5B4F">
      <w:pPr>
        <w:spacing w:line="300" w:lineRule="exact"/>
        <w:jc w:val="both"/>
        <w:rPr>
          <w:b/>
          <w:bCs/>
          <w:color w:val="993366"/>
        </w:rPr>
      </w:pPr>
    </w:p>
    <w:p w:rsidR="000C5B4F" w:rsidRPr="0027029E" w:rsidRDefault="000C5B4F" w:rsidP="00016497">
      <w:pPr>
        <w:spacing w:line="300" w:lineRule="exact"/>
        <w:jc w:val="both"/>
      </w:pPr>
      <w:r>
        <w:t xml:space="preserve">La structure par </w:t>
      </w:r>
      <w:r w:rsidR="00824E68">
        <w:t>sous-secteur</w:t>
      </w:r>
      <w:r w:rsidRPr="00176080">
        <w:t xml:space="preserve"> </w:t>
      </w:r>
      <w:r>
        <w:t xml:space="preserve">a </w:t>
      </w:r>
      <w:r w:rsidRPr="00176080">
        <w:t>m</w:t>
      </w:r>
      <w:r>
        <w:t>is</w:t>
      </w:r>
      <w:r w:rsidRPr="00176080">
        <w:t xml:space="preserve"> en relief la prédominance de trois principales branches d’activité </w:t>
      </w:r>
      <w:r>
        <w:t xml:space="preserve">qui ont regroupé près de 75% des EOI </w:t>
      </w:r>
      <w:r w:rsidRPr="00176080">
        <w:t xml:space="preserve">: la chimie et parachimie, l’agroalimentaire et les industries métalliques et mécaniques. </w:t>
      </w:r>
      <w:r>
        <w:t>L</w:t>
      </w:r>
      <w:r w:rsidRPr="0027029E">
        <w:t>'industrie « chimique et parachimique » qui regroupe les industries chimiques de base, les produits agro-chimiques, pharmaceutiques et d’entretien a représenté 29% de la population totale des entreprises</w:t>
      </w:r>
      <w:r>
        <w:t xml:space="preserve"> </w:t>
      </w:r>
      <w:r w:rsidR="00016497">
        <w:t>manufacturière</w:t>
      </w:r>
      <w:r>
        <w:t>s</w:t>
      </w:r>
      <w:r w:rsidRPr="0027029E">
        <w:t xml:space="preserve"> et a été à l’origine d’environ 40% des résultats d</w:t>
      </w:r>
      <w:r>
        <w:t>u secteur</w:t>
      </w:r>
      <w:r w:rsidRPr="0027029E">
        <w:t xml:space="preserve"> en termes de chiffre d’affaires, de production, de valeur ajoutée ou d’exportation. C’est aussi la branche qui a consenti le plus d’investissement, avec 76% de l’investissement </w:t>
      </w:r>
      <w:r>
        <w:t>globa</w:t>
      </w:r>
      <w:r w:rsidRPr="0027029E">
        <w:t xml:space="preserve">l. </w:t>
      </w:r>
      <w:r>
        <w:t>Elle a réalisé la plus forte croissance de l’emploi (</w:t>
      </w:r>
      <w:r w:rsidRPr="00844B6C">
        <w:t>+12,4%</w:t>
      </w:r>
      <w:r>
        <w:t xml:space="preserve">, en rythme annuel moyen depuis 2006), en occupant </w:t>
      </w:r>
      <w:r w:rsidRPr="0027029E">
        <w:t xml:space="preserve">109,3 milles </w:t>
      </w:r>
      <w:r>
        <w:t>emplois permanents</w:t>
      </w:r>
      <w:r w:rsidRPr="0027029E">
        <w:t xml:space="preserve">, </w:t>
      </w:r>
      <w:r>
        <w:t>contribuant pour prè</w:t>
      </w:r>
      <w:r w:rsidRPr="0027029E">
        <w:t xml:space="preserve">s de 20% de la population active occupée </w:t>
      </w:r>
      <w:r>
        <w:t>totale.</w:t>
      </w:r>
      <w:r w:rsidRPr="0027029E">
        <w:t xml:space="preserve"> </w:t>
      </w:r>
      <w:r>
        <w:t>L</w:t>
      </w:r>
      <w:r w:rsidRPr="0027029E">
        <w:t>a branche a</w:t>
      </w:r>
      <w:r>
        <w:t>, également,</w:t>
      </w:r>
      <w:r w:rsidRPr="0027029E">
        <w:t xml:space="preserve"> jouit de la plus forte productivité industrielle : chaque salarié a généré une production moyenne de 335 </w:t>
      </w:r>
      <w:r>
        <w:t>000</w:t>
      </w:r>
      <w:r w:rsidRPr="0027029E">
        <w:t xml:space="preserve"> DH par an, au lieu de 150 </w:t>
      </w:r>
      <w:r>
        <w:t>000</w:t>
      </w:r>
      <w:r w:rsidRPr="0027029E">
        <w:t xml:space="preserve"> DH dans l’</w:t>
      </w:r>
      <w:r>
        <w:t>ensemble du secteur</w:t>
      </w:r>
      <w:r w:rsidRPr="0027029E">
        <w:t>.</w:t>
      </w:r>
    </w:p>
    <w:p w:rsidR="000C5B4F" w:rsidRDefault="000C5B4F" w:rsidP="000C5B4F">
      <w:pPr>
        <w:spacing w:line="300" w:lineRule="exact"/>
        <w:jc w:val="both"/>
      </w:pPr>
    </w:p>
    <w:p w:rsidR="000C5B4F" w:rsidRDefault="000C5B4F" w:rsidP="000C5B4F">
      <w:pPr>
        <w:spacing w:line="300" w:lineRule="exact"/>
        <w:jc w:val="both"/>
      </w:pPr>
      <w:r w:rsidRPr="0027029E">
        <w:t xml:space="preserve">Les entreprises des industries agroalimentaires, deuxième branche la plus importante, ont représenté 25% de la population. Ces entreprises, spécialisées dans les industries alimentaires, de boisson et de tabac, ont généré plus d’un quart des résultats </w:t>
      </w:r>
      <w:r>
        <w:t>du secteur</w:t>
      </w:r>
      <w:r w:rsidRPr="0027029E">
        <w:t xml:space="preserve"> en termes de chiffre d’affaires, de production ou de valeur ajoutée et ont </w:t>
      </w:r>
      <w:r>
        <w:t>occupé près de</w:t>
      </w:r>
      <w:r w:rsidRPr="0027029E">
        <w:t xml:space="preserve"> 13</w:t>
      </w:r>
      <w:r>
        <w:t>7</w:t>
      </w:r>
      <w:r w:rsidRPr="0027029E">
        <w:t xml:space="preserve"> mille </w:t>
      </w:r>
      <w:r>
        <w:t>salarié</w:t>
      </w:r>
      <w:r w:rsidRPr="0027029E">
        <w:t>s permanents</w:t>
      </w:r>
      <w:r>
        <w:t>, en hausse de 8,3%, en rythme annuel moyen</w:t>
      </w:r>
      <w:r w:rsidRPr="0027029E">
        <w:t xml:space="preserve">. </w:t>
      </w:r>
      <w:r>
        <w:t>Leur</w:t>
      </w:r>
      <w:r w:rsidRPr="0027029E">
        <w:t xml:space="preserve"> contribution </w:t>
      </w:r>
      <w:r>
        <w:t>a été</w:t>
      </w:r>
      <w:r w:rsidRPr="0027029E">
        <w:t xml:space="preserve"> relativement moins importante en matière d’investissement (14%) et d’exportation (15%). </w:t>
      </w:r>
    </w:p>
    <w:p w:rsidR="000C5B4F" w:rsidRPr="0027029E" w:rsidRDefault="000C5B4F" w:rsidP="000C5B4F">
      <w:pPr>
        <w:spacing w:line="300" w:lineRule="exact"/>
        <w:jc w:val="both"/>
      </w:pPr>
    </w:p>
    <w:p w:rsidR="000C5B4F" w:rsidRDefault="000C5B4F" w:rsidP="000C5B4F">
      <w:pPr>
        <w:spacing w:line="300" w:lineRule="exact"/>
        <w:jc w:val="both"/>
      </w:pPr>
      <w:r w:rsidRPr="0027029E">
        <w:t>L</w:t>
      </w:r>
      <w:r>
        <w:t xml:space="preserve">es </w:t>
      </w:r>
      <w:r w:rsidRPr="0027029E">
        <w:t>industries métalliques</w:t>
      </w:r>
      <w:r w:rsidRPr="00012AD2">
        <w:t xml:space="preserve"> </w:t>
      </w:r>
      <w:r w:rsidRPr="00176080">
        <w:t>et mécaniques</w:t>
      </w:r>
      <w:r w:rsidRPr="0027029E">
        <w:t>, qui regroupe</w:t>
      </w:r>
      <w:r>
        <w:t>nt</w:t>
      </w:r>
      <w:r w:rsidRPr="0027029E">
        <w:t xml:space="preserve"> la métallurgie et la fabrication de produits métalliques, </w:t>
      </w:r>
      <w:r>
        <w:t>ont</w:t>
      </w:r>
      <w:r w:rsidRPr="0027029E">
        <w:t>, quant à elle</w:t>
      </w:r>
      <w:r>
        <w:t>s</w:t>
      </w:r>
      <w:r w:rsidRPr="0027029E">
        <w:t xml:space="preserve">, contribué pour près de 20% </w:t>
      </w:r>
      <w:r w:rsidRPr="00176080">
        <w:t>d</w:t>
      </w:r>
      <w:r>
        <w:t>e</w:t>
      </w:r>
      <w:r w:rsidRPr="00176080">
        <w:t xml:space="preserve"> la production globale du secteur manufactur</w:t>
      </w:r>
      <w:r>
        <w:t>ier</w:t>
      </w:r>
      <w:r w:rsidRPr="00176080">
        <w:t>,</w:t>
      </w:r>
      <w:r>
        <w:t xml:space="preserve"> après </w:t>
      </w:r>
      <w:r w:rsidRPr="00176080">
        <w:t>13%</w:t>
      </w:r>
      <w:r>
        <w:t xml:space="preserve"> en 2006</w:t>
      </w:r>
      <w:r w:rsidRPr="0027029E">
        <w:t xml:space="preserve">. La branche a exporté près d’un quart de son chiffre d’affaires et </w:t>
      </w:r>
      <w:r>
        <w:t>a employé environ</w:t>
      </w:r>
      <w:r w:rsidRPr="0027029E">
        <w:t xml:space="preserve"> 1</w:t>
      </w:r>
      <w:r>
        <w:t>36</w:t>
      </w:r>
      <w:r w:rsidRPr="0027029E">
        <w:t xml:space="preserve"> mille salariés permanents.</w:t>
      </w:r>
    </w:p>
    <w:p w:rsidR="000C5B4F" w:rsidRDefault="000C5B4F" w:rsidP="000C5B4F">
      <w:pPr>
        <w:spacing w:line="300" w:lineRule="exact"/>
        <w:jc w:val="both"/>
      </w:pPr>
    </w:p>
    <w:p w:rsidR="000C5B4F" w:rsidRDefault="000C5B4F" w:rsidP="00016497">
      <w:pPr>
        <w:spacing w:line="300" w:lineRule="exact"/>
        <w:jc w:val="both"/>
      </w:pPr>
      <w:r w:rsidRPr="0027029E">
        <w:t xml:space="preserve">La branche </w:t>
      </w:r>
      <w:r>
        <w:t xml:space="preserve">du </w:t>
      </w:r>
      <w:r w:rsidRPr="0027029E">
        <w:t xml:space="preserve">textile et </w:t>
      </w:r>
      <w:r>
        <w:t xml:space="preserve">du </w:t>
      </w:r>
      <w:r w:rsidRPr="0027029E">
        <w:t xml:space="preserve">cuir, qui regroupe les industries du textile, les articles d'habillement et de fourrures et les articles en cuir, a réaliser 7% du chiffre d’affaires total, tout en occupant 30% des effectifs </w:t>
      </w:r>
      <w:r w:rsidR="003B62DE">
        <w:t>permanent</w:t>
      </w:r>
      <w:r>
        <w:t>s</w:t>
      </w:r>
      <w:r w:rsidRPr="0027029E">
        <w:t xml:space="preserve">. </w:t>
      </w:r>
      <w:r>
        <w:t>Près de 40% des entreprises de la branche ont exporté</w:t>
      </w:r>
      <w:r w:rsidRPr="0027029E">
        <w:t xml:space="preserve"> à l'extérieur.</w:t>
      </w:r>
      <w:r>
        <w:t xml:space="preserve"> </w:t>
      </w:r>
      <w:r w:rsidRPr="00176080">
        <w:t>En revanche,</w:t>
      </w:r>
      <w:r>
        <w:t xml:space="preserve"> sa</w:t>
      </w:r>
      <w:r w:rsidRPr="00176080">
        <w:t xml:space="preserve"> contribution dans la production </w:t>
      </w:r>
      <w:r w:rsidR="00016497">
        <w:t>manufacturière</w:t>
      </w:r>
      <w:r w:rsidRPr="00176080">
        <w:t xml:space="preserve"> </w:t>
      </w:r>
      <w:r>
        <w:t xml:space="preserve">a </w:t>
      </w:r>
      <w:r w:rsidRPr="00176080">
        <w:t>diminu</w:t>
      </w:r>
      <w:r>
        <w:t>é</w:t>
      </w:r>
      <w:r w:rsidRPr="00176080">
        <w:t xml:space="preserve"> passant de 13% en 2006 à 7% en 2014</w:t>
      </w:r>
      <w:r>
        <w:t xml:space="preserve"> et sa part dans</w:t>
      </w:r>
      <w:r w:rsidRPr="00176080">
        <w:t xml:space="preserve"> </w:t>
      </w:r>
      <w:r w:rsidRPr="00844B6C">
        <w:t xml:space="preserve">l’emploi </w:t>
      </w:r>
      <w:r>
        <w:t>total</w:t>
      </w:r>
      <w:r w:rsidRPr="00844B6C">
        <w:t xml:space="preserve"> </w:t>
      </w:r>
      <w:r w:rsidR="003F077D">
        <w:t xml:space="preserve">(permanents et non permanents) </w:t>
      </w:r>
      <w:r>
        <w:t xml:space="preserve">est passée de </w:t>
      </w:r>
      <w:r w:rsidRPr="00844B6C">
        <w:t>46% en 2006</w:t>
      </w:r>
      <w:r>
        <w:t xml:space="preserve"> à 28%, en 2014</w:t>
      </w:r>
      <w:r w:rsidRPr="00176080">
        <w:t>.</w:t>
      </w:r>
    </w:p>
    <w:p w:rsidR="000C5B4F" w:rsidRDefault="000C5B4F" w:rsidP="00EF7AC1">
      <w:pPr>
        <w:spacing w:line="300" w:lineRule="exact"/>
        <w:jc w:val="both"/>
      </w:pPr>
      <w:r w:rsidRPr="0027029E">
        <w:lastRenderedPageBreak/>
        <w:t xml:space="preserve">Avec un taux d’exportation </w:t>
      </w:r>
      <w:r w:rsidR="00EF7AC1">
        <w:t>de</w:t>
      </w:r>
      <w:r w:rsidRPr="0027029E">
        <w:t xml:space="preserve"> 47% parmi les entreprises </w:t>
      </w:r>
      <w:r>
        <w:t>du secteur</w:t>
      </w:r>
      <w:r w:rsidRPr="0027029E">
        <w:t xml:space="preserve">, les industries électriques et électroniques ont généré près de 4% du chiffre d’affaires total et ont distribué environ 6% des salaires pour les 32 mille salariés occupés. </w:t>
      </w:r>
    </w:p>
    <w:p w:rsidR="000C5B4F" w:rsidRDefault="000C5B4F" w:rsidP="000C5B4F">
      <w:pPr>
        <w:spacing w:line="300" w:lineRule="exact"/>
        <w:jc w:val="both"/>
        <w:rPr>
          <w:b/>
          <w:bCs/>
          <w:color w:val="993366"/>
        </w:rPr>
      </w:pPr>
    </w:p>
    <w:p w:rsidR="000C5B4F" w:rsidRDefault="000C5B4F" w:rsidP="00D24853">
      <w:pPr>
        <w:pStyle w:val="Paragraphedeliste"/>
        <w:numPr>
          <w:ilvl w:val="0"/>
          <w:numId w:val="6"/>
        </w:numPr>
        <w:spacing w:after="0" w:line="300" w:lineRule="exact"/>
        <w:jc w:val="both"/>
        <w:rPr>
          <w:rFonts w:ascii="Times New Roman" w:hAnsi="Times New Roman" w:cs="Times New Roman"/>
          <w:b/>
          <w:bCs/>
          <w:color w:val="E36C0A"/>
          <w:sz w:val="24"/>
          <w:szCs w:val="24"/>
        </w:rPr>
      </w:pPr>
      <w:r>
        <w:rPr>
          <w:rFonts w:ascii="Times New Roman" w:hAnsi="Times New Roman" w:cs="Times New Roman"/>
          <w:b/>
          <w:bCs/>
          <w:color w:val="E36C0A"/>
          <w:sz w:val="24"/>
          <w:szCs w:val="24"/>
        </w:rPr>
        <w:t xml:space="preserve">Structure </w:t>
      </w:r>
      <w:r w:rsidRPr="007238C0">
        <w:rPr>
          <w:rFonts w:ascii="Times New Roman" w:hAnsi="Times New Roman" w:cs="Times New Roman"/>
          <w:b/>
          <w:bCs/>
          <w:color w:val="E36C0A"/>
          <w:sz w:val="24"/>
          <w:szCs w:val="24"/>
        </w:rPr>
        <w:t>des</w:t>
      </w:r>
      <w:r>
        <w:rPr>
          <w:rFonts w:ascii="Times New Roman" w:hAnsi="Times New Roman" w:cs="Times New Roman"/>
          <w:b/>
          <w:bCs/>
          <w:color w:val="E36C0A"/>
          <w:sz w:val="24"/>
          <w:szCs w:val="24"/>
        </w:rPr>
        <w:t xml:space="preserve"> </w:t>
      </w:r>
      <w:r w:rsidRPr="007238C0">
        <w:rPr>
          <w:rFonts w:ascii="Times New Roman" w:hAnsi="Times New Roman" w:cs="Times New Roman"/>
          <w:b/>
          <w:bCs/>
          <w:color w:val="E36C0A"/>
          <w:sz w:val="24"/>
          <w:szCs w:val="24"/>
        </w:rPr>
        <w:t>industrie</w:t>
      </w:r>
      <w:r>
        <w:rPr>
          <w:rFonts w:ascii="Times New Roman" w:hAnsi="Times New Roman" w:cs="Times New Roman"/>
          <w:b/>
          <w:bCs/>
          <w:color w:val="E36C0A"/>
          <w:sz w:val="24"/>
          <w:szCs w:val="24"/>
        </w:rPr>
        <w:t xml:space="preserve">s </w:t>
      </w:r>
      <w:r w:rsidR="00D24853">
        <w:rPr>
          <w:rFonts w:ascii="Times New Roman" w:hAnsi="Times New Roman" w:cs="Times New Roman"/>
          <w:b/>
          <w:bCs/>
          <w:color w:val="E36C0A"/>
          <w:sz w:val="24"/>
          <w:szCs w:val="24"/>
        </w:rPr>
        <w:t>manufacturières</w:t>
      </w:r>
      <w:r w:rsidRPr="007238C0">
        <w:rPr>
          <w:rFonts w:ascii="Times New Roman" w:hAnsi="Times New Roman" w:cs="Times New Roman"/>
          <w:b/>
          <w:bCs/>
          <w:color w:val="E36C0A"/>
          <w:sz w:val="24"/>
          <w:szCs w:val="24"/>
        </w:rPr>
        <w:t> </w:t>
      </w:r>
    </w:p>
    <w:p w:rsidR="000C5B4F" w:rsidRPr="005168D0" w:rsidRDefault="000C5B4F" w:rsidP="000C5B4F">
      <w:pPr>
        <w:spacing w:line="300" w:lineRule="exact"/>
        <w:jc w:val="both"/>
        <w:rPr>
          <w:b/>
          <w:bCs/>
          <w:color w:val="E36C0A"/>
        </w:rPr>
      </w:pPr>
    </w:p>
    <w:p w:rsidR="000C5B4F" w:rsidRDefault="000C5B4F" w:rsidP="00016497">
      <w:pPr>
        <w:spacing w:line="300" w:lineRule="exact"/>
        <w:jc w:val="both"/>
      </w:pPr>
      <w:r w:rsidRPr="00782D25">
        <w:t>Sur les 924</w:t>
      </w:r>
      <w:r>
        <w:t>8</w:t>
      </w:r>
      <w:r w:rsidRPr="00782D25">
        <w:t xml:space="preserve"> entreprises </w:t>
      </w:r>
      <w:r>
        <w:t>du secteur</w:t>
      </w:r>
      <w:r w:rsidRPr="00782D25">
        <w:t>, l</w:t>
      </w:r>
      <w:r>
        <w:t>a part d</w:t>
      </w:r>
      <w:r w:rsidRPr="00782D25">
        <w:t xml:space="preserve">es grandes entreprises </w:t>
      </w:r>
      <w:r>
        <w:t>a atteint</w:t>
      </w:r>
      <w:r w:rsidRPr="00782D25">
        <w:t xml:space="preserve"> 11%</w:t>
      </w:r>
      <w:r>
        <w:t xml:space="preserve">, au lieu de </w:t>
      </w:r>
      <w:r w:rsidRPr="00782D25">
        <w:t>89%</w:t>
      </w:r>
      <w:r>
        <w:t xml:space="preserve"> de</w:t>
      </w:r>
      <w:r w:rsidRPr="00782D25">
        <w:t xml:space="preserve"> </w:t>
      </w:r>
      <w:r>
        <w:t>très petites</w:t>
      </w:r>
      <w:r w:rsidR="00CE72A1">
        <w:t>, petites</w:t>
      </w:r>
      <w:r>
        <w:t xml:space="preserve"> et moyennes industries (</w:t>
      </w:r>
      <w:r w:rsidRPr="00782D25">
        <w:t>TPMI</w:t>
      </w:r>
      <w:r>
        <w:t>)</w:t>
      </w:r>
      <w:r w:rsidRPr="00782D25">
        <w:t xml:space="preserve">. Près du tiers de ces entreprises </w:t>
      </w:r>
      <w:r>
        <w:t>a été</w:t>
      </w:r>
      <w:r w:rsidRPr="00782D25">
        <w:t xml:space="preserve"> implanté dans la région du Grand Casablanca, suivi par la région de Tanger-Tétouan avec 10% des entreprises, puis les régions de Rabat-Salé-Zemmour-Zaer et de Marrakech-Tensift-Al Haouz. Ces quatre régions ont concentré, à elles seules, environ 56% des EOI.</w:t>
      </w:r>
      <w:r>
        <w:t xml:space="preserve"> </w:t>
      </w:r>
      <w:r w:rsidRPr="00782D25">
        <w:t>Selon le type de statut juridique, 74% des entreprises ont</w:t>
      </w:r>
      <w:r>
        <w:t xml:space="preserve"> été</w:t>
      </w:r>
      <w:r w:rsidRPr="00782D25">
        <w:t xml:space="preserve"> des sociétés à responsabilité limitée (SARL). La part des sociétés anonymes et des entreprises individuelles s’est limitée, quant à elle, à 10% chacune.</w:t>
      </w:r>
      <w:r>
        <w:t xml:space="preserve"> </w:t>
      </w:r>
      <w:r w:rsidRPr="00176080">
        <w:t>Le</w:t>
      </w:r>
      <w:r>
        <w:t>s</w:t>
      </w:r>
      <w:r w:rsidRPr="00176080">
        <w:t xml:space="preserve"> jeune</w:t>
      </w:r>
      <w:r>
        <w:t>s</w:t>
      </w:r>
      <w:r w:rsidRPr="00176080">
        <w:t xml:space="preserve"> entreprise</w:t>
      </w:r>
      <w:r>
        <w:t>s</w:t>
      </w:r>
      <w:r w:rsidRPr="00176080">
        <w:t>, définie</w:t>
      </w:r>
      <w:r>
        <w:t>s</w:t>
      </w:r>
      <w:r w:rsidRPr="00176080">
        <w:t xml:space="preserve"> comme ayant moins de 8 années d’activité et moins de 200 employés, </w:t>
      </w:r>
      <w:r>
        <w:t>ont constitué près de</w:t>
      </w:r>
      <w:r w:rsidRPr="00176080">
        <w:t xml:space="preserve"> 24% des entreprises </w:t>
      </w:r>
      <w:r w:rsidR="00016497">
        <w:t>manufacturière</w:t>
      </w:r>
      <w:r w:rsidRPr="00176080">
        <w:t xml:space="preserve">s. </w:t>
      </w:r>
      <w:r>
        <w:t xml:space="preserve">Elles ont opéré, </w:t>
      </w:r>
      <w:r w:rsidR="00025BCF">
        <w:t>particulièrement</w:t>
      </w:r>
      <w:r>
        <w:t xml:space="preserve">, </w:t>
      </w:r>
      <w:r w:rsidRPr="00176080">
        <w:t xml:space="preserve">dans l’industrie alimentaire et </w:t>
      </w:r>
      <w:r w:rsidR="00025BCF">
        <w:t>des</w:t>
      </w:r>
      <w:r w:rsidRPr="00176080">
        <w:t xml:space="preserve"> produits minéraux non métalliques.</w:t>
      </w:r>
    </w:p>
    <w:p w:rsidR="000C5B4F" w:rsidRPr="00176080" w:rsidRDefault="000C5B4F" w:rsidP="000C5B4F">
      <w:pPr>
        <w:spacing w:line="300" w:lineRule="exact"/>
        <w:jc w:val="both"/>
      </w:pPr>
    </w:p>
    <w:p w:rsidR="000C5B4F" w:rsidRPr="00AB34BD" w:rsidRDefault="000C5B4F" w:rsidP="000C5B4F">
      <w:pPr>
        <w:spacing w:line="300" w:lineRule="exact"/>
        <w:jc w:val="both"/>
        <w:rPr>
          <w:b/>
          <w:bCs/>
          <w:color w:val="993366"/>
        </w:rPr>
      </w:pPr>
      <w:r>
        <w:rPr>
          <w:b/>
          <w:bCs/>
          <w:color w:val="993366"/>
        </w:rPr>
        <w:t>Les g</w:t>
      </w:r>
      <w:r w:rsidRPr="00AB34BD">
        <w:rPr>
          <w:b/>
          <w:bCs/>
          <w:color w:val="993366"/>
        </w:rPr>
        <w:t>randes entreprises locomoti</w:t>
      </w:r>
      <w:r>
        <w:rPr>
          <w:b/>
          <w:bCs/>
          <w:color w:val="993366"/>
        </w:rPr>
        <w:t>v</w:t>
      </w:r>
      <w:r w:rsidRPr="00AB34BD">
        <w:rPr>
          <w:b/>
          <w:bCs/>
          <w:color w:val="993366"/>
        </w:rPr>
        <w:t>es</w:t>
      </w:r>
      <w:r>
        <w:rPr>
          <w:b/>
          <w:bCs/>
          <w:color w:val="993366"/>
        </w:rPr>
        <w:t xml:space="preserve"> du secteur</w:t>
      </w:r>
    </w:p>
    <w:p w:rsidR="000C5B4F" w:rsidRDefault="000C5B4F" w:rsidP="000C5B4F">
      <w:pPr>
        <w:spacing w:line="300" w:lineRule="exact"/>
        <w:jc w:val="both"/>
      </w:pPr>
    </w:p>
    <w:p w:rsidR="000C5B4F" w:rsidRPr="00782D25" w:rsidRDefault="000C5B4F" w:rsidP="000C5B4F">
      <w:pPr>
        <w:spacing w:line="300" w:lineRule="exact"/>
        <w:jc w:val="both"/>
      </w:pPr>
      <w:r>
        <w:t xml:space="preserve">Les grandes entreprises </w:t>
      </w:r>
      <w:r w:rsidRPr="00782D25">
        <w:t>ont été à l’origine de l’essentiel des résultats du secteur manufactur</w:t>
      </w:r>
      <w:r>
        <w:t>ier</w:t>
      </w:r>
      <w:r w:rsidRPr="00782D25">
        <w:t xml:space="preserve">. En occupant 67% des effectifs employés, </w:t>
      </w:r>
      <w:r>
        <w:t xml:space="preserve">elles </w:t>
      </w:r>
      <w:r w:rsidRPr="00782D25">
        <w:t xml:space="preserve">ont généré 85% du chiffre d’affaires et 89% des exportations. Cette concentration a été encore plus forte en termes d’investissement, </w:t>
      </w:r>
      <w:r>
        <w:t xml:space="preserve">avec </w:t>
      </w:r>
      <w:r w:rsidRPr="00782D25">
        <w:t xml:space="preserve">94% de l’investissement </w:t>
      </w:r>
      <w:r>
        <w:t>tota</w:t>
      </w:r>
      <w:r w:rsidRPr="00782D25">
        <w:t xml:space="preserve">l réalisé, en grande partie, en achat de matériel et financé à </w:t>
      </w:r>
      <w:r>
        <w:t>quasi-</w:t>
      </w:r>
      <w:r w:rsidRPr="00782D25">
        <w:t>égalité entre endettement et autofinancement.</w:t>
      </w:r>
    </w:p>
    <w:p w:rsidR="000C5B4F" w:rsidRDefault="000C5B4F" w:rsidP="000C5B4F">
      <w:pPr>
        <w:spacing w:line="300" w:lineRule="exact"/>
        <w:jc w:val="both"/>
      </w:pPr>
    </w:p>
    <w:p w:rsidR="000C5B4F" w:rsidRDefault="000C5B4F" w:rsidP="000C5B4F">
      <w:pPr>
        <w:spacing w:line="300" w:lineRule="exact"/>
        <w:jc w:val="both"/>
      </w:pPr>
      <w:r>
        <w:t>Par branche d’activité, les grandes entreprises des industries</w:t>
      </w:r>
      <w:r w:rsidRPr="00782D25">
        <w:t xml:space="preserve"> chimiques et parachimiques (21% en termes d’effectif) ont réalisé 42% du chiffre d’affaires, 43% de la valeur ajoutée et 79% de l’investissement. En revanche, </w:t>
      </w:r>
      <w:r>
        <w:t>l</w:t>
      </w:r>
      <w:r w:rsidRPr="00782D25">
        <w:t xml:space="preserve">es grandes entreprises du textile et du cuir (27% du total) </w:t>
      </w:r>
      <w:r>
        <w:t>ont généré</w:t>
      </w:r>
      <w:r w:rsidRPr="00782D25">
        <w:t xml:space="preserve"> 5% du chiffre d’affaires et seulement 2% de l’investissement </w:t>
      </w:r>
      <w:r>
        <w:t>globa</w:t>
      </w:r>
      <w:r w:rsidRPr="00782D25">
        <w:t>l.</w:t>
      </w:r>
    </w:p>
    <w:p w:rsidR="000C5B4F" w:rsidRPr="00782D25" w:rsidRDefault="000C5B4F" w:rsidP="000C5B4F">
      <w:pPr>
        <w:spacing w:line="300" w:lineRule="exact"/>
        <w:jc w:val="both"/>
      </w:pPr>
    </w:p>
    <w:p w:rsidR="000C5B4F" w:rsidRDefault="000C5B4F" w:rsidP="000C5B4F">
      <w:pPr>
        <w:spacing w:line="300" w:lineRule="exact"/>
        <w:jc w:val="both"/>
      </w:pPr>
      <w:r w:rsidRPr="00782D25">
        <w:t xml:space="preserve">Cette concentration </w:t>
      </w:r>
      <w:r>
        <w:t>a été</w:t>
      </w:r>
      <w:r w:rsidRPr="00782D25">
        <w:t xml:space="preserve"> plus importante lorsqu’il s’agit des très grandes </w:t>
      </w:r>
      <w:r>
        <w:t>entreprises</w:t>
      </w:r>
      <w:r w:rsidRPr="00782D25">
        <w:t xml:space="preserve">. Près de 1% des plus importantes entreprises </w:t>
      </w:r>
      <w:r>
        <w:t>du secteur</w:t>
      </w:r>
      <w:r w:rsidRPr="00782D25">
        <w:t xml:space="preserve"> (en termes de chiffre d’affaires) ont réalisé, à elles seules, plus de l</w:t>
      </w:r>
      <w:r>
        <w:t>a moitié du chiffre d’affaires total</w:t>
      </w:r>
      <w:r w:rsidRPr="00782D25">
        <w:t xml:space="preserve"> avec une productivité 4 fois supérieure à celle des autres entreprises. La quasi-totalité de ces entreprises </w:t>
      </w:r>
      <w:r>
        <w:t>a été</w:t>
      </w:r>
      <w:r w:rsidRPr="00782D25">
        <w:t xml:space="preserve"> exportatrice avec un taux d’exportation </w:t>
      </w:r>
      <w:r>
        <w:t xml:space="preserve">moyen </w:t>
      </w:r>
      <w:r w:rsidRPr="00782D25">
        <w:t xml:space="preserve">de 27% du chiffre d’affaires. Elles ont été à l’origine de 80% de l’investissement </w:t>
      </w:r>
      <w:r>
        <w:t>global</w:t>
      </w:r>
      <w:r w:rsidRPr="00782D25">
        <w:t xml:space="preserve">, financé plus par l’endettement (60%) que par l’autofinancement. </w:t>
      </w:r>
    </w:p>
    <w:p w:rsidR="000C5B4F" w:rsidRDefault="000C5B4F" w:rsidP="000C5B4F">
      <w:pPr>
        <w:spacing w:line="300" w:lineRule="exact"/>
        <w:jc w:val="both"/>
      </w:pPr>
    </w:p>
    <w:p w:rsidR="000C5B4F" w:rsidRDefault="000C5B4F" w:rsidP="000C5B4F">
      <w:pPr>
        <w:spacing w:line="300" w:lineRule="exact"/>
        <w:jc w:val="both"/>
        <w:rPr>
          <w:b/>
          <w:bCs/>
          <w:color w:val="993366"/>
        </w:rPr>
      </w:pPr>
      <w:r>
        <w:rPr>
          <w:b/>
          <w:bCs/>
          <w:color w:val="993366"/>
        </w:rPr>
        <w:t>Importance des t</w:t>
      </w:r>
      <w:r w:rsidRPr="00AB34BD">
        <w:rPr>
          <w:b/>
          <w:bCs/>
          <w:color w:val="993366"/>
        </w:rPr>
        <w:t xml:space="preserve">rès petites, petites et moyennes </w:t>
      </w:r>
      <w:r>
        <w:rPr>
          <w:b/>
          <w:bCs/>
          <w:color w:val="993366"/>
        </w:rPr>
        <w:t>entrepris</w:t>
      </w:r>
      <w:r w:rsidRPr="00AB34BD">
        <w:rPr>
          <w:b/>
          <w:bCs/>
          <w:color w:val="993366"/>
        </w:rPr>
        <w:t>es </w:t>
      </w:r>
      <w:r>
        <w:rPr>
          <w:b/>
          <w:bCs/>
          <w:color w:val="993366"/>
        </w:rPr>
        <w:t>en termes d’effectifs</w:t>
      </w:r>
    </w:p>
    <w:p w:rsidR="000C5B4F" w:rsidRDefault="000C5B4F" w:rsidP="000C5B4F">
      <w:pPr>
        <w:spacing w:line="300" w:lineRule="exact"/>
        <w:jc w:val="both"/>
        <w:rPr>
          <w:b/>
          <w:bCs/>
          <w:color w:val="993366"/>
        </w:rPr>
      </w:pPr>
    </w:p>
    <w:p w:rsidR="000C5B4F" w:rsidRDefault="000C5B4F" w:rsidP="000C5B4F">
      <w:pPr>
        <w:spacing w:line="300" w:lineRule="exact"/>
        <w:jc w:val="both"/>
      </w:pPr>
      <w:r w:rsidRPr="00782D25">
        <w:t xml:space="preserve">Les TPMI ont représenté 89% du tissu </w:t>
      </w:r>
      <w:r>
        <w:t>manufacturier,</w:t>
      </w:r>
      <w:r w:rsidRPr="00782D25">
        <w:t xml:space="preserve"> réparti</w:t>
      </w:r>
      <w:r>
        <w:t>e</w:t>
      </w:r>
      <w:r w:rsidRPr="00782D25">
        <w:t>s entre 35% de très petites industries</w:t>
      </w:r>
      <w:r w:rsidRPr="00782D25">
        <w:rPr>
          <w:rStyle w:val="Appelnotedebasdep"/>
        </w:rPr>
        <w:footnoteReference w:id="2"/>
      </w:r>
      <w:r w:rsidRPr="00782D25">
        <w:t>, 33% de petites industries</w:t>
      </w:r>
      <w:r w:rsidRPr="00782D25">
        <w:rPr>
          <w:rStyle w:val="Appelnotedebasdep"/>
        </w:rPr>
        <w:footnoteReference w:id="3"/>
      </w:r>
      <w:r w:rsidRPr="00782D25">
        <w:t xml:space="preserve"> et 21% de moyenne</w:t>
      </w:r>
      <w:r>
        <w:t>s</w:t>
      </w:r>
      <w:r w:rsidRPr="00782D25">
        <w:t xml:space="preserve"> industries</w:t>
      </w:r>
      <w:r w:rsidRPr="00782D25">
        <w:rPr>
          <w:rStyle w:val="Appelnotedebasdep"/>
        </w:rPr>
        <w:footnoteReference w:id="4"/>
      </w:r>
      <w:r w:rsidRPr="00782D25">
        <w:t xml:space="preserve">. L’ensemble de ces TPMI a généré près de 15% de valeur ajoutée industrielle en employant 33% des effectifs </w:t>
      </w:r>
      <w:r>
        <w:t>du secteur</w:t>
      </w:r>
      <w:r w:rsidRPr="00782D25">
        <w:t xml:space="preserve">. </w:t>
      </w:r>
    </w:p>
    <w:p w:rsidR="00025BCF" w:rsidRDefault="00025BCF" w:rsidP="000C5B4F">
      <w:pPr>
        <w:spacing w:line="300" w:lineRule="exact"/>
        <w:jc w:val="both"/>
      </w:pPr>
    </w:p>
    <w:p w:rsidR="000C5B4F" w:rsidRDefault="000C5B4F" w:rsidP="000C5B4F">
      <w:pPr>
        <w:spacing w:line="300" w:lineRule="exact"/>
        <w:jc w:val="both"/>
      </w:pPr>
      <w:r w:rsidRPr="00782D25">
        <w:lastRenderedPageBreak/>
        <w:t>Les très petites industries (TPI) ont généré une valeur ajoutée médiane de 93 000 DH. Leur contribution dans la création de richesse est restée, relativement, faible. La valeur ajoutée de ces entités a à peine couvert leurs charges de personnel : la marge bénéficiaire restante n’a pas dépassé 2%. Les dispersions de la valeur ajoutée des TPI ont</w:t>
      </w:r>
      <w:r>
        <w:t xml:space="preserve"> été</w:t>
      </w:r>
      <w:r w:rsidRPr="00782D25">
        <w:t xml:space="preserve"> relativement hétérogènes selon les </w:t>
      </w:r>
      <w:r>
        <w:t>branches</w:t>
      </w:r>
      <w:r w:rsidRPr="00782D25">
        <w:t xml:space="preserve">, le premier quartile </w:t>
      </w:r>
      <w:r>
        <w:t xml:space="preserve">s’est établi à </w:t>
      </w:r>
      <w:r w:rsidRPr="00782D25">
        <w:t xml:space="preserve">23 000 DH, tandis que le troisième quartile </w:t>
      </w:r>
      <w:r>
        <w:t>a été</w:t>
      </w:r>
      <w:r w:rsidRPr="00782D25">
        <w:t xml:space="preserve"> 11 fois supérieur. Les industries agro-alimentaires et les industries électriques et électroniques se </w:t>
      </w:r>
      <w:r>
        <w:t xml:space="preserve">sont distinguées </w:t>
      </w:r>
      <w:r w:rsidRPr="00782D25">
        <w:t xml:space="preserve">par une dispersion plus faible. En revanche, l’écart de dispersion </w:t>
      </w:r>
      <w:r>
        <w:t>a été</w:t>
      </w:r>
      <w:r w:rsidRPr="00782D25">
        <w:t xml:space="preserve"> plus important dans les industries de textiles et du cuir, le troisième quartile </w:t>
      </w:r>
      <w:r>
        <w:t>étant</w:t>
      </w:r>
      <w:r w:rsidRPr="00782D25">
        <w:t xml:space="preserve"> 15 fois supérieur au premier.</w:t>
      </w:r>
    </w:p>
    <w:p w:rsidR="000C5B4F" w:rsidRPr="00176080" w:rsidRDefault="000C5B4F" w:rsidP="000C5B4F">
      <w:pPr>
        <w:tabs>
          <w:tab w:val="left" w:pos="3723"/>
        </w:tabs>
        <w:spacing w:line="300" w:lineRule="exact"/>
        <w:jc w:val="both"/>
      </w:pPr>
    </w:p>
    <w:p w:rsidR="000C5B4F" w:rsidRDefault="000C5B4F" w:rsidP="000C5B4F">
      <w:pPr>
        <w:spacing w:line="300" w:lineRule="exact"/>
        <w:jc w:val="both"/>
        <w:rPr>
          <w:b/>
          <w:bCs/>
          <w:color w:val="993366"/>
        </w:rPr>
      </w:pPr>
      <w:r>
        <w:rPr>
          <w:b/>
          <w:bCs/>
          <w:color w:val="993366"/>
        </w:rPr>
        <w:t>P</w:t>
      </w:r>
      <w:r w:rsidRPr="00176080">
        <w:rPr>
          <w:b/>
          <w:bCs/>
          <w:color w:val="993366"/>
        </w:rPr>
        <w:t>articipation</w:t>
      </w:r>
      <w:r>
        <w:rPr>
          <w:b/>
          <w:bCs/>
          <w:color w:val="993366"/>
        </w:rPr>
        <w:t xml:space="preserve"> des entreprises </w:t>
      </w:r>
      <w:r w:rsidRPr="00176080">
        <w:rPr>
          <w:b/>
          <w:bCs/>
          <w:color w:val="993366"/>
        </w:rPr>
        <w:t>étrangère</w:t>
      </w:r>
      <w:r>
        <w:rPr>
          <w:b/>
          <w:bCs/>
          <w:color w:val="993366"/>
        </w:rPr>
        <w:t xml:space="preserve"> </w:t>
      </w:r>
    </w:p>
    <w:p w:rsidR="000C5B4F" w:rsidRPr="00176080" w:rsidRDefault="000C5B4F" w:rsidP="000C5B4F">
      <w:pPr>
        <w:spacing w:line="300" w:lineRule="exact"/>
        <w:jc w:val="both"/>
        <w:rPr>
          <w:b/>
          <w:bCs/>
          <w:color w:val="993366"/>
        </w:rPr>
      </w:pPr>
    </w:p>
    <w:p w:rsidR="000C5B4F" w:rsidRDefault="000C5B4F" w:rsidP="000C5B4F">
      <w:pPr>
        <w:spacing w:line="300" w:lineRule="exact"/>
        <w:jc w:val="both"/>
        <w:rPr>
          <w:color w:val="000000"/>
        </w:rPr>
      </w:pPr>
      <w:r w:rsidRPr="003E242F">
        <w:rPr>
          <w:color w:val="000000"/>
        </w:rPr>
        <w:t>Avec un peu plus de 800 entreprises</w:t>
      </w:r>
      <w:r>
        <w:rPr>
          <w:color w:val="000000"/>
        </w:rPr>
        <w:t xml:space="preserve"> </w:t>
      </w:r>
      <w:r w:rsidRPr="003E242F">
        <w:rPr>
          <w:color w:val="000000"/>
        </w:rPr>
        <w:t xml:space="preserve">et un chiffre d’affaires de 162 milliards de DH, les entreprises à participation étrangère (EAPE) ont représenté 9% des entreprises </w:t>
      </w:r>
      <w:r>
        <w:rPr>
          <w:color w:val="000000"/>
        </w:rPr>
        <w:t>du secteur</w:t>
      </w:r>
      <w:r w:rsidRPr="003E242F">
        <w:rPr>
          <w:color w:val="000000"/>
        </w:rPr>
        <w:t xml:space="preserve"> et ont contribué pour 37% </w:t>
      </w:r>
      <w:r>
        <w:rPr>
          <w:color w:val="000000"/>
        </w:rPr>
        <w:t>d</w:t>
      </w:r>
      <w:r w:rsidRPr="003E242F">
        <w:rPr>
          <w:color w:val="000000"/>
        </w:rPr>
        <w:t>u chiffre d’affaires. En employant environ 190 500 personnes (30% de</w:t>
      </w:r>
      <w:r>
        <w:rPr>
          <w:color w:val="000000"/>
        </w:rPr>
        <w:t xml:space="preserve"> l’</w:t>
      </w:r>
      <w:r w:rsidRPr="003E242F">
        <w:rPr>
          <w:color w:val="000000"/>
        </w:rPr>
        <w:t>effectif</w:t>
      </w:r>
      <w:r>
        <w:rPr>
          <w:color w:val="000000"/>
        </w:rPr>
        <w:t xml:space="preserve"> total</w:t>
      </w:r>
      <w:r w:rsidRPr="003E242F">
        <w:rPr>
          <w:color w:val="000000"/>
        </w:rPr>
        <w:t>), ces entreprises ont réalis</w:t>
      </w:r>
      <w:r>
        <w:rPr>
          <w:color w:val="000000"/>
        </w:rPr>
        <w:t>é</w:t>
      </w:r>
      <w:r w:rsidRPr="003E242F">
        <w:rPr>
          <w:color w:val="000000"/>
        </w:rPr>
        <w:t xml:space="preserve"> 28% de la valeur ajoutée </w:t>
      </w:r>
      <w:r>
        <w:rPr>
          <w:color w:val="000000"/>
        </w:rPr>
        <w:t>totale</w:t>
      </w:r>
      <w:r w:rsidRPr="003E242F">
        <w:rPr>
          <w:color w:val="000000"/>
        </w:rPr>
        <w:t xml:space="preserve"> et ont investi environ 10 milliards de DH, soit 27% de l’investissement global.</w:t>
      </w:r>
    </w:p>
    <w:p w:rsidR="000C5B4F" w:rsidRPr="003E242F" w:rsidRDefault="000C5B4F" w:rsidP="000C5B4F">
      <w:pPr>
        <w:spacing w:line="300" w:lineRule="exact"/>
        <w:jc w:val="both"/>
        <w:rPr>
          <w:color w:val="000000"/>
        </w:rPr>
      </w:pPr>
    </w:p>
    <w:p w:rsidR="000C5B4F" w:rsidRDefault="000C5B4F" w:rsidP="00A30479">
      <w:pPr>
        <w:spacing w:line="300" w:lineRule="exact"/>
        <w:jc w:val="both"/>
        <w:rPr>
          <w:color w:val="000000"/>
        </w:rPr>
      </w:pPr>
      <w:r w:rsidRPr="003E242F">
        <w:rPr>
          <w:color w:val="000000"/>
        </w:rPr>
        <w:t>L</w:t>
      </w:r>
      <w:r>
        <w:rPr>
          <w:color w:val="000000"/>
        </w:rPr>
        <w:t>a part d</w:t>
      </w:r>
      <w:r w:rsidRPr="003E242F">
        <w:rPr>
          <w:color w:val="000000"/>
        </w:rPr>
        <w:t xml:space="preserve">es entreprises à participation étrangère (EAPE) dans les branches électriques et électroniques </w:t>
      </w:r>
      <w:r>
        <w:rPr>
          <w:color w:val="000000"/>
        </w:rPr>
        <w:t>a atteint 2</w:t>
      </w:r>
      <w:r w:rsidR="00A30479">
        <w:rPr>
          <w:color w:val="000000"/>
        </w:rPr>
        <w:t>2</w:t>
      </w:r>
      <w:r>
        <w:rPr>
          <w:color w:val="000000"/>
        </w:rPr>
        <w:t xml:space="preserve">%. Ces entreprises ont </w:t>
      </w:r>
      <w:r w:rsidRPr="003E242F">
        <w:rPr>
          <w:color w:val="000000"/>
        </w:rPr>
        <w:t>occupé la moitié des effectifs et réalisé près de la moitié du chiffre d’affaires de la branche. Elles ont</w:t>
      </w:r>
      <w:r>
        <w:rPr>
          <w:color w:val="000000"/>
        </w:rPr>
        <w:t xml:space="preserve"> été,</w:t>
      </w:r>
      <w:r w:rsidRPr="003E242F">
        <w:rPr>
          <w:color w:val="000000"/>
        </w:rPr>
        <w:t xml:space="preserve"> en plus</w:t>
      </w:r>
      <w:r>
        <w:rPr>
          <w:color w:val="000000"/>
        </w:rPr>
        <w:t>,</w:t>
      </w:r>
      <w:r w:rsidRPr="003E242F">
        <w:rPr>
          <w:color w:val="000000"/>
        </w:rPr>
        <w:t xml:space="preserve"> très dynamiques sur le front des exportations, avec un taux d’exportation qui a atteint </w:t>
      </w:r>
      <w:r w:rsidR="00A30479">
        <w:rPr>
          <w:color w:val="000000"/>
        </w:rPr>
        <w:t>62</w:t>
      </w:r>
      <w:r w:rsidRPr="003E242F">
        <w:rPr>
          <w:color w:val="000000"/>
        </w:rPr>
        <w:t>% de leur chiffre d’affaires.</w:t>
      </w:r>
      <w:r>
        <w:rPr>
          <w:color w:val="000000"/>
        </w:rPr>
        <w:t xml:space="preserve"> </w:t>
      </w:r>
    </w:p>
    <w:p w:rsidR="000C5B4F" w:rsidRDefault="000C5B4F" w:rsidP="000C5B4F">
      <w:pPr>
        <w:spacing w:line="300" w:lineRule="exact"/>
        <w:jc w:val="both"/>
        <w:rPr>
          <w:color w:val="000000"/>
        </w:rPr>
      </w:pPr>
    </w:p>
    <w:p w:rsidR="000C5B4F" w:rsidRDefault="000C5B4F" w:rsidP="000C5B4F">
      <w:pPr>
        <w:jc w:val="center"/>
      </w:pPr>
      <w:r>
        <w:rPr>
          <w:noProof/>
          <w:sz w:val="20"/>
          <w:szCs w:val="20"/>
        </w:rPr>
        <w:drawing>
          <wp:inline distT="0" distB="0" distL="0" distR="0">
            <wp:extent cx="4175577" cy="2202868"/>
            <wp:effectExtent l="19050" t="0" r="15423" b="6932"/>
            <wp:docPr id="18"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5B4F" w:rsidRDefault="000C5B4F" w:rsidP="000C5B4F">
      <w:pPr>
        <w:spacing w:line="300" w:lineRule="exact"/>
        <w:jc w:val="both"/>
        <w:rPr>
          <w:color w:val="000000"/>
        </w:rPr>
      </w:pPr>
    </w:p>
    <w:p w:rsidR="000C5B4F" w:rsidRDefault="000C5B4F" w:rsidP="000C5B4F">
      <w:pPr>
        <w:spacing w:line="300" w:lineRule="exact"/>
        <w:jc w:val="both"/>
        <w:rPr>
          <w:color w:val="000000"/>
        </w:rPr>
      </w:pPr>
    </w:p>
    <w:p w:rsidR="000C5B4F" w:rsidRDefault="000C5B4F" w:rsidP="000C5B4F">
      <w:pPr>
        <w:spacing w:line="300" w:lineRule="exact"/>
        <w:jc w:val="both"/>
        <w:rPr>
          <w:color w:val="000000"/>
        </w:rPr>
      </w:pPr>
      <w:r w:rsidRPr="003E242F">
        <w:rPr>
          <w:color w:val="000000"/>
        </w:rPr>
        <w:t>L</w:t>
      </w:r>
      <w:r>
        <w:rPr>
          <w:color w:val="000000"/>
        </w:rPr>
        <w:t>a branche</w:t>
      </w:r>
      <w:r w:rsidRPr="003E242F">
        <w:rPr>
          <w:color w:val="000000"/>
        </w:rPr>
        <w:t xml:space="preserve"> des industries métalliques et mécaniques a regroupé 12% des entreprises à participation étrangère</w:t>
      </w:r>
      <w:r>
        <w:rPr>
          <w:color w:val="000000"/>
        </w:rPr>
        <w:t>. Ces derniers ont</w:t>
      </w:r>
      <w:r w:rsidRPr="003E242F">
        <w:rPr>
          <w:color w:val="000000"/>
        </w:rPr>
        <w:t xml:space="preserve"> réalisé environ la moitié du chiffre d’affaires de la branche et 90% de ses exportations. En revanche, les entreprises des industries agro-alimentaires ont</w:t>
      </w:r>
      <w:r>
        <w:rPr>
          <w:color w:val="000000"/>
        </w:rPr>
        <w:t xml:space="preserve"> été</w:t>
      </w:r>
      <w:r w:rsidRPr="003E242F">
        <w:rPr>
          <w:color w:val="000000"/>
        </w:rPr>
        <w:t xml:space="preserve"> les moins pénétrées par les capitaux étrangers. </w:t>
      </w:r>
      <w:r>
        <w:rPr>
          <w:color w:val="000000"/>
        </w:rPr>
        <w:t>Elles ont représenté</w:t>
      </w:r>
      <w:r w:rsidRPr="003E242F">
        <w:rPr>
          <w:color w:val="000000"/>
        </w:rPr>
        <w:t xml:space="preserve"> seulement 5% des EAPE, mais </w:t>
      </w:r>
      <w:r>
        <w:rPr>
          <w:color w:val="000000"/>
        </w:rPr>
        <w:t xml:space="preserve">ont </w:t>
      </w:r>
      <w:r w:rsidRPr="003E242F">
        <w:rPr>
          <w:color w:val="000000"/>
        </w:rPr>
        <w:t>emplo</w:t>
      </w:r>
      <w:r>
        <w:rPr>
          <w:color w:val="000000"/>
        </w:rPr>
        <w:t>yé</w:t>
      </w:r>
      <w:r w:rsidRPr="003E242F">
        <w:rPr>
          <w:color w:val="000000"/>
        </w:rPr>
        <w:t xml:space="preserve"> 28% des effectifs occupés et génér</w:t>
      </w:r>
      <w:r>
        <w:rPr>
          <w:color w:val="000000"/>
        </w:rPr>
        <w:t>é</w:t>
      </w:r>
      <w:r w:rsidRPr="003E242F">
        <w:rPr>
          <w:color w:val="000000"/>
        </w:rPr>
        <w:t xml:space="preserve"> 23% de la valeur ajoutée de la branche. </w:t>
      </w:r>
    </w:p>
    <w:p w:rsidR="000C5B4F" w:rsidRDefault="000C5B4F" w:rsidP="000C5B4F">
      <w:pPr>
        <w:spacing w:line="300" w:lineRule="exact"/>
        <w:jc w:val="both"/>
      </w:pPr>
    </w:p>
    <w:p w:rsidR="000C5B4F" w:rsidRDefault="000C5B4F" w:rsidP="000761A4">
      <w:pPr>
        <w:pStyle w:val="Paragraphedeliste"/>
        <w:numPr>
          <w:ilvl w:val="0"/>
          <w:numId w:val="6"/>
        </w:numPr>
        <w:spacing w:after="0" w:line="300" w:lineRule="exact"/>
        <w:jc w:val="both"/>
        <w:rPr>
          <w:rFonts w:ascii="Times New Roman" w:hAnsi="Times New Roman" w:cs="Times New Roman"/>
          <w:b/>
          <w:bCs/>
          <w:color w:val="E36C0A"/>
          <w:sz w:val="24"/>
          <w:szCs w:val="24"/>
        </w:rPr>
      </w:pPr>
      <w:r>
        <w:rPr>
          <w:rFonts w:ascii="Times New Roman" w:hAnsi="Times New Roman" w:cs="Times New Roman"/>
          <w:b/>
          <w:bCs/>
          <w:color w:val="E36C0A"/>
          <w:sz w:val="24"/>
          <w:szCs w:val="24"/>
        </w:rPr>
        <w:t>Indicateur</w:t>
      </w:r>
      <w:r w:rsidRPr="00A310B4">
        <w:rPr>
          <w:rFonts w:ascii="Times New Roman" w:hAnsi="Times New Roman" w:cs="Times New Roman"/>
          <w:b/>
          <w:bCs/>
          <w:color w:val="E36C0A"/>
          <w:sz w:val="24"/>
          <w:szCs w:val="24"/>
        </w:rPr>
        <w:t>s économiques et financi</w:t>
      </w:r>
      <w:r>
        <w:rPr>
          <w:rFonts w:ascii="Times New Roman" w:hAnsi="Times New Roman" w:cs="Times New Roman"/>
          <w:b/>
          <w:bCs/>
          <w:color w:val="E36C0A"/>
          <w:sz w:val="24"/>
          <w:szCs w:val="24"/>
        </w:rPr>
        <w:t>e</w:t>
      </w:r>
      <w:r w:rsidRPr="00A310B4">
        <w:rPr>
          <w:rFonts w:ascii="Times New Roman" w:hAnsi="Times New Roman" w:cs="Times New Roman"/>
          <w:b/>
          <w:bCs/>
          <w:color w:val="E36C0A"/>
          <w:sz w:val="24"/>
          <w:szCs w:val="24"/>
        </w:rPr>
        <w:t>rs</w:t>
      </w:r>
      <w:r>
        <w:rPr>
          <w:rFonts w:ascii="Times New Roman" w:hAnsi="Times New Roman" w:cs="Times New Roman"/>
          <w:b/>
          <w:bCs/>
          <w:color w:val="E36C0A"/>
          <w:sz w:val="24"/>
          <w:szCs w:val="24"/>
        </w:rPr>
        <w:t xml:space="preserve"> des industries </w:t>
      </w:r>
      <w:r w:rsidR="000761A4">
        <w:rPr>
          <w:rFonts w:ascii="Times New Roman" w:hAnsi="Times New Roman" w:cs="Times New Roman"/>
          <w:b/>
          <w:bCs/>
          <w:color w:val="E36C0A"/>
          <w:sz w:val="24"/>
          <w:szCs w:val="24"/>
        </w:rPr>
        <w:t>manufacturières</w:t>
      </w:r>
    </w:p>
    <w:p w:rsidR="000C5B4F" w:rsidRPr="00A310B4" w:rsidRDefault="000C5B4F" w:rsidP="000C5B4F">
      <w:pPr>
        <w:pStyle w:val="Paragraphedeliste"/>
        <w:spacing w:after="0" w:line="300" w:lineRule="exact"/>
        <w:ind w:left="360"/>
        <w:jc w:val="both"/>
        <w:rPr>
          <w:rFonts w:ascii="Times New Roman" w:hAnsi="Times New Roman" w:cs="Times New Roman"/>
          <w:b/>
          <w:bCs/>
          <w:color w:val="E36C0A"/>
          <w:sz w:val="24"/>
          <w:szCs w:val="24"/>
        </w:rPr>
      </w:pPr>
    </w:p>
    <w:p w:rsidR="000C5B4F" w:rsidRDefault="000C5B4F" w:rsidP="000C5B4F">
      <w:pPr>
        <w:spacing w:line="300" w:lineRule="exact"/>
        <w:jc w:val="both"/>
        <w:rPr>
          <w:b/>
          <w:bCs/>
          <w:color w:val="993366"/>
        </w:rPr>
      </w:pPr>
      <w:r>
        <w:rPr>
          <w:b/>
          <w:bCs/>
          <w:color w:val="993366"/>
        </w:rPr>
        <w:t xml:space="preserve">Amélioration de l’investissement global </w:t>
      </w:r>
    </w:p>
    <w:p w:rsidR="000C5B4F" w:rsidRPr="00844B6C" w:rsidRDefault="000C5B4F" w:rsidP="000C5B4F">
      <w:pPr>
        <w:spacing w:line="300" w:lineRule="exact"/>
        <w:jc w:val="both"/>
        <w:rPr>
          <w:b/>
          <w:bCs/>
          <w:color w:val="993366"/>
        </w:rPr>
      </w:pPr>
    </w:p>
    <w:p w:rsidR="000C5B4F" w:rsidRDefault="000C5B4F" w:rsidP="00A96FAA">
      <w:pPr>
        <w:spacing w:line="300" w:lineRule="exact"/>
        <w:jc w:val="both"/>
      </w:pPr>
      <w:r w:rsidRPr="00A85753">
        <w:t>L</w:t>
      </w:r>
      <w:r>
        <w:t>’</w:t>
      </w:r>
      <w:r w:rsidRPr="00A85753">
        <w:t xml:space="preserve">investissement </w:t>
      </w:r>
      <w:r>
        <w:t xml:space="preserve">des industries </w:t>
      </w:r>
      <w:r w:rsidR="00A96FAA">
        <w:t>manufacturières</w:t>
      </w:r>
      <w:r>
        <w:t xml:space="preserve"> </w:t>
      </w:r>
      <w:r w:rsidRPr="00A85753">
        <w:t xml:space="preserve">a dépassé les </w:t>
      </w:r>
      <w:r w:rsidRPr="00844B6C">
        <w:t xml:space="preserve">38,5 milliards de DH, </w:t>
      </w:r>
      <w:r>
        <w:t>en</w:t>
      </w:r>
      <w:r w:rsidRPr="00844B6C">
        <w:t xml:space="preserve"> hausse de 13,2%, en moyenne par an, depuis 2006. Près de 33% des entreprises de celles qui ont investi ont généré un chiffre d’affaires à l’export de l’ordre de 102 milliards de DH, soit 91% de la valeur exportée du secteur. </w:t>
      </w:r>
      <w:r w:rsidRPr="00844B6C">
        <w:lastRenderedPageBreak/>
        <w:t xml:space="preserve">Les entreprises des industries chimiques </w:t>
      </w:r>
      <w:r>
        <w:t xml:space="preserve">et parachimiques </w:t>
      </w:r>
      <w:r w:rsidRPr="00844B6C">
        <w:t xml:space="preserve">ont contribué à hauteur de 76% du montant total des investissements, réalisant une croissance annuelle moyenne de 18% depuis 2006. En revanche, l’investissement des entreprises relevant des industries du textile et du cuir a connu une baisse annuelle moyenne de 4,6% et </w:t>
      </w:r>
      <w:r>
        <w:t>sa</w:t>
      </w:r>
      <w:r w:rsidRPr="00844B6C">
        <w:t xml:space="preserve"> contribution est passée de 11% en 2006 à 3% seulement en 2014.</w:t>
      </w:r>
    </w:p>
    <w:p w:rsidR="000C5B4F" w:rsidRDefault="000C5B4F" w:rsidP="000C5B4F">
      <w:pPr>
        <w:spacing w:line="300" w:lineRule="exact"/>
        <w:jc w:val="both"/>
      </w:pPr>
    </w:p>
    <w:p w:rsidR="000C5B4F" w:rsidRPr="00844B6C" w:rsidRDefault="000C5B4F" w:rsidP="000C5B4F">
      <w:pPr>
        <w:tabs>
          <w:tab w:val="left" w:pos="3723"/>
        </w:tabs>
        <w:jc w:val="center"/>
      </w:pPr>
      <w:r>
        <w:rPr>
          <w:noProof/>
        </w:rPr>
        <w:drawing>
          <wp:inline distT="0" distB="0" distL="0" distR="0">
            <wp:extent cx="4146550" cy="2317750"/>
            <wp:effectExtent l="19050" t="0" r="25400" b="6350"/>
            <wp:docPr id="17" name="Obje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C5B4F" w:rsidRDefault="000C5B4F" w:rsidP="000C5B4F">
      <w:pPr>
        <w:tabs>
          <w:tab w:val="left" w:pos="3723"/>
        </w:tabs>
        <w:spacing w:line="300" w:lineRule="exact"/>
        <w:jc w:val="both"/>
      </w:pPr>
    </w:p>
    <w:p w:rsidR="000C5B4F" w:rsidRDefault="000C5B4F" w:rsidP="000C5B4F">
      <w:pPr>
        <w:tabs>
          <w:tab w:val="left" w:pos="3723"/>
        </w:tabs>
        <w:spacing w:line="300" w:lineRule="exact"/>
        <w:jc w:val="both"/>
      </w:pPr>
      <w:r w:rsidRPr="00844B6C">
        <w:t xml:space="preserve">Le phénomène de concentration a été plus marqué en matière d’investissement par rapport aux autres indicateurs. Près de 11% des entreprises ont été à l’origine de 94% du montant total de l’investissement corporel du secteur. Le reste a été principalement le fait des entreprises de taille moyenne (4,7%) alors que la contribution des petites et très petites </w:t>
      </w:r>
      <w:r>
        <w:t>n’</w:t>
      </w:r>
      <w:r w:rsidRPr="00844B6C">
        <w:t xml:space="preserve">a </w:t>
      </w:r>
      <w:r>
        <w:t>pas dépassé</w:t>
      </w:r>
      <w:r w:rsidRPr="00844B6C">
        <w:t xml:space="preserve"> 1,5%</w:t>
      </w:r>
      <w:r>
        <w:t xml:space="preserve"> de l’investissement global.</w:t>
      </w:r>
    </w:p>
    <w:p w:rsidR="00BD3028" w:rsidRDefault="00BD3028" w:rsidP="000C5B4F">
      <w:pPr>
        <w:tabs>
          <w:tab w:val="left" w:pos="3723"/>
        </w:tabs>
        <w:spacing w:line="300" w:lineRule="exact"/>
        <w:jc w:val="both"/>
      </w:pPr>
    </w:p>
    <w:p w:rsidR="000C5B4F" w:rsidRDefault="00BD3028" w:rsidP="000C5B4F">
      <w:pPr>
        <w:tabs>
          <w:tab w:val="left" w:pos="3723"/>
        </w:tabs>
        <w:spacing w:line="300" w:lineRule="exact"/>
        <w:jc w:val="both"/>
      </w:pPr>
      <w:r>
        <w:rPr>
          <w:noProof/>
        </w:rPr>
        <w:drawing>
          <wp:anchor distT="0" distB="0" distL="114300" distR="114300" simplePos="0" relativeHeight="251660288" behindDoc="1" locked="0" layoutInCell="1" allowOverlap="1">
            <wp:simplePos x="0" y="0"/>
            <wp:positionH relativeFrom="column">
              <wp:posOffset>347345</wp:posOffset>
            </wp:positionH>
            <wp:positionV relativeFrom="paragraph">
              <wp:posOffset>101600</wp:posOffset>
            </wp:positionV>
            <wp:extent cx="5770245" cy="2293620"/>
            <wp:effectExtent l="19050" t="19050" r="20955" b="11430"/>
            <wp:wrapTight wrapText="bothSides">
              <wp:wrapPolygon edited="0">
                <wp:start x="-71" y="-179"/>
                <wp:lineTo x="-71" y="21708"/>
                <wp:lineTo x="21678" y="21708"/>
                <wp:lineTo x="21678" y="-179"/>
                <wp:lineTo x="-71" y="-179"/>
              </wp:wrapPolygon>
            </wp:wrapTight>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srcRect/>
                    <a:stretch>
                      <a:fillRect/>
                    </a:stretch>
                  </pic:blipFill>
                  <pic:spPr bwMode="auto">
                    <a:xfrm>
                      <a:off x="0" y="0"/>
                      <a:ext cx="5770245" cy="2293620"/>
                    </a:xfrm>
                    <a:prstGeom prst="rect">
                      <a:avLst/>
                    </a:prstGeom>
                    <a:noFill/>
                    <a:ln w="3175">
                      <a:solidFill>
                        <a:srgbClr val="000000"/>
                      </a:solidFill>
                      <a:miter lim="800000"/>
                      <a:headEnd/>
                      <a:tailEnd/>
                    </a:ln>
                  </pic:spPr>
                </pic:pic>
              </a:graphicData>
            </a:graphic>
          </wp:anchor>
        </w:drawing>
      </w: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0C5B4F" w:rsidRDefault="000C5B4F" w:rsidP="000C5B4F">
      <w:pPr>
        <w:tabs>
          <w:tab w:val="left" w:pos="3723"/>
        </w:tabs>
        <w:spacing w:line="300" w:lineRule="exact"/>
        <w:jc w:val="both"/>
        <w:rPr>
          <w:b/>
          <w:bCs/>
          <w:color w:val="993366"/>
        </w:rPr>
      </w:pPr>
    </w:p>
    <w:p w:rsidR="00BD3028" w:rsidRDefault="00BD3028" w:rsidP="000C5B4F">
      <w:pPr>
        <w:tabs>
          <w:tab w:val="left" w:pos="3723"/>
        </w:tabs>
        <w:spacing w:line="300" w:lineRule="exact"/>
        <w:jc w:val="both"/>
        <w:rPr>
          <w:b/>
          <w:bCs/>
          <w:color w:val="993366"/>
        </w:rPr>
      </w:pPr>
    </w:p>
    <w:p w:rsidR="00BD3028" w:rsidRDefault="00BD3028" w:rsidP="000C5B4F">
      <w:pPr>
        <w:tabs>
          <w:tab w:val="left" w:pos="3723"/>
        </w:tabs>
        <w:spacing w:line="300" w:lineRule="exact"/>
        <w:jc w:val="both"/>
        <w:rPr>
          <w:b/>
          <w:bCs/>
          <w:color w:val="993366"/>
        </w:rPr>
      </w:pPr>
    </w:p>
    <w:p w:rsidR="00BD3028" w:rsidRDefault="00BD3028" w:rsidP="000C5B4F">
      <w:pPr>
        <w:tabs>
          <w:tab w:val="left" w:pos="3723"/>
        </w:tabs>
        <w:spacing w:line="300" w:lineRule="exact"/>
        <w:jc w:val="both"/>
        <w:rPr>
          <w:b/>
          <w:bCs/>
          <w:color w:val="993366"/>
        </w:rPr>
      </w:pPr>
    </w:p>
    <w:p w:rsidR="000C5B4F" w:rsidRDefault="000C5B4F" w:rsidP="00BD3028">
      <w:pPr>
        <w:tabs>
          <w:tab w:val="left" w:pos="3723"/>
        </w:tabs>
        <w:spacing w:before="240" w:line="300" w:lineRule="exact"/>
        <w:jc w:val="both"/>
        <w:rPr>
          <w:b/>
          <w:bCs/>
          <w:color w:val="993366"/>
        </w:rPr>
      </w:pPr>
      <w:r>
        <w:rPr>
          <w:b/>
          <w:bCs/>
          <w:color w:val="993366"/>
        </w:rPr>
        <w:t>F</w:t>
      </w:r>
      <w:r w:rsidRPr="00844B6C">
        <w:rPr>
          <w:b/>
          <w:bCs/>
          <w:color w:val="993366"/>
        </w:rPr>
        <w:t xml:space="preserve">inancement de l’investissement </w:t>
      </w:r>
      <w:r>
        <w:rPr>
          <w:b/>
          <w:bCs/>
          <w:color w:val="993366"/>
        </w:rPr>
        <w:t>dans le secteur</w:t>
      </w:r>
    </w:p>
    <w:p w:rsidR="000C5B4F" w:rsidRDefault="000C5B4F" w:rsidP="000C5B4F">
      <w:pPr>
        <w:spacing w:line="300" w:lineRule="exact"/>
        <w:jc w:val="both"/>
      </w:pPr>
    </w:p>
    <w:p w:rsidR="000C5B4F" w:rsidRDefault="000C5B4F" w:rsidP="00016497">
      <w:pPr>
        <w:spacing w:line="300" w:lineRule="exact"/>
        <w:jc w:val="both"/>
      </w:pPr>
      <w:r w:rsidRPr="00844B6C">
        <w:t>Le</w:t>
      </w:r>
      <w:r>
        <w:t xml:space="preserve"> secteur a</w:t>
      </w:r>
      <w:r w:rsidRPr="00844B6C">
        <w:t xml:space="preserve"> financé </w:t>
      </w:r>
      <w:r>
        <w:t>se</w:t>
      </w:r>
      <w:r w:rsidRPr="00844B6C">
        <w:t xml:space="preserve">s investissements pour plus de 42 milliards de DH, dont environ 70% contracté par les industries chimiques et parachimiques. Le </w:t>
      </w:r>
      <w:r>
        <w:t xml:space="preserve">mode de </w:t>
      </w:r>
      <w:r w:rsidRPr="00844B6C">
        <w:t>financement de</w:t>
      </w:r>
      <w:r>
        <w:t xml:space="preserve"> ce</w:t>
      </w:r>
      <w:r w:rsidRPr="00844B6C">
        <w:t xml:space="preserve">s investissements </w:t>
      </w:r>
      <w:r>
        <w:t>a été</w:t>
      </w:r>
      <w:r w:rsidRPr="00844B6C">
        <w:t xml:space="preserve"> tributaire de l</w:t>
      </w:r>
      <w:r>
        <w:t>a</w:t>
      </w:r>
      <w:r w:rsidRPr="00844B6C">
        <w:t xml:space="preserve"> taille</w:t>
      </w:r>
      <w:r>
        <w:t xml:space="preserve"> de l’entreprise</w:t>
      </w:r>
      <w:r w:rsidRPr="00844B6C">
        <w:t>. Le recours aux financements extérieurs a ét</w:t>
      </w:r>
      <w:r>
        <w:t>é</w:t>
      </w:r>
      <w:r w:rsidRPr="00844B6C">
        <w:t xml:space="preserve"> l’apanage des grandes entreprises, tandis que les PM</w:t>
      </w:r>
      <w:r>
        <w:t>I</w:t>
      </w:r>
      <w:r w:rsidRPr="00844B6C">
        <w:t xml:space="preserve"> </w:t>
      </w:r>
      <w:r>
        <w:t xml:space="preserve">se sont, en grande partie, </w:t>
      </w:r>
      <w:r w:rsidRPr="00844B6C">
        <w:t>autofinanc</w:t>
      </w:r>
      <w:r>
        <w:t>ées</w:t>
      </w:r>
      <w:r w:rsidRPr="00844B6C">
        <w:t>.</w:t>
      </w:r>
      <w:r>
        <w:t xml:space="preserve"> P</w:t>
      </w:r>
      <w:r w:rsidRPr="00844B6C">
        <w:t>lus de la moitié de la valeur investie par les grandes entreprises a été financé</w:t>
      </w:r>
      <w:r>
        <w:t>e</w:t>
      </w:r>
      <w:r w:rsidRPr="00844B6C">
        <w:t xml:space="preserve"> par l’endettement. En revanche, près de 80% des PM</w:t>
      </w:r>
      <w:r>
        <w:t>I</w:t>
      </w:r>
      <w:r w:rsidRPr="00844B6C">
        <w:t xml:space="preserve"> ont financé leurs investissements par leurs propres moyens (autofinancement), au lieu de 14% par des prêteurs externes ou encore moins par de nouveaux actionnaires. Dans l’ensemble, le taux d’autofinancement des entreprises </w:t>
      </w:r>
      <w:r w:rsidR="00016497">
        <w:t>manufacturière</w:t>
      </w:r>
      <w:r w:rsidRPr="00844B6C">
        <w:t>s s’est établi à environ 46% et s’est élevé jusqu’à 97% pour les très petites industries.</w:t>
      </w:r>
    </w:p>
    <w:p w:rsidR="000C5B4F" w:rsidRPr="00844B6C" w:rsidRDefault="000C5B4F" w:rsidP="000C5B4F">
      <w:pPr>
        <w:spacing w:line="300" w:lineRule="exact"/>
        <w:jc w:val="both"/>
      </w:pPr>
    </w:p>
    <w:p w:rsidR="000C5B4F" w:rsidRPr="00844B6C" w:rsidRDefault="000C5B4F" w:rsidP="000C5B4F">
      <w:pPr>
        <w:rPr>
          <w:sz w:val="20"/>
          <w:szCs w:val="20"/>
        </w:rPr>
      </w:pPr>
      <w:r>
        <w:rPr>
          <w:noProof/>
          <w:sz w:val="20"/>
          <w:szCs w:val="20"/>
        </w:rPr>
        <w:lastRenderedPageBreak/>
        <w:drawing>
          <wp:inline distT="0" distB="0" distL="0" distR="0">
            <wp:extent cx="3066604" cy="2109457"/>
            <wp:effectExtent l="19050" t="0" r="19496" b="5093"/>
            <wp:docPr id="16"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44B6C">
        <w:rPr>
          <w:sz w:val="20"/>
          <w:szCs w:val="20"/>
        </w:rPr>
        <w:t xml:space="preserve">   </w:t>
      </w:r>
      <w:r>
        <w:rPr>
          <w:noProof/>
          <w:sz w:val="20"/>
          <w:szCs w:val="20"/>
        </w:rPr>
        <w:drawing>
          <wp:inline distT="0" distB="0" distL="0" distR="0">
            <wp:extent cx="2920315" cy="2109457"/>
            <wp:effectExtent l="19050" t="0" r="13385" b="5093"/>
            <wp:docPr id="15"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C5B4F" w:rsidRDefault="000C5B4F" w:rsidP="000C5B4F">
      <w:pPr>
        <w:spacing w:line="300" w:lineRule="exact"/>
        <w:jc w:val="both"/>
      </w:pPr>
    </w:p>
    <w:p w:rsidR="000C5B4F" w:rsidRPr="00844B6C" w:rsidRDefault="000C5B4F" w:rsidP="000C5B4F">
      <w:pPr>
        <w:spacing w:line="300" w:lineRule="exact"/>
        <w:jc w:val="both"/>
      </w:pPr>
      <w:r w:rsidRPr="00844B6C">
        <w:t xml:space="preserve">L’analyse par </w:t>
      </w:r>
      <w:r>
        <w:t>branche</w:t>
      </w:r>
      <w:r w:rsidRPr="00844B6C">
        <w:t xml:space="preserve"> montre que l’autofinancement des investissements </w:t>
      </w:r>
      <w:r>
        <w:t>a été</w:t>
      </w:r>
      <w:r w:rsidRPr="00844B6C">
        <w:t xml:space="preserve"> très répondu dans les entreprises </w:t>
      </w:r>
      <w:r>
        <w:t>opérant</w:t>
      </w:r>
      <w:r w:rsidRPr="00844B6C">
        <w:t xml:space="preserve"> dans les industries de textile et d</w:t>
      </w:r>
      <w:r>
        <w:t>e</w:t>
      </w:r>
      <w:r w:rsidRPr="00844B6C">
        <w:t xml:space="preserve"> cuir, les industries agro-alimentaires et les industries métalliques et mécaniques</w:t>
      </w:r>
      <w:r>
        <w:t>,</w:t>
      </w:r>
      <w:r w:rsidRPr="00844B6C">
        <w:t xml:space="preserve"> avec un taux qui dépasse 80% de la valeur investie. En revanche, les entreprises des industries chimiques et parachimiques ont</w:t>
      </w:r>
      <w:r>
        <w:t xml:space="preserve"> été</w:t>
      </w:r>
      <w:r w:rsidRPr="00844B6C">
        <w:t xml:space="preserve"> les plus enclines à l’endettement (67% de leur investissement est financé par la dette).</w:t>
      </w:r>
    </w:p>
    <w:p w:rsidR="000C5B4F" w:rsidRPr="00844B6C" w:rsidRDefault="000C5B4F" w:rsidP="000C5B4F">
      <w:pPr>
        <w:spacing w:line="300" w:lineRule="exact"/>
        <w:jc w:val="both"/>
      </w:pPr>
    </w:p>
    <w:p w:rsidR="000C5B4F" w:rsidRPr="00844B6C" w:rsidRDefault="000C5B4F" w:rsidP="000C5B4F">
      <w:pPr>
        <w:jc w:val="center"/>
      </w:pPr>
      <w:r>
        <w:rPr>
          <w:noProof/>
          <w:sz w:val="20"/>
          <w:szCs w:val="20"/>
        </w:rPr>
        <w:drawing>
          <wp:inline distT="0" distB="0" distL="0" distR="0">
            <wp:extent cx="4116984" cy="2219521"/>
            <wp:effectExtent l="19050" t="0" r="16866" b="9329"/>
            <wp:docPr id="14"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C5B4F" w:rsidRDefault="000C5B4F" w:rsidP="000C5B4F">
      <w:pPr>
        <w:spacing w:line="300" w:lineRule="exact"/>
        <w:jc w:val="both"/>
        <w:rPr>
          <w:b/>
          <w:bCs/>
          <w:color w:val="993366"/>
        </w:rPr>
      </w:pPr>
    </w:p>
    <w:p w:rsidR="000C5B4F" w:rsidRDefault="000C5B4F" w:rsidP="000C5B4F">
      <w:pPr>
        <w:spacing w:line="300" w:lineRule="exact"/>
        <w:jc w:val="both"/>
        <w:rPr>
          <w:b/>
          <w:bCs/>
          <w:color w:val="993366"/>
        </w:rPr>
      </w:pPr>
      <w:r>
        <w:rPr>
          <w:b/>
          <w:bCs/>
          <w:color w:val="993366"/>
        </w:rPr>
        <w:t>R</w:t>
      </w:r>
      <w:r w:rsidRPr="00844B6C">
        <w:rPr>
          <w:b/>
          <w:bCs/>
          <w:color w:val="993366"/>
        </w:rPr>
        <w:t>entab</w:t>
      </w:r>
      <w:r>
        <w:rPr>
          <w:b/>
          <w:bCs/>
          <w:color w:val="993366"/>
        </w:rPr>
        <w:t>ilité</w:t>
      </w:r>
      <w:r w:rsidRPr="00844B6C">
        <w:rPr>
          <w:b/>
          <w:bCs/>
          <w:color w:val="993366"/>
        </w:rPr>
        <w:t xml:space="preserve"> économique</w:t>
      </w:r>
      <w:r>
        <w:rPr>
          <w:b/>
          <w:bCs/>
          <w:color w:val="993366"/>
        </w:rPr>
        <w:t xml:space="preserve"> dans le secteur</w:t>
      </w:r>
    </w:p>
    <w:p w:rsidR="000C5B4F" w:rsidRPr="00844B6C" w:rsidRDefault="000C5B4F" w:rsidP="000C5B4F">
      <w:pPr>
        <w:spacing w:line="300" w:lineRule="exact"/>
        <w:jc w:val="both"/>
        <w:rPr>
          <w:b/>
          <w:bCs/>
          <w:color w:val="993366"/>
        </w:rPr>
      </w:pPr>
    </w:p>
    <w:p w:rsidR="000C5B4F" w:rsidRDefault="000C5B4F" w:rsidP="00016497">
      <w:pPr>
        <w:spacing w:line="300" w:lineRule="exact"/>
        <w:jc w:val="both"/>
        <w:rPr>
          <w:color w:val="000000"/>
        </w:rPr>
      </w:pPr>
      <w:r w:rsidRPr="00844B6C">
        <w:rPr>
          <w:color w:val="000000"/>
        </w:rPr>
        <w:t>L’intensité capitalistique, qui rapporte les immobilisations corporelles (construction, installations, machines et matériels) au nombre d’employés</w:t>
      </w:r>
      <w:r>
        <w:rPr>
          <w:color w:val="000000"/>
        </w:rPr>
        <w:t>,</w:t>
      </w:r>
      <w:r w:rsidRPr="00844B6C">
        <w:rPr>
          <w:color w:val="000000"/>
        </w:rPr>
        <w:t xml:space="preserve"> présente une forte dispersion au niveau des branches </w:t>
      </w:r>
      <w:r w:rsidR="00016497">
        <w:rPr>
          <w:color w:val="000000"/>
        </w:rPr>
        <w:t>manufacturière</w:t>
      </w:r>
      <w:r w:rsidRPr="00844B6C">
        <w:rPr>
          <w:color w:val="000000"/>
        </w:rPr>
        <w:t xml:space="preserve">s. Elle a été plus marquée, en particulier, au niveau des industries chimiques (5313 Dh par employé), dans la fabrication de produits à base de tabac et dans la métallurgie (3772 et 1521 DH, respectivement) et </w:t>
      </w:r>
      <w:r>
        <w:rPr>
          <w:color w:val="000000"/>
        </w:rPr>
        <w:t xml:space="preserve">relativement </w:t>
      </w:r>
      <w:r w:rsidRPr="00844B6C">
        <w:rPr>
          <w:color w:val="000000"/>
        </w:rPr>
        <w:t xml:space="preserve">plus faible au niveau de l’habillement.  </w:t>
      </w:r>
    </w:p>
    <w:p w:rsidR="000C5B4F" w:rsidRPr="00844B6C" w:rsidRDefault="000C5B4F" w:rsidP="000C5B4F">
      <w:pPr>
        <w:spacing w:line="300" w:lineRule="exact"/>
        <w:jc w:val="both"/>
        <w:rPr>
          <w:color w:val="000000"/>
        </w:rPr>
      </w:pPr>
    </w:p>
    <w:p w:rsidR="000C5B4F" w:rsidRDefault="000C5B4F" w:rsidP="000C5B4F">
      <w:pPr>
        <w:spacing w:line="300" w:lineRule="exact"/>
        <w:jc w:val="both"/>
        <w:rPr>
          <w:color w:val="000000"/>
        </w:rPr>
      </w:pPr>
      <w:r w:rsidRPr="00844B6C">
        <w:rPr>
          <w:color w:val="000000"/>
        </w:rPr>
        <w:t xml:space="preserve">Avec une forte intensité capitalistique, la part de la </w:t>
      </w:r>
      <w:r w:rsidRPr="00844B6C">
        <w:t>valeur ajoutée</w:t>
      </w:r>
      <w:r w:rsidRPr="00844B6C">
        <w:rPr>
          <w:color w:val="000000"/>
        </w:rPr>
        <w:t xml:space="preserve"> servant à rémunérer le capital a été plus élevée au niveau des industries chimiques. Le taux de marge, qui rapporte l'excédent brut d'exploitation (EBE) à la valeur ajoutée, a atteint 65%, dépassant largement la moyenne du secteur (47%). En revanche, les industries de textile et du cuir ont affiché les taux de marge et d’investissement les plus faibles. </w:t>
      </w:r>
    </w:p>
    <w:p w:rsidR="000C5B4F" w:rsidRPr="00844B6C" w:rsidRDefault="000C5B4F" w:rsidP="000C5B4F">
      <w:pPr>
        <w:spacing w:line="300" w:lineRule="exact"/>
        <w:jc w:val="both"/>
        <w:rPr>
          <w:color w:val="000000"/>
        </w:rPr>
      </w:pPr>
    </w:p>
    <w:p w:rsidR="000C5B4F" w:rsidRDefault="000C5B4F" w:rsidP="000C5B4F">
      <w:pPr>
        <w:spacing w:line="300" w:lineRule="exact"/>
        <w:jc w:val="both"/>
        <w:rPr>
          <w:color w:val="000000"/>
        </w:rPr>
      </w:pPr>
      <w:r>
        <w:rPr>
          <w:color w:val="000000"/>
        </w:rPr>
        <w:t>L</w:t>
      </w:r>
      <w:r w:rsidRPr="00844B6C">
        <w:rPr>
          <w:color w:val="000000"/>
        </w:rPr>
        <w:t xml:space="preserve">a rentabilité économique (rapport de l’excédent brut d’exploitation sur les immobilisations) a été relativement meilleure dans la chimie (14%) que dans les autres branches industrielles (inférieure à 10%). Elle a été très faible au niveau des petites entreprises, tandis qu’elle a atteint 11% pour les grandes entreprises.  </w:t>
      </w:r>
    </w:p>
    <w:p w:rsidR="00BD3028" w:rsidRDefault="00BD3028" w:rsidP="000C5B4F">
      <w:pPr>
        <w:spacing w:line="300" w:lineRule="exact"/>
        <w:jc w:val="both"/>
        <w:rPr>
          <w:color w:val="000000"/>
        </w:rPr>
      </w:pPr>
    </w:p>
    <w:p w:rsidR="000C5B4F" w:rsidRDefault="000C5B4F" w:rsidP="000C5B4F">
      <w:pPr>
        <w:spacing w:line="300" w:lineRule="exact"/>
        <w:jc w:val="both"/>
        <w:rPr>
          <w:b/>
          <w:bCs/>
          <w:color w:val="993366"/>
        </w:rPr>
      </w:pPr>
      <w:r>
        <w:rPr>
          <w:b/>
          <w:bCs/>
          <w:color w:val="993366"/>
        </w:rPr>
        <w:lastRenderedPageBreak/>
        <w:t xml:space="preserve">Coût de la main d’œuvre, </w:t>
      </w:r>
      <w:r w:rsidRPr="002A6E8E">
        <w:rPr>
          <w:b/>
          <w:bCs/>
          <w:color w:val="993366"/>
        </w:rPr>
        <w:t xml:space="preserve">des intrants </w:t>
      </w:r>
      <w:r>
        <w:rPr>
          <w:b/>
          <w:bCs/>
          <w:color w:val="993366"/>
        </w:rPr>
        <w:t>et des autres charges</w:t>
      </w:r>
    </w:p>
    <w:p w:rsidR="000C5B4F" w:rsidRPr="00843C25" w:rsidRDefault="000C5B4F" w:rsidP="000C5B4F">
      <w:pPr>
        <w:spacing w:line="300" w:lineRule="exact"/>
        <w:jc w:val="both"/>
        <w:rPr>
          <w:b/>
          <w:bCs/>
          <w:color w:val="993366"/>
        </w:rPr>
      </w:pPr>
    </w:p>
    <w:p w:rsidR="000C5B4F" w:rsidRDefault="000C5B4F" w:rsidP="00016497">
      <w:pPr>
        <w:spacing w:line="300" w:lineRule="exact"/>
        <w:jc w:val="both"/>
      </w:pPr>
      <w:r>
        <w:rPr>
          <w:color w:val="000000"/>
        </w:rPr>
        <w:t>Dans l’ensemble, la</w:t>
      </w:r>
      <w:r w:rsidRPr="00176080">
        <w:rPr>
          <w:color w:val="000000"/>
        </w:rPr>
        <w:t xml:space="preserve"> structure des coûts de la main-d’œuvre a peu évolué dans le secteur des industries </w:t>
      </w:r>
      <w:r w:rsidR="00016497">
        <w:rPr>
          <w:color w:val="000000"/>
        </w:rPr>
        <w:t>manufacturière</w:t>
      </w:r>
      <w:r w:rsidRPr="00176080">
        <w:rPr>
          <w:color w:val="000000"/>
        </w:rPr>
        <w:t>s</w:t>
      </w:r>
      <w:r>
        <w:rPr>
          <w:color w:val="000000"/>
        </w:rPr>
        <w:t xml:space="preserve"> </w:t>
      </w:r>
      <w:r w:rsidRPr="00176080">
        <w:rPr>
          <w:color w:val="000000"/>
        </w:rPr>
        <w:t>entre 2006 et 2014. La part des cotisations sociales patronales a augmenté dans les industries chimiques ainsi que dans l’agroalimentaire</w:t>
      </w:r>
      <w:r>
        <w:rPr>
          <w:color w:val="000000"/>
        </w:rPr>
        <w:t>, tandis qu’elle</w:t>
      </w:r>
      <w:r w:rsidRPr="00176080">
        <w:rPr>
          <w:color w:val="000000"/>
        </w:rPr>
        <w:t xml:space="preserve"> s’est réduite au niveau </w:t>
      </w:r>
      <w:r>
        <w:rPr>
          <w:color w:val="000000"/>
        </w:rPr>
        <w:t xml:space="preserve">des </w:t>
      </w:r>
      <w:r w:rsidRPr="00176080">
        <w:rPr>
          <w:color w:val="000000"/>
        </w:rPr>
        <w:t xml:space="preserve">industries électriques et électroniques. </w:t>
      </w:r>
      <w:r>
        <w:rPr>
          <w:color w:val="000000"/>
        </w:rPr>
        <w:t xml:space="preserve">Les </w:t>
      </w:r>
      <w:r w:rsidRPr="00176080">
        <w:rPr>
          <w:color w:val="000000"/>
        </w:rPr>
        <w:t xml:space="preserve">dépenses du personnel </w:t>
      </w:r>
      <w:r>
        <w:rPr>
          <w:color w:val="000000"/>
        </w:rPr>
        <w:t xml:space="preserve">ont constitué près de </w:t>
      </w:r>
      <w:r w:rsidRPr="00176080">
        <w:rPr>
          <w:color w:val="000000"/>
        </w:rPr>
        <w:t>2,6%</w:t>
      </w:r>
      <w:r>
        <w:rPr>
          <w:color w:val="000000"/>
        </w:rPr>
        <w:t xml:space="preserve"> des charges totales des entreprises. </w:t>
      </w:r>
      <w:r w:rsidRPr="00844B6C">
        <w:t>Les ouvriers ont accaparé 51% de la masse salariale distribuée, suivi des cadres avec 39% et les employés de bureau avec 7%.</w:t>
      </w:r>
      <w:r>
        <w:t xml:space="preserve"> </w:t>
      </w:r>
    </w:p>
    <w:p w:rsidR="000C5B4F" w:rsidRDefault="000C5B4F" w:rsidP="000C5B4F">
      <w:pPr>
        <w:spacing w:line="300" w:lineRule="exact"/>
        <w:jc w:val="both"/>
      </w:pPr>
    </w:p>
    <w:p w:rsidR="000C5B4F" w:rsidRDefault="000C5B4F" w:rsidP="000C5B4F">
      <w:pPr>
        <w:spacing w:line="300" w:lineRule="exact"/>
        <w:jc w:val="both"/>
        <w:rPr>
          <w:color w:val="000000"/>
        </w:rPr>
      </w:pPr>
      <w:r>
        <w:rPr>
          <w:color w:val="000000"/>
        </w:rPr>
        <w:t>P</w:t>
      </w:r>
      <w:r w:rsidRPr="00176080">
        <w:rPr>
          <w:color w:val="000000"/>
        </w:rPr>
        <w:t xml:space="preserve">our un salarié </w:t>
      </w:r>
      <w:r>
        <w:rPr>
          <w:color w:val="000000"/>
        </w:rPr>
        <w:t xml:space="preserve">permanent </w:t>
      </w:r>
      <w:r w:rsidRPr="00176080">
        <w:rPr>
          <w:color w:val="000000"/>
        </w:rPr>
        <w:t>travaillant à temps plein pendant toute l’année</w:t>
      </w:r>
      <w:r>
        <w:rPr>
          <w:color w:val="000000"/>
        </w:rPr>
        <w:t>, le</w:t>
      </w:r>
      <w:r w:rsidRPr="00176080">
        <w:rPr>
          <w:color w:val="000000"/>
        </w:rPr>
        <w:t xml:space="preserve"> salaire moyen annuel s’est situé à 56 000 </w:t>
      </w:r>
      <w:r>
        <w:rPr>
          <w:color w:val="000000"/>
        </w:rPr>
        <w:t>DH</w:t>
      </w:r>
      <w:r w:rsidRPr="00176080">
        <w:rPr>
          <w:color w:val="000000"/>
        </w:rPr>
        <w:t xml:space="preserve">. Un cadre </w:t>
      </w:r>
      <w:r>
        <w:rPr>
          <w:color w:val="000000"/>
        </w:rPr>
        <w:t>a perçu</w:t>
      </w:r>
      <w:r w:rsidRPr="00176080">
        <w:rPr>
          <w:color w:val="000000"/>
        </w:rPr>
        <w:t>, en moyenne, un salaire 3,5 fois supérieur à celui d’un ouvrier non qualifié et 2,5 fois supérieur à celui d’un ouvrier qualifié. Les salaires annuels moyens les plus élevés ont</w:t>
      </w:r>
      <w:r>
        <w:rPr>
          <w:color w:val="000000"/>
        </w:rPr>
        <w:t xml:space="preserve"> été</w:t>
      </w:r>
      <w:r w:rsidRPr="00176080">
        <w:rPr>
          <w:color w:val="000000"/>
        </w:rPr>
        <w:t xml:space="preserve"> relevés dans les industries chimiques et parachimiques (90</w:t>
      </w:r>
      <w:r>
        <w:rPr>
          <w:color w:val="000000"/>
        </w:rPr>
        <w:t> </w:t>
      </w:r>
      <w:r w:rsidRPr="00176080">
        <w:rPr>
          <w:color w:val="000000"/>
        </w:rPr>
        <w:t>000 DH) et ceux les plus faibles ont</w:t>
      </w:r>
      <w:r>
        <w:rPr>
          <w:color w:val="000000"/>
        </w:rPr>
        <w:t xml:space="preserve"> été</w:t>
      </w:r>
      <w:r w:rsidRPr="00176080">
        <w:rPr>
          <w:color w:val="000000"/>
        </w:rPr>
        <w:t xml:space="preserve"> observés dans les industries du textile et du cuir (33</w:t>
      </w:r>
      <w:r>
        <w:rPr>
          <w:color w:val="000000"/>
        </w:rPr>
        <w:t> </w:t>
      </w:r>
      <w:r w:rsidRPr="00176080">
        <w:rPr>
          <w:color w:val="000000"/>
        </w:rPr>
        <w:t>500 DH).</w:t>
      </w:r>
      <w:r>
        <w:rPr>
          <w:color w:val="000000"/>
        </w:rPr>
        <w:t xml:space="preserve"> </w:t>
      </w:r>
    </w:p>
    <w:p w:rsidR="000C5B4F" w:rsidRDefault="000C5B4F" w:rsidP="000C5B4F">
      <w:pPr>
        <w:spacing w:line="300" w:lineRule="exact"/>
        <w:jc w:val="both"/>
        <w:rPr>
          <w:color w:val="000000"/>
        </w:rPr>
      </w:pPr>
    </w:p>
    <w:p w:rsidR="000C5B4F" w:rsidRDefault="000C5B4F" w:rsidP="000C5B4F">
      <w:pPr>
        <w:jc w:val="both"/>
        <w:rPr>
          <w:color w:val="000000"/>
        </w:rPr>
      </w:pPr>
      <w:r w:rsidRPr="000273A7">
        <w:rPr>
          <w:color w:val="000000"/>
        </w:rPr>
        <w:t xml:space="preserve">Les achats de matières premières et de produits consommables, hors énergie, ont atteint près de 228 milliards de DH, dont 39% ont été effectués par les industries chimiques et parachimiques et 31% par les industries agro-alimentaires. Selon la taille de l’entreprise, près de 48% des achats de matières premières et de produits consommables </w:t>
      </w:r>
      <w:r>
        <w:rPr>
          <w:color w:val="000000"/>
        </w:rPr>
        <w:t>a</w:t>
      </w:r>
      <w:r w:rsidRPr="000273A7">
        <w:rPr>
          <w:color w:val="000000"/>
        </w:rPr>
        <w:t xml:space="preserve"> été réalisé par les grandes </w:t>
      </w:r>
      <w:r>
        <w:rPr>
          <w:color w:val="000000"/>
        </w:rPr>
        <w:t>structur</w:t>
      </w:r>
      <w:r w:rsidRPr="000273A7">
        <w:rPr>
          <w:color w:val="000000"/>
        </w:rPr>
        <w:t xml:space="preserve">es. </w:t>
      </w:r>
    </w:p>
    <w:p w:rsidR="000C5B4F" w:rsidRPr="000273A7" w:rsidRDefault="000C5B4F" w:rsidP="000C5B4F">
      <w:pPr>
        <w:jc w:val="both"/>
        <w:rPr>
          <w:color w:val="000000"/>
        </w:rPr>
      </w:pPr>
    </w:p>
    <w:tbl>
      <w:tblPr>
        <w:tblW w:w="10314" w:type="dxa"/>
        <w:tblLayout w:type="fixed"/>
        <w:tblLook w:val="04A0"/>
      </w:tblPr>
      <w:tblGrid>
        <w:gridCol w:w="5070"/>
        <w:gridCol w:w="5244"/>
      </w:tblGrid>
      <w:tr w:rsidR="000C5B4F" w:rsidRPr="006E42D8" w:rsidTr="00BE275B">
        <w:trPr>
          <w:trHeight w:val="424"/>
        </w:trPr>
        <w:tc>
          <w:tcPr>
            <w:tcW w:w="10314" w:type="dxa"/>
            <w:gridSpan w:val="2"/>
            <w:shd w:val="clear" w:color="auto" w:fill="auto"/>
          </w:tcPr>
          <w:p w:rsidR="000C5B4F" w:rsidRDefault="000C5B4F" w:rsidP="00BE275B">
            <w:pPr>
              <w:spacing w:line="300" w:lineRule="exact"/>
              <w:ind w:right="-108"/>
              <w:jc w:val="both"/>
              <w:rPr>
                <w:color w:val="000000"/>
              </w:rPr>
            </w:pPr>
            <w:r w:rsidRPr="00176080">
              <w:rPr>
                <w:color w:val="000000"/>
              </w:rPr>
              <w:t>L</w:t>
            </w:r>
            <w:r>
              <w:rPr>
                <w:color w:val="000000"/>
              </w:rPr>
              <w:t xml:space="preserve">es </w:t>
            </w:r>
            <w:r w:rsidRPr="00176080">
              <w:rPr>
                <w:color w:val="000000"/>
              </w:rPr>
              <w:t>achat</w:t>
            </w:r>
            <w:r>
              <w:rPr>
                <w:color w:val="000000"/>
              </w:rPr>
              <w:t>s</w:t>
            </w:r>
            <w:r w:rsidRPr="00176080">
              <w:rPr>
                <w:color w:val="000000"/>
              </w:rPr>
              <w:t xml:space="preserve"> d’énergie s</w:t>
            </w:r>
            <w:r>
              <w:rPr>
                <w:color w:val="000000"/>
              </w:rPr>
              <w:t>e sont</w:t>
            </w:r>
            <w:r w:rsidRPr="00176080">
              <w:rPr>
                <w:color w:val="000000"/>
              </w:rPr>
              <w:t xml:space="preserve"> élevés à 14,4 milliards de </w:t>
            </w:r>
            <w:r>
              <w:rPr>
                <w:color w:val="000000"/>
              </w:rPr>
              <w:t>DH</w:t>
            </w:r>
            <w:r w:rsidRPr="00176080">
              <w:rPr>
                <w:color w:val="000000"/>
              </w:rPr>
              <w:t xml:space="preserve"> représentant près de 4,6% de la consommation intermédiaire et 15,4% de la </w:t>
            </w:r>
            <w:r>
              <w:rPr>
                <w:color w:val="000000"/>
              </w:rPr>
              <w:t>valeur ajoutée</w:t>
            </w:r>
            <w:r w:rsidRPr="00176080">
              <w:rPr>
                <w:color w:val="000000"/>
              </w:rPr>
              <w:t xml:space="preserve">. L’électricité, le gas-oil et le fuel </w:t>
            </w:r>
            <w:r>
              <w:rPr>
                <w:color w:val="000000"/>
              </w:rPr>
              <w:t>o</w:t>
            </w:r>
            <w:r w:rsidRPr="00176080">
              <w:rPr>
                <w:color w:val="000000"/>
              </w:rPr>
              <w:t>nt</w:t>
            </w:r>
            <w:r>
              <w:rPr>
                <w:color w:val="000000"/>
              </w:rPr>
              <w:t xml:space="preserve"> été</w:t>
            </w:r>
            <w:r w:rsidRPr="00176080">
              <w:rPr>
                <w:color w:val="000000"/>
              </w:rPr>
              <w:t xml:space="preserve"> les trois énergies les plus utilisées, avec des parts respectives de 46%, 17% et 15% des dépenses totales de l’énergie. Les industries chimiques, et dans une moindre mesure l’agroalimentaire et les industries métalliques et mécaniques ont été considérés comme des branches à forte intensité énergétique, avec des parts </w:t>
            </w:r>
            <w:r>
              <w:rPr>
                <w:color w:val="000000"/>
              </w:rPr>
              <w:t xml:space="preserve">respectives </w:t>
            </w:r>
            <w:r w:rsidRPr="00176080">
              <w:rPr>
                <w:color w:val="000000"/>
              </w:rPr>
              <w:t xml:space="preserve">de 47%, 22,4% et 17,7% de l’énergie totale consommée au niveau du secteur, alors que </w:t>
            </w:r>
            <w:r>
              <w:rPr>
                <w:color w:val="000000"/>
              </w:rPr>
              <w:t xml:space="preserve">les </w:t>
            </w:r>
            <w:r w:rsidRPr="00176080">
              <w:rPr>
                <w:color w:val="000000"/>
              </w:rPr>
              <w:t xml:space="preserve">12,9% </w:t>
            </w:r>
            <w:r>
              <w:rPr>
                <w:color w:val="000000"/>
              </w:rPr>
              <w:t>restantes ont été</w:t>
            </w:r>
            <w:r w:rsidRPr="00176080">
              <w:rPr>
                <w:color w:val="000000"/>
              </w:rPr>
              <w:t xml:space="preserve"> partagée</w:t>
            </w:r>
            <w:r>
              <w:rPr>
                <w:color w:val="000000"/>
              </w:rPr>
              <w:t>s</w:t>
            </w:r>
            <w:r w:rsidRPr="00176080">
              <w:rPr>
                <w:color w:val="000000"/>
              </w:rPr>
              <w:t xml:space="preserve"> par le textile et cuire, les industries électriques et électroniques. </w:t>
            </w:r>
          </w:p>
          <w:p w:rsidR="00BE275B" w:rsidRPr="00176080" w:rsidRDefault="00BE275B" w:rsidP="00BE275B">
            <w:pPr>
              <w:spacing w:line="300" w:lineRule="exact"/>
              <w:ind w:right="-108"/>
              <w:jc w:val="both"/>
              <w:rPr>
                <w:color w:val="000000"/>
              </w:rPr>
            </w:pPr>
          </w:p>
          <w:p w:rsidR="000C5B4F" w:rsidRDefault="000C5B4F" w:rsidP="002C2836">
            <w:pPr>
              <w:spacing w:line="300" w:lineRule="exact"/>
              <w:ind w:right="-108"/>
              <w:jc w:val="both"/>
              <w:rPr>
                <w:color w:val="000000"/>
              </w:rPr>
            </w:pPr>
            <w:r w:rsidRPr="00176080">
              <w:rPr>
                <w:color w:val="000000"/>
              </w:rPr>
              <w:t xml:space="preserve">Les autres charges externes, </w:t>
            </w:r>
            <w:r>
              <w:rPr>
                <w:color w:val="000000"/>
              </w:rPr>
              <w:t>concernant</w:t>
            </w:r>
            <w:r w:rsidRPr="00176080">
              <w:rPr>
                <w:color w:val="000000"/>
              </w:rPr>
              <w:t xml:space="preserve"> notamment les dépenses relatives à la location, aux redevances de crédits</w:t>
            </w:r>
            <w:r>
              <w:rPr>
                <w:color w:val="000000"/>
              </w:rPr>
              <w:t xml:space="preserve"> et</w:t>
            </w:r>
            <w:r w:rsidRPr="00176080">
              <w:rPr>
                <w:color w:val="000000"/>
              </w:rPr>
              <w:t xml:space="preserve"> à la publicité n’ont pas dépassée 2,2% de l’ensemble des charges. Les dépenses relatives aux études, recherches et documentation ont atteint 238 mill</w:t>
            </w:r>
            <w:r w:rsidR="002C2836">
              <w:rPr>
                <w:color w:val="000000"/>
              </w:rPr>
              <w:t>ions de</w:t>
            </w:r>
            <w:r w:rsidRPr="00176080">
              <w:rPr>
                <w:color w:val="000000"/>
              </w:rPr>
              <w:t xml:space="preserve"> DH et ont été principalement enregistrée</w:t>
            </w:r>
            <w:r>
              <w:rPr>
                <w:color w:val="000000"/>
              </w:rPr>
              <w:t>s</w:t>
            </w:r>
            <w:r w:rsidRPr="00176080">
              <w:rPr>
                <w:color w:val="000000"/>
              </w:rPr>
              <w:t xml:space="preserve"> au niveau des industries métalliques et mécaniques. </w:t>
            </w:r>
          </w:p>
          <w:p w:rsidR="005B5E93" w:rsidRDefault="005B5E93" w:rsidP="00BE275B">
            <w:pPr>
              <w:spacing w:line="300" w:lineRule="exact"/>
              <w:ind w:right="-108"/>
              <w:jc w:val="both"/>
              <w:rPr>
                <w:color w:val="000000"/>
              </w:rPr>
            </w:pPr>
          </w:p>
          <w:p w:rsidR="000C5B4F" w:rsidRPr="006E42D8" w:rsidRDefault="000C5B4F" w:rsidP="000C2C7D">
            <w:pPr>
              <w:jc w:val="center"/>
              <w:rPr>
                <w:b/>
                <w:bCs/>
              </w:rPr>
            </w:pPr>
            <w:r w:rsidRPr="006E42D8">
              <w:rPr>
                <w:b/>
                <w:bCs/>
              </w:rPr>
              <w:t>Indicateurs d’intégration industrielle (2014)</w:t>
            </w:r>
          </w:p>
        </w:tc>
      </w:tr>
      <w:tr w:rsidR="000C5B4F" w:rsidRPr="006E42D8" w:rsidTr="00BE275B">
        <w:trPr>
          <w:trHeight w:val="3480"/>
        </w:trPr>
        <w:tc>
          <w:tcPr>
            <w:tcW w:w="5070" w:type="dxa"/>
            <w:shd w:val="clear" w:color="auto" w:fill="auto"/>
          </w:tcPr>
          <w:p w:rsidR="000C5B4F" w:rsidRPr="006E42D8" w:rsidRDefault="000C5B4F" w:rsidP="00025BCF">
            <w:pPr>
              <w:ind w:left="426"/>
            </w:pPr>
            <w:r>
              <w:rPr>
                <w:noProof/>
              </w:rPr>
              <w:drawing>
                <wp:inline distT="0" distB="0" distL="0" distR="0">
                  <wp:extent cx="2823345" cy="2090407"/>
                  <wp:effectExtent l="19050" t="19050" r="15105" b="24143"/>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srcRect/>
                          <a:stretch>
                            <a:fillRect/>
                          </a:stretch>
                        </pic:blipFill>
                        <pic:spPr bwMode="auto">
                          <a:xfrm>
                            <a:off x="0" y="0"/>
                            <a:ext cx="2826387" cy="2092660"/>
                          </a:xfrm>
                          <a:prstGeom prst="rect">
                            <a:avLst/>
                          </a:prstGeom>
                          <a:noFill/>
                          <a:ln w="9525" cmpd="sng">
                            <a:solidFill>
                              <a:srgbClr val="000000"/>
                            </a:solidFill>
                            <a:miter lim="800000"/>
                            <a:headEnd/>
                            <a:tailEnd/>
                          </a:ln>
                          <a:effectLst/>
                        </pic:spPr>
                      </pic:pic>
                    </a:graphicData>
                  </a:graphic>
                </wp:inline>
              </w:drawing>
            </w:r>
          </w:p>
        </w:tc>
        <w:tc>
          <w:tcPr>
            <w:tcW w:w="5244" w:type="dxa"/>
            <w:shd w:val="clear" w:color="auto" w:fill="auto"/>
          </w:tcPr>
          <w:p w:rsidR="000C5B4F" w:rsidRPr="006E42D8" w:rsidRDefault="000C5B4F" w:rsidP="00BE275B">
            <w:pPr>
              <w:ind w:left="175"/>
            </w:pPr>
            <w:r>
              <w:rPr>
                <w:noProof/>
              </w:rPr>
              <w:drawing>
                <wp:inline distT="0" distB="0" distL="0" distR="0">
                  <wp:extent cx="3022235" cy="2093437"/>
                  <wp:effectExtent l="19050" t="19050" r="25765" b="21113"/>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a:srcRect/>
                          <a:stretch>
                            <a:fillRect/>
                          </a:stretch>
                        </pic:blipFill>
                        <pic:spPr bwMode="auto">
                          <a:xfrm>
                            <a:off x="0" y="0"/>
                            <a:ext cx="3024414" cy="2094946"/>
                          </a:xfrm>
                          <a:prstGeom prst="rect">
                            <a:avLst/>
                          </a:prstGeom>
                          <a:noFill/>
                          <a:ln w="9525" cmpd="sng">
                            <a:solidFill>
                              <a:srgbClr val="000000"/>
                            </a:solidFill>
                            <a:miter lim="800000"/>
                            <a:headEnd/>
                            <a:tailEnd/>
                          </a:ln>
                          <a:effectLst/>
                        </pic:spPr>
                      </pic:pic>
                    </a:graphicData>
                  </a:graphic>
                </wp:inline>
              </w:drawing>
            </w:r>
          </w:p>
        </w:tc>
      </w:tr>
    </w:tbl>
    <w:p w:rsidR="000C5B4F" w:rsidRDefault="000C5B4F" w:rsidP="000C5B4F">
      <w:pPr>
        <w:spacing w:line="300" w:lineRule="exact"/>
        <w:jc w:val="both"/>
        <w:rPr>
          <w:b/>
          <w:bCs/>
          <w:color w:val="993366"/>
        </w:rPr>
      </w:pPr>
    </w:p>
    <w:p w:rsidR="005B5E93" w:rsidRDefault="005B5E93" w:rsidP="005B5E93">
      <w:pPr>
        <w:ind w:right="-108"/>
        <w:jc w:val="both"/>
        <w:rPr>
          <w:color w:val="000000"/>
        </w:rPr>
      </w:pPr>
      <w:r>
        <w:rPr>
          <w:color w:val="000000"/>
        </w:rPr>
        <w:t>Globalement, l</w:t>
      </w:r>
      <w:r w:rsidRPr="00176080">
        <w:rPr>
          <w:color w:val="000000"/>
        </w:rPr>
        <w:t xml:space="preserve">e taux d’intégration du tissu industriel marocain, mesuré comme proxy par la part des intrants fournis par le marché local, a atteint 65% en 2014. Ce niveau cache néanmoins de grandes disparités entre les </w:t>
      </w:r>
      <w:r>
        <w:rPr>
          <w:color w:val="000000"/>
        </w:rPr>
        <w:t xml:space="preserve">différentes </w:t>
      </w:r>
      <w:r w:rsidRPr="00176080">
        <w:rPr>
          <w:color w:val="000000"/>
        </w:rPr>
        <w:t xml:space="preserve">branches industrielles. Les plus faibles intégrations ont été observées dans </w:t>
      </w:r>
      <w:r w:rsidRPr="00176080">
        <w:rPr>
          <w:color w:val="000000"/>
        </w:rPr>
        <w:lastRenderedPageBreak/>
        <w:t xml:space="preserve">l’industrie automobile (33%) et la fabrication d'équipements électriques (37%). </w:t>
      </w:r>
      <w:r>
        <w:rPr>
          <w:color w:val="000000"/>
        </w:rPr>
        <w:t>En revanche</w:t>
      </w:r>
      <w:r w:rsidRPr="00176080">
        <w:rPr>
          <w:color w:val="000000"/>
        </w:rPr>
        <w:t>, les industries agroalimentaires (86%) et le textile et cuir (69%) ont</w:t>
      </w:r>
      <w:r>
        <w:rPr>
          <w:color w:val="000000"/>
        </w:rPr>
        <w:t xml:space="preserve"> été</w:t>
      </w:r>
      <w:r w:rsidRPr="00176080">
        <w:rPr>
          <w:color w:val="000000"/>
        </w:rPr>
        <w:t xml:space="preserve"> les plus intégrées.</w:t>
      </w:r>
    </w:p>
    <w:p w:rsidR="005B5E93" w:rsidRDefault="005B5E93" w:rsidP="000C5B4F">
      <w:pPr>
        <w:spacing w:line="300" w:lineRule="exact"/>
        <w:jc w:val="both"/>
        <w:rPr>
          <w:b/>
          <w:bCs/>
          <w:color w:val="993366"/>
        </w:rPr>
      </w:pPr>
    </w:p>
    <w:p w:rsidR="000C5B4F" w:rsidRDefault="000C5B4F" w:rsidP="000C5B4F">
      <w:pPr>
        <w:spacing w:line="300" w:lineRule="exact"/>
        <w:jc w:val="both"/>
        <w:rPr>
          <w:b/>
          <w:bCs/>
          <w:color w:val="993366"/>
        </w:rPr>
      </w:pPr>
      <w:r>
        <w:rPr>
          <w:b/>
          <w:bCs/>
          <w:color w:val="993366"/>
        </w:rPr>
        <w:t>CONCLUSION</w:t>
      </w:r>
    </w:p>
    <w:p w:rsidR="000C5B4F" w:rsidRDefault="000C5B4F" w:rsidP="000C5B4F">
      <w:pPr>
        <w:spacing w:line="300" w:lineRule="exact"/>
        <w:jc w:val="both"/>
        <w:rPr>
          <w:b/>
          <w:bCs/>
          <w:color w:val="993366"/>
        </w:rPr>
      </w:pPr>
    </w:p>
    <w:p w:rsidR="000C5B4F" w:rsidRDefault="000C5B4F" w:rsidP="00016497">
      <w:pPr>
        <w:spacing w:line="300" w:lineRule="exact"/>
        <w:jc w:val="both"/>
        <w:rPr>
          <w:color w:val="000000"/>
        </w:rPr>
      </w:pPr>
      <w:r>
        <w:rPr>
          <w:rFonts w:eastAsia="Calibri"/>
          <w:lang w:eastAsia="en-US"/>
        </w:rPr>
        <w:t>L</w:t>
      </w:r>
      <w:r w:rsidRPr="001A01AE">
        <w:rPr>
          <w:rFonts w:eastAsia="Calibri"/>
          <w:lang w:eastAsia="en-US"/>
        </w:rPr>
        <w:t>'</w:t>
      </w:r>
      <w:r w:rsidR="00780199">
        <w:rPr>
          <w:rFonts w:eastAsia="Calibri"/>
          <w:lang w:eastAsia="en-US"/>
        </w:rPr>
        <w:t xml:space="preserve">industrie </w:t>
      </w:r>
      <w:r w:rsidR="00016497">
        <w:rPr>
          <w:rFonts w:eastAsia="Calibri"/>
          <w:lang w:eastAsia="en-US"/>
        </w:rPr>
        <w:t>manufacturière</w:t>
      </w:r>
      <w:r w:rsidRPr="001A01AE">
        <w:rPr>
          <w:rFonts w:eastAsia="Calibri"/>
          <w:lang w:eastAsia="en-US"/>
        </w:rPr>
        <w:t xml:space="preserve"> présente les caractéristiques structurelles d'une économie en développement avec une contribution en dessous de ses potentialités en termes de création d’emploi et de richesse.</w:t>
      </w:r>
      <w:r w:rsidRPr="001A01AE">
        <w:rPr>
          <w:rFonts w:eastAsia="Calibri"/>
        </w:rPr>
        <w:t xml:space="preserve"> </w:t>
      </w:r>
      <w:r>
        <w:rPr>
          <w:rFonts w:eastAsia="Calibri"/>
        </w:rPr>
        <w:t>Entre 2006 et 2014, l</w:t>
      </w:r>
      <w:r w:rsidRPr="001A01AE">
        <w:rPr>
          <w:rFonts w:eastAsia="Calibri"/>
          <w:lang w:eastAsia="en-US"/>
        </w:rPr>
        <w:t xml:space="preserve">a valeur ajoutée du secteur </w:t>
      </w:r>
      <w:r>
        <w:rPr>
          <w:rFonts w:eastAsia="Calibri"/>
          <w:lang w:eastAsia="en-US"/>
        </w:rPr>
        <w:t xml:space="preserve">a réalisé une croissance annuelle moyenne de 5%. Nonobstant, </w:t>
      </w:r>
      <w:r>
        <w:rPr>
          <w:rFonts w:eastAsia="Calibri"/>
        </w:rPr>
        <w:t>l</w:t>
      </w:r>
      <w:r w:rsidRPr="001A01AE">
        <w:rPr>
          <w:rFonts w:eastAsia="Calibri"/>
          <w:lang w:eastAsia="en-US"/>
        </w:rPr>
        <w:t xml:space="preserve">a part de la valeur ajoutée du secteur </w:t>
      </w:r>
      <w:r w:rsidRPr="001A01AE">
        <w:rPr>
          <w:rFonts w:eastAsia="Calibri"/>
        </w:rPr>
        <w:t>dans le PIB s’est abaissée d’environ un point par rapport à 2006, pour se situer à 11,3%</w:t>
      </w:r>
      <w:r>
        <w:rPr>
          <w:rFonts w:eastAsia="Calibri"/>
        </w:rPr>
        <w:t xml:space="preserve"> en 2014. </w:t>
      </w:r>
      <w:r>
        <w:rPr>
          <w:color w:val="000000"/>
        </w:rPr>
        <w:t>Un quart du chiffre d’affaires a été généré par les exportations,</w:t>
      </w:r>
      <w:r w:rsidRPr="003809FA">
        <w:t xml:space="preserve"> </w:t>
      </w:r>
      <w:r w:rsidRPr="00A85753">
        <w:t>en amélioration de 6,4% en moyenne par an</w:t>
      </w:r>
      <w:r>
        <w:rPr>
          <w:color w:val="000000"/>
        </w:rPr>
        <w:t>. Plus de 42% des exportations a été réalisé par les industries chimiques et parachimiques.</w:t>
      </w:r>
    </w:p>
    <w:p w:rsidR="000C5B4F" w:rsidRDefault="000C5B4F" w:rsidP="000C5B4F">
      <w:pPr>
        <w:spacing w:line="300" w:lineRule="exact"/>
        <w:jc w:val="both"/>
        <w:rPr>
          <w:color w:val="000000"/>
        </w:rPr>
      </w:pPr>
    </w:p>
    <w:p w:rsidR="000C5B4F" w:rsidRDefault="000C5B4F" w:rsidP="000C5B4F">
      <w:pPr>
        <w:spacing w:line="300" w:lineRule="exact"/>
        <w:jc w:val="both"/>
      </w:pPr>
      <w:r w:rsidRPr="00A85753">
        <w:t>Le</w:t>
      </w:r>
      <w:r>
        <w:t xml:space="preserve"> secteur a</w:t>
      </w:r>
      <w:r w:rsidRPr="00A85753">
        <w:t xml:space="preserve"> amélioré </w:t>
      </w:r>
      <w:r>
        <w:t>son</w:t>
      </w:r>
      <w:r w:rsidRPr="00A85753">
        <w:t xml:space="preserve"> intensité capitalistique au détriment de l’emploi. </w:t>
      </w:r>
      <w:r>
        <w:t xml:space="preserve">Ses </w:t>
      </w:r>
      <w:r w:rsidRPr="00A85753">
        <w:t>investissement</w:t>
      </w:r>
      <w:r>
        <w:t>s ont</w:t>
      </w:r>
      <w:r w:rsidRPr="00A85753">
        <w:t xml:space="preserve"> </w:t>
      </w:r>
      <w:r>
        <w:t>progressé</w:t>
      </w:r>
      <w:r w:rsidRPr="00844B6C">
        <w:t xml:space="preserve"> de 13,2%, en moyenne par an, depuis 2006.</w:t>
      </w:r>
      <w:r>
        <w:t xml:space="preserve"> L</w:t>
      </w:r>
      <w:r w:rsidRPr="001A01AE">
        <w:t xml:space="preserve">’emploi </w:t>
      </w:r>
      <w:r>
        <w:t xml:space="preserve">total </w:t>
      </w:r>
      <w:r w:rsidRPr="001A01AE">
        <w:t xml:space="preserve">a connu une </w:t>
      </w:r>
      <w:r>
        <w:t>hausse</w:t>
      </w:r>
      <w:r w:rsidRPr="001A01AE">
        <w:t xml:space="preserve"> annuelle moyenne </w:t>
      </w:r>
      <w:r>
        <w:t xml:space="preserve">de </w:t>
      </w:r>
      <w:r w:rsidRPr="001A01AE">
        <w:t xml:space="preserve">2,6%, </w:t>
      </w:r>
      <w:r>
        <w:rPr>
          <w:rFonts w:eastAsia="Calibri"/>
          <w:lang w:eastAsia="en-US"/>
        </w:rPr>
        <w:t xml:space="preserve">portant l’augmentation de la productivité du secteur à 2%. La </w:t>
      </w:r>
      <w:r>
        <w:t xml:space="preserve">part des emplois manufacturiers dans la population active occupée nationale s’est limitée à 6%. </w:t>
      </w:r>
      <w:r>
        <w:rPr>
          <w:color w:val="000000"/>
        </w:rPr>
        <w:t xml:space="preserve">Les femmes y </w:t>
      </w:r>
      <w:r>
        <w:t>ont contribué pour près</w:t>
      </w:r>
      <w:r>
        <w:rPr>
          <w:color w:val="000000"/>
        </w:rPr>
        <w:t xml:space="preserve"> du tiers des effectifs occupés, dont presque la moitié </w:t>
      </w:r>
      <w:r w:rsidRPr="00844B6C">
        <w:t>employée dans les industries de textile et de cuir, tandis que l’industrie chimique et parachimique</w:t>
      </w:r>
      <w:r>
        <w:t xml:space="preserve"> a été</w:t>
      </w:r>
      <w:r w:rsidRPr="00844B6C">
        <w:t xml:space="preserve"> le secteur le moins féminisé. </w:t>
      </w:r>
    </w:p>
    <w:p w:rsidR="000C5B4F" w:rsidRDefault="000C5B4F" w:rsidP="000C5B4F">
      <w:pPr>
        <w:spacing w:line="300" w:lineRule="exact"/>
        <w:jc w:val="both"/>
        <w:rPr>
          <w:color w:val="000000"/>
        </w:rPr>
      </w:pPr>
    </w:p>
    <w:p w:rsidR="000C5B4F" w:rsidRDefault="000C5B4F" w:rsidP="000C5B4F">
      <w:pPr>
        <w:spacing w:line="300" w:lineRule="exact"/>
        <w:jc w:val="both"/>
      </w:pPr>
      <w:r>
        <w:rPr>
          <w:rFonts w:eastAsia="Calibri"/>
          <w:lang w:eastAsia="en-US"/>
        </w:rPr>
        <w:t>En occupant près des deux tiers de la population active du secteur, l</w:t>
      </w:r>
      <w:r w:rsidRPr="001A01AE">
        <w:rPr>
          <w:rFonts w:eastAsia="Calibri"/>
          <w:lang w:eastAsia="en-US"/>
        </w:rPr>
        <w:t xml:space="preserve">es grandes </w:t>
      </w:r>
      <w:r>
        <w:rPr>
          <w:rFonts w:eastAsia="Calibri"/>
          <w:lang w:eastAsia="en-US"/>
        </w:rPr>
        <w:t xml:space="preserve">entreprises </w:t>
      </w:r>
      <w:r w:rsidRPr="001A01AE">
        <w:rPr>
          <w:rFonts w:eastAsia="Calibri"/>
        </w:rPr>
        <w:t xml:space="preserve">ont </w:t>
      </w:r>
      <w:r w:rsidRPr="001A01AE">
        <w:t>réalis</w:t>
      </w:r>
      <w:r>
        <w:t>é</w:t>
      </w:r>
      <w:r w:rsidRPr="001A01AE">
        <w:t xml:space="preserve"> l’essentiel des résultats, en termes</w:t>
      </w:r>
      <w:r>
        <w:t xml:space="preserve"> </w:t>
      </w:r>
      <w:r w:rsidRPr="001A01AE">
        <w:t xml:space="preserve">de chiffre d’affaires, d’exportations et encore plus en termes d’investissement, avec 94% de l’investissement </w:t>
      </w:r>
      <w:r>
        <w:t>total</w:t>
      </w:r>
      <w:r w:rsidRPr="001A01AE">
        <w:t xml:space="preserve"> réalisé</w:t>
      </w:r>
      <w:r>
        <w:t xml:space="preserve">. Ce dernier a été financé, en grande partie, par endettement, tandis que les très petites, les petites et moyennes entreprises, constituant près de 89% de la population, ont été plus enclines à </w:t>
      </w:r>
      <w:r w:rsidRPr="00844B6C">
        <w:t>l’autofinancement</w:t>
      </w:r>
      <w:r>
        <w:t xml:space="preserve"> de leur investissement et particulièrement dans la branche textile et cuir</w:t>
      </w:r>
      <w:r w:rsidRPr="00844B6C">
        <w:t>.</w:t>
      </w:r>
    </w:p>
    <w:p w:rsidR="000C5B4F" w:rsidRPr="00844B6C" w:rsidRDefault="000C5B4F" w:rsidP="000C5B4F">
      <w:pPr>
        <w:spacing w:line="300" w:lineRule="exact"/>
        <w:jc w:val="both"/>
      </w:pPr>
    </w:p>
    <w:p w:rsidR="000C5B4F" w:rsidRDefault="000C5B4F" w:rsidP="000C5B4F">
      <w:pPr>
        <w:spacing w:line="300" w:lineRule="exact"/>
        <w:jc w:val="both"/>
        <w:rPr>
          <w:color w:val="000000"/>
        </w:rPr>
      </w:pPr>
      <w:r>
        <w:rPr>
          <w:color w:val="000000"/>
        </w:rPr>
        <w:t>La présence d</w:t>
      </w:r>
      <w:r w:rsidRPr="003E242F">
        <w:rPr>
          <w:color w:val="000000"/>
        </w:rPr>
        <w:t>es entreprises à participation étrangère</w:t>
      </w:r>
      <w:r>
        <w:rPr>
          <w:color w:val="000000"/>
        </w:rPr>
        <w:t xml:space="preserve"> a été importante particulièrement </w:t>
      </w:r>
      <w:r w:rsidRPr="003E242F">
        <w:rPr>
          <w:color w:val="000000"/>
        </w:rPr>
        <w:t xml:space="preserve">dans les </w:t>
      </w:r>
      <w:r>
        <w:rPr>
          <w:color w:val="000000"/>
        </w:rPr>
        <w:t>métiers mondiaux, tels que les industries</w:t>
      </w:r>
      <w:r w:rsidRPr="003E242F">
        <w:rPr>
          <w:color w:val="000000"/>
        </w:rPr>
        <w:t xml:space="preserve"> électriques et électroniques</w:t>
      </w:r>
      <w:r>
        <w:rPr>
          <w:color w:val="000000"/>
        </w:rPr>
        <w:t xml:space="preserve"> et l</w:t>
      </w:r>
      <w:r w:rsidRPr="003E242F">
        <w:rPr>
          <w:color w:val="000000"/>
        </w:rPr>
        <w:t>es industries métalliques et mécaniques</w:t>
      </w:r>
      <w:r>
        <w:rPr>
          <w:color w:val="000000"/>
        </w:rPr>
        <w:t xml:space="preserve"> basées plus sur les capitaux. En revanche, sa contribution a été faible au niveau des </w:t>
      </w:r>
      <w:r w:rsidRPr="003E242F">
        <w:rPr>
          <w:color w:val="000000"/>
        </w:rPr>
        <w:t>industries agro-alimentaires</w:t>
      </w:r>
      <w:r>
        <w:rPr>
          <w:color w:val="000000"/>
        </w:rPr>
        <w:t xml:space="preserve"> et de textile et cuir utilisatrices de main d’œuvre</w:t>
      </w:r>
      <w:r w:rsidRPr="003E242F">
        <w:rPr>
          <w:color w:val="000000"/>
        </w:rPr>
        <w:t xml:space="preserve">. </w:t>
      </w:r>
    </w:p>
    <w:p w:rsidR="000C5B4F" w:rsidRDefault="000C5B4F" w:rsidP="000C5B4F">
      <w:pPr>
        <w:pStyle w:val="Corpsdetexte"/>
        <w:spacing w:line="300" w:lineRule="exact"/>
        <w:rPr>
          <w:rFonts w:eastAsia="Calibri"/>
          <w:lang w:eastAsia="en-US"/>
        </w:rPr>
      </w:pPr>
    </w:p>
    <w:p w:rsidR="000C5B4F" w:rsidRPr="001A01AE" w:rsidRDefault="000C5B4F" w:rsidP="000C5B4F">
      <w:pPr>
        <w:pStyle w:val="Corpsdetexte"/>
        <w:spacing w:line="300" w:lineRule="exact"/>
        <w:rPr>
          <w:rFonts w:eastAsia="Calibri"/>
          <w:lang w:eastAsia="en-US"/>
        </w:rPr>
      </w:pPr>
      <w:r w:rsidRPr="001A01AE">
        <w:rPr>
          <w:rFonts w:eastAsia="Calibri"/>
          <w:lang w:eastAsia="en-US"/>
        </w:rPr>
        <w:t>Longtemps dominé</w:t>
      </w:r>
      <w:r>
        <w:rPr>
          <w:rFonts w:eastAsia="Calibri"/>
          <w:lang w:eastAsia="en-US"/>
        </w:rPr>
        <w:t>e</w:t>
      </w:r>
      <w:r w:rsidRPr="001A01AE">
        <w:rPr>
          <w:rFonts w:eastAsia="Calibri"/>
          <w:lang w:eastAsia="en-US"/>
        </w:rPr>
        <w:t xml:space="preserve"> par les industries agro-alimentaires, du </w:t>
      </w:r>
      <w:hyperlink r:id="rId19" w:tooltip="Textile" w:history="1">
        <w:r w:rsidRPr="001A01AE">
          <w:rPr>
            <w:rFonts w:eastAsia="Calibri"/>
            <w:lang w:eastAsia="en-US"/>
          </w:rPr>
          <w:t>textile</w:t>
        </w:r>
      </w:hyperlink>
      <w:r w:rsidRPr="001A01AE">
        <w:rPr>
          <w:rFonts w:eastAsia="Calibri"/>
          <w:lang w:eastAsia="en-US"/>
        </w:rPr>
        <w:t xml:space="preserve"> et du </w:t>
      </w:r>
      <w:hyperlink r:id="rId20" w:tooltip="Cuir" w:history="1">
        <w:r w:rsidRPr="001A01AE">
          <w:rPr>
            <w:rFonts w:eastAsia="Calibri"/>
            <w:lang w:eastAsia="en-US"/>
          </w:rPr>
          <w:t>cuir</w:t>
        </w:r>
      </w:hyperlink>
      <w:r w:rsidRPr="001A01AE">
        <w:rPr>
          <w:rFonts w:eastAsia="Calibri"/>
          <w:lang w:eastAsia="en-US"/>
        </w:rPr>
        <w:t>, l</w:t>
      </w:r>
      <w:r>
        <w:rPr>
          <w:rFonts w:eastAsia="Calibri"/>
          <w:lang w:eastAsia="en-US"/>
        </w:rPr>
        <w:t>a structure du tissu manufacturier s’est</w:t>
      </w:r>
      <w:r w:rsidRPr="001A01AE">
        <w:rPr>
          <w:rFonts w:eastAsia="Calibri"/>
          <w:lang w:eastAsia="en-US"/>
        </w:rPr>
        <w:t xml:space="preserve">, quelque peu, </w:t>
      </w:r>
      <w:r>
        <w:rPr>
          <w:rFonts w:eastAsia="Calibri"/>
          <w:lang w:eastAsia="en-US"/>
        </w:rPr>
        <w:t>modifi</w:t>
      </w:r>
      <w:r w:rsidRPr="001A01AE">
        <w:rPr>
          <w:rFonts w:eastAsia="Calibri"/>
          <w:lang w:eastAsia="en-US"/>
        </w:rPr>
        <w:t>é</w:t>
      </w:r>
      <w:r>
        <w:rPr>
          <w:rFonts w:eastAsia="Calibri"/>
          <w:lang w:eastAsia="en-US"/>
        </w:rPr>
        <w:t>e</w:t>
      </w:r>
      <w:r w:rsidRPr="001A01AE">
        <w:rPr>
          <w:rFonts w:eastAsia="Calibri"/>
          <w:lang w:eastAsia="en-US"/>
        </w:rPr>
        <w:t xml:space="preserve"> au cours des dernières années, grâce à l’essor des industries de la </w:t>
      </w:r>
      <w:hyperlink r:id="rId21" w:tooltip="Chimie" w:history="1">
        <w:r w:rsidRPr="001A01AE">
          <w:rPr>
            <w:rFonts w:eastAsia="Calibri"/>
            <w:lang w:eastAsia="en-US"/>
          </w:rPr>
          <w:t>chimie</w:t>
        </w:r>
      </w:hyperlink>
      <w:r w:rsidRPr="001A01AE">
        <w:rPr>
          <w:rFonts w:eastAsia="Calibri"/>
          <w:lang w:eastAsia="en-US"/>
        </w:rPr>
        <w:t xml:space="preserve"> et </w:t>
      </w:r>
      <w:hyperlink r:id="rId22" w:tooltip="Parachimie" w:history="1">
        <w:r w:rsidRPr="001A01AE">
          <w:rPr>
            <w:rFonts w:eastAsia="Calibri"/>
            <w:lang w:eastAsia="en-US"/>
          </w:rPr>
          <w:t>parachimie</w:t>
        </w:r>
      </w:hyperlink>
      <w:r w:rsidRPr="001A01AE">
        <w:rPr>
          <w:rFonts w:eastAsia="Calibri"/>
          <w:lang w:eastAsia="en-US"/>
        </w:rPr>
        <w:t>, de l’électronique et électriques, des équipements automobiles et de montage de véhicules et de l’industrie aéronautique.</w:t>
      </w:r>
      <w:r>
        <w:rPr>
          <w:rFonts w:eastAsia="Calibri"/>
          <w:lang w:eastAsia="en-US"/>
        </w:rPr>
        <w:t xml:space="preserve"> Cependant, trois branches ont constitué </w:t>
      </w:r>
      <w:r>
        <w:t>près de 75% des entreprises du secteur à savoir</w:t>
      </w:r>
      <w:r w:rsidRPr="00176080">
        <w:t xml:space="preserve"> la chimie et parachimie, l’agroalimentaire et les industries métalliques et mécaniques. </w:t>
      </w:r>
      <w:r w:rsidRPr="001A01AE">
        <w:rPr>
          <w:rFonts w:eastAsia="Calibri"/>
          <w:lang w:eastAsia="en-US"/>
        </w:rPr>
        <w:t xml:space="preserve">Ces derniers ont, certes, amélioré nos exportations, mais </w:t>
      </w:r>
      <w:r>
        <w:rPr>
          <w:rFonts w:eastAsia="Calibri"/>
          <w:lang w:eastAsia="en-US"/>
        </w:rPr>
        <w:t xml:space="preserve">sans pour autant </w:t>
      </w:r>
      <w:r w:rsidRPr="001A01AE">
        <w:rPr>
          <w:rFonts w:eastAsia="Calibri"/>
          <w:lang w:eastAsia="en-US"/>
        </w:rPr>
        <w:t xml:space="preserve">créer un effet d'entraînement sur l’appareil productif dans son ensemble et relever, ainsi, substantiellement la valeur ajoutée du secteur non-agricole. </w:t>
      </w:r>
    </w:p>
    <w:p w:rsidR="000C5B4F" w:rsidRPr="001A01AE" w:rsidRDefault="000C5B4F" w:rsidP="000C5B4F">
      <w:pPr>
        <w:pStyle w:val="Corpsdetexte"/>
        <w:spacing w:line="300" w:lineRule="exact"/>
        <w:rPr>
          <w:rFonts w:eastAsia="Calibri"/>
          <w:lang w:eastAsia="en-US"/>
        </w:rPr>
      </w:pPr>
    </w:p>
    <w:p w:rsidR="000C5B4F" w:rsidRDefault="000C5B4F" w:rsidP="000C5B4F">
      <w:pPr>
        <w:pStyle w:val="Corpsdetexte"/>
        <w:spacing w:line="300" w:lineRule="exact"/>
        <w:rPr>
          <w:color w:val="000000"/>
        </w:rPr>
      </w:pPr>
      <w:r w:rsidRPr="001A01AE">
        <w:rPr>
          <w:rFonts w:eastAsia="Calibri"/>
          <w:lang w:eastAsia="en-US"/>
        </w:rPr>
        <w:t xml:space="preserve">L’indisponibilité d’intrants sur le marché national, notamment en matières premières, </w:t>
      </w:r>
      <w:r>
        <w:rPr>
          <w:rFonts w:eastAsia="Calibri"/>
          <w:lang w:eastAsia="en-US"/>
        </w:rPr>
        <w:t>continue d’impacter</w:t>
      </w:r>
      <w:r w:rsidRPr="001A01AE">
        <w:rPr>
          <w:rFonts w:eastAsia="Calibri"/>
          <w:lang w:eastAsia="en-US"/>
        </w:rPr>
        <w:t xml:space="preserve"> l’évolution de l’offre exportable </w:t>
      </w:r>
      <w:r>
        <w:rPr>
          <w:rFonts w:eastAsia="Calibri"/>
          <w:lang w:eastAsia="en-US"/>
        </w:rPr>
        <w:t xml:space="preserve">nationale </w:t>
      </w:r>
      <w:r w:rsidRPr="001A01AE">
        <w:rPr>
          <w:rFonts w:eastAsia="Calibri"/>
          <w:lang w:eastAsia="en-US"/>
        </w:rPr>
        <w:t xml:space="preserve">à plus forte valeur ajoutée et </w:t>
      </w:r>
      <w:r>
        <w:rPr>
          <w:rFonts w:eastAsia="Calibri"/>
          <w:lang w:eastAsia="en-US"/>
        </w:rPr>
        <w:t>d’</w:t>
      </w:r>
      <w:r w:rsidRPr="001A01AE">
        <w:rPr>
          <w:rFonts w:eastAsia="Calibri"/>
          <w:lang w:eastAsia="en-US"/>
        </w:rPr>
        <w:t>a</w:t>
      </w:r>
      <w:r>
        <w:rPr>
          <w:rFonts w:eastAsia="Calibri"/>
          <w:lang w:eastAsia="en-US"/>
        </w:rPr>
        <w:t>ffecter</w:t>
      </w:r>
      <w:r w:rsidRPr="001A01AE">
        <w:rPr>
          <w:rFonts w:eastAsia="Calibri"/>
          <w:lang w:eastAsia="en-US"/>
        </w:rPr>
        <w:t xml:space="preserve"> les avantages comparatifs du Maroc en termes de coûts, de proximité et de délais.</w:t>
      </w:r>
      <w:r>
        <w:rPr>
          <w:color w:val="000000"/>
        </w:rPr>
        <w:t xml:space="preserve"> L</w:t>
      </w:r>
      <w:r w:rsidRPr="00176080">
        <w:rPr>
          <w:color w:val="000000"/>
        </w:rPr>
        <w:t>e taux d’intégration du tissu industriel marocain a atteint</w:t>
      </w:r>
      <w:r>
        <w:rPr>
          <w:color w:val="000000"/>
        </w:rPr>
        <w:t>, en moyenne,</w:t>
      </w:r>
      <w:r w:rsidRPr="00176080">
        <w:rPr>
          <w:color w:val="000000"/>
        </w:rPr>
        <w:t xml:space="preserve"> 65% en 2014.</w:t>
      </w:r>
      <w:r>
        <w:rPr>
          <w:color w:val="000000"/>
        </w:rPr>
        <w:t xml:space="preserve"> Ce taux a été relativement faible </w:t>
      </w:r>
      <w:r w:rsidRPr="00176080">
        <w:rPr>
          <w:color w:val="000000"/>
        </w:rPr>
        <w:t>dans l’industrie automobile (33%) et la fabrication d'équipements électriques (37%)</w:t>
      </w:r>
      <w:r>
        <w:rPr>
          <w:color w:val="000000"/>
        </w:rPr>
        <w:t xml:space="preserve">, alors qu’il a atteint </w:t>
      </w:r>
      <w:r w:rsidRPr="00176080">
        <w:rPr>
          <w:color w:val="000000"/>
        </w:rPr>
        <w:t>86%</w:t>
      </w:r>
      <w:r>
        <w:rPr>
          <w:color w:val="000000"/>
        </w:rPr>
        <w:t xml:space="preserve"> dans</w:t>
      </w:r>
      <w:r w:rsidRPr="00176080">
        <w:rPr>
          <w:color w:val="000000"/>
        </w:rPr>
        <w:t xml:space="preserve"> les industries agroalimentaires et 69%</w:t>
      </w:r>
      <w:r>
        <w:rPr>
          <w:color w:val="000000"/>
        </w:rPr>
        <w:t xml:space="preserve"> dans </w:t>
      </w:r>
      <w:r w:rsidRPr="00176080">
        <w:rPr>
          <w:color w:val="000000"/>
        </w:rPr>
        <w:t>le textile et cuir</w:t>
      </w:r>
      <w:r>
        <w:rPr>
          <w:color w:val="000000"/>
        </w:rPr>
        <w:t>.</w:t>
      </w:r>
    </w:p>
    <w:p w:rsidR="000C5B4F" w:rsidRPr="001A01AE" w:rsidRDefault="000C5B4F" w:rsidP="000C5B4F">
      <w:pPr>
        <w:pStyle w:val="Corpsdetexte"/>
        <w:spacing w:line="300" w:lineRule="exact"/>
        <w:rPr>
          <w:rFonts w:eastAsia="Calibri"/>
          <w:lang w:eastAsia="en-US"/>
        </w:rPr>
      </w:pPr>
    </w:p>
    <w:p w:rsidR="00F9384B" w:rsidRDefault="00F9384B" w:rsidP="0032191A">
      <w:pPr>
        <w:pStyle w:val="NormalWeb"/>
        <w:spacing w:before="0" w:beforeAutospacing="0" w:after="0" w:afterAutospacing="0"/>
        <w:jc w:val="center"/>
        <w:rPr>
          <w:b/>
          <w:bCs/>
          <w:sz w:val="14"/>
          <w:szCs w:val="14"/>
        </w:rPr>
      </w:pPr>
    </w:p>
    <w:sectPr w:rsidR="00F9384B" w:rsidSect="007766F6">
      <w:footerReference w:type="even" r:id="rId23"/>
      <w:footerReference w:type="default" r:id="rId24"/>
      <w:headerReference w:type="first" r:id="rId25"/>
      <w:footerReference w:type="first" r:id="rId26"/>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5CB" w:rsidRDefault="000345CB">
      <w:r>
        <w:separator/>
      </w:r>
    </w:p>
  </w:endnote>
  <w:endnote w:type="continuationSeparator" w:id="1">
    <w:p w:rsidR="000345CB" w:rsidRDefault="00034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B10AA0"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B10AA0"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CE72A1">
      <w:rPr>
        <w:rStyle w:val="Numrodepage"/>
        <w:noProof/>
        <w:sz w:val="20"/>
        <w:szCs w:val="20"/>
      </w:rPr>
      <w:t>6</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CE72A1">
      <w:rPr>
        <w:rStyle w:val="Numrodepage"/>
        <w:noProof/>
        <w:sz w:val="20"/>
        <w:szCs w:val="20"/>
      </w:rPr>
      <w:t>9</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B10AA0">
    <w:pPr>
      <w:pStyle w:val="Pieddepage"/>
    </w:pPr>
    <w:r>
      <w:rPr>
        <w:noProof/>
      </w:rPr>
      <w:pict>
        <v:shapetype id="_x0000_t202" coordsize="21600,21600" o:spt="202" path="m,l,21600r21600,l21600,xe">
          <v:stroke joinstyle="miter"/>
          <v:path gradientshapeok="t" o:connecttype="rect"/>
        </v:shapetype>
        <v:shape id="_x0000_s2053" type="#_x0000_t202" style="position:absolute;margin-left:6pt;margin-top:-14.7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0" type="#_x0000_t202" style="position:absolute;margin-left:215.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84.55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4" type="#_x0000_t202" style="position:absolute;margin-left:13.55pt;margin-top:2.5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297pt;margin-top:1.2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r>
      <w:rPr>
        <w:noProof/>
      </w:rPr>
      <w:pict>
        <v:shape id="_x0000_s2052" type="#_x0000_t202" style="position:absolute;margin-left:264.55pt;margin-top:-16.2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5CB" w:rsidRDefault="000345CB">
      <w:r>
        <w:separator/>
      </w:r>
    </w:p>
  </w:footnote>
  <w:footnote w:type="continuationSeparator" w:id="1">
    <w:p w:rsidR="000345CB" w:rsidRDefault="000345CB">
      <w:r>
        <w:continuationSeparator/>
      </w:r>
    </w:p>
  </w:footnote>
  <w:footnote w:id="2">
    <w:p w:rsidR="000C5B4F" w:rsidRPr="003F12B9" w:rsidRDefault="000C5B4F" w:rsidP="000C5B4F">
      <w:pPr>
        <w:pStyle w:val="Notedebasdepage"/>
        <w:rPr>
          <w:sz w:val="18"/>
          <w:szCs w:val="18"/>
        </w:rPr>
      </w:pPr>
      <w:r w:rsidRPr="003F12B9">
        <w:rPr>
          <w:rStyle w:val="Appelnotedebasdep"/>
          <w:sz w:val="18"/>
          <w:szCs w:val="18"/>
        </w:rPr>
        <w:footnoteRef/>
      </w:r>
      <w:r w:rsidRPr="003F12B9">
        <w:rPr>
          <w:sz w:val="18"/>
          <w:szCs w:val="18"/>
        </w:rPr>
        <w:t xml:space="preserve"> Avec un chiffre d’affaires ou des effectifs employés ne dépassant pas respectivement 3 millions de </w:t>
      </w:r>
      <w:r>
        <w:rPr>
          <w:sz w:val="18"/>
          <w:szCs w:val="18"/>
        </w:rPr>
        <w:t>DH</w:t>
      </w:r>
      <w:r w:rsidRPr="003F12B9">
        <w:rPr>
          <w:sz w:val="18"/>
          <w:szCs w:val="18"/>
        </w:rPr>
        <w:t xml:space="preserve"> et 10 personnes. Cette classification s’est basée sur la loi n° 53-00 formant la charte de la petite et moyenne entreprise, Dahir n° 1-02-188 du 12 joumada I 1423 (23 juillet 2002).</w:t>
      </w:r>
    </w:p>
  </w:footnote>
  <w:footnote w:id="3">
    <w:p w:rsidR="000C5B4F" w:rsidRPr="003F12B9" w:rsidRDefault="000C5B4F" w:rsidP="000C5B4F">
      <w:pPr>
        <w:pStyle w:val="Notedebasdepage"/>
        <w:rPr>
          <w:sz w:val="18"/>
          <w:szCs w:val="18"/>
        </w:rPr>
      </w:pPr>
      <w:r w:rsidRPr="003F12B9">
        <w:rPr>
          <w:rStyle w:val="Appelnotedebasdep"/>
          <w:sz w:val="18"/>
          <w:szCs w:val="18"/>
        </w:rPr>
        <w:footnoteRef/>
      </w:r>
      <w:r w:rsidRPr="003F12B9">
        <w:rPr>
          <w:sz w:val="18"/>
          <w:szCs w:val="18"/>
        </w:rPr>
        <w:t xml:space="preserve"> Avec un chiffre d’affaires ou des effectifs employés ne dépassant pas respectivement 10 millions de DH et 49 personnes.</w:t>
      </w:r>
    </w:p>
  </w:footnote>
  <w:footnote w:id="4">
    <w:p w:rsidR="000C5B4F" w:rsidRPr="003F12B9" w:rsidRDefault="000C5B4F" w:rsidP="000C5B4F">
      <w:pPr>
        <w:pStyle w:val="Notedebasdepage"/>
        <w:rPr>
          <w:sz w:val="18"/>
          <w:szCs w:val="18"/>
        </w:rPr>
      </w:pPr>
      <w:r w:rsidRPr="003F12B9">
        <w:rPr>
          <w:rStyle w:val="Appelnotedebasdep"/>
          <w:sz w:val="18"/>
          <w:szCs w:val="18"/>
        </w:rPr>
        <w:footnoteRef/>
      </w:r>
      <w:r w:rsidRPr="003F12B9">
        <w:rPr>
          <w:sz w:val="18"/>
          <w:szCs w:val="18"/>
        </w:rPr>
        <w:t xml:space="preserve"> Avec un chiffre d’affaires ou des effectifs employés ne dépassant pas respectivement 75 millions de DH et 199 personnes.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3C1"/>
    <w:multiLevelType w:val="hybridMultilevel"/>
    <w:tmpl w:val="00F4E0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54D12E52"/>
    <w:multiLevelType w:val="hybridMultilevel"/>
    <w:tmpl w:val="E6D87FF0"/>
    <w:lvl w:ilvl="0" w:tplc="8F5C3F26">
      <w:start w:val="150"/>
      <w:numFmt w:val="decimal"/>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4">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stylePaneFormatFilter w:val="3F01"/>
  <w:defaultTabStop w:val="708"/>
  <w:hyphenationZone w:val="425"/>
  <w:doNotHyphenateCaps/>
  <w:characterSpacingControl w:val="doNotCompress"/>
  <w:doNotValidateAgainstSchema/>
  <w:doNotDemarcateInvalidXml/>
  <w:hdrShapeDefaults>
    <o:shapedefaults v:ext="edit" spidmax="131074"/>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B3"/>
    <w:rsid w:val="00002878"/>
    <w:rsid w:val="00002CA4"/>
    <w:rsid w:val="00003123"/>
    <w:rsid w:val="00003781"/>
    <w:rsid w:val="000037BD"/>
    <w:rsid w:val="00003B57"/>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2C9"/>
    <w:rsid w:val="00016497"/>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BCF"/>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5CB"/>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314"/>
    <w:rsid w:val="00074401"/>
    <w:rsid w:val="00074FF0"/>
    <w:rsid w:val="000754E3"/>
    <w:rsid w:val="00075616"/>
    <w:rsid w:val="00075B34"/>
    <w:rsid w:val="00075F5C"/>
    <w:rsid w:val="000761A4"/>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5A"/>
    <w:rsid w:val="000832C9"/>
    <w:rsid w:val="0008339B"/>
    <w:rsid w:val="0008388A"/>
    <w:rsid w:val="000839B9"/>
    <w:rsid w:val="000842CE"/>
    <w:rsid w:val="000847F4"/>
    <w:rsid w:val="0008484E"/>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532"/>
    <w:rsid w:val="00091A3B"/>
    <w:rsid w:val="00091D36"/>
    <w:rsid w:val="000921CD"/>
    <w:rsid w:val="00092466"/>
    <w:rsid w:val="00092EFE"/>
    <w:rsid w:val="000931A9"/>
    <w:rsid w:val="000935C8"/>
    <w:rsid w:val="00093B91"/>
    <w:rsid w:val="00093F9E"/>
    <w:rsid w:val="00094694"/>
    <w:rsid w:val="00094710"/>
    <w:rsid w:val="0009560D"/>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589"/>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B4F"/>
    <w:rsid w:val="000C5C87"/>
    <w:rsid w:val="000C5E10"/>
    <w:rsid w:val="000C5E54"/>
    <w:rsid w:val="000C6BAB"/>
    <w:rsid w:val="000C6ED9"/>
    <w:rsid w:val="000C7682"/>
    <w:rsid w:val="000C76B5"/>
    <w:rsid w:val="000C7E13"/>
    <w:rsid w:val="000D0202"/>
    <w:rsid w:val="000D03A1"/>
    <w:rsid w:val="000D04BB"/>
    <w:rsid w:val="000D0544"/>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304"/>
    <w:rsid w:val="000D75CE"/>
    <w:rsid w:val="000D7ACC"/>
    <w:rsid w:val="000D7B58"/>
    <w:rsid w:val="000D7B8B"/>
    <w:rsid w:val="000D7D65"/>
    <w:rsid w:val="000D7F7C"/>
    <w:rsid w:val="000E05BC"/>
    <w:rsid w:val="000E0614"/>
    <w:rsid w:val="000E1618"/>
    <w:rsid w:val="000E1C51"/>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1592"/>
    <w:rsid w:val="00141788"/>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7956"/>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73"/>
    <w:rsid w:val="0018601D"/>
    <w:rsid w:val="00186D74"/>
    <w:rsid w:val="00186DD8"/>
    <w:rsid w:val="00186E82"/>
    <w:rsid w:val="001873B4"/>
    <w:rsid w:val="00187BC3"/>
    <w:rsid w:val="00190068"/>
    <w:rsid w:val="00190FF5"/>
    <w:rsid w:val="0019122F"/>
    <w:rsid w:val="0019172A"/>
    <w:rsid w:val="00191FD1"/>
    <w:rsid w:val="00192295"/>
    <w:rsid w:val="00193188"/>
    <w:rsid w:val="00193485"/>
    <w:rsid w:val="0019380C"/>
    <w:rsid w:val="00193D92"/>
    <w:rsid w:val="00194390"/>
    <w:rsid w:val="00194927"/>
    <w:rsid w:val="00194B01"/>
    <w:rsid w:val="00194FAC"/>
    <w:rsid w:val="00195392"/>
    <w:rsid w:val="0019592D"/>
    <w:rsid w:val="00196310"/>
    <w:rsid w:val="001969FA"/>
    <w:rsid w:val="00196CF2"/>
    <w:rsid w:val="00196FED"/>
    <w:rsid w:val="0019727D"/>
    <w:rsid w:val="001A037A"/>
    <w:rsid w:val="001A0449"/>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17E"/>
    <w:rsid w:val="001C1435"/>
    <w:rsid w:val="001C1CF4"/>
    <w:rsid w:val="001C1EDB"/>
    <w:rsid w:val="001C1F61"/>
    <w:rsid w:val="001C2196"/>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BB6"/>
    <w:rsid w:val="00212491"/>
    <w:rsid w:val="00213134"/>
    <w:rsid w:val="00213925"/>
    <w:rsid w:val="002139B6"/>
    <w:rsid w:val="00213B90"/>
    <w:rsid w:val="00214B72"/>
    <w:rsid w:val="00214F78"/>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3311"/>
    <w:rsid w:val="00223464"/>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6009"/>
    <w:rsid w:val="00236272"/>
    <w:rsid w:val="0023650B"/>
    <w:rsid w:val="00236DF3"/>
    <w:rsid w:val="00237269"/>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6BCA"/>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2739"/>
    <w:rsid w:val="0027292B"/>
    <w:rsid w:val="002729D6"/>
    <w:rsid w:val="00272BD9"/>
    <w:rsid w:val="00272D15"/>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97C"/>
    <w:rsid w:val="002A2ECE"/>
    <w:rsid w:val="002A30E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836"/>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0D2"/>
    <w:rsid w:val="002F5AAD"/>
    <w:rsid w:val="002F5BAF"/>
    <w:rsid w:val="002F5CEF"/>
    <w:rsid w:val="002F628D"/>
    <w:rsid w:val="002F63FB"/>
    <w:rsid w:val="002F64F6"/>
    <w:rsid w:val="002F667B"/>
    <w:rsid w:val="002F6773"/>
    <w:rsid w:val="002F6A92"/>
    <w:rsid w:val="002F7AE9"/>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10B5"/>
    <w:rsid w:val="0032191A"/>
    <w:rsid w:val="00321E42"/>
    <w:rsid w:val="003227A2"/>
    <w:rsid w:val="00322AF4"/>
    <w:rsid w:val="0032376B"/>
    <w:rsid w:val="00323A39"/>
    <w:rsid w:val="00323CF1"/>
    <w:rsid w:val="00323F5F"/>
    <w:rsid w:val="0032434D"/>
    <w:rsid w:val="003243B5"/>
    <w:rsid w:val="003244DB"/>
    <w:rsid w:val="00324633"/>
    <w:rsid w:val="003249E4"/>
    <w:rsid w:val="003258E3"/>
    <w:rsid w:val="003259FA"/>
    <w:rsid w:val="00326623"/>
    <w:rsid w:val="00326824"/>
    <w:rsid w:val="0032687F"/>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228"/>
    <w:rsid w:val="003439DB"/>
    <w:rsid w:val="0034430A"/>
    <w:rsid w:val="003446D7"/>
    <w:rsid w:val="003449BA"/>
    <w:rsid w:val="00344A6C"/>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46E"/>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44F"/>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595A"/>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864"/>
    <w:rsid w:val="003A2B7E"/>
    <w:rsid w:val="003A2B8C"/>
    <w:rsid w:val="003A38B6"/>
    <w:rsid w:val="003A3B82"/>
    <w:rsid w:val="003A4060"/>
    <w:rsid w:val="003A419F"/>
    <w:rsid w:val="003A472F"/>
    <w:rsid w:val="003A4B7C"/>
    <w:rsid w:val="003A50C7"/>
    <w:rsid w:val="003A562F"/>
    <w:rsid w:val="003A58B5"/>
    <w:rsid w:val="003A58E2"/>
    <w:rsid w:val="003A5CB2"/>
    <w:rsid w:val="003A5D55"/>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9D6"/>
    <w:rsid w:val="003B4E31"/>
    <w:rsid w:val="003B5195"/>
    <w:rsid w:val="003B52CD"/>
    <w:rsid w:val="003B5812"/>
    <w:rsid w:val="003B5CE3"/>
    <w:rsid w:val="003B62DE"/>
    <w:rsid w:val="003B6792"/>
    <w:rsid w:val="003B69CD"/>
    <w:rsid w:val="003B6D25"/>
    <w:rsid w:val="003B7047"/>
    <w:rsid w:val="003B7158"/>
    <w:rsid w:val="003B7250"/>
    <w:rsid w:val="003B755E"/>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7D"/>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2F5F"/>
    <w:rsid w:val="00433CBE"/>
    <w:rsid w:val="00433D4E"/>
    <w:rsid w:val="00433EE1"/>
    <w:rsid w:val="004342E2"/>
    <w:rsid w:val="004346C0"/>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4B"/>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6F4"/>
    <w:rsid w:val="00531793"/>
    <w:rsid w:val="0053190B"/>
    <w:rsid w:val="00531DB5"/>
    <w:rsid w:val="005322FC"/>
    <w:rsid w:val="0053266A"/>
    <w:rsid w:val="0053288F"/>
    <w:rsid w:val="00532F80"/>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CCD"/>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C5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5E93"/>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933"/>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10072"/>
    <w:rsid w:val="00610ADF"/>
    <w:rsid w:val="00610C29"/>
    <w:rsid w:val="00610FD1"/>
    <w:rsid w:val="006113B3"/>
    <w:rsid w:val="0061186B"/>
    <w:rsid w:val="006118F0"/>
    <w:rsid w:val="00611B94"/>
    <w:rsid w:val="00611CEE"/>
    <w:rsid w:val="00612159"/>
    <w:rsid w:val="006128F8"/>
    <w:rsid w:val="00612A25"/>
    <w:rsid w:val="006133BE"/>
    <w:rsid w:val="00613644"/>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04"/>
    <w:rsid w:val="0062207D"/>
    <w:rsid w:val="0062236C"/>
    <w:rsid w:val="00622495"/>
    <w:rsid w:val="0062262A"/>
    <w:rsid w:val="00622DF5"/>
    <w:rsid w:val="006235E5"/>
    <w:rsid w:val="00623932"/>
    <w:rsid w:val="00623CA4"/>
    <w:rsid w:val="0062406F"/>
    <w:rsid w:val="0062482E"/>
    <w:rsid w:val="00625471"/>
    <w:rsid w:val="00625844"/>
    <w:rsid w:val="00625882"/>
    <w:rsid w:val="00625B69"/>
    <w:rsid w:val="00626368"/>
    <w:rsid w:val="006265D1"/>
    <w:rsid w:val="006266CD"/>
    <w:rsid w:val="006269C2"/>
    <w:rsid w:val="00627AB1"/>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4FE2"/>
    <w:rsid w:val="00635566"/>
    <w:rsid w:val="00635AEC"/>
    <w:rsid w:val="006362FD"/>
    <w:rsid w:val="006363A0"/>
    <w:rsid w:val="00636F25"/>
    <w:rsid w:val="0063762D"/>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A75B6"/>
    <w:rsid w:val="006B0175"/>
    <w:rsid w:val="006B0420"/>
    <w:rsid w:val="006B04A7"/>
    <w:rsid w:val="006B204C"/>
    <w:rsid w:val="006B2238"/>
    <w:rsid w:val="006B2AEC"/>
    <w:rsid w:val="006B395B"/>
    <w:rsid w:val="006B3B74"/>
    <w:rsid w:val="006B48EB"/>
    <w:rsid w:val="006B4BB6"/>
    <w:rsid w:val="006B5887"/>
    <w:rsid w:val="006B5F68"/>
    <w:rsid w:val="006B6332"/>
    <w:rsid w:val="006B635D"/>
    <w:rsid w:val="006B6786"/>
    <w:rsid w:val="006B6844"/>
    <w:rsid w:val="006B6DAD"/>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20"/>
    <w:rsid w:val="006C3FF5"/>
    <w:rsid w:val="006C4458"/>
    <w:rsid w:val="006C458E"/>
    <w:rsid w:val="006C48D4"/>
    <w:rsid w:val="006C4D6D"/>
    <w:rsid w:val="006C5037"/>
    <w:rsid w:val="006C5241"/>
    <w:rsid w:val="006C6113"/>
    <w:rsid w:val="006C6900"/>
    <w:rsid w:val="006C6EF7"/>
    <w:rsid w:val="006C7193"/>
    <w:rsid w:val="006C7993"/>
    <w:rsid w:val="006C7D68"/>
    <w:rsid w:val="006D01DE"/>
    <w:rsid w:val="006D0575"/>
    <w:rsid w:val="006D0727"/>
    <w:rsid w:val="006D0A89"/>
    <w:rsid w:val="006D0B63"/>
    <w:rsid w:val="006D0B99"/>
    <w:rsid w:val="006D173B"/>
    <w:rsid w:val="006D1C0C"/>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2EE"/>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D8C"/>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6C9"/>
    <w:rsid w:val="00703836"/>
    <w:rsid w:val="00703C35"/>
    <w:rsid w:val="00703D37"/>
    <w:rsid w:val="0070427B"/>
    <w:rsid w:val="007042FA"/>
    <w:rsid w:val="007055A7"/>
    <w:rsid w:val="007056F2"/>
    <w:rsid w:val="00705B00"/>
    <w:rsid w:val="00705B44"/>
    <w:rsid w:val="007060C1"/>
    <w:rsid w:val="007066F4"/>
    <w:rsid w:val="00706A61"/>
    <w:rsid w:val="007072B8"/>
    <w:rsid w:val="007100FB"/>
    <w:rsid w:val="007103A1"/>
    <w:rsid w:val="007108E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9BA"/>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23E"/>
    <w:rsid w:val="007273F0"/>
    <w:rsid w:val="007275C3"/>
    <w:rsid w:val="0072766A"/>
    <w:rsid w:val="007276E7"/>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80F"/>
    <w:rsid w:val="00776F25"/>
    <w:rsid w:val="00776F26"/>
    <w:rsid w:val="007775DC"/>
    <w:rsid w:val="00777CDD"/>
    <w:rsid w:val="00777FA8"/>
    <w:rsid w:val="00780199"/>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380"/>
    <w:rsid w:val="007C659C"/>
    <w:rsid w:val="007C6A02"/>
    <w:rsid w:val="007C6B83"/>
    <w:rsid w:val="007C6C82"/>
    <w:rsid w:val="007C72E4"/>
    <w:rsid w:val="007C78C8"/>
    <w:rsid w:val="007D0401"/>
    <w:rsid w:val="007D064B"/>
    <w:rsid w:val="007D20BA"/>
    <w:rsid w:val="007D292B"/>
    <w:rsid w:val="007D295D"/>
    <w:rsid w:val="007D2B6B"/>
    <w:rsid w:val="007D3310"/>
    <w:rsid w:val="007D39E9"/>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4E68"/>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531B"/>
    <w:rsid w:val="00835853"/>
    <w:rsid w:val="008359E9"/>
    <w:rsid w:val="00835B52"/>
    <w:rsid w:val="00835DAE"/>
    <w:rsid w:val="0083660E"/>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054E"/>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F45"/>
    <w:rsid w:val="008572C1"/>
    <w:rsid w:val="00857C77"/>
    <w:rsid w:val="00857E5F"/>
    <w:rsid w:val="00857F55"/>
    <w:rsid w:val="008604F7"/>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5CB"/>
    <w:rsid w:val="0089178E"/>
    <w:rsid w:val="00891B62"/>
    <w:rsid w:val="008922FD"/>
    <w:rsid w:val="00892B2B"/>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2E"/>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7379"/>
    <w:rsid w:val="008E7660"/>
    <w:rsid w:val="008E79C3"/>
    <w:rsid w:val="008E79F1"/>
    <w:rsid w:val="008F04B1"/>
    <w:rsid w:val="008F0528"/>
    <w:rsid w:val="008F0775"/>
    <w:rsid w:val="008F097F"/>
    <w:rsid w:val="008F194A"/>
    <w:rsid w:val="008F2136"/>
    <w:rsid w:val="008F2340"/>
    <w:rsid w:val="008F2557"/>
    <w:rsid w:val="008F2C20"/>
    <w:rsid w:val="008F2E21"/>
    <w:rsid w:val="008F3700"/>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BC1"/>
    <w:rsid w:val="00931126"/>
    <w:rsid w:val="009317A2"/>
    <w:rsid w:val="00931B33"/>
    <w:rsid w:val="00931C97"/>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AB"/>
    <w:rsid w:val="009367A5"/>
    <w:rsid w:val="0093719F"/>
    <w:rsid w:val="00937937"/>
    <w:rsid w:val="00937BE7"/>
    <w:rsid w:val="00937E8B"/>
    <w:rsid w:val="009400C7"/>
    <w:rsid w:val="009409F7"/>
    <w:rsid w:val="00940E3E"/>
    <w:rsid w:val="00940FFD"/>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B79"/>
    <w:rsid w:val="0097500A"/>
    <w:rsid w:val="009750B7"/>
    <w:rsid w:val="0097514D"/>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A22"/>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51"/>
    <w:rsid w:val="009B1263"/>
    <w:rsid w:val="009B1B97"/>
    <w:rsid w:val="009B1C97"/>
    <w:rsid w:val="009B1EBA"/>
    <w:rsid w:val="009B2251"/>
    <w:rsid w:val="009B2288"/>
    <w:rsid w:val="009B24B8"/>
    <w:rsid w:val="009B2679"/>
    <w:rsid w:val="009B27D8"/>
    <w:rsid w:val="009B29DB"/>
    <w:rsid w:val="009B2B2B"/>
    <w:rsid w:val="009B2F6F"/>
    <w:rsid w:val="009B31DA"/>
    <w:rsid w:val="009B3A65"/>
    <w:rsid w:val="009B4A8E"/>
    <w:rsid w:val="009B4DB9"/>
    <w:rsid w:val="009B4E1C"/>
    <w:rsid w:val="009B4F85"/>
    <w:rsid w:val="009B5040"/>
    <w:rsid w:val="009B53FB"/>
    <w:rsid w:val="009B58D5"/>
    <w:rsid w:val="009B5A36"/>
    <w:rsid w:val="009B5D16"/>
    <w:rsid w:val="009B5E94"/>
    <w:rsid w:val="009B620E"/>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479"/>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788"/>
    <w:rsid w:val="00A4709A"/>
    <w:rsid w:val="00A504D3"/>
    <w:rsid w:val="00A505C4"/>
    <w:rsid w:val="00A51597"/>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59"/>
    <w:rsid w:val="00A62DD4"/>
    <w:rsid w:val="00A62EAF"/>
    <w:rsid w:val="00A62F6B"/>
    <w:rsid w:val="00A63F50"/>
    <w:rsid w:val="00A643DA"/>
    <w:rsid w:val="00A64C36"/>
    <w:rsid w:val="00A6522F"/>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6FAA"/>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6D41"/>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7306"/>
    <w:rsid w:val="00AC7ADA"/>
    <w:rsid w:val="00AD04A7"/>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483F"/>
    <w:rsid w:val="00AE525F"/>
    <w:rsid w:val="00AE5670"/>
    <w:rsid w:val="00AE5C67"/>
    <w:rsid w:val="00AE5D87"/>
    <w:rsid w:val="00AE61E0"/>
    <w:rsid w:val="00AE6F67"/>
    <w:rsid w:val="00AE7DCF"/>
    <w:rsid w:val="00AF01A8"/>
    <w:rsid w:val="00AF04BB"/>
    <w:rsid w:val="00AF05F1"/>
    <w:rsid w:val="00AF088A"/>
    <w:rsid w:val="00AF0F47"/>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A0"/>
    <w:rsid w:val="00B10E05"/>
    <w:rsid w:val="00B115F5"/>
    <w:rsid w:val="00B11DB3"/>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F0C"/>
    <w:rsid w:val="00B42FAE"/>
    <w:rsid w:val="00B43C5F"/>
    <w:rsid w:val="00B43FE2"/>
    <w:rsid w:val="00B44036"/>
    <w:rsid w:val="00B4407D"/>
    <w:rsid w:val="00B4429C"/>
    <w:rsid w:val="00B44501"/>
    <w:rsid w:val="00B4473D"/>
    <w:rsid w:val="00B448D0"/>
    <w:rsid w:val="00B453CF"/>
    <w:rsid w:val="00B4570C"/>
    <w:rsid w:val="00B4583D"/>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920"/>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783"/>
    <w:rsid w:val="00BB17F8"/>
    <w:rsid w:val="00BB20EE"/>
    <w:rsid w:val="00BB2551"/>
    <w:rsid w:val="00BB27CA"/>
    <w:rsid w:val="00BB2BCF"/>
    <w:rsid w:val="00BB3AB1"/>
    <w:rsid w:val="00BB3C89"/>
    <w:rsid w:val="00BB4602"/>
    <w:rsid w:val="00BB4980"/>
    <w:rsid w:val="00BB4AAB"/>
    <w:rsid w:val="00BB5B2B"/>
    <w:rsid w:val="00BB5E91"/>
    <w:rsid w:val="00BB5EB6"/>
    <w:rsid w:val="00BB682A"/>
    <w:rsid w:val="00BB6F89"/>
    <w:rsid w:val="00BB725A"/>
    <w:rsid w:val="00BB7832"/>
    <w:rsid w:val="00BC0350"/>
    <w:rsid w:val="00BC0430"/>
    <w:rsid w:val="00BC10C2"/>
    <w:rsid w:val="00BC1A3B"/>
    <w:rsid w:val="00BC2B0F"/>
    <w:rsid w:val="00BC2D38"/>
    <w:rsid w:val="00BC2E39"/>
    <w:rsid w:val="00BC2EE7"/>
    <w:rsid w:val="00BC30C1"/>
    <w:rsid w:val="00BC30ED"/>
    <w:rsid w:val="00BC32BD"/>
    <w:rsid w:val="00BC3304"/>
    <w:rsid w:val="00BC372D"/>
    <w:rsid w:val="00BC3BC9"/>
    <w:rsid w:val="00BC3CBE"/>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1BDB"/>
    <w:rsid w:val="00BD2022"/>
    <w:rsid w:val="00BD25EA"/>
    <w:rsid w:val="00BD2D56"/>
    <w:rsid w:val="00BD2FA7"/>
    <w:rsid w:val="00BD2FE9"/>
    <w:rsid w:val="00BD3028"/>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D7E40"/>
    <w:rsid w:val="00BE0534"/>
    <w:rsid w:val="00BE0DAA"/>
    <w:rsid w:val="00BE12C8"/>
    <w:rsid w:val="00BE1B2C"/>
    <w:rsid w:val="00BE1B5A"/>
    <w:rsid w:val="00BE1C12"/>
    <w:rsid w:val="00BE218B"/>
    <w:rsid w:val="00BE275B"/>
    <w:rsid w:val="00BE289F"/>
    <w:rsid w:val="00BE29E3"/>
    <w:rsid w:val="00BE379E"/>
    <w:rsid w:val="00BE4908"/>
    <w:rsid w:val="00BE4CB0"/>
    <w:rsid w:val="00BE4DAF"/>
    <w:rsid w:val="00BE5301"/>
    <w:rsid w:val="00BE53D6"/>
    <w:rsid w:val="00BE5591"/>
    <w:rsid w:val="00BE57E5"/>
    <w:rsid w:val="00BE5941"/>
    <w:rsid w:val="00BE5EF9"/>
    <w:rsid w:val="00BE62D5"/>
    <w:rsid w:val="00BE748F"/>
    <w:rsid w:val="00BE7A15"/>
    <w:rsid w:val="00BE7A8A"/>
    <w:rsid w:val="00BE7E58"/>
    <w:rsid w:val="00BF001F"/>
    <w:rsid w:val="00BF00D5"/>
    <w:rsid w:val="00BF0173"/>
    <w:rsid w:val="00BF0587"/>
    <w:rsid w:val="00BF05A2"/>
    <w:rsid w:val="00BF17BA"/>
    <w:rsid w:val="00BF17D3"/>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A3F"/>
    <w:rsid w:val="00BF758A"/>
    <w:rsid w:val="00BF7B43"/>
    <w:rsid w:val="00C005F2"/>
    <w:rsid w:val="00C008F0"/>
    <w:rsid w:val="00C00F89"/>
    <w:rsid w:val="00C013B5"/>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89E"/>
    <w:rsid w:val="00C11A16"/>
    <w:rsid w:val="00C11B3A"/>
    <w:rsid w:val="00C12274"/>
    <w:rsid w:val="00C12433"/>
    <w:rsid w:val="00C1280E"/>
    <w:rsid w:val="00C13462"/>
    <w:rsid w:val="00C1350F"/>
    <w:rsid w:val="00C13951"/>
    <w:rsid w:val="00C13992"/>
    <w:rsid w:val="00C13BF6"/>
    <w:rsid w:val="00C13C1D"/>
    <w:rsid w:val="00C1406E"/>
    <w:rsid w:val="00C141A1"/>
    <w:rsid w:val="00C14226"/>
    <w:rsid w:val="00C147DD"/>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5E9"/>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32AD"/>
    <w:rsid w:val="00CA344A"/>
    <w:rsid w:val="00CA3520"/>
    <w:rsid w:val="00CA377E"/>
    <w:rsid w:val="00CA3CC8"/>
    <w:rsid w:val="00CA46B4"/>
    <w:rsid w:val="00CA4DA3"/>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193"/>
    <w:rsid w:val="00CB1717"/>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2A1"/>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941"/>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3E8B"/>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65"/>
    <w:rsid w:val="00D23C7F"/>
    <w:rsid w:val="00D24829"/>
    <w:rsid w:val="00D24853"/>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0F05"/>
    <w:rsid w:val="00D51838"/>
    <w:rsid w:val="00D52072"/>
    <w:rsid w:val="00D52347"/>
    <w:rsid w:val="00D52A14"/>
    <w:rsid w:val="00D52E93"/>
    <w:rsid w:val="00D53167"/>
    <w:rsid w:val="00D539BE"/>
    <w:rsid w:val="00D53B2A"/>
    <w:rsid w:val="00D53BD6"/>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2D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692E"/>
    <w:rsid w:val="00E1711E"/>
    <w:rsid w:val="00E17499"/>
    <w:rsid w:val="00E204CC"/>
    <w:rsid w:val="00E21660"/>
    <w:rsid w:val="00E21AFF"/>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1C37"/>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8D0"/>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2CC8"/>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1ABC"/>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EF7AC1"/>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59"/>
    <w:rsid w:val="00F771FC"/>
    <w:rsid w:val="00F7736C"/>
    <w:rsid w:val="00F7755C"/>
    <w:rsid w:val="00F778DA"/>
    <w:rsid w:val="00F77AD4"/>
    <w:rsid w:val="00F80027"/>
    <w:rsid w:val="00F80069"/>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83B"/>
    <w:rsid w:val="00F86E17"/>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4F73"/>
    <w:rsid w:val="00FA57D0"/>
    <w:rsid w:val="00FA5E02"/>
    <w:rsid w:val="00FA5E4D"/>
    <w:rsid w:val="00FA6473"/>
    <w:rsid w:val="00FA6A37"/>
    <w:rsid w:val="00FA6AFC"/>
    <w:rsid w:val="00FA7019"/>
    <w:rsid w:val="00FA71D6"/>
    <w:rsid w:val="00FA7BC3"/>
    <w:rsid w:val="00FB00B3"/>
    <w:rsid w:val="00FB15D1"/>
    <w:rsid w:val="00FB18F5"/>
    <w:rsid w:val="00FB217F"/>
    <w:rsid w:val="00FB243B"/>
    <w:rsid w:val="00FB2470"/>
    <w:rsid w:val="00FB270C"/>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5A9A"/>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1D3"/>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 w:type="paragraph" w:styleId="Retraitcorpsdetexte2">
    <w:name w:val="Body Text Indent 2"/>
    <w:basedOn w:val="Normal"/>
    <w:link w:val="Retraitcorpsdetexte2Car"/>
    <w:uiPriority w:val="99"/>
    <w:semiHidden/>
    <w:unhideWhenUsed/>
    <w:rsid w:val="000C5B4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C5B4F"/>
    <w:rPr>
      <w:sz w:val="24"/>
      <w:szCs w:val="24"/>
    </w:rPr>
  </w:style>
  <w:style w:type="paragraph" w:styleId="Paragraphedeliste">
    <w:name w:val="List Paragraph"/>
    <w:basedOn w:val="Normal"/>
    <w:uiPriority w:val="34"/>
    <w:qFormat/>
    <w:rsid w:val="000C5B4F"/>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6.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fr.wikipedia.org/wiki/Chimie"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fr.wikipedia.org/wiki/Cu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fr.wikipedia.org/wiki/Textil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fr.wikipedia.org/wiki/Parachimi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H:\000ENSE\INDUSTRIE\Tabulation\Fchiers_Tab_Ind_Transf\group\industrie_capital.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000ENSE\INDUSTRIE\Tabulation\Fchiers_Tab_Ind_Transf\group\financem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000ENSE\INDUSTRIE\Tabulation\Fchiers_Tab_Ind_Transf\group\financ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1" i="0">
                <a:latin typeface="Baskerville Old Face" panose="02020602080505020303" pitchFamily="18" charset="0"/>
              </a:rPr>
              <a:t>Principaux indicateurs des EAPE</a:t>
            </a:r>
          </a:p>
        </c:rich>
      </c:tx>
      <c:spPr>
        <a:noFill/>
        <a:ln>
          <a:noFill/>
        </a:ln>
        <a:effectLst/>
      </c:spPr>
    </c:title>
    <c:plotArea>
      <c:layout/>
      <c:barChart>
        <c:barDir val="bar"/>
        <c:grouping val="stacked"/>
        <c:ser>
          <c:idx val="0"/>
          <c:order val="0"/>
          <c:tx>
            <c:strRef>
              <c:f>secteur!$C$1</c:f>
              <c:strCache>
                <c:ptCount val="1"/>
                <c:pt idx="0">
                  <c:v>EM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effectLst>
              <a:outerShdw blurRad="57150" dist="19050" dir="5400000" algn="ctr" rotWithShape="0">
                <a:srgbClr val="000000">
                  <a:alpha val="63000"/>
                </a:srgbClr>
              </a:outerShdw>
            </a:effectLst>
          </c:spPr>
          <c:cat>
            <c:strRef>
              <c:f>secteur!$B$2:$B$7</c:f>
              <c:strCache>
                <c:ptCount val="6"/>
                <c:pt idx="0">
                  <c:v>Nombre d'unités</c:v>
                </c:pt>
                <c:pt idx="1">
                  <c:v>Chiffres d'affaires</c:v>
                </c:pt>
                <c:pt idx="2">
                  <c:v>Chiffres d'affaires à l'export</c:v>
                </c:pt>
                <c:pt idx="3">
                  <c:v>Valeur Ajoutée</c:v>
                </c:pt>
                <c:pt idx="4">
                  <c:v>Investissement</c:v>
                </c:pt>
                <c:pt idx="5">
                  <c:v>Emploi total</c:v>
                </c:pt>
              </c:strCache>
            </c:strRef>
          </c:cat>
          <c:val>
            <c:numRef>
              <c:f>secteur!$C$2:$C$7</c:f>
              <c:numCache>
                <c:formatCode>###0%</c:formatCode>
                <c:ptCount val="6"/>
                <c:pt idx="0">
                  <c:v>0.91128040227128582</c:v>
                </c:pt>
                <c:pt idx="1">
                  <c:v>0.62705940728741971</c:v>
                </c:pt>
                <c:pt idx="2">
                  <c:v>0.54260947628436873</c:v>
                </c:pt>
                <c:pt idx="3">
                  <c:v>0.71844355276461769</c:v>
                </c:pt>
                <c:pt idx="4">
                  <c:v>0.72910973264834622</c:v>
                </c:pt>
                <c:pt idx="5">
                  <c:v>0.69521180391797488</c:v>
                </c:pt>
              </c:numCache>
            </c:numRef>
          </c:val>
        </c:ser>
        <c:ser>
          <c:idx val="1"/>
          <c:order val="1"/>
          <c:tx>
            <c:strRef>
              <c:f>secteur!$D$1</c:f>
              <c:strCache>
                <c:ptCount val="1"/>
                <c:pt idx="0">
                  <c:v>EAPE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secteur!$B$2:$B$7</c:f>
              <c:strCache>
                <c:ptCount val="6"/>
                <c:pt idx="0">
                  <c:v>Nombre d'unités</c:v>
                </c:pt>
                <c:pt idx="1">
                  <c:v>Chiffres d'affaires</c:v>
                </c:pt>
                <c:pt idx="2">
                  <c:v>Chiffres d'affaires à l'export</c:v>
                </c:pt>
                <c:pt idx="3">
                  <c:v>Valeur Ajoutée</c:v>
                </c:pt>
                <c:pt idx="4">
                  <c:v>Investissement</c:v>
                </c:pt>
                <c:pt idx="5">
                  <c:v>Emploi total</c:v>
                </c:pt>
              </c:strCache>
            </c:strRef>
          </c:cat>
          <c:val>
            <c:numRef>
              <c:f>secteur!$D$2:$D$7</c:f>
              <c:numCache>
                <c:formatCode>###0%</c:formatCode>
                <c:ptCount val="6"/>
                <c:pt idx="0">
                  <c:v>8.8719597728714211E-2</c:v>
                </c:pt>
                <c:pt idx="1">
                  <c:v>0.37294059271258434</c:v>
                </c:pt>
                <c:pt idx="2">
                  <c:v>0.45739052371562988</c:v>
                </c:pt>
                <c:pt idx="3">
                  <c:v>0.28155644723538181</c:v>
                </c:pt>
                <c:pt idx="4">
                  <c:v>0.27089026735166266</c:v>
                </c:pt>
                <c:pt idx="5">
                  <c:v>0.30478819608202024</c:v>
                </c:pt>
              </c:numCache>
            </c:numRef>
          </c:val>
        </c:ser>
        <c:overlap val="100"/>
        <c:axId val="80264576"/>
        <c:axId val="80266368"/>
      </c:barChart>
      <c:catAx>
        <c:axId val="80264576"/>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0266368"/>
        <c:crosses val="autoZero"/>
        <c:auto val="1"/>
        <c:lblAlgn val="ctr"/>
        <c:lblOffset val="100"/>
      </c:catAx>
      <c:valAx>
        <c:axId val="80266368"/>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02645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solidFill>
        <a:schemeClr val="tx1"/>
      </a:solidFill>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view3D>
      <c:depthPercent val="100"/>
      <c:rAngAx val="1"/>
    </c:view3D>
    <c:plotArea>
      <c:layout>
        <c:manualLayout>
          <c:layoutTarget val="inner"/>
          <c:xMode val="edge"/>
          <c:yMode val="edge"/>
          <c:x val="0.16976127320954887"/>
          <c:y val="5.5045871559633114E-2"/>
          <c:w val="0.45888594164456453"/>
          <c:h val="0.65137614678899081"/>
        </c:manualLayout>
      </c:layout>
      <c:bar3DChart>
        <c:barDir val="col"/>
        <c:grouping val="percentStacked"/>
        <c:ser>
          <c:idx val="0"/>
          <c:order val="0"/>
          <c:tx>
            <c:strRef>
              <c:f>Feuil2!$B$10</c:f>
              <c:strCache>
                <c:ptCount val="1"/>
                <c:pt idx="0">
                  <c:v>Entreprises n'ayant pas exporté</c:v>
                </c:pt>
              </c:strCache>
            </c:strRef>
          </c:tx>
          <c:dLbls>
            <c:dLbl>
              <c:idx val="0"/>
              <c:layout>
                <c:manualLayout>
                  <c:x val="1.0619469026548679E-2"/>
                  <c:y val="-5.597899709175342E-17"/>
                </c:manualLayout>
              </c:layout>
              <c:showVal val="1"/>
            </c:dLbl>
            <c:dLbl>
              <c:idx val="1"/>
              <c:layout>
                <c:manualLayout>
                  <c:x val="1.0619469026548608E-2"/>
                  <c:y val="0"/>
                </c:manualLayout>
              </c:layout>
              <c:showVal val="1"/>
            </c:dLbl>
            <c:dLbl>
              <c:idx val="2"/>
              <c:layout>
                <c:manualLayout>
                  <c:x val="1.0619469026548608E-2"/>
                  <c:y val="-6.1068702290076925E-3"/>
                </c:manualLayout>
              </c:layout>
              <c:showVal val="1"/>
            </c:dLbl>
            <c:spPr>
              <a:noFill/>
              <a:ln w="25331">
                <a:noFill/>
              </a:ln>
            </c:spPr>
            <c:txPr>
              <a:bodyPr wrap="square" lIns="38100" tIns="19050" rIns="38100" bIns="19050" anchor="ctr">
                <a:spAutoFit/>
              </a:bodyPr>
              <a:lstStyle/>
              <a:p>
                <a:pPr>
                  <a:defRPr sz="897" b="0" i="0" u="none" strike="noStrike" baseline="0">
                    <a:solidFill>
                      <a:schemeClr val="bg1"/>
                    </a:solidFill>
                    <a:latin typeface="Calibri"/>
                    <a:ea typeface="Calibri"/>
                    <a:cs typeface="Calibri"/>
                  </a:defRPr>
                </a:pPr>
                <a:endParaRPr lang="fr-FR"/>
              </a:p>
            </c:txPr>
            <c:showVal val="1"/>
          </c:dLbls>
          <c:cat>
            <c:strRef>
              <c:f>Feuil2!$A$11:$A$13</c:f>
              <c:strCache>
                <c:ptCount val="3"/>
                <c:pt idx="0">
                  <c:v>Entreprises n'ayant pas investi</c:v>
                </c:pt>
                <c:pt idx="1">
                  <c:v>Entreprises ayant investi</c:v>
                </c:pt>
                <c:pt idx="2">
                  <c:v>Total</c:v>
                </c:pt>
              </c:strCache>
            </c:strRef>
          </c:cat>
          <c:val>
            <c:numRef>
              <c:f>Feuil2!$B$11:$B$13</c:f>
              <c:numCache>
                <c:formatCode>0%</c:formatCode>
                <c:ptCount val="3"/>
                <c:pt idx="0">
                  <c:v>0.90652070502638737</c:v>
                </c:pt>
                <c:pt idx="1">
                  <c:v>0.66747029766661836</c:v>
                </c:pt>
                <c:pt idx="2">
                  <c:v>0.7883163370884817</c:v>
                </c:pt>
              </c:numCache>
            </c:numRef>
          </c:val>
        </c:ser>
        <c:ser>
          <c:idx val="1"/>
          <c:order val="1"/>
          <c:tx>
            <c:strRef>
              <c:f>Feuil2!$C$10</c:f>
              <c:strCache>
                <c:ptCount val="1"/>
                <c:pt idx="0">
                  <c:v>Entreprises ayant exporté</c:v>
                </c:pt>
              </c:strCache>
            </c:strRef>
          </c:tx>
          <c:dLbls>
            <c:dLbl>
              <c:idx val="1"/>
              <c:layout>
                <c:manualLayout>
                  <c:x val="7.0796460176991861E-3"/>
                  <c:y val="0"/>
                </c:manualLayout>
              </c:layout>
              <c:showVal val="1"/>
            </c:dLbl>
            <c:dLbl>
              <c:idx val="2"/>
              <c:layout>
                <c:manualLayout>
                  <c:x val="1.4159292035398136E-2"/>
                  <c:y val="0"/>
                </c:manualLayout>
              </c:layout>
              <c:showVal val="1"/>
            </c:dLbl>
            <c:spPr>
              <a:noFill/>
              <a:ln w="25331">
                <a:noFill/>
              </a:ln>
            </c:spPr>
            <c:txPr>
              <a:bodyPr wrap="square" lIns="38100" tIns="19050" rIns="38100" bIns="19050" anchor="ctr">
                <a:spAutoFit/>
              </a:bodyPr>
              <a:lstStyle/>
              <a:p>
                <a:pPr>
                  <a:defRPr sz="798" b="0" i="0" u="none" strike="noStrike" baseline="0">
                    <a:solidFill>
                      <a:schemeClr val="bg1"/>
                    </a:solidFill>
                    <a:latin typeface="Calibri"/>
                    <a:ea typeface="Calibri"/>
                    <a:cs typeface="Calibri"/>
                  </a:defRPr>
                </a:pPr>
                <a:endParaRPr lang="fr-FR"/>
              </a:p>
            </c:txPr>
            <c:showVal val="1"/>
          </c:dLbls>
          <c:cat>
            <c:strRef>
              <c:f>Feuil2!$A$11:$A$13</c:f>
              <c:strCache>
                <c:ptCount val="3"/>
                <c:pt idx="0">
                  <c:v>Entreprises n'ayant pas investi</c:v>
                </c:pt>
                <c:pt idx="1">
                  <c:v>Entreprises ayant investi</c:v>
                </c:pt>
                <c:pt idx="2">
                  <c:v>Total</c:v>
                </c:pt>
              </c:strCache>
            </c:strRef>
          </c:cat>
          <c:val>
            <c:numRef>
              <c:f>Feuil2!$C$11:$C$13</c:f>
              <c:numCache>
                <c:formatCode>0%</c:formatCode>
                <c:ptCount val="3"/>
                <c:pt idx="0">
                  <c:v>9.3479294973612501E-2</c:v>
                </c:pt>
                <c:pt idx="1">
                  <c:v>0.33252970233338014</c:v>
                </c:pt>
                <c:pt idx="2">
                  <c:v>0.21168366291151605</c:v>
                </c:pt>
              </c:numCache>
            </c:numRef>
          </c:val>
        </c:ser>
        <c:shape val="cylinder"/>
        <c:axId val="79772288"/>
        <c:axId val="80220544"/>
        <c:axId val="0"/>
      </c:bar3DChart>
      <c:catAx>
        <c:axId val="79772288"/>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fr-FR"/>
          </a:p>
        </c:txPr>
        <c:crossAx val="80220544"/>
        <c:crosses val="autoZero"/>
        <c:auto val="1"/>
        <c:lblAlgn val="ctr"/>
        <c:lblOffset val="100"/>
      </c:catAx>
      <c:valAx>
        <c:axId val="80220544"/>
        <c:scaling>
          <c:orientation val="minMax"/>
        </c:scaling>
        <c:axPos val="l"/>
        <c:majorGridlines/>
        <c:numFmt formatCode="0%" sourceLinked="1"/>
        <c:tickLblPos val="nextTo"/>
        <c:txPr>
          <a:bodyPr rot="0" vert="horz"/>
          <a:lstStyle/>
          <a:p>
            <a:pPr>
              <a:defRPr sz="995" b="0" i="0" u="none" strike="noStrike" baseline="0">
                <a:solidFill>
                  <a:srgbClr val="000000"/>
                </a:solidFill>
                <a:latin typeface="Calibri"/>
                <a:ea typeface="Calibri"/>
                <a:cs typeface="Calibri"/>
              </a:defRPr>
            </a:pPr>
            <a:endParaRPr lang="fr-FR"/>
          </a:p>
        </c:txPr>
        <c:crossAx val="79772288"/>
        <c:crosses val="autoZero"/>
        <c:crossBetween val="between"/>
      </c:valAx>
      <c:spPr>
        <a:noFill/>
        <a:ln w="25407">
          <a:noFill/>
        </a:ln>
      </c:spPr>
    </c:plotArea>
    <c:legend>
      <c:legendPos val="r"/>
      <c:txPr>
        <a:bodyPr/>
        <a:lstStyle/>
        <a:p>
          <a:pPr>
            <a:defRPr sz="698" b="0" i="0" u="none" strike="noStrike" baseline="0">
              <a:solidFill>
                <a:srgbClr val="000000"/>
              </a:solidFill>
              <a:latin typeface="Calibri"/>
              <a:ea typeface="Calibri"/>
              <a:cs typeface="Calibri"/>
            </a:defRPr>
          </a:pPr>
          <a:endParaRPr lang="fr-FR"/>
        </a:p>
      </c:txPr>
    </c:legend>
    <c:plotVisOnly val="1"/>
    <c:dispBlanksAs val="gap"/>
  </c:chart>
  <c:spPr>
    <a:ln w="15875"/>
  </c:spPr>
  <c:txPr>
    <a:bodyPr/>
    <a:lstStyle/>
    <a:p>
      <a:pPr>
        <a:defRPr sz="995" b="0" i="0" u="none" strike="noStrike" baseline="0">
          <a:solidFill>
            <a:srgbClr val="000000"/>
          </a:solidFill>
          <a:latin typeface="Calibri"/>
          <a:ea typeface="Calibri"/>
          <a:cs typeface="Calibri"/>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fr-FR" sz="900" b="1"/>
              <a:t>Financement de</a:t>
            </a:r>
            <a:r>
              <a:rPr lang="fr-FR" sz="900" b="1" baseline="0"/>
              <a:t> l'</a:t>
            </a:r>
            <a:r>
              <a:rPr lang="fr-FR" sz="900" b="1"/>
              <a:t>investissement</a:t>
            </a:r>
            <a:r>
              <a:rPr lang="fr-FR" sz="900" b="1" baseline="0"/>
              <a:t> des entreprises en 2014</a:t>
            </a:r>
            <a:r>
              <a:rPr lang="fr-FR" sz="900" b="1"/>
              <a:t> </a:t>
            </a:r>
          </a:p>
        </c:rich>
      </c:tx>
      <c:spPr>
        <a:noFill/>
        <a:ln>
          <a:noFill/>
        </a:ln>
        <a:effectLst/>
      </c:spPr>
    </c:title>
    <c:plotArea>
      <c:layout>
        <c:manualLayout>
          <c:layoutTarget val="inner"/>
          <c:xMode val="edge"/>
          <c:yMode val="edge"/>
          <c:x val="0.40808624091289064"/>
          <c:y val="0.19548920738220157"/>
          <c:w val="0.50187981017045935"/>
          <c:h val="0.34596487741871573"/>
        </c:manualLayout>
      </c:layout>
      <c:barChart>
        <c:barDir val="bar"/>
        <c:grouping val="stacked"/>
        <c:ser>
          <c:idx val="0"/>
          <c:order val="0"/>
          <c:tx>
            <c:strRef>
              <c:f>enVal!$B$8</c:f>
              <c:strCache>
                <c:ptCount val="1"/>
                <c:pt idx="0">
                  <c:v>Autofinacement</c:v>
                </c:pt>
              </c:strCache>
            </c:strRef>
          </c:tx>
          <c:spPr>
            <a:solidFill>
              <a:schemeClr val="accent1"/>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enVal!$B$9:$B$13</c:f>
              <c:numCache>
                <c:formatCode>0%</c:formatCode>
                <c:ptCount val="5"/>
                <c:pt idx="0">
                  <c:v>0.97145828339371065</c:v>
                </c:pt>
                <c:pt idx="1">
                  <c:v>0.77092735628651921</c:v>
                </c:pt>
                <c:pt idx="2">
                  <c:v>0.78983692055652777</c:v>
                </c:pt>
                <c:pt idx="3">
                  <c:v>0.44234467319444809</c:v>
                </c:pt>
                <c:pt idx="4">
                  <c:v>0.46336072980805043</c:v>
                </c:pt>
              </c:numCache>
            </c:numRef>
          </c:val>
        </c:ser>
        <c:ser>
          <c:idx val="1"/>
          <c:order val="1"/>
          <c:tx>
            <c:strRef>
              <c:f>enVal!$C$8</c:f>
              <c:strCache>
                <c:ptCount val="1"/>
                <c:pt idx="0">
                  <c:v>Augmentation des capiatux</c:v>
                </c:pt>
              </c:strCache>
            </c:strRef>
          </c:tx>
          <c:spPr>
            <a:solidFill>
              <a:schemeClr val="accent2"/>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enVal!$C$9:$C$13</c:f>
              <c:numCache>
                <c:formatCode>0%</c:formatCode>
                <c:ptCount val="5"/>
                <c:pt idx="0">
                  <c:v>4.3315249927066953E-3</c:v>
                </c:pt>
                <c:pt idx="1">
                  <c:v>8.3218592990247767E-2</c:v>
                </c:pt>
                <c:pt idx="2">
                  <c:v>4.8278509862729045E-2</c:v>
                </c:pt>
                <c:pt idx="3">
                  <c:v>1.3731187814666706E-2</c:v>
                </c:pt>
                <c:pt idx="4">
                  <c:v>1.5960822637311366E-2</c:v>
                </c:pt>
              </c:numCache>
            </c:numRef>
          </c:val>
        </c:ser>
        <c:ser>
          <c:idx val="2"/>
          <c:order val="2"/>
          <c:tx>
            <c:strRef>
              <c:f>enVal!$D$8</c:f>
              <c:strCache>
                <c:ptCount val="1"/>
                <c:pt idx="0">
                  <c:v>Cession et réduction d'immobilisations</c:v>
                </c:pt>
              </c:strCache>
            </c:strRef>
          </c:tx>
          <c:spPr>
            <a:solidFill>
              <a:schemeClr val="accent3"/>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enVal!$D$9:$D$13</c:f>
              <c:numCache>
                <c:formatCode>0%</c:formatCode>
                <c:ptCount val="5"/>
                <c:pt idx="0">
                  <c:v>0</c:v>
                </c:pt>
                <c:pt idx="1">
                  <c:v>5.1200906004732552E-4</c:v>
                </c:pt>
                <c:pt idx="2">
                  <c:v>1.9430484702942216E-2</c:v>
                </c:pt>
                <c:pt idx="3">
                  <c:v>1.9840098261625666E-2</c:v>
                </c:pt>
                <c:pt idx="4">
                  <c:v>1.9542858719455256E-2</c:v>
                </c:pt>
              </c:numCache>
            </c:numRef>
          </c:val>
        </c:ser>
        <c:ser>
          <c:idx val="3"/>
          <c:order val="3"/>
          <c:tx>
            <c:strRef>
              <c:f>enVal!$E$8</c:f>
              <c:strCache>
                <c:ptCount val="1"/>
                <c:pt idx="0">
                  <c:v>Dettes de financement</c:v>
                </c:pt>
              </c:strCache>
            </c:strRef>
          </c:tx>
          <c:spPr>
            <a:solidFill>
              <a:schemeClr val="accent4"/>
            </a:solidFill>
            <a:ln>
              <a:noFill/>
            </a:ln>
            <a:effectLst/>
          </c:spPr>
          <c:cat>
            <c:strRef>
              <c:f>enVal!$A$9:$A$13</c:f>
              <c:strCache>
                <c:ptCount val="5"/>
                <c:pt idx="0">
                  <c:v>Très Petites Entreprises</c:v>
                </c:pt>
                <c:pt idx="1">
                  <c:v>Petites Entreprises</c:v>
                </c:pt>
                <c:pt idx="2">
                  <c:v>Moyennes Entreprises</c:v>
                </c:pt>
                <c:pt idx="3">
                  <c:v>Grandes Entreprises</c:v>
                </c:pt>
                <c:pt idx="4">
                  <c:v>Total</c:v>
                </c:pt>
              </c:strCache>
            </c:strRef>
          </c:cat>
          <c:val>
            <c:numRef>
              <c:f>enVal!$E$9:$E$13</c:f>
              <c:numCache>
                <c:formatCode>0%</c:formatCode>
                <c:ptCount val="5"/>
                <c:pt idx="0">
                  <c:v>2.4210191613583062E-2</c:v>
                </c:pt>
                <c:pt idx="1">
                  <c:v>0.14534204166319412</c:v>
                </c:pt>
                <c:pt idx="2">
                  <c:v>0.14245408487780356</c:v>
                </c:pt>
                <c:pt idx="3">
                  <c:v>0.5240840407292604</c:v>
                </c:pt>
                <c:pt idx="4">
                  <c:v>0.50113558883518627</c:v>
                </c:pt>
              </c:numCache>
            </c:numRef>
          </c:val>
        </c:ser>
        <c:overlap val="100"/>
        <c:axId val="138221440"/>
        <c:axId val="138222976"/>
      </c:barChart>
      <c:catAx>
        <c:axId val="1382214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138222976"/>
        <c:crosses val="autoZero"/>
        <c:auto val="1"/>
        <c:lblAlgn val="ctr"/>
        <c:lblOffset val="100"/>
      </c:catAx>
      <c:valAx>
        <c:axId val="13822297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crossAx val="138221440"/>
        <c:crosses val="autoZero"/>
        <c:crossBetween val="between"/>
      </c:valAx>
      <c:spPr>
        <a:noFill/>
        <a:ln>
          <a:noFill/>
        </a:ln>
        <a:effectLst/>
      </c:spPr>
    </c:plotArea>
    <c:legend>
      <c:legendPos val="b"/>
      <c:layout>
        <c:manualLayout>
          <c:xMode val="edge"/>
          <c:yMode val="edge"/>
          <c:x val="1.8006062295310533E-2"/>
          <c:y val="0.68241138627387665"/>
          <c:w val="0.95513796947947882"/>
          <c:h val="0.2860428724012023"/>
        </c:manualLayout>
      </c:layout>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15875"/>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a:t>Financement de l'investissement des PME en 2014</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9661399548532804E-2"/>
          <c:y val="0.19487446144703621"/>
          <c:w val="0.95033860045146723"/>
          <c:h val="0.41306393304610506"/>
        </c:manualLayout>
      </c:layout>
      <c:pie3DChart>
        <c:varyColors val="1"/>
        <c:ser>
          <c:idx val="0"/>
          <c:order val="0"/>
          <c:tx>
            <c:strRef>
              <c:f>enVal!$A$19</c:f>
              <c:strCache>
                <c:ptCount val="1"/>
                <c:pt idx="0">
                  <c:v>Financement de l'investissement des PME</c:v>
                </c:pt>
              </c:strCache>
            </c:strRef>
          </c:tx>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dLbl>
              <c:idx val="1"/>
              <c:layout>
                <c:manualLayout>
                  <c:x val="6.7341142176641014E-2"/>
                  <c:y val="2.1561432179468151E-2"/>
                </c:manualLayout>
              </c:layout>
              <c:dLblPos val="bestFit"/>
              <c:showVal val="1"/>
              <c:extLst>
                <c:ext xmlns:c15="http://schemas.microsoft.com/office/drawing/2012/chart" uri="{CE6537A1-D6FC-4f65-9D91-7224C49458BB}">
                  <c15:layout/>
                </c:ext>
              </c:extLst>
            </c:dLbl>
            <c:dLbl>
              <c:idx val="2"/>
              <c:layout>
                <c:manualLayout>
                  <c:x val="6.3406267218854936E-2"/>
                  <c:y val="7.7239637498143507E-3"/>
                </c:manualLayout>
              </c:layout>
              <c:dLblPos val="bestFit"/>
              <c:showVal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dLblPos val="inEnd"/>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enVal!$B$18:$E$18</c:f>
              <c:strCache>
                <c:ptCount val="4"/>
                <c:pt idx="0">
                  <c:v>Autofinacement</c:v>
                </c:pt>
                <c:pt idx="1">
                  <c:v>Augmentation des capiatux</c:v>
                </c:pt>
                <c:pt idx="2">
                  <c:v>Cession et réduction d'immobilisations</c:v>
                </c:pt>
                <c:pt idx="3">
                  <c:v>Dettes de financement</c:v>
                </c:pt>
              </c:strCache>
            </c:strRef>
          </c:cat>
          <c:val>
            <c:numRef>
              <c:f>enVal!$B$19:$E$19</c:f>
              <c:numCache>
                <c:formatCode>0%</c:formatCode>
                <c:ptCount val="4"/>
                <c:pt idx="0">
                  <c:v>0.79856631455413041</c:v>
                </c:pt>
                <c:pt idx="1">
                  <c:v>5.1523443077295457E-2</c:v>
                </c:pt>
                <c:pt idx="2">
                  <c:v>1.4801895351550643E-2</c:v>
                </c:pt>
                <c:pt idx="3">
                  <c:v>0.13510834701702526</c:v>
                </c:pt>
              </c:numCache>
            </c:numRef>
          </c:val>
        </c:ser>
      </c:pie3DChart>
      <c:spPr>
        <a:noFill/>
        <a:ln>
          <a:noFill/>
        </a:ln>
        <a:effectLst/>
      </c:spPr>
    </c:plotArea>
    <c:legend>
      <c:legendPos val="b"/>
      <c:layout>
        <c:manualLayout>
          <c:xMode val="edge"/>
          <c:yMode val="edge"/>
          <c:x val="3.1280398578496557E-2"/>
          <c:y val="0.69812335958005245"/>
          <c:w val="0.95071319071841687"/>
          <c:h val="0.26854330708661417"/>
        </c:manualLayout>
      </c:layout>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15875"/>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18"/>
  <c:chart>
    <c:title>
      <c:tx>
        <c:rich>
          <a:bodyPr/>
          <a:lstStyle/>
          <a:p>
            <a:pPr>
              <a:defRPr sz="800" b="1"/>
            </a:pPr>
            <a:r>
              <a:rPr lang="fr-FR" sz="800" b="1"/>
              <a:t>Financement</a:t>
            </a:r>
            <a:r>
              <a:rPr lang="fr-FR" sz="800" b="1" baseline="0"/>
              <a:t> de l'investissement selon les sous secteurs industriels</a:t>
            </a:r>
            <a:endParaRPr lang="fr-FR" sz="800" b="1"/>
          </a:p>
        </c:rich>
      </c:tx>
    </c:title>
    <c:plotArea>
      <c:layout/>
      <c:barChart>
        <c:barDir val="bar"/>
        <c:grouping val="percentStacked"/>
        <c:ser>
          <c:idx val="0"/>
          <c:order val="0"/>
          <c:tx>
            <c:strRef>
              <c:f>Feuil3!$B$10</c:f>
              <c:strCache>
                <c:ptCount val="1"/>
                <c:pt idx="0">
                  <c:v>Autofinacement</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Feuil3!$B$11:$B$16</c:f>
              <c:numCache>
                <c:formatCode>0%</c:formatCode>
                <c:ptCount val="6"/>
                <c:pt idx="0">
                  <c:v>0.85188730421676406</c:v>
                </c:pt>
                <c:pt idx="1">
                  <c:v>0.8577385453848817</c:v>
                </c:pt>
                <c:pt idx="2">
                  <c:v>0.30893065611713705</c:v>
                </c:pt>
                <c:pt idx="3">
                  <c:v>0.65925311516048102</c:v>
                </c:pt>
                <c:pt idx="4">
                  <c:v>0.78749349617665299</c:v>
                </c:pt>
                <c:pt idx="5">
                  <c:v>0.46336072980805043</c:v>
                </c:pt>
              </c:numCache>
            </c:numRef>
          </c:val>
        </c:ser>
        <c:ser>
          <c:idx val="1"/>
          <c:order val="1"/>
          <c:tx>
            <c:strRef>
              <c:f>Feuil3!$C$10</c:f>
              <c:strCache>
                <c:ptCount val="1"/>
                <c:pt idx="0">
                  <c:v>Augmentation des capiatux</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Feuil3!$C$11:$C$16</c:f>
              <c:numCache>
                <c:formatCode>0%</c:formatCode>
                <c:ptCount val="6"/>
                <c:pt idx="0">
                  <c:v>3.6760547760718409E-2</c:v>
                </c:pt>
                <c:pt idx="1">
                  <c:v>3.5044306165851538E-2</c:v>
                </c:pt>
                <c:pt idx="2">
                  <c:v>2.3443811482559943E-3</c:v>
                </c:pt>
                <c:pt idx="3">
                  <c:v>0.25001642210885838</c:v>
                </c:pt>
                <c:pt idx="4">
                  <c:v>5.8536654511773971E-2</c:v>
                </c:pt>
                <c:pt idx="5">
                  <c:v>1.5960822637311366E-2</c:v>
                </c:pt>
              </c:numCache>
            </c:numRef>
          </c:val>
        </c:ser>
        <c:ser>
          <c:idx val="2"/>
          <c:order val="2"/>
          <c:tx>
            <c:strRef>
              <c:f>Feuil3!$D$10</c:f>
              <c:strCache>
                <c:ptCount val="1"/>
                <c:pt idx="0">
                  <c:v>Cession et réduction d'immobilisations</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Feuil3!$D$11:$D$16</c:f>
              <c:numCache>
                <c:formatCode>0%</c:formatCode>
                <c:ptCount val="6"/>
                <c:pt idx="0">
                  <c:v>2.5130640928444036E-2</c:v>
                </c:pt>
                <c:pt idx="1">
                  <c:v>3.0314001244317587E-2</c:v>
                </c:pt>
                <c:pt idx="2">
                  <c:v>1.7983649258480984E-2</c:v>
                </c:pt>
                <c:pt idx="3">
                  <c:v>1.3856350422703993E-2</c:v>
                </c:pt>
                <c:pt idx="4">
                  <c:v>1.5083297424378658E-2</c:v>
                </c:pt>
                <c:pt idx="5">
                  <c:v>1.9542858719455256E-2</c:v>
                </c:pt>
              </c:numCache>
            </c:numRef>
          </c:val>
        </c:ser>
        <c:ser>
          <c:idx val="3"/>
          <c:order val="3"/>
          <c:tx>
            <c:strRef>
              <c:f>Feuil3!$E$10</c:f>
              <c:strCache>
                <c:ptCount val="1"/>
                <c:pt idx="0">
                  <c:v>Dettes de financement</c:v>
                </c:pt>
              </c:strCache>
            </c:strRef>
          </c:tx>
          <c:cat>
            <c:strRef>
              <c:f>Feuil3!$A$11:$A$16</c:f>
              <c:strCache>
                <c:ptCount val="6"/>
                <c:pt idx="0">
                  <c:v>Agro-alimentaires</c:v>
                </c:pt>
                <c:pt idx="1">
                  <c:v>Textiles &amp; du Cuir</c:v>
                </c:pt>
                <c:pt idx="2">
                  <c:v>Chimiques &amp; Parachimiques</c:v>
                </c:pt>
                <c:pt idx="3">
                  <c:v>Electriques &amp; Electroniques</c:v>
                </c:pt>
                <c:pt idx="4">
                  <c:v>Métalliques &amp; Mécaniques</c:v>
                </c:pt>
                <c:pt idx="5">
                  <c:v>Ensemble</c:v>
                </c:pt>
              </c:strCache>
            </c:strRef>
          </c:cat>
          <c:val>
            <c:numRef>
              <c:f>Feuil3!$E$11:$E$16</c:f>
              <c:numCache>
                <c:formatCode>0%</c:formatCode>
                <c:ptCount val="6"/>
                <c:pt idx="0">
                  <c:v>8.6221507094073724E-2</c:v>
                </c:pt>
                <c:pt idx="1">
                  <c:v>7.6903147204953837E-2</c:v>
                </c:pt>
                <c:pt idx="2">
                  <c:v>0.67074131347613586</c:v>
                </c:pt>
                <c:pt idx="3">
                  <c:v>7.6874112307960776E-2</c:v>
                </c:pt>
                <c:pt idx="4">
                  <c:v>0.13888655188719559</c:v>
                </c:pt>
                <c:pt idx="5">
                  <c:v>0.50113558883518627</c:v>
                </c:pt>
              </c:numCache>
            </c:numRef>
          </c:val>
        </c:ser>
        <c:gapWidth val="55"/>
        <c:overlap val="100"/>
        <c:axId val="149833216"/>
        <c:axId val="149834752"/>
      </c:barChart>
      <c:catAx>
        <c:axId val="149833216"/>
        <c:scaling>
          <c:orientation val="minMax"/>
        </c:scaling>
        <c:axPos val="l"/>
        <c:majorTickMark val="none"/>
        <c:tickLblPos val="nextTo"/>
        <c:txPr>
          <a:bodyPr/>
          <a:lstStyle/>
          <a:p>
            <a:pPr>
              <a:defRPr sz="700">
                <a:latin typeface="Book Antiqua" panose="02040602050305030304" pitchFamily="18" charset="0"/>
              </a:defRPr>
            </a:pPr>
            <a:endParaRPr lang="fr-FR"/>
          </a:p>
        </c:txPr>
        <c:crossAx val="149834752"/>
        <c:crosses val="autoZero"/>
        <c:auto val="1"/>
        <c:lblAlgn val="ctr"/>
        <c:lblOffset val="100"/>
      </c:catAx>
      <c:valAx>
        <c:axId val="149834752"/>
        <c:scaling>
          <c:orientation val="minMax"/>
        </c:scaling>
        <c:axPos val="b"/>
        <c:majorGridlines/>
        <c:numFmt formatCode="0%" sourceLinked="1"/>
        <c:majorTickMark val="none"/>
        <c:tickLblPos val="nextTo"/>
        <c:txPr>
          <a:bodyPr/>
          <a:lstStyle/>
          <a:p>
            <a:pPr>
              <a:defRPr sz="700">
                <a:latin typeface="Book Antiqua" panose="02040602050305030304" pitchFamily="18" charset="0"/>
              </a:defRPr>
            </a:pPr>
            <a:endParaRPr lang="fr-FR"/>
          </a:p>
        </c:txPr>
        <c:crossAx val="149833216"/>
        <c:crosses val="autoZero"/>
        <c:crossBetween val="between"/>
      </c:valAx>
    </c:plotArea>
    <c:legend>
      <c:legendPos val="r"/>
      <c:layout>
        <c:manualLayout>
          <c:xMode val="edge"/>
          <c:yMode val="edge"/>
          <c:x val="0.7162694482777282"/>
          <c:y val="0.33916450879881926"/>
          <c:w val="0.26311199502124138"/>
          <c:h val="0.43559689267029711"/>
        </c:manualLayout>
      </c:layout>
      <c:txPr>
        <a:bodyPr/>
        <a:lstStyle/>
        <a:p>
          <a:pPr>
            <a:defRPr sz="600">
              <a:latin typeface="Book Antiqua" panose="02040602050305030304" pitchFamily="18" charset="0"/>
            </a:defRPr>
          </a:pPr>
          <a:endParaRPr lang="fr-FR"/>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1ECC4-A8E8-4EDE-AAA0-9808B970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3752</Words>
  <Characters>20640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24344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Microsoft</cp:lastModifiedBy>
  <cp:revision>3</cp:revision>
  <cp:lastPrinted>2017-10-09T08:29:00Z</cp:lastPrinted>
  <dcterms:created xsi:type="dcterms:W3CDTF">2017-10-11T08:06:00Z</dcterms:created>
  <dcterms:modified xsi:type="dcterms:W3CDTF">2017-10-11T08:07:00Z</dcterms:modified>
</cp:coreProperties>
</file>