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915" w:rsidRDefault="00021B63" w:rsidP="003D1B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noProof/>
          <w:sz w:val="26"/>
          <w:szCs w:val="26"/>
          <w:lang w:eastAsia="fr-FR"/>
        </w:rPr>
        <w:pict>
          <v:rect id="_x0000_s1026" style="position:absolute;left:0;text-align:left;margin-left:-108pt;margin-top:-68.55pt;width:685.25pt;height:425.5pt;z-index:-251658752" o:preferrelative="t" filled="f" stroked="f" insetpen="t" o:cliptowrap="t">
            <v:imagedata r:id="rId6" o:title=""/>
            <v:path o:extrusionok="f"/>
            <o:lock v:ext="edit" aspectratio="t"/>
            <w10:wrap anchorx="page"/>
          </v:rect>
          <o:OLEObject Type="Embed" ProgID="PBrush" ShapeID="_x0000_s1026" DrawAspect="Content" ObjectID="_1564021670" r:id="rId7"/>
        </w:pict>
      </w:r>
    </w:p>
    <w:p w:rsidR="00AB0915" w:rsidRDefault="00AB0915" w:rsidP="003D1B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AB0915" w:rsidRDefault="00AB0915" w:rsidP="003D1B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AB0915" w:rsidRDefault="00AB0915" w:rsidP="00596B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1644D1" w:rsidRDefault="001644D1" w:rsidP="00596B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1644D1" w:rsidRDefault="001644D1" w:rsidP="00596B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B67EF4" w:rsidRPr="008D5224" w:rsidRDefault="00B67EF4" w:rsidP="00B67EF4">
      <w:pPr>
        <w:jc w:val="center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 w:rsidRPr="008D5224"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NOTE D’INFORMATION </w:t>
      </w:r>
      <w:r w:rsidRPr="008D5224">
        <w:rPr>
          <w:rFonts w:asciiTheme="majorBidi" w:hAnsiTheme="majorBidi" w:cstheme="majorBidi"/>
          <w:b/>
          <w:bCs/>
          <w:color w:val="0000FF"/>
          <w:sz w:val="28"/>
          <w:szCs w:val="28"/>
        </w:rPr>
        <w:br/>
        <w:t>DU HAUT-COMMISSARIAT AU PLAN</w:t>
      </w:r>
      <w:r w:rsidRPr="008D5224">
        <w:rPr>
          <w:rFonts w:asciiTheme="majorBidi" w:hAnsiTheme="majorBidi" w:cstheme="majorBidi"/>
          <w:b/>
          <w:bCs/>
          <w:color w:val="0000FF"/>
          <w:sz w:val="28"/>
          <w:szCs w:val="28"/>
        </w:rPr>
        <w:br/>
        <w:t xml:space="preserve">A L’OCCASION DE LA JOURNEE 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INTER</w:t>
      </w:r>
      <w:r w:rsidRPr="008D5224"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NATIONALE </w:t>
      </w:r>
      <w:r w:rsidRPr="008D5224">
        <w:rPr>
          <w:rFonts w:asciiTheme="majorBidi" w:hAnsiTheme="majorBidi" w:cstheme="majorBidi"/>
          <w:b/>
          <w:bCs/>
          <w:color w:val="0000FF"/>
          <w:sz w:val="28"/>
          <w:szCs w:val="28"/>
        </w:rPr>
        <w:br/>
        <w:t>DE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 LA JEUNESSE </w:t>
      </w:r>
      <w:r w:rsidRPr="008D5224">
        <w:rPr>
          <w:rFonts w:asciiTheme="majorBidi" w:hAnsiTheme="majorBidi" w:cstheme="majorBidi"/>
          <w:b/>
          <w:bCs/>
          <w:color w:val="0000FF"/>
          <w:sz w:val="28"/>
          <w:szCs w:val="28"/>
        </w:rPr>
        <w:t>DU 1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2</w:t>
      </w:r>
      <w:r w:rsidRPr="008D5224"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 AOUT 2017</w:t>
      </w:r>
    </w:p>
    <w:p w:rsidR="00B67EF4" w:rsidRDefault="00B67EF4" w:rsidP="00B67EF4">
      <w:pPr>
        <w:autoSpaceDE w:val="0"/>
        <w:autoSpaceDN w:val="0"/>
        <w:adjustRightInd w:val="0"/>
        <w:spacing w:before="240" w:after="24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</w:p>
    <w:p w:rsidR="000C0E72" w:rsidRPr="005E4A96" w:rsidRDefault="000C0E72" w:rsidP="00B67EF4">
      <w:pPr>
        <w:autoSpaceDE w:val="0"/>
        <w:autoSpaceDN w:val="0"/>
        <w:adjustRightInd w:val="0"/>
        <w:spacing w:before="240" w:after="24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</w:p>
    <w:p w:rsidR="00B67EF4" w:rsidRPr="0053359D" w:rsidRDefault="00B67EF4" w:rsidP="00BD7ED2">
      <w:pPr>
        <w:autoSpaceDE w:val="0"/>
        <w:autoSpaceDN w:val="0"/>
        <w:adjustRightInd w:val="0"/>
        <w:spacing w:before="240" w:after="240" w:line="240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53359D">
        <w:rPr>
          <w:rFonts w:asciiTheme="majorBidi" w:hAnsiTheme="majorBidi" w:cstheme="majorBidi"/>
          <w:sz w:val="28"/>
          <w:szCs w:val="28"/>
        </w:rPr>
        <w:t xml:space="preserve">A </w:t>
      </w:r>
      <w:r w:rsidR="00BB06B0" w:rsidRPr="0053359D">
        <w:rPr>
          <w:rFonts w:asciiTheme="majorBidi" w:hAnsiTheme="majorBidi" w:cstheme="majorBidi"/>
          <w:sz w:val="28"/>
          <w:szCs w:val="28"/>
        </w:rPr>
        <w:t>l’</w:t>
      </w:r>
      <w:r w:rsidRPr="0053359D">
        <w:rPr>
          <w:rFonts w:asciiTheme="majorBidi" w:hAnsiTheme="majorBidi" w:cstheme="majorBidi"/>
          <w:sz w:val="28"/>
          <w:szCs w:val="28"/>
        </w:rPr>
        <w:t>occasion</w:t>
      </w:r>
      <w:r w:rsidR="00BB06B0" w:rsidRPr="0053359D">
        <w:rPr>
          <w:rFonts w:asciiTheme="majorBidi" w:hAnsiTheme="majorBidi" w:cstheme="majorBidi"/>
          <w:sz w:val="28"/>
          <w:szCs w:val="28"/>
        </w:rPr>
        <w:t xml:space="preserve"> de la journée internationale de la jeunesse</w:t>
      </w:r>
      <w:r w:rsidRPr="0053359D">
        <w:rPr>
          <w:rFonts w:asciiTheme="majorBidi" w:hAnsiTheme="majorBidi" w:cstheme="majorBidi"/>
          <w:sz w:val="28"/>
          <w:szCs w:val="28"/>
        </w:rPr>
        <w:t xml:space="preserve">, le Haut-Commissariat au Plan (HCP) présente </w:t>
      </w:r>
      <w:r w:rsidRPr="0053359D">
        <w:rPr>
          <w:rFonts w:asciiTheme="majorBidi" w:hAnsiTheme="majorBidi" w:cstheme="majorBidi"/>
          <w:color w:val="000000"/>
          <w:sz w:val="28"/>
          <w:szCs w:val="28"/>
        </w:rPr>
        <w:t xml:space="preserve">quelques aspects </w:t>
      </w:r>
      <w:r w:rsidR="00BB06B0" w:rsidRPr="0053359D">
        <w:rPr>
          <w:rFonts w:ascii="Times New Roman" w:hAnsi="Times New Roman" w:cs="Times New Roman"/>
          <w:sz w:val="28"/>
          <w:szCs w:val="28"/>
        </w:rPr>
        <w:t>socio-démographiques et économiques d</w:t>
      </w:r>
      <w:r w:rsidR="00CD117B" w:rsidRPr="0053359D">
        <w:rPr>
          <w:rFonts w:ascii="Times New Roman" w:hAnsi="Times New Roman" w:cs="Times New Roman"/>
          <w:sz w:val="28"/>
          <w:szCs w:val="28"/>
        </w:rPr>
        <w:t xml:space="preserve">es jeunes de 15 à 24 ans </w:t>
      </w:r>
      <w:r w:rsidR="00CA295C" w:rsidRPr="0053359D">
        <w:rPr>
          <w:rFonts w:asciiTheme="majorBidi" w:hAnsiTheme="majorBidi" w:cstheme="majorBidi"/>
          <w:color w:val="000000"/>
          <w:sz w:val="28"/>
          <w:szCs w:val="28"/>
        </w:rPr>
        <w:t>selon les données issues du</w:t>
      </w:r>
      <w:r w:rsidR="00CD117B" w:rsidRPr="0053359D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="00CD117B" w:rsidRPr="0053359D">
        <w:rPr>
          <w:rFonts w:ascii="Times New Roman" w:hAnsi="Times New Roman" w:cs="Times New Roman"/>
          <w:sz w:val="28"/>
          <w:szCs w:val="28"/>
        </w:rPr>
        <w:t>Recensement Général de la Population et de l’Habitat de 2014</w:t>
      </w:r>
      <w:r w:rsidRPr="0053359D">
        <w:rPr>
          <w:rFonts w:asciiTheme="majorBidi" w:hAnsiTheme="majorBidi" w:cstheme="majorBidi"/>
          <w:color w:val="000000"/>
          <w:sz w:val="28"/>
          <w:szCs w:val="28"/>
        </w:rPr>
        <w:t>.</w:t>
      </w:r>
    </w:p>
    <w:p w:rsidR="003D1BF4" w:rsidRPr="0053359D" w:rsidRDefault="00CA295C" w:rsidP="004C68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359D">
        <w:rPr>
          <w:rFonts w:ascii="Times New Roman" w:hAnsi="Times New Roman" w:cs="Times New Roman"/>
          <w:sz w:val="28"/>
          <w:szCs w:val="28"/>
        </w:rPr>
        <w:t>L</w:t>
      </w:r>
      <w:r w:rsidR="003D1BF4" w:rsidRPr="0053359D">
        <w:rPr>
          <w:rFonts w:ascii="Times New Roman" w:hAnsi="Times New Roman" w:cs="Times New Roman"/>
          <w:sz w:val="28"/>
          <w:szCs w:val="28"/>
        </w:rPr>
        <w:t xml:space="preserve">es jeunes de 15 à 24 ans constituent </w:t>
      </w:r>
      <w:r w:rsidR="004C6889">
        <w:rPr>
          <w:rFonts w:ascii="Times New Roman" w:hAnsi="Times New Roman" w:cs="Times New Roman"/>
          <w:sz w:val="28"/>
          <w:szCs w:val="28"/>
        </w:rPr>
        <w:t xml:space="preserve">en 2014 </w:t>
      </w:r>
      <w:r w:rsidR="003D1BF4" w:rsidRPr="0053359D">
        <w:rPr>
          <w:rFonts w:ascii="Times New Roman" w:hAnsi="Times New Roman" w:cs="Times New Roman"/>
          <w:sz w:val="28"/>
          <w:szCs w:val="28"/>
        </w:rPr>
        <w:t xml:space="preserve">près du cinquième de la population marocaine. </w:t>
      </w:r>
      <w:r w:rsidR="00271D92" w:rsidRPr="0053359D">
        <w:rPr>
          <w:rFonts w:ascii="Times New Roman" w:hAnsi="Times New Roman" w:cs="Times New Roman"/>
          <w:sz w:val="28"/>
          <w:szCs w:val="28"/>
        </w:rPr>
        <w:t>L</w:t>
      </w:r>
      <w:r w:rsidR="003D1BF4" w:rsidRPr="0053359D">
        <w:rPr>
          <w:rFonts w:ascii="Times New Roman" w:hAnsi="Times New Roman" w:cs="Times New Roman"/>
          <w:sz w:val="28"/>
          <w:szCs w:val="28"/>
        </w:rPr>
        <w:t>e</w:t>
      </w:r>
      <w:r w:rsidR="00271D92" w:rsidRPr="0053359D">
        <w:rPr>
          <w:rFonts w:ascii="Times New Roman" w:hAnsi="Times New Roman" w:cs="Times New Roman"/>
          <w:sz w:val="28"/>
          <w:szCs w:val="28"/>
        </w:rPr>
        <w:t>ur</w:t>
      </w:r>
      <w:r w:rsidR="003D1BF4" w:rsidRPr="0053359D">
        <w:rPr>
          <w:rFonts w:ascii="Times New Roman" w:hAnsi="Times New Roman" w:cs="Times New Roman"/>
          <w:sz w:val="28"/>
          <w:szCs w:val="28"/>
        </w:rPr>
        <w:t xml:space="preserve"> nombre a diminu</w:t>
      </w:r>
      <w:r w:rsidR="00271D92" w:rsidRPr="0053359D">
        <w:rPr>
          <w:rFonts w:ascii="Times New Roman" w:hAnsi="Times New Roman" w:cs="Times New Roman"/>
          <w:sz w:val="28"/>
          <w:szCs w:val="28"/>
        </w:rPr>
        <w:t xml:space="preserve">é </w:t>
      </w:r>
      <w:r w:rsidR="003D1BF4" w:rsidRPr="0053359D">
        <w:rPr>
          <w:rFonts w:ascii="Times New Roman" w:hAnsi="Times New Roman" w:cs="Times New Roman"/>
          <w:sz w:val="28"/>
          <w:szCs w:val="28"/>
        </w:rPr>
        <w:t>de 6</w:t>
      </w:r>
      <w:r w:rsidR="002615D5" w:rsidRPr="0053359D">
        <w:rPr>
          <w:rFonts w:ascii="Times New Roman" w:hAnsi="Times New Roman" w:cs="Times New Roman"/>
          <w:sz w:val="28"/>
          <w:szCs w:val="28"/>
        </w:rPr>
        <w:t>,</w:t>
      </w:r>
      <w:r w:rsidR="003D1BF4" w:rsidRPr="0053359D">
        <w:rPr>
          <w:rFonts w:ascii="Times New Roman" w:hAnsi="Times New Roman" w:cs="Times New Roman"/>
          <w:sz w:val="28"/>
          <w:szCs w:val="28"/>
        </w:rPr>
        <w:t>09</w:t>
      </w:r>
      <w:r w:rsidR="002615D5" w:rsidRPr="0053359D">
        <w:rPr>
          <w:rFonts w:ascii="Times New Roman" w:hAnsi="Times New Roman" w:cs="Times New Roman"/>
          <w:sz w:val="28"/>
          <w:szCs w:val="28"/>
        </w:rPr>
        <w:t xml:space="preserve"> million</w:t>
      </w:r>
      <w:r w:rsidR="00A01B4E" w:rsidRPr="0053359D">
        <w:rPr>
          <w:rFonts w:ascii="Times New Roman" w:hAnsi="Times New Roman" w:cs="Times New Roman"/>
          <w:sz w:val="28"/>
          <w:szCs w:val="28"/>
        </w:rPr>
        <w:t>s</w:t>
      </w:r>
      <w:r w:rsidR="002615D5" w:rsidRPr="0053359D">
        <w:rPr>
          <w:rFonts w:ascii="Times New Roman" w:hAnsi="Times New Roman" w:cs="Times New Roman"/>
          <w:sz w:val="28"/>
          <w:szCs w:val="28"/>
        </w:rPr>
        <w:t xml:space="preserve"> </w:t>
      </w:r>
      <w:r w:rsidR="003D1BF4" w:rsidRPr="0053359D">
        <w:rPr>
          <w:rFonts w:ascii="Times New Roman" w:hAnsi="Times New Roman" w:cs="Times New Roman"/>
          <w:sz w:val="28"/>
          <w:szCs w:val="28"/>
        </w:rPr>
        <w:t>en 2004 à près de 6</w:t>
      </w:r>
      <w:r w:rsidR="002615D5" w:rsidRPr="0053359D">
        <w:rPr>
          <w:rFonts w:ascii="Times New Roman" w:hAnsi="Times New Roman" w:cs="Times New Roman"/>
          <w:sz w:val="28"/>
          <w:szCs w:val="28"/>
        </w:rPr>
        <w:t>,</w:t>
      </w:r>
      <w:r w:rsidR="003D1BF4" w:rsidRPr="0053359D">
        <w:rPr>
          <w:rFonts w:ascii="Times New Roman" w:hAnsi="Times New Roman" w:cs="Times New Roman"/>
          <w:sz w:val="28"/>
          <w:szCs w:val="28"/>
        </w:rPr>
        <w:t>03</w:t>
      </w:r>
      <w:r w:rsidR="002615D5" w:rsidRPr="0053359D">
        <w:rPr>
          <w:rFonts w:ascii="Times New Roman" w:hAnsi="Times New Roman" w:cs="Times New Roman"/>
          <w:sz w:val="28"/>
          <w:szCs w:val="28"/>
        </w:rPr>
        <w:t xml:space="preserve"> </w:t>
      </w:r>
      <w:r w:rsidR="00344CAD" w:rsidRPr="0053359D">
        <w:rPr>
          <w:rFonts w:ascii="Times New Roman" w:hAnsi="Times New Roman" w:cs="Times New Roman"/>
          <w:sz w:val="28"/>
          <w:szCs w:val="28"/>
        </w:rPr>
        <w:t xml:space="preserve">millions </w:t>
      </w:r>
      <w:r w:rsidR="003D1BF4" w:rsidRPr="0053359D">
        <w:rPr>
          <w:rFonts w:ascii="Times New Roman" w:hAnsi="Times New Roman" w:cs="Times New Roman"/>
          <w:sz w:val="28"/>
          <w:szCs w:val="28"/>
        </w:rPr>
        <w:t xml:space="preserve">en 2014, </w:t>
      </w:r>
      <w:r w:rsidR="004C6889">
        <w:rPr>
          <w:rFonts w:ascii="Times New Roman" w:hAnsi="Times New Roman" w:cs="Times New Roman"/>
          <w:sz w:val="28"/>
          <w:szCs w:val="28"/>
        </w:rPr>
        <w:t>correspondant à</w:t>
      </w:r>
      <w:r w:rsidR="003D1BF4" w:rsidRPr="0053359D">
        <w:rPr>
          <w:rFonts w:ascii="Times New Roman" w:hAnsi="Times New Roman" w:cs="Times New Roman"/>
          <w:sz w:val="28"/>
          <w:szCs w:val="28"/>
        </w:rPr>
        <w:t xml:space="preserve"> une baisse de 1</w:t>
      </w:r>
      <w:r w:rsidR="00F95AD9" w:rsidRPr="0053359D">
        <w:rPr>
          <w:rFonts w:ascii="Times New Roman" w:hAnsi="Times New Roman" w:cs="Times New Roman"/>
          <w:sz w:val="28"/>
          <w:szCs w:val="28"/>
        </w:rPr>
        <w:t>,0</w:t>
      </w:r>
      <w:r w:rsidR="003D1BF4" w:rsidRPr="0053359D">
        <w:rPr>
          <w:rFonts w:ascii="Times New Roman" w:hAnsi="Times New Roman" w:cs="Times New Roman"/>
          <w:sz w:val="28"/>
          <w:szCs w:val="28"/>
        </w:rPr>
        <w:t>%. 49,9% s</w:t>
      </w:r>
      <w:r w:rsidR="00271D92" w:rsidRPr="0053359D">
        <w:rPr>
          <w:rFonts w:ascii="Times New Roman" w:hAnsi="Times New Roman" w:cs="Times New Roman"/>
          <w:sz w:val="28"/>
          <w:szCs w:val="28"/>
        </w:rPr>
        <w:t>on</w:t>
      </w:r>
      <w:r w:rsidR="003D1BF4" w:rsidRPr="0053359D">
        <w:rPr>
          <w:rFonts w:ascii="Times New Roman" w:hAnsi="Times New Roman" w:cs="Times New Roman"/>
          <w:sz w:val="28"/>
          <w:szCs w:val="28"/>
        </w:rPr>
        <w:t>t de sexe masculin et 50,1% de sexe féminin. 58,9% résident en milieu urbain contre 41,1% en milieu rural.</w:t>
      </w:r>
    </w:p>
    <w:p w:rsidR="003D1BF4" w:rsidRPr="0053359D" w:rsidRDefault="003D1BF4" w:rsidP="00BD7E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1BF4" w:rsidRPr="0053359D" w:rsidRDefault="007C290F" w:rsidP="00BD7E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359D">
        <w:rPr>
          <w:rFonts w:ascii="Times New Roman" w:hAnsi="Times New Roman" w:cs="Times New Roman"/>
          <w:sz w:val="28"/>
          <w:szCs w:val="28"/>
        </w:rPr>
        <w:t>L</w:t>
      </w:r>
      <w:r w:rsidR="003D1BF4" w:rsidRPr="0053359D">
        <w:rPr>
          <w:rFonts w:ascii="Times New Roman" w:hAnsi="Times New Roman" w:cs="Times New Roman"/>
          <w:sz w:val="28"/>
          <w:szCs w:val="28"/>
        </w:rPr>
        <w:t>a région du Grand Casablanca-Settat totalise près</w:t>
      </w:r>
      <w:r w:rsidRPr="0053359D">
        <w:rPr>
          <w:rFonts w:ascii="Times New Roman" w:hAnsi="Times New Roman" w:cs="Times New Roman"/>
          <w:sz w:val="28"/>
          <w:szCs w:val="28"/>
        </w:rPr>
        <w:t xml:space="preserve"> </w:t>
      </w:r>
      <w:r w:rsidR="003D1BF4" w:rsidRPr="0053359D">
        <w:rPr>
          <w:rFonts w:ascii="Times New Roman" w:hAnsi="Times New Roman" w:cs="Times New Roman"/>
          <w:sz w:val="28"/>
          <w:szCs w:val="28"/>
        </w:rPr>
        <w:t>du</w:t>
      </w:r>
      <w:r w:rsidR="00344CAD" w:rsidRPr="0053359D">
        <w:rPr>
          <w:rFonts w:ascii="Times New Roman" w:hAnsi="Times New Roman" w:cs="Times New Roman"/>
          <w:sz w:val="28"/>
          <w:szCs w:val="28"/>
        </w:rPr>
        <w:t xml:space="preserve"> </w:t>
      </w:r>
      <w:r w:rsidR="003D1BF4" w:rsidRPr="0053359D">
        <w:rPr>
          <w:rFonts w:ascii="Times New Roman" w:hAnsi="Times New Roman" w:cs="Times New Roman"/>
          <w:sz w:val="28"/>
          <w:szCs w:val="28"/>
        </w:rPr>
        <w:t>cinquième des jeunes de 15 à 24 ans, soit 19,1%. La région de Marrakech-Safi vient en seconde position</w:t>
      </w:r>
      <w:r w:rsidRPr="0053359D">
        <w:rPr>
          <w:rFonts w:ascii="Times New Roman" w:hAnsi="Times New Roman" w:cs="Times New Roman"/>
          <w:sz w:val="28"/>
          <w:szCs w:val="28"/>
        </w:rPr>
        <w:t xml:space="preserve"> (13,5%)</w:t>
      </w:r>
      <w:r w:rsidR="003D1BF4" w:rsidRPr="0053359D">
        <w:rPr>
          <w:rFonts w:ascii="Times New Roman" w:hAnsi="Times New Roman" w:cs="Times New Roman"/>
          <w:sz w:val="28"/>
          <w:szCs w:val="28"/>
        </w:rPr>
        <w:t xml:space="preserve">, suivie par Rabat-Salé-Kénitra (13,2%) et Fès-Meknès (12,6%). En revanche, les régions de </w:t>
      </w:r>
      <w:r w:rsidR="00F255C8" w:rsidRPr="0053359D">
        <w:rPr>
          <w:rFonts w:ascii="Times New Roman" w:hAnsi="Times New Roman" w:cs="Times New Roman"/>
          <w:sz w:val="28"/>
          <w:szCs w:val="28"/>
        </w:rPr>
        <w:t>Guelmim-Oued Noun</w:t>
      </w:r>
      <w:r w:rsidR="003D1BF4" w:rsidRPr="0053359D">
        <w:rPr>
          <w:rFonts w:ascii="Times New Roman" w:hAnsi="Times New Roman" w:cs="Times New Roman"/>
          <w:sz w:val="28"/>
          <w:szCs w:val="28"/>
        </w:rPr>
        <w:t xml:space="preserve">, Laâyoune-Sakia El Hamra et </w:t>
      </w:r>
      <w:r w:rsidR="00F255C8" w:rsidRPr="0053359D">
        <w:rPr>
          <w:rFonts w:ascii="Times New Roman" w:hAnsi="Times New Roman" w:cs="Times New Roman"/>
          <w:sz w:val="28"/>
          <w:szCs w:val="28"/>
        </w:rPr>
        <w:t xml:space="preserve">Dakhla-Oued Ed Dahab </w:t>
      </w:r>
      <w:r w:rsidR="003D1BF4" w:rsidRPr="0053359D">
        <w:rPr>
          <w:rFonts w:ascii="Times New Roman" w:hAnsi="Times New Roman" w:cs="Times New Roman"/>
          <w:sz w:val="28"/>
          <w:szCs w:val="28"/>
        </w:rPr>
        <w:t>enregistrent les proportions les plus faibles, respectivement 1,3%, 1,1% et 0,3% de l’ensemble de la population marocaine.</w:t>
      </w:r>
    </w:p>
    <w:p w:rsidR="003D1BF4" w:rsidRPr="0053359D" w:rsidRDefault="003D1BF4" w:rsidP="00BD7E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1BF4" w:rsidRPr="0053359D" w:rsidRDefault="003D1BF4" w:rsidP="00BD7E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359D">
        <w:rPr>
          <w:rFonts w:ascii="Times New Roman" w:hAnsi="Times New Roman" w:cs="Times New Roman"/>
          <w:sz w:val="28"/>
          <w:szCs w:val="28"/>
        </w:rPr>
        <w:t xml:space="preserve">La part des </w:t>
      </w:r>
      <w:r w:rsidR="00CA295C" w:rsidRPr="0053359D">
        <w:rPr>
          <w:rFonts w:ascii="Times New Roman" w:hAnsi="Times New Roman" w:cs="Times New Roman"/>
          <w:sz w:val="28"/>
          <w:szCs w:val="28"/>
        </w:rPr>
        <w:t xml:space="preserve">jeunes qui sont des </w:t>
      </w:r>
      <w:r w:rsidR="00F46DDE" w:rsidRPr="0053359D">
        <w:rPr>
          <w:rFonts w:ascii="Times New Roman" w:hAnsi="Times New Roman" w:cs="Times New Roman"/>
          <w:sz w:val="28"/>
          <w:szCs w:val="28"/>
        </w:rPr>
        <w:t xml:space="preserve">mariés </w:t>
      </w:r>
      <w:r w:rsidR="006547AC" w:rsidRPr="0053359D">
        <w:rPr>
          <w:rFonts w:ascii="Times New Roman" w:hAnsi="Times New Roman" w:cs="Times New Roman"/>
          <w:sz w:val="28"/>
          <w:szCs w:val="28"/>
        </w:rPr>
        <w:t>a augmenté de 14,0%</w:t>
      </w:r>
      <w:r w:rsidRPr="0053359D">
        <w:rPr>
          <w:rFonts w:ascii="Times New Roman" w:hAnsi="Times New Roman" w:cs="Times New Roman"/>
          <w:sz w:val="28"/>
          <w:szCs w:val="28"/>
        </w:rPr>
        <w:t xml:space="preserve"> en 2004 à </w:t>
      </w:r>
      <w:r w:rsidR="006547AC" w:rsidRPr="0053359D">
        <w:rPr>
          <w:rFonts w:ascii="Times New Roman" w:hAnsi="Times New Roman" w:cs="Times New Roman"/>
          <w:sz w:val="28"/>
          <w:szCs w:val="28"/>
        </w:rPr>
        <w:t>16,6%</w:t>
      </w:r>
      <w:r w:rsidRPr="0053359D">
        <w:rPr>
          <w:rFonts w:ascii="Times New Roman" w:hAnsi="Times New Roman" w:cs="Times New Roman"/>
          <w:sz w:val="28"/>
          <w:szCs w:val="28"/>
        </w:rPr>
        <w:t xml:space="preserve"> en 2014</w:t>
      </w:r>
      <w:r w:rsidR="00D75316" w:rsidRPr="0053359D">
        <w:rPr>
          <w:rFonts w:ascii="Times New Roman" w:hAnsi="Times New Roman" w:cs="Times New Roman"/>
          <w:sz w:val="28"/>
          <w:szCs w:val="28"/>
        </w:rPr>
        <w:t>.</w:t>
      </w:r>
      <w:r w:rsidR="00CA295C" w:rsidRPr="0053359D">
        <w:rPr>
          <w:rFonts w:ascii="Times New Roman" w:hAnsi="Times New Roman" w:cs="Times New Roman"/>
          <w:sz w:val="28"/>
          <w:szCs w:val="28"/>
        </w:rPr>
        <w:t xml:space="preserve"> Parmi cette catégorie des jeunes,</w:t>
      </w:r>
      <w:r w:rsidR="00D75316" w:rsidRPr="0053359D">
        <w:rPr>
          <w:rFonts w:ascii="Times New Roman" w:hAnsi="Times New Roman" w:cs="Times New Roman"/>
          <w:sz w:val="28"/>
          <w:szCs w:val="28"/>
        </w:rPr>
        <w:t xml:space="preserve"> </w:t>
      </w:r>
      <w:r w:rsidRPr="0053359D">
        <w:rPr>
          <w:rFonts w:ascii="Times New Roman" w:hAnsi="Times New Roman" w:cs="Times New Roman"/>
          <w:sz w:val="28"/>
          <w:szCs w:val="28"/>
        </w:rPr>
        <w:t xml:space="preserve">29,2% des filles de la même tranche d’âge ont déjà contracté un premier mariage </w:t>
      </w:r>
      <w:r w:rsidR="00D75316" w:rsidRPr="0053359D">
        <w:rPr>
          <w:rFonts w:ascii="Times New Roman" w:hAnsi="Times New Roman" w:cs="Times New Roman"/>
          <w:sz w:val="28"/>
          <w:szCs w:val="28"/>
        </w:rPr>
        <w:t xml:space="preserve">contre </w:t>
      </w:r>
      <w:r w:rsidRPr="0053359D">
        <w:rPr>
          <w:rFonts w:ascii="Times New Roman" w:hAnsi="Times New Roman" w:cs="Times New Roman"/>
          <w:sz w:val="28"/>
          <w:szCs w:val="28"/>
        </w:rPr>
        <w:t>3,8% des garçons.</w:t>
      </w:r>
    </w:p>
    <w:p w:rsidR="00AB0915" w:rsidRPr="0053359D" w:rsidRDefault="00AB0915" w:rsidP="00BD7E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6B2A" w:rsidRPr="0053359D" w:rsidRDefault="00A66842" w:rsidP="0053359D">
      <w:pPr>
        <w:keepLine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53359D">
        <w:rPr>
          <w:rFonts w:ascii="Times New Roman" w:hAnsi="Times New Roman" w:cs="Times New Roman"/>
          <w:sz w:val="28"/>
          <w:szCs w:val="28"/>
        </w:rPr>
        <w:lastRenderedPageBreak/>
        <w:t>L</w:t>
      </w:r>
      <w:r w:rsidR="003D1BF4" w:rsidRPr="0053359D">
        <w:rPr>
          <w:rFonts w:ascii="Times New Roman" w:hAnsi="Times New Roman" w:cs="Times New Roman"/>
          <w:sz w:val="28"/>
          <w:szCs w:val="28"/>
        </w:rPr>
        <w:t>es jeunes s</w:t>
      </w:r>
      <w:r w:rsidRPr="0053359D">
        <w:rPr>
          <w:rFonts w:ascii="Times New Roman" w:hAnsi="Times New Roman" w:cs="Times New Roman"/>
          <w:sz w:val="28"/>
          <w:szCs w:val="28"/>
        </w:rPr>
        <w:t>on</w:t>
      </w:r>
      <w:r w:rsidR="003D1BF4" w:rsidRPr="0053359D">
        <w:rPr>
          <w:rFonts w:ascii="Times New Roman" w:hAnsi="Times New Roman" w:cs="Times New Roman"/>
          <w:sz w:val="28"/>
          <w:szCs w:val="28"/>
        </w:rPr>
        <w:t>t globalement moins exposé</w:t>
      </w:r>
      <w:r w:rsidRPr="0053359D">
        <w:rPr>
          <w:rFonts w:ascii="Times New Roman" w:hAnsi="Times New Roman" w:cs="Times New Roman"/>
          <w:sz w:val="28"/>
          <w:szCs w:val="28"/>
        </w:rPr>
        <w:t>s</w:t>
      </w:r>
      <w:r w:rsidR="003D1BF4" w:rsidRPr="0053359D">
        <w:rPr>
          <w:rFonts w:ascii="Times New Roman" w:hAnsi="Times New Roman" w:cs="Times New Roman"/>
          <w:sz w:val="28"/>
          <w:szCs w:val="28"/>
        </w:rPr>
        <w:t xml:space="preserve"> </w:t>
      </w:r>
      <w:r w:rsidRPr="0053359D">
        <w:rPr>
          <w:rFonts w:ascii="Times New Roman" w:hAnsi="Times New Roman" w:cs="Times New Roman"/>
          <w:sz w:val="28"/>
          <w:szCs w:val="28"/>
        </w:rPr>
        <w:t>à</w:t>
      </w:r>
      <w:r w:rsidR="003D1BF4" w:rsidRPr="0053359D">
        <w:rPr>
          <w:rFonts w:ascii="Times New Roman" w:hAnsi="Times New Roman" w:cs="Times New Roman"/>
          <w:sz w:val="28"/>
          <w:szCs w:val="28"/>
        </w:rPr>
        <w:t xml:space="preserve"> l’analphabétisme, avec toutefois des disparités selon le sexe et le milieu de résidence. En 2014, le taux d'analphabétisme des jeunes est de 11,0% au niveau national contre 32,2% pour l’ensemble de la population. </w:t>
      </w:r>
      <w:r w:rsidRPr="0053359D">
        <w:rPr>
          <w:rFonts w:ascii="Times New Roman" w:hAnsi="Times New Roman" w:cs="Times New Roman"/>
          <w:sz w:val="28"/>
          <w:szCs w:val="28"/>
        </w:rPr>
        <w:t>14,8% d</w:t>
      </w:r>
      <w:r w:rsidR="003D1BF4" w:rsidRPr="0053359D">
        <w:rPr>
          <w:rFonts w:ascii="Times New Roman" w:hAnsi="Times New Roman" w:cs="Times New Roman"/>
          <w:sz w:val="28"/>
          <w:szCs w:val="28"/>
        </w:rPr>
        <w:t>es jeunes filles sont analphabètes contre 7,2%</w:t>
      </w:r>
      <w:r w:rsidRPr="0053359D">
        <w:rPr>
          <w:rFonts w:ascii="Times New Roman" w:hAnsi="Times New Roman" w:cs="Times New Roman"/>
          <w:sz w:val="28"/>
          <w:szCs w:val="28"/>
        </w:rPr>
        <w:t xml:space="preserve"> des garçons</w:t>
      </w:r>
      <w:r w:rsidR="003D1BF4" w:rsidRPr="0053359D">
        <w:rPr>
          <w:rFonts w:ascii="Times New Roman" w:hAnsi="Times New Roman" w:cs="Times New Roman"/>
          <w:sz w:val="28"/>
          <w:szCs w:val="28"/>
        </w:rPr>
        <w:t xml:space="preserve">. Ce taux est de 4,6% dans le milieu urbain contre 20,1% dans le milieu rural. </w:t>
      </w:r>
      <w:r w:rsidR="000F0B13" w:rsidRPr="0053359D">
        <w:rPr>
          <w:rFonts w:ascii="Times New Roman" w:hAnsi="Times New Roman" w:cs="Times New Roman"/>
          <w:sz w:val="28"/>
          <w:szCs w:val="28"/>
        </w:rPr>
        <w:t>L</w:t>
      </w:r>
      <w:r w:rsidR="003D1BF4" w:rsidRPr="0053359D">
        <w:rPr>
          <w:rFonts w:ascii="Times New Roman" w:hAnsi="Times New Roman" w:cs="Times New Roman"/>
          <w:sz w:val="28"/>
          <w:szCs w:val="28"/>
        </w:rPr>
        <w:t>a différence d’analphabétisme entre les jeunes garçons et les jeunes filles se réduit considérablement lorsqu’on passe du milieu rural au milieu urbain</w:t>
      </w:r>
      <w:r w:rsidR="000F0B13" w:rsidRPr="0053359D">
        <w:rPr>
          <w:rFonts w:ascii="Times New Roman" w:hAnsi="Times New Roman" w:cs="Times New Roman"/>
          <w:sz w:val="28"/>
          <w:szCs w:val="28"/>
        </w:rPr>
        <w:t xml:space="preserve">, soit respectivement </w:t>
      </w:r>
      <w:r w:rsidR="003D1BF4" w:rsidRPr="0053359D">
        <w:rPr>
          <w:rFonts w:ascii="Times New Roman" w:hAnsi="Times New Roman" w:cs="Times New Roman"/>
          <w:sz w:val="28"/>
          <w:szCs w:val="28"/>
        </w:rPr>
        <w:t xml:space="preserve">15 </w:t>
      </w:r>
      <w:r w:rsidR="000F0B13" w:rsidRPr="0053359D">
        <w:rPr>
          <w:rFonts w:ascii="Times New Roman" w:hAnsi="Times New Roman" w:cs="Times New Roman"/>
          <w:sz w:val="28"/>
          <w:szCs w:val="28"/>
        </w:rPr>
        <w:t xml:space="preserve">et </w:t>
      </w:r>
      <w:r w:rsidR="003D1BF4" w:rsidRPr="0053359D">
        <w:rPr>
          <w:rFonts w:ascii="Times New Roman" w:hAnsi="Times New Roman" w:cs="Times New Roman"/>
          <w:sz w:val="28"/>
          <w:szCs w:val="28"/>
        </w:rPr>
        <w:t>2,</w:t>
      </w:r>
      <w:r w:rsidR="00585FB5" w:rsidRPr="0053359D">
        <w:rPr>
          <w:rFonts w:ascii="Times New Roman" w:hAnsi="Times New Roman" w:cs="Times New Roman"/>
          <w:sz w:val="28"/>
          <w:szCs w:val="28"/>
        </w:rPr>
        <w:t>8</w:t>
      </w:r>
      <w:r w:rsidR="003D1BF4" w:rsidRPr="0053359D">
        <w:rPr>
          <w:rFonts w:ascii="Times New Roman" w:hAnsi="Times New Roman" w:cs="Times New Roman"/>
          <w:sz w:val="28"/>
          <w:szCs w:val="28"/>
        </w:rPr>
        <w:t xml:space="preserve"> points</w:t>
      </w:r>
      <w:r w:rsidR="002615D5" w:rsidRPr="0053359D">
        <w:rPr>
          <w:rFonts w:ascii="Times New Roman" w:hAnsi="Times New Roman" w:cs="Times New Roman"/>
          <w:sz w:val="28"/>
          <w:szCs w:val="28"/>
        </w:rPr>
        <w:t xml:space="preserve"> </w:t>
      </w:r>
      <w:r w:rsidR="000F0B13" w:rsidRPr="0053359D">
        <w:rPr>
          <w:rFonts w:ascii="Times New Roman" w:hAnsi="Times New Roman" w:cs="Times New Roman"/>
          <w:sz w:val="28"/>
          <w:szCs w:val="28"/>
        </w:rPr>
        <w:t>d’écart</w:t>
      </w:r>
      <w:r w:rsidR="003D1BF4" w:rsidRPr="0053359D">
        <w:rPr>
          <w:rFonts w:ascii="Times New Roman" w:hAnsi="Times New Roman" w:cs="Times New Roman"/>
          <w:sz w:val="28"/>
          <w:szCs w:val="28"/>
        </w:rPr>
        <w:t>.</w:t>
      </w:r>
    </w:p>
    <w:bookmarkEnd w:id="0"/>
    <w:p w:rsidR="00596B2A" w:rsidRPr="0053359D" w:rsidRDefault="00596B2A" w:rsidP="00BD7E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1BF4" w:rsidRPr="0053359D" w:rsidRDefault="00596B2A" w:rsidP="00BD7E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359D">
        <w:rPr>
          <w:rFonts w:ascii="Times New Roman" w:hAnsi="Times New Roman" w:cs="Times New Roman"/>
          <w:sz w:val="28"/>
          <w:szCs w:val="28"/>
        </w:rPr>
        <w:t>Par région</w:t>
      </w:r>
      <w:r w:rsidR="003D1BF4" w:rsidRPr="0053359D">
        <w:rPr>
          <w:rFonts w:ascii="Times New Roman" w:hAnsi="Times New Roman" w:cs="Times New Roman"/>
          <w:sz w:val="28"/>
          <w:szCs w:val="28"/>
        </w:rPr>
        <w:t xml:space="preserve">, les taux d'analphabétisme des jeunes de 15 à 24 ans varient de 4,0% </w:t>
      </w:r>
      <w:r w:rsidR="000F0B13" w:rsidRPr="0053359D">
        <w:rPr>
          <w:rFonts w:ascii="Times New Roman" w:hAnsi="Times New Roman" w:cs="Times New Roman"/>
          <w:sz w:val="28"/>
          <w:szCs w:val="28"/>
        </w:rPr>
        <w:t>à</w:t>
      </w:r>
      <w:r w:rsidR="003D1BF4" w:rsidRPr="0053359D">
        <w:rPr>
          <w:rFonts w:ascii="Times New Roman" w:hAnsi="Times New Roman" w:cs="Times New Roman"/>
          <w:sz w:val="28"/>
          <w:szCs w:val="28"/>
        </w:rPr>
        <w:t xml:space="preserve"> Laâyoune-Sakia El Hamra à 13,3% </w:t>
      </w:r>
      <w:r w:rsidR="000F0B13" w:rsidRPr="0053359D">
        <w:rPr>
          <w:rFonts w:ascii="Times New Roman" w:hAnsi="Times New Roman" w:cs="Times New Roman"/>
          <w:sz w:val="28"/>
          <w:szCs w:val="28"/>
        </w:rPr>
        <w:t>à</w:t>
      </w:r>
      <w:r w:rsidR="003D1BF4" w:rsidRPr="0053359D">
        <w:rPr>
          <w:rFonts w:ascii="Times New Roman" w:hAnsi="Times New Roman" w:cs="Times New Roman"/>
          <w:sz w:val="28"/>
          <w:szCs w:val="28"/>
        </w:rPr>
        <w:t xml:space="preserve"> Béni Mellal-Khénifra.</w:t>
      </w:r>
    </w:p>
    <w:p w:rsidR="006C7296" w:rsidRPr="0053359D" w:rsidRDefault="006C7296" w:rsidP="00BD7E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1BF4" w:rsidRPr="0053359D" w:rsidRDefault="003D1BF4" w:rsidP="00BD7E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359D">
        <w:rPr>
          <w:rFonts w:ascii="Times New Roman" w:hAnsi="Times New Roman" w:cs="Times New Roman"/>
          <w:sz w:val="28"/>
          <w:szCs w:val="28"/>
        </w:rPr>
        <w:t xml:space="preserve">En 2014, 10,1% </w:t>
      </w:r>
      <w:r w:rsidR="00CA295C" w:rsidRPr="0053359D">
        <w:rPr>
          <w:rFonts w:ascii="Times New Roman" w:hAnsi="Times New Roman" w:cs="Times New Roman"/>
          <w:sz w:val="28"/>
          <w:szCs w:val="28"/>
        </w:rPr>
        <w:t xml:space="preserve">des jeunes de 15-24 ans </w:t>
      </w:r>
      <w:r w:rsidR="00625497" w:rsidRPr="0053359D">
        <w:rPr>
          <w:rFonts w:ascii="Times New Roman" w:hAnsi="Times New Roman" w:cs="Times New Roman"/>
          <w:sz w:val="28"/>
          <w:szCs w:val="28"/>
        </w:rPr>
        <w:t>n’</w:t>
      </w:r>
      <w:r w:rsidRPr="0053359D">
        <w:rPr>
          <w:rFonts w:ascii="Times New Roman" w:hAnsi="Times New Roman" w:cs="Times New Roman"/>
          <w:sz w:val="28"/>
          <w:szCs w:val="28"/>
        </w:rPr>
        <w:t xml:space="preserve">ont aucun niveau d’instruction contre 28,8% en 2004. 24,8% ont </w:t>
      </w:r>
      <w:r w:rsidR="00041715" w:rsidRPr="0053359D">
        <w:rPr>
          <w:rFonts w:ascii="Times New Roman" w:hAnsi="Times New Roman" w:cs="Times New Roman"/>
          <w:sz w:val="28"/>
          <w:szCs w:val="28"/>
        </w:rPr>
        <w:t xml:space="preserve">le </w:t>
      </w:r>
      <w:r w:rsidRPr="0053359D">
        <w:rPr>
          <w:rFonts w:ascii="Times New Roman" w:hAnsi="Times New Roman" w:cs="Times New Roman"/>
          <w:sz w:val="28"/>
          <w:szCs w:val="28"/>
        </w:rPr>
        <w:t xml:space="preserve">niveau primaire (24,4% en 2004), 29,6% </w:t>
      </w:r>
      <w:r w:rsidR="00041715" w:rsidRPr="0053359D">
        <w:rPr>
          <w:rFonts w:ascii="Times New Roman" w:hAnsi="Times New Roman" w:cs="Times New Roman"/>
          <w:sz w:val="28"/>
          <w:szCs w:val="28"/>
        </w:rPr>
        <w:t xml:space="preserve">le </w:t>
      </w:r>
      <w:r w:rsidRPr="0053359D">
        <w:rPr>
          <w:rFonts w:ascii="Times New Roman" w:hAnsi="Times New Roman" w:cs="Times New Roman"/>
          <w:sz w:val="28"/>
          <w:szCs w:val="28"/>
        </w:rPr>
        <w:t xml:space="preserve">niveau secondaire collégial (25,9% en 2004), 24,7% </w:t>
      </w:r>
      <w:r w:rsidR="00041715" w:rsidRPr="0053359D">
        <w:rPr>
          <w:rFonts w:ascii="Times New Roman" w:hAnsi="Times New Roman" w:cs="Times New Roman"/>
          <w:sz w:val="28"/>
          <w:szCs w:val="28"/>
        </w:rPr>
        <w:t>le</w:t>
      </w:r>
      <w:r w:rsidRPr="0053359D">
        <w:rPr>
          <w:rFonts w:ascii="Times New Roman" w:hAnsi="Times New Roman" w:cs="Times New Roman"/>
          <w:sz w:val="28"/>
          <w:szCs w:val="28"/>
        </w:rPr>
        <w:t xml:space="preserve"> niveau secondaire qualifiant (14,6% en 2004), et 10,0% </w:t>
      </w:r>
      <w:r w:rsidR="00041715" w:rsidRPr="0053359D">
        <w:rPr>
          <w:rFonts w:ascii="Times New Roman" w:hAnsi="Times New Roman" w:cs="Times New Roman"/>
          <w:sz w:val="28"/>
          <w:szCs w:val="28"/>
        </w:rPr>
        <w:t>le</w:t>
      </w:r>
      <w:r w:rsidRPr="0053359D">
        <w:rPr>
          <w:rFonts w:ascii="Times New Roman" w:hAnsi="Times New Roman" w:cs="Times New Roman"/>
          <w:sz w:val="28"/>
          <w:szCs w:val="28"/>
        </w:rPr>
        <w:t xml:space="preserve"> niveau supérieur (5,0% en 2004).</w:t>
      </w:r>
    </w:p>
    <w:p w:rsidR="003D1BF4" w:rsidRPr="0053359D" w:rsidRDefault="003D1BF4" w:rsidP="00BD7E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1BF4" w:rsidRPr="0053359D" w:rsidRDefault="003D1BF4" w:rsidP="00BD7E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359D">
        <w:rPr>
          <w:rFonts w:ascii="Times New Roman" w:hAnsi="Times New Roman" w:cs="Times New Roman"/>
          <w:sz w:val="28"/>
          <w:szCs w:val="28"/>
        </w:rPr>
        <w:t xml:space="preserve">En 2014, 69,5% </w:t>
      </w:r>
      <w:r w:rsidR="00A932AD" w:rsidRPr="0053359D">
        <w:rPr>
          <w:rFonts w:ascii="Times New Roman" w:hAnsi="Times New Roman" w:cs="Times New Roman"/>
          <w:sz w:val="28"/>
          <w:szCs w:val="28"/>
        </w:rPr>
        <w:t xml:space="preserve">des jeunes garçons ont bénéficié d’une formation du secondaire ou du supérieur </w:t>
      </w:r>
      <w:r w:rsidRPr="0053359D">
        <w:rPr>
          <w:rFonts w:ascii="Times New Roman" w:hAnsi="Times New Roman" w:cs="Times New Roman"/>
          <w:sz w:val="28"/>
          <w:szCs w:val="28"/>
        </w:rPr>
        <w:t xml:space="preserve">(contre 52,1% en 2004) et 59,0% </w:t>
      </w:r>
      <w:r w:rsidR="00A932AD" w:rsidRPr="0053359D">
        <w:rPr>
          <w:rFonts w:ascii="Times New Roman" w:hAnsi="Times New Roman" w:cs="Times New Roman"/>
          <w:sz w:val="28"/>
          <w:szCs w:val="28"/>
        </w:rPr>
        <w:t xml:space="preserve">des jeunes filles </w:t>
      </w:r>
      <w:r w:rsidRPr="0053359D">
        <w:rPr>
          <w:rFonts w:ascii="Times New Roman" w:hAnsi="Times New Roman" w:cs="Times New Roman"/>
          <w:sz w:val="28"/>
          <w:szCs w:val="28"/>
        </w:rPr>
        <w:t xml:space="preserve">(contre 39,1% en 2004). </w:t>
      </w:r>
      <w:r w:rsidR="00A932AD" w:rsidRPr="0053359D">
        <w:rPr>
          <w:rFonts w:ascii="Times New Roman" w:hAnsi="Times New Roman" w:cs="Times New Roman"/>
          <w:sz w:val="28"/>
          <w:szCs w:val="28"/>
        </w:rPr>
        <w:t xml:space="preserve">14,0% </w:t>
      </w:r>
      <w:r w:rsidRPr="0053359D">
        <w:rPr>
          <w:rFonts w:ascii="Times New Roman" w:hAnsi="Times New Roman" w:cs="Times New Roman"/>
          <w:sz w:val="28"/>
          <w:szCs w:val="28"/>
        </w:rPr>
        <w:t xml:space="preserve">des jeunes filles </w:t>
      </w:r>
      <w:r w:rsidR="00A932AD" w:rsidRPr="0053359D">
        <w:rPr>
          <w:rFonts w:ascii="Times New Roman" w:hAnsi="Times New Roman" w:cs="Times New Roman"/>
          <w:sz w:val="28"/>
          <w:szCs w:val="28"/>
        </w:rPr>
        <w:t>n’</w:t>
      </w:r>
      <w:r w:rsidRPr="0053359D">
        <w:rPr>
          <w:rFonts w:ascii="Times New Roman" w:hAnsi="Times New Roman" w:cs="Times New Roman"/>
          <w:sz w:val="28"/>
          <w:szCs w:val="28"/>
        </w:rPr>
        <w:t xml:space="preserve">ont aucun niveau d’instruction </w:t>
      </w:r>
      <w:r w:rsidR="00A932AD" w:rsidRPr="0053359D">
        <w:rPr>
          <w:rFonts w:ascii="Times New Roman" w:hAnsi="Times New Roman" w:cs="Times New Roman"/>
          <w:sz w:val="28"/>
          <w:szCs w:val="28"/>
        </w:rPr>
        <w:t xml:space="preserve">contre 6,1% </w:t>
      </w:r>
      <w:r w:rsidRPr="0053359D">
        <w:rPr>
          <w:rFonts w:ascii="Times New Roman" w:hAnsi="Times New Roman" w:cs="Times New Roman"/>
          <w:sz w:val="28"/>
          <w:szCs w:val="28"/>
        </w:rPr>
        <w:t xml:space="preserve">des jeunes garçons, </w:t>
      </w:r>
      <w:r w:rsidR="008D4B12" w:rsidRPr="0053359D">
        <w:rPr>
          <w:rFonts w:ascii="Times New Roman" w:hAnsi="Times New Roman" w:cs="Times New Roman"/>
          <w:sz w:val="28"/>
          <w:szCs w:val="28"/>
        </w:rPr>
        <w:t xml:space="preserve">contre </w:t>
      </w:r>
      <w:r w:rsidR="00A932AD" w:rsidRPr="0053359D">
        <w:rPr>
          <w:rFonts w:ascii="Times New Roman" w:hAnsi="Times New Roman" w:cs="Times New Roman"/>
          <w:sz w:val="28"/>
          <w:szCs w:val="28"/>
        </w:rPr>
        <w:t>respectivement</w:t>
      </w:r>
      <w:r w:rsidRPr="0053359D">
        <w:rPr>
          <w:rFonts w:ascii="Times New Roman" w:hAnsi="Times New Roman" w:cs="Times New Roman"/>
          <w:sz w:val="28"/>
          <w:szCs w:val="28"/>
        </w:rPr>
        <w:t xml:space="preserve"> 39,1% </w:t>
      </w:r>
      <w:r w:rsidR="008D4B12" w:rsidRPr="0053359D">
        <w:rPr>
          <w:rFonts w:ascii="Times New Roman" w:hAnsi="Times New Roman" w:cs="Times New Roman"/>
          <w:sz w:val="28"/>
          <w:szCs w:val="28"/>
        </w:rPr>
        <w:t xml:space="preserve">et </w:t>
      </w:r>
      <w:r w:rsidR="00A932AD" w:rsidRPr="0053359D">
        <w:rPr>
          <w:rFonts w:ascii="Times New Roman" w:hAnsi="Times New Roman" w:cs="Times New Roman"/>
          <w:sz w:val="28"/>
          <w:szCs w:val="28"/>
        </w:rPr>
        <w:t xml:space="preserve">18,1% </w:t>
      </w:r>
      <w:r w:rsidRPr="0053359D">
        <w:rPr>
          <w:rFonts w:ascii="Times New Roman" w:hAnsi="Times New Roman" w:cs="Times New Roman"/>
          <w:sz w:val="28"/>
          <w:szCs w:val="28"/>
        </w:rPr>
        <w:t xml:space="preserve">en 2004. 22,9% </w:t>
      </w:r>
      <w:r w:rsidR="001E4AF7" w:rsidRPr="0053359D">
        <w:rPr>
          <w:rFonts w:ascii="Times New Roman" w:hAnsi="Times New Roman" w:cs="Times New Roman"/>
          <w:sz w:val="28"/>
          <w:szCs w:val="28"/>
        </w:rPr>
        <w:t>d</w:t>
      </w:r>
      <w:r w:rsidRPr="0053359D">
        <w:rPr>
          <w:rFonts w:ascii="Times New Roman" w:hAnsi="Times New Roman" w:cs="Times New Roman"/>
          <w:sz w:val="28"/>
          <w:szCs w:val="28"/>
        </w:rPr>
        <w:t xml:space="preserve">es jeunes garçons </w:t>
      </w:r>
      <w:r w:rsidR="001E4AF7" w:rsidRPr="0053359D">
        <w:rPr>
          <w:rFonts w:ascii="Times New Roman" w:hAnsi="Times New Roman" w:cs="Times New Roman"/>
          <w:sz w:val="28"/>
          <w:szCs w:val="28"/>
        </w:rPr>
        <w:t xml:space="preserve">ont le niveau du primaire </w:t>
      </w:r>
      <w:r w:rsidRPr="0053359D">
        <w:rPr>
          <w:rFonts w:ascii="Times New Roman" w:hAnsi="Times New Roman" w:cs="Times New Roman"/>
          <w:sz w:val="28"/>
          <w:szCs w:val="28"/>
        </w:rPr>
        <w:t xml:space="preserve">(27,4% en 2004) </w:t>
      </w:r>
      <w:r w:rsidR="001E4AF7" w:rsidRPr="0053359D">
        <w:rPr>
          <w:rFonts w:ascii="Times New Roman" w:hAnsi="Times New Roman" w:cs="Times New Roman"/>
          <w:sz w:val="28"/>
          <w:szCs w:val="28"/>
        </w:rPr>
        <w:t xml:space="preserve">contre </w:t>
      </w:r>
      <w:r w:rsidRPr="0053359D">
        <w:rPr>
          <w:rFonts w:ascii="Times New Roman" w:hAnsi="Times New Roman" w:cs="Times New Roman"/>
          <w:sz w:val="28"/>
          <w:szCs w:val="28"/>
        </w:rPr>
        <w:t xml:space="preserve">26,8% </w:t>
      </w:r>
      <w:r w:rsidR="001E4AF7" w:rsidRPr="0053359D">
        <w:rPr>
          <w:rFonts w:ascii="Times New Roman" w:hAnsi="Times New Roman" w:cs="Times New Roman"/>
          <w:sz w:val="28"/>
          <w:szCs w:val="28"/>
        </w:rPr>
        <w:t>d</w:t>
      </w:r>
      <w:r w:rsidRPr="0053359D">
        <w:rPr>
          <w:rFonts w:ascii="Times New Roman" w:hAnsi="Times New Roman" w:cs="Times New Roman"/>
          <w:sz w:val="28"/>
          <w:szCs w:val="28"/>
        </w:rPr>
        <w:t>es filles (21,5% en 2004).</w:t>
      </w:r>
    </w:p>
    <w:p w:rsidR="003D1BF4" w:rsidRPr="0053359D" w:rsidRDefault="003D1BF4" w:rsidP="00BD7E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1BF4" w:rsidRPr="0053359D" w:rsidRDefault="003D1BF4" w:rsidP="00BD7E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359D">
        <w:rPr>
          <w:rFonts w:ascii="Times New Roman" w:hAnsi="Times New Roman" w:cs="Times New Roman"/>
          <w:sz w:val="28"/>
          <w:szCs w:val="28"/>
        </w:rPr>
        <w:t xml:space="preserve">4,3% des jeunes sans niveau d’instruction résident en milieu urbain (13,1% en 2004) </w:t>
      </w:r>
      <w:r w:rsidR="007C60FC" w:rsidRPr="0053359D">
        <w:rPr>
          <w:rFonts w:ascii="Times New Roman" w:hAnsi="Times New Roman" w:cs="Times New Roman"/>
          <w:sz w:val="28"/>
          <w:szCs w:val="28"/>
        </w:rPr>
        <w:t>contre</w:t>
      </w:r>
      <w:r w:rsidRPr="0053359D">
        <w:rPr>
          <w:rFonts w:ascii="Times New Roman" w:hAnsi="Times New Roman" w:cs="Times New Roman"/>
          <w:sz w:val="28"/>
          <w:szCs w:val="28"/>
        </w:rPr>
        <w:t xml:space="preserve"> 18,4% en milieu rural (46,8% en 2004). Prés du tiers des jeunes </w:t>
      </w:r>
      <w:r w:rsidR="007C60FC" w:rsidRPr="0053359D">
        <w:rPr>
          <w:rFonts w:ascii="Times New Roman" w:hAnsi="Times New Roman" w:cs="Times New Roman"/>
          <w:sz w:val="28"/>
          <w:szCs w:val="28"/>
        </w:rPr>
        <w:t>d</w:t>
      </w:r>
      <w:r w:rsidRPr="0053359D">
        <w:rPr>
          <w:rFonts w:ascii="Times New Roman" w:hAnsi="Times New Roman" w:cs="Times New Roman"/>
          <w:sz w:val="28"/>
          <w:szCs w:val="28"/>
        </w:rPr>
        <w:t>es villes ont le niveau d</w:t>
      </w:r>
      <w:r w:rsidR="007C60FC" w:rsidRPr="0053359D">
        <w:rPr>
          <w:rFonts w:ascii="Times New Roman" w:hAnsi="Times New Roman" w:cs="Times New Roman"/>
          <w:sz w:val="28"/>
          <w:szCs w:val="28"/>
        </w:rPr>
        <w:t>u</w:t>
      </w:r>
      <w:r w:rsidRPr="0053359D">
        <w:rPr>
          <w:rFonts w:ascii="Times New Roman" w:hAnsi="Times New Roman" w:cs="Times New Roman"/>
          <w:sz w:val="28"/>
          <w:szCs w:val="28"/>
        </w:rPr>
        <w:t xml:space="preserve"> secondaire qualifiant (22,5% en 2004) </w:t>
      </w:r>
      <w:r w:rsidR="007C60FC" w:rsidRPr="0053359D">
        <w:rPr>
          <w:rFonts w:ascii="Times New Roman" w:hAnsi="Times New Roman" w:cs="Times New Roman"/>
          <w:sz w:val="28"/>
          <w:szCs w:val="28"/>
        </w:rPr>
        <w:t>contre</w:t>
      </w:r>
      <w:r w:rsidRPr="0053359D">
        <w:rPr>
          <w:rFonts w:ascii="Times New Roman" w:hAnsi="Times New Roman" w:cs="Times New Roman"/>
          <w:sz w:val="28"/>
          <w:szCs w:val="28"/>
        </w:rPr>
        <w:t xml:space="preserve"> 11,8% d</w:t>
      </w:r>
      <w:r w:rsidR="007C60FC" w:rsidRPr="0053359D">
        <w:rPr>
          <w:rFonts w:ascii="Times New Roman" w:hAnsi="Times New Roman" w:cs="Times New Roman"/>
          <w:sz w:val="28"/>
          <w:szCs w:val="28"/>
        </w:rPr>
        <w:t>e</w:t>
      </w:r>
      <w:r w:rsidRPr="0053359D">
        <w:rPr>
          <w:rFonts w:ascii="Times New Roman" w:hAnsi="Times New Roman" w:cs="Times New Roman"/>
          <w:sz w:val="28"/>
          <w:szCs w:val="28"/>
        </w:rPr>
        <w:t xml:space="preserve">s </w:t>
      </w:r>
      <w:r w:rsidR="007C60FC" w:rsidRPr="0053359D">
        <w:rPr>
          <w:rFonts w:ascii="Times New Roman" w:hAnsi="Times New Roman" w:cs="Times New Roman"/>
          <w:sz w:val="28"/>
          <w:szCs w:val="28"/>
        </w:rPr>
        <w:t>jeunes d</w:t>
      </w:r>
      <w:r w:rsidRPr="0053359D">
        <w:rPr>
          <w:rFonts w:ascii="Times New Roman" w:hAnsi="Times New Roman" w:cs="Times New Roman"/>
          <w:sz w:val="28"/>
          <w:szCs w:val="28"/>
        </w:rPr>
        <w:t>es campagnes (5,4% en 2004). Seuls 3,7% parmi les jeunes ruraux ont atteint le supérieur (1,6% en 2004), contre 14,3% parmi les jeunes urbains (7,8% en 2004).</w:t>
      </w:r>
    </w:p>
    <w:p w:rsidR="003D1BF4" w:rsidRPr="0053359D" w:rsidRDefault="003D1BF4" w:rsidP="00BD7E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1BF4" w:rsidRPr="0053359D" w:rsidRDefault="000678E2" w:rsidP="00BD7E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359D">
        <w:rPr>
          <w:rFonts w:ascii="Times New Roman" w:hAnsi="Times New Roman" w:cs="Times New Roman"/>
          <w:sz w:val="28"/>
          <w:szCs w:val="28"/>
        </w:rPr>
        <w:t>L</w:t>
      </w:r>
      <w:r w:rsidR="003D1BF4" w:rsidRPr="0053359D">
        <w:rPr>
          <w:rFonts w:ascii="Times New Roman" w:hAnsi="Times New Roman" w:cs="Times New Roman"/>
          <w:sz w:val="28"/>
          <w:szCs w:val="28"/>
        </w:rPr>
        <w:t>e taux d’activité des jeunes de 15 à 24 ans a baissé entre 2004 et 2014</w:t>
      </w:r>
      <w:r w:rsidRPr="0053359D">
        <w:rPr>
          <w:rFonts w:ascii="Times New Roman" w:hAnsi="Times New Roman" w:cs="Times New Roman"/>
          <w:sz w:val="28"/>
          <w:szCs w:val="28"/>
        </w:rPr>
        <w:t xml:space="preserve">. Il est </w:t>
      </w:r>
      <w:r w:rsidR="001A316E" w:rsidRPr="0053359D">
        <w:rPr>
          <w:rFonts w:ascii="Times New Roman" w:hAnsi="Times New Roman" w:cs="Times New Roman"/>
          <w:sz w:val="28"/>
          <w:szCs w:val="28"/>
        </w:rPr>
        <w:t xml:space="preserve">passé </w:t>
      </w:r>
      <w:r w:rsidR="003D1BF4" w:rsidRPr="0053359D">
        <w:rPr>
          <w:rFonts w:ascii="Times New Roman" w:hAnsi="Times New Roman" w:cs="Times New Roman"/>
          <w:sz w:val="28"/>
          <w:szCs w:val="28"/>
        </w:rPr>
        <w:t xml:space="preserve">de 47,0% à 35,2%. </w:t>
      </w:r>
      <w:r w:rsidRPr="0053359D">
        <w:rPr>
          <w:rFonts w:ascii="Times New Roman" w:hAnsi="Times New Roman" w:cs="Times New Roman"/>
          <w:sz w:val="28"/>
          <w:szCs w:val="28"/>
        </w:rPr>
        <w:t>I</w:t>
      </w:r>
      <w:r w:rsidR="003D1BF4" w:rsidRPr="0053359D">
        <w:rPr>
          <w:rFonts w:ascii="Times New Roman" w:hAnsi="Times New Roman" w:cs="Times New Roman"/>
          <w:sz w:val="28"/>
          <w:szCs w:val="28"/>
        </w:rPr>
        <w:t>l est de 38,6% dans les campagnes (53,0% en 2004) contre 32,8% dans les villes (41,9% en 2004). Il s’établit à 52,6% pour les jeunes garçons (64,4% en 2004) contre 17,9% pour les jeunes filles (30,4% en 2004).</w:t>
      </w:r>
    </w:p>
    <w:p w:rsidR="003D1BF4" w:rsidRPr="0053359D" w:rsidRDefault="00ED6595" w:rsidP="00BD7E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3101D1" w:rsidRPr="0053359D" w:rsidRDefault="00AD6488" w:rsidP="0053359D">
      <w:pPr>
        <w:keepLine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359D">
        <w:rPr>
          <w:rFonts w:ascii="Times New Roman" w:hAnsi="Times New Roman" w:cs="Times New Roman"/>
          <w:sz w:val="28"/>
          <w:szCs w:val="28"/>
        </w:rPr>
        <w:t>L</w:t>
      </w:r>
      <w:r w:rsidR="003D1BF4" w:rsidRPr="0053359D">
        <w:rPr>
          <w:rFonts w:ascii="Times New Roman" w:hAnsi="Times New Roman" w:cs="Times New Roman"/>
          <w:sz w:val="28"/>
          <w:szCs w:val="28"/>
        </w:rPr>
        <w:t xml:space="preserve">es </w:t>
      </w:r>
      <w:r w:rsidRPr="0053359D">
        <w:rPr>
          <w:rFonts w:ascii="Times New Roman" w:hAnsi="Times New Roman" w:cs="Times New Roman"/>
          <w:sz w:val="28"/>
          <w:szCs w:val="28"/>
        </w:rPr>
        <w:t xml:space="preserve">taux d’activité des </w:t>
      </w:r>
      <w:r w:rsidR="003D1BF4" w:rsidRPr="0053359D">
        <w:rPr>
          <w:rFonts w:ascii="Times New Roman" w:hAnsi="Times New Roman" w:cs="Times New Roman"/>
          <w:sz w:val="28"/>
          <w:szCs w:val="28"/>
        </w:rPr>
        <w:t>régions de Tanger-Tétouan-Al Hoceïma et Dakhla-Oued Ed Dahab</w:t>
      </w:r>
      <w:r w:rsidRPr="0053359D">
        <w:rPr>
          <w:rFonts w:ascii="Times New Roman" w:hAnsi="Times New Roman" w:cs="Times New Roman"/>
          <w:sz w:val="28"/>
          <w:szCs w:val="28"/>
        </w:rPr>
        <w:t xml:space="preserve">, de </w:t>
      </w:r>
      <w:r w:rsidR="003D1BF4" w:rsidRPr="0053359D">
        <w:rPr>
          <w:rFonts w:ascii="Times New Roman" w:hAnsi="Times New Roman" w:cs="Times New Roman"/>
          <w:sz w:val="28"/>
          <w:szCs w:val="28"/>
        </w:rPr>
        <w:t>42,2% et 41,6</w:t>
      </w:r>
      <w:r w:rsidR="00A76190" w:rsidRPr="0053359D">
        <w:rPr>
          <w:rFonts w:ascii="Times New Roman" w:hAnsi="Times New Roman" w:cs="Times New Roman"/>
          <w:sz w:val="28"/>
          <w:szCs w:val="28"/>
        </w:rPr>
        <w:t>%</w:t>
      </w:r>
      <w:r w:rsidR="003D1BF4" w:rsidRPr="0053359D">
        <w:rPr>
          <w:rFonts w:ascii="Times New Roman" w:hAnsi="Times New Roman" w:cs="Times New Roman"/>
          <w:sz w:val="28"/>
          <w:szCs w:val="28"/>
        </w:rPr>
        <w:t xml:space="preserve"> </w:t>
      </w:r>
      <w:r w:rsidR="00A76190" w:rsidRPr="0053359D">
        <w:rPr>
          <w:rFonts w:ascii="Times New Roman" w:hAnsi="Times New Roman" w:cs="Times New Roman"/>
          <w:sz w:val="28"/>
          <w:szCs w:val="28"/>
        </w:rPr>
        <w:t xml:space="preserve">respectivement, </w:t>
      </w:r>
      <w:r w:rsidRPr="0053359D">
        <w:rPr>
          <w:rFonts w:ascii="Times New Roman" w:hAnsi="Times New Roman" w:cs="Times New Roman"/>
          <w:sz w:val="28"/>
          <w:szCs w:val="28"/>
        </w:rPr>
        <w:t>dépassent le taux national</w:t>
      </w:r>
      <w:r w:rsidR="00A76190" w:rsidRPr="0053359D">
        <w:rPr>
          <w:rFonts w:ascii="Times New Roman" w:hAnsi="Times New Roman" w:cs="Times New Roman"/>
          <w:sz w:val="28"/>
          <w:szCs w:val="28"/>
        </w:rPr>
        <w:t xml:space="preserve"> de</w:t>
      </w:r>
      <w:r w:rsidRPr="0053359D">
        <w:rPr>
          <w:rFonts w:ascii="Times New Roman" w:hAnsi="Times New Roman" w:cs="Times New Roman"/>
          <w:sz w:val="28"/>
          <w:szCs w:val="28"/>
        </w:rPr>
        <w:t xml:space="preserve"> 35,2%</w:t>
      </w:r>
      <w:r w:rsidR="003D1BF4" w:rsidRPr="0053359D">
        <w:rPr>
          <w:rFonts w:ascii="Times New Roman" w:hAnsi="Times New Roman" w:cs="Times New Roman"/>
          <w:sz w:val="28"/>
          <w:szCs w:val="28"/>
        </w:rPr>
        <w:t xml:space="preserve">. Les régions de Béni Mellal-Khénifra, Casablanca-Settat, Fès-Meknès, Rabat-Salé-Kénitra, l’Oriental et Marrakech-Safi présentent des niveaux proches du taux national. En </w:t>
      </w:r>
      <w:r w:rsidR="00727FE4" w:rsidRPr="0053359D">
        <w:rPr>
          <w:rFonts w:ascii="Times New Roman" w:hAnsi="Times New Roman" w:cs="Times New Roman"/>
          <w:sz w:val="28"/>
          <w:szCs w:val="28"/>
        </w:rPr>
        <w:t>revanche</w:t>
      </w:r>
      <w:r w:rsidR="003D1BF4" w:rsidRPr="0053359D">
        <w:rPr>
          <w:rFonts w:ascii="Times New Roman" w:hAnsi="Times New Roman" w:cs="Times New Roman"/>
          <w:sz w:val="28"/>
          <w:szCs w:val="28"/>
        </w:rPr>
        <w:t xml:space="preserve">, c’est dans les régions de </w:t>
      </w:r>
      <w:r w:rsidR="00387365" w:rsidRPr="0053359D">
        <w:rPr>
          <w:rFonts w:ascii="Times New Roman" w:hAnsi="Times New Roman" w:cs="Times New Roman"/>
          <w:sz w:val="28"/>
          <w:szCs w:val="28"/>
        </w:rPr>
        <w:t xml:space="preserve">Laâyoune-Sakia El Hamra (32,5%), Souss-Massa (29,7%), Drâa-Tafilalet (28,2%) et </w:t>
      </w:r>
      <w:r w:rsidR="003D1BF4" w:rsidRPr="0053359D">
        <w:rPr>
          <w:rFonts w:ascii="Times New Roman" w:hAnsi="Times New Roman" w:cs="Times New Roman"/>
          <w:sz w:val="28"/>
          <w:szCs w:val="28"/>
        </w:rPr>
        <w:t>Guelmim-Oued Noun (26,3%), où l’on observe les plus faibles taux d’activité des jeunes.</w:t>
      </w:r>
    </w:p>
    <w:sectPr w:rsidR="003101D1" w:rsidRPr="0053359D" w:rsidSect="001162E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4752" w:rsidRDefault="00C64752" w:rsidP="00A01B4E">
      <w:pPr>
        <w:spacing w:after="0" w:line="240" w:lineRule="auto"/>
      </w:pPr>
      <w:r>
        <w:separator/>
      </w:r>
    </w:p>
  </w:endnote>
  <w:endnote w:type="continuationSeparator" w:id="0">
    <w:p w:rsidR="00C64752" w:rsidRDefault="00C64752" w:rsidP="00A01B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3323999"/>
      <w:docPartObj>
        <w:docPartGallery w:val="Page Numbers (Bottom of Page)"/>
        <w:docPartUnique/>
      </w:docPartObj>
    </w:sdtPr>
    <w:sdtContent>
      <w:p w:rsidR="00A01B4E" w:rsidRDefault="00021B63">
        <w:pPr>
          <w:pStyle w:val="Pieddepage"/>
          <w:jc w:val="center"/>
        </w:pPr>
        <w:r>
          <w:fldChar w:fldCharType="begin"/>
        </w:r>
        <w:r w:rsidR="001644D1">
          <w:instrText xml:space="preserve"> PAGE   \* MERGEFORMAT </w:instrText>
        </w:r>
        <w:r>
          <w:fldChar w:fldCharType="separate"/>
        </w:r>
        <w:r w:rsidR="00C6475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01B4E" w:rsidRDefault="00A01B4E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4752" w:rsidRDefault="00C64752" w:rsidP="00A01B4E">
      <w:pPr>
        <w:spacing w:after="0" w:line="240" w:lineRule="auto"/>
      </w:pPr>
      <w:r>
        <w:separator/>
      </w:r>
    </w:p>
  </w:footnote>
  <w:footnote w:type="continuationSeparator" w:id="0">
    <w:p w:rsidR="00C64752" w:rsidRDefault="00C64752" w:rsidP="00A01B4E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p">
    <w15:presenceInfo w15:providerId="None" w15:userId="hp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A872BC"/>
    <w:rsid w:val="0000029E"/>
    <w:rsid w:val="00003814"/>
    <w:rsid w:val="00004598"/>
    <w:rsid w:val="00021B63"/>
    <w:rsid w:val="00027A43"/>
    <w:rsid w:val="00030909"/>
    <w:rsid w:val="00041715"/>
    <w:rsid w:val="00042862"/>
    <w:rsid w:val="000678E2"/>
    <w:rsid w:val="00070E45"/>
    <w:rsid w:val="00074386"/>
    <w:rsid w:val="00090AAD"/>
    <w:rsid w:val="000927B4"/>
    <w:rsid w:val="0009413B"/>
    <w:rsid w:val="000A2187"/>
    <w:rsid w:val="000C0E72"/>
    <w:rsid w:val="000C5DAA"/>
    <w:rsid w:val="000F0B13"/>
    <w:rsid w:val="000F14DF"/>
    <w:rsid w:val="00106D9C"/>
    <w:rsid w:val="001162EA"/>
    <w:rsid w:val="00150DA9"/>
    <w:rsid w:val="00151336"/>
    <w:rsid w:val="001644D1"/>
    <w:rsid w:val="0016455A"/>
    <w:rsid w:val="00173D24"/>
    <w:rsid w:val="00191CB3"/>
    <w:rsid w:val="001959DB"/>
    <w:rsid w:val="001A316E"/>
    <w:rsid w:val="001A62A3"/>
    <w:rsid w:val="001D4630"/>
    <w:rsid w:val="001E4AF7"/>
    <w:rsid w:val="00213853"/>
    <w:rsid w:val="00252E6B"/>
    <w:rsid w:val="002615D5"/>
    <w:rsid w:val="00271D92"/>
    <w:rsid w:val="00297119"/>
    <w:rsid w:val="002A336A"/>
    <w:rsid w:val="002A585B"/>
    <w:rsid w:val="002B3EAB"/>
    <w:rsid w:val="002B7FD0"/>
    <w:rsid w:val="002D08EC"/>
    <w:rsid w:val="003101D1"/>
    <w:rsid w:val="00311577"/>
    <w:rsid w:val="00315318"/>
    <w:rsid w:val="00344CAD"/>
    <w:rsid w:val="00387365"/>
    <w:rsid w:val="003A53FD"/>
    <w:rsid w:val="003D1BF4"/>
    <w:rsid w:val="00413150"/>
    <w:rsid w:val="00415EFB"/>
    <w:rsid w:val="00437232"/>
    <w:rsid w:val="00440F54"/>
    <w:rsid w:val="004573B7"/>
    <w:rsid w:val="00477D6A"/>
    <w:rsid w:val="004B572B"/>
    <w:rsid w:val="004C6889"/>
    <w:rsid w:val="004E467D"/>
    <w:rsid w:val="004F5DB7"/>
    <w:rsid w:val="00521FCF"/>
    <w:rsid w:val="0053359D"/>
    <w:rsid w:val="00536625"/>
    <w:rsid w:val="00541C23"/>
    <w:rsid w:val="0055054A"/>
    <w:rsid w:val="0055727A"/>
    <w:rsid w:val="00563964"/>
    <w:rsid w:val="00585FB5"/>
    <w:rsid w:val="00596B2A"/>
    <w:rsid w:val="005A7990"/>
    <w:rsid w:val="005B1FE7"/>
    <w:rsid w:val="005B3EA1"/>
    <w:rsid w:val="00624623"/>
    <w:rsid w:val="00625497"/>
    <w:rsid w:val="0062790A"/>
    <w:rsid w:val="006547AC"/>
    <w:rsid w:val="0067354F"/>
    <w:rsid w:val="00684E53"/>
    <w:rsid w:val="00692936"/>
    <w:rsid w:val="0069645D"/>
    <w:rsid w:val="006B687B"/>
    <w:rsid w:val="006B7A1B"/>
    <w:rsid w:val="006C7296"/>
    <w:rsid w:val="006F473D"/>
    <w:rsid w:val="006F4D57"/>
    <w:rsid w:val="00727700"/>
    <w:rsid w:val="00727FE4"/>
    <w:rsid w:val="007503CE"/>
    <w:rsid w:val="00753F0C"/>
    <w:rsid w:val="00755401"/>
    <w:rsid w:val="007B43F6"/>
    <w:rsid w:val="007C235F"/>
    <w:rsid w:val="007C290F"/>
    <w:rsid w:val="007C60FC"/>
    <w:rsid w:val="007D06BF"/>
    <w:rsid w:val="007D126F"/>
    <w:rsid w:val="007D253D"/>
    <w:rsid w:val="00804678"/>
    <w:rsid w:val="008447E1"/>
    <w:rsid w:val="00875C57"/>
    <w:rsid w:val="00882762"/>
    <w:rsid w:val="00885819"/>
    <w:rsid w:val="008C08E3"/>
    <w:rsid w:val="008C47BD"/>
    <w:rsid w:val="008D4B12"/>
    <w:rsid w:val="008F71F2"/>
    <w:rsid w:val="0090286A"/>
    <w:rsid w:val="00905CBC"/>
    <w:rsid w:val="00935B48"/>
    <w:rsid w:val="009502BA"/>
    <w:rsid w:val="00962DC8"/>
    <w:rsid w:val="00963AFB"/>
    <w:rsid w:val="00973FC9"/>
    <w:rsid w:val="009926B2"/>
    <w:rsid w:val="009A3E2F"/>
    <w:rsid w:val="009B2285"/>
    <w:rsid w:val="009C2B55"/>
    <w:rsid w:val="00A01B4E"/>
    <w:rsid w:val="00A04E3A"/>
    <w:rsid w:val="00A054C1"/>
    <w:rsid w:val="00A057A4"/>
    <w:rsid w:val="00A46D58"/>
    <w:rsid w:val="00A66842"/>
    <w:rsid w:val="00A7233E"/>
    <w:rsid w:val="00A76190"/>
    <w:rsid w:val="00A872BC"/>
    <w:rsid w:val="00A932AD"/>
    <w:rsid w:val="00AA2420"/>
    <w:rsid w:val="00AA5850"/>
    <w:rsid w:val="00AB0915"/>
    <w:rsid w:val="00AB440C"/>
    <w:rsid w:val="00AC6160"/>
    <w:rsid w:val="00AC6F41"/>
    <w:rsid w:val="00AD439E"/>
    <w:rsid w:val="00AD5DF9"/>
    <w:rsid w:val="00AD6488"/>
    <w:rsid w:val="00AD7375"/>
    <w:rsid w:val="00B305E4"/>
    <w:rsid w:val="00B36ACD"/>
    <w:rsid w:val="00B4347F"/>
    <w:rsid w:val="00B528DF"/>
    <w:rsid w:val="00B536A3"/>
    <w:rsid w:val="00B55889"/>
    <w:rsid w:val="00B67EF4"/>
    <w:rsid w:val="00B96098"/>
    <w:rsid w:val="00BA00F2"/>
    <w:rsid w:val="00BB06B0"/>
    <w:rsid w:val="00BD1431"/>
    <w:rsid w:val="00BD3B32"/>
    <w:rsid w:val="00BD7ED2"/>
    <w:rsid w:val="00C307C6"/>
    <w:rsid w:val="00C47912"/>
    <w:rsid w:val="00C64752"/>
    <w:rsid w:val="00CA295B"/>
    <w:rsid w:val="00CA295C"/>
    <w:rsid w:val="00CA5B12"/>
    <w:rsid w:val="00CC4936"/>
    <w:rsid w:val="00CD117B"/>
    <w:rsid w:val="00D16385"/>
    <w:rsid w:val="00D313EB"/>
    <w:rsid w:val="00D35CD7"/>
    <w:rsid w:val="00D75316"/>
    <w:rsid w:val="00D92F15"/>
    <w:rsid w:val="00DF100A"/>
    <w:rsid w:val="00E54870"/>
    <w:rsid w:val="00E843B9"/>
    <w:rsid w:val="00E924C0"/>
    <w:rsid w:val="00EB07D6"/>
    <w:rsid w:val="00EC0B52"/>
    <w:rsid w:val="00EC3D56"/>
    <w:rsid w:val="00ED6595"/>
    <w:rsid w:val="00EF72D3"/>
    <w:rsid w:val="00F0248B"/>
    <w:rsid w:val="00F255C8"/>
    <w:rsid w:val="00F4192C"/>
    <w:rsid w:val="00F43302"/>
    <w:rsid w:val="00F4379C"/>
    <w:rsid w:val="00F45048"/>
    <w:rsid w:val="00F46DDE"/>
    <w:rsid w:val="00F5113C"/>
    <w:rsid w:val="00F95AD9"/>
    <w:rsid w:val="00FB49E5"/>
    <w:rsid w:val="00FC50CE"/>
    <w:rsid w:val="00FC6E24"/>
    <w:rsid w:val="00FD0CBA"/>
    <w:rsid w:val="00FE5D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1BF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21">
    <w:name w:val="A2+1"/>
    <w:uiPriority w:val="99"/>
    <w:rsid w:val="00003814"/>
    <w:rPr>
      <w:color w:val="000000"/>
      <w:sz w:val="26"/>
      <w:szCs w:val="26"/>
    </w:rPr>
  </w:style>
  <w:style w:type="table" w:styleId="Grilledutableau">
    <w:name w:val="Table Grid"/>
    <w:basedOn w:val="TableauNormal"/>
    <w:uiPriority w:val="59"/>
    <w:rsid w:val="007C23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F437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4379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A585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semiHidden/>
    <w:unhideWhenUsed/>
    <w:rsid w:val="00A01B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A01B4E"/>
  </w:style>
  <w:style w:type="paragraph" w:styleId="Pieddepage">
    <w:name w:val="footer"/>
    <w:basedOn w:val="Normal"/>
    <w:link w:val="PieddepageCar"/>
    <w:uiPriority w:val="99"/>
    <w:unhideWhenUsed/>
    <w:rsid w:val="00A01B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01B4E"/>
  </w:style>
  <w:style w:type="paragraph" w:styleId="Rvision">
    <w:name w:val="Revision"/>
    <w:hidden/>
    <w:uiPriority w:val="99"/>
    <w:semiHidden/>
    <w:rsid w:val="00935B4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8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microsoft.com/office/2011/relationships/people" Target="people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632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ROUIHA</dc:creator>
  <cp:lastModifiedBy>user</cp:lastModifiedBy>
  <cp:revision>2</cp:revision>
  <cp:lastPrinted>2017-06-15T10:02:00Z</cp:lastPrinted>
  <dcterms:created xsi:type="dcterms:W3CDTF">2017-08-12T04:41:00Z</dcterms:created>
  <dcterms:modified xsi:type="dcterms:W3CDTF">2017-08-12T04:41:00Z</dcterms:modified>
</cp:coreProperties>
</file>