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D85184" w:rsidP="002A7221">
      <w:r>
        <w:rPr>
          <w:rFonts w:eastAsia="Arial Unicode MS"/>
          <w:noProof/>
        </w:rPr>
        <w:pict>
          <v:shape id="_x0000_s1133" type="#_x0000_t75" style="position:absolute;margin-left:397.3pt;margin-top:-19.2pt;width:118pt;height:59.3pt;z-index:251657728" wrapcoords="-106 0 -106 21308 21600 21308 21600 0 -106 0">
            <v:imagedata r:id="rId8" o:title=""/>
            <w10:wrap type="tight"/>
          </v:shape>
          <o:OLEObject Type="Embed" ProgID="PBrush" ShapeID="_x0000_s1133" DrawAspect="Content" ObjectID="_1551600710" r:id="rId9"/>
        </w:pict>
      </w:r>
      <w:r>
        <w:rPr>
          <w:noProof/>
        </w:rPr>
        <w:pict>
          <v:group id="Group 5" o:spid="_x0000_s1149" style="position:absolute;margin-left:-129.45pt;margin-top:-12.45pt;width:910.15pt;height:205.35pt;z-index:251655680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lbs2WuMAAAAO&#10;AQAADwAAAAAAAAAAAAAAAADSCgAAZHJzL2Rvd25yZXYueG1sUEsFBgAAAAAEAAQA8wAAAOILAAAA&#10;AA==&#10;">
            <v:shape id="Freeform 6" o:spid="_x0000_s1150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1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2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3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4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5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6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7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58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59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BB22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8" type="#_x0000_t202" style="position:absolute;margin-left:504.8pt;margin-top:-59.65pt;width:43.05pt;height:201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  <w:r w:rsidR="00BB2266">
        <w:rPr>
          <w:noProof/>
        </w:rPr>
        <w:pict>
          <v:shape id="Text Box 111" o:spid="_x0000_s1147" type="#_x0000_t202" style="position:absolute;margin-left:-197.2pt;margin-top:-63.05pt;width:59.8pt;height:4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630C01" w:rsidRDefault="00630C01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BB2266" w:rsidP="003A2CE4">
      <w:pPr>
        <w:jc w:val="both"/>
      </w:pPr>
      <w:r>
        <w:rPr>
          <w:noProof/>
        </w:rPr>
        <w:pict>
          <v:shape id="Text Box 120" o:spid="_x0000_s1146" type="#_x0000_t202" style="position:absolute;left:0;text-align:left;margin-left:-19.2pt;margin-top:8.1pt;width:424.5pt;height:108.6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4A5769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Secteurs des industries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extractive</w:t>
                  </w: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, manufacturière, énergétique, environnementale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BB226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5" type="#_x0000_t202" style="position:absolute;left:0;text-align:left;margin-left:350.65pt;margin-top:27.85pt;width:143.1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630C01" w:rsidRPr="00305B12" w:rsidRDefault="00630C01" w:rsidP="0003724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Mars </w:t>
                  </w:r>
                  <w:r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7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BB226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44" type="#_x0000_t32" style="position:absolute;left:0;text-align:left;margin-left:-4pt;margin-top:15.35pt;width:497.75pt;height:0;z-index:25166080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BB2266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43" type="#_x0000_t202" style="position:absolute;left:0;text-align:left;margin-left:13.05pt;margin-top:3.65pt;width:462.15pt;height:75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" fillcolor="#fbd4b4">
            <v:textbox>
              <w:txbxContent>
                <w:p w:rsidR="00630C01" w:rsidRDefault="00630C01" w:rsidP="0003724A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Pr="008F7BA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7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 l’industrie manufacturière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des mines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8F7BA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trimestre 2016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Pr="008F7BA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3A2CE4" w:rsidRPr="00F03C7C" w:rsidRDefault="00006861" w:rsidP="0003724A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621BE8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3724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quatrième</w:t>
      </w:r>
      <w:r w:rsidR="008C2F2B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F11D6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Default="00330198" w:rsidP="00A2455C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5118735</wp:posOffset>
            </wp:positionV>
            <wp:extent cx="2994660" cy="2533650"/>
            <wp:effectExtent l="0" t="3810" r="1905" b="0"/>
            <wp:wrapSquare wrapText="bothSides"/>
            <wp:docPr id="118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production </w:t>
      </w:r>
      <w:r w:rsidR="002A1960" w:rsidRPr="00D310C6">
        <w:rPr>
          <w:rFonts w:eastAsia="Arial Unicode MS"/>
          <w:b/>
          <w:bCs/>
          <w:color w:val="660033"/>
          <w:sz w:val="22"/>
          <w:szCs w:val="22"/>
        </w:rPr>
        <w:t xml:space="preserve">industrielle manufacturière </w:t>
      </w:r>
      <w:r w:rsidR="002A1960" w:rsidRPr="00D310C6">
        <w:rPr>
          <w:rFonts w:eastAsia="Arial Unicode MS"/>
          <w:sz w:val="22"/>
          <w:szCs w:val="22"/>
        </w:rPr>
        <w:t>aurait</w:t>
      </w:r>
      <w:r w:rsidR="00621BE8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8C2F2B">
        <w:rPr>
          <w:rFonts w:eastAsia="Arial Unicode MS"/>
          <w:sz w:val="22"/>
          <w:szCs w:val="22"/>
        </w:rPr>
        <w:t>, a</w:t>
      </w:r>
      <w:r w:rsidR="008C2F2B" w:rsidRPr="00D310C6">
        <w:rPr>
          <w:rFonts w:eastAsia="Arial Unicode MS"/>
          <w:sz w:val="22"/>
          <w:szCs w:val="22"/>
        </w:rPr>
        <w:t>u</w:t>
      </w:r>
      <w:r w:rsidR="008C2F2B">
        <w:rPr>
          <w:rFonts w:eastAsia="Arial Unicode MS"/>
          <w:sz w:val="22"/>
          <w:szCs w:val="22"/>
        </w:rPr>
        <w:t xml:space="preserve"> </w:t>
      </w:r>
      <w:r w:rsidR="0003724A">
        <w:rPr>
          <w:rFonts w:eastAsia="Arial Unicode MS"/>
          <w:sz w:val="22"/>
          <w:szCs w:val="22"/>
        </w:rPr>
        <w:t>quatrième</w:t>
      </w:r>
      <w:r w:rsidR="008C2F2B">
        <w:rPr>
          <w:rFonts w:eastAsia="Arial Unicode MS"/>
          <w:sz w:val="22"/>
          <w:szCs w:val="22"/>
        </w:rPr>
        <w:t xml:space="preserve"> </w:t>
      </w:r>
      <w:r w:rsidR="008C2F2B">
        <w:rPr>
          <w:rFonts w:eastAsia="Arial Unicode MS"/>
          <w:sz w:val="22"/>
          <w:szCs w:val="22"/>
          <w:vertAlign w:val="superscript"/>
        </w:rPr>
        <w:t xml:space="preserve"> </w:t>
      </w:r>
      <w:r w:rsidR="008C2F2B" w:rsidRPr="00D310C6">
        <w:rPr>
          <w:rFonts w:eastAsia="Arial Unicode MS"/>
          <w:sz w:val="22"/>
          <w:szCs w:val="22"/>
        </w:rPr>
        <w:t>trimestre 2016,</w:t>
      </w:r>
      <w:r w:rsidR="008C2F2B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 xml:space="preserve">une </w:t>
      </w:r>
      <w:r w:rsidR="0003724A">
        <w:rPr>
          <w:rFonts w:eastAsia="Arial Unicode MS"/>
          <w:sz w:val="22"/>
          <w:szCs w:val="22"/>
        </w:rPr>
        <w:t>augmentation</w:t>
      </w:r>
      <w:r w:rsidR="0047730A" w:rsidRPr="00D310C6">
        <w:rPr>
          <w:rFonts w:eastAsia="Arial Unicode MS"/>
          <w:sz w:val="22"/>
          <w:szCs w:val="22"/>
        </w:rPr>
        <w:t xml:space="preserve"> selon 4</w:t>
      </w:r>
      <w:r w:rsidR="00EF3025">
        <w:rPr>
          <w:rFonts w:eastAsia="Arial Unicode MS"/>
          <w:sz w:val="22"/>
          <w:szCs w:val="22"/>
        </w:rPr>
        <w:t>3</w:t>
      </w:r>
      <w:r w:rsidR="0047730A" w:rsidRPr="00D310C6">
        <w:rPr>
          <w:rFonts w:eastAsia="Arial Unicode MS"/>
          <w:sz w:val="22"/>
          <w:szCs w:val="22"/>
        </w:rPr>
        <w:t>% des patrons</w:t>
      </w:r>
      <w:r w:rsidR="00EF3025">
        <w:rPr>
          <w:rFonts w:eastAsia="Arial Unicode MS"/>
          <w:sz w:val="22"/>
          <w:szCs w:val="22"/>
        </w:rPr>
        <w:t xml:space="preserve"> et plutôt u</w:t>
      </w:r>
      <w:r w:rsidR="0047730A" w:rsidRPr="00D310C6">
        <w:rPr>
          <w:rFonts w:eastAsia="Arial Unicode MS"/>
          <w:sz w:val="22"/>
          <w:szCs w:val="22"/>
        </w:rPr>
        <w:t xml:space="preserve">ne baisse selon </w:t>
      </w:r>
      <w:r w:rsidR="00EF3025">
        <w:rPr>
          <w:rFonts w:eastAsia="Arial Unicode MS"/>
          <w:sz w:val="22"/>
          <w:szCs w:val="22"/>
        </w:rPr>
        <w:t>16</w:t>
      </w:r>
      <w:r w:rsidR="0047730A" w:rsidRPr="00D310C6">
        <w:rPr>
          <w:rFonts w:eastAsia="Arial Unicode MS"/>
          <w:sz w:val="22"/>
          <w:szCs w:val="22"/>
        </w:rPr>
        <w:t>%</w:t>
      </w:r>
      <w:r w:rsidR="00EF3025">
        <w:rPr>
          <w:rFonts w:eastAsia="Arial Unicode MS"/>
          <w:sz w:val="22"/>
          <w:szCs w:val="22"/>
        </w:rPr>
        <w:t>.</w:t>
      </w:r>
      <w:r w:rsidR="0047730A" w:rsidRPr="00D310C6">
        <w:rPr>
          <w:rFonts w:eastAsia="Arial Unicode MS"/>
          <w:sz w:val="22"/>
          <w:szCs w:val="22"/>
        </w:rPr>
        <w:t xml:space="preserve"> Cette </w:t>
      </w:r>
      <w:r w:rsidR="003F1A8D" w:rsidRPr="005516EE">
        <w:rPr>
          <w:rFonts w:eastAsia="Arial Unicode MS"/>
          <w:sz w:val="22"/>
          <w:szCs w:val="22"/>
        </w:rPr>
        <w:t>évolution</w:t>
      </w:r>
      <w:r w:rsidR="0047730A" w:rsidRPr="00D310C6">
        <w:rPr>
          <w:rFonts w:eastAsia="Arial Unicode MS"/>
          <w:sz w:val="22"/>
          <w:szCs w:val="22"/>
        </w:rPr>
        <w:t xml:space="preserve"> </w:t>
      </w:r>
      <w:r w:rsidR="0033541E" w:rsidRPr="00D310C6">
        <w:rPr>
          <w:rFonts w:eastAsia="Arial Unicode MS"/>
          <w:sz w:val="22"/>
          <w:szCs w:val="22"/>
        </w:rPr>
        <w:t>aurait été</w:t>
      </w:r>
      <w:r w:rsidR="007507E3" w:rsidRPr="00D310C6">
        <w:rPr>
          <w:rFonts w:eastAsia="Arial Unicode MS"/>
          <w:sz w:val="22"/>
          <w:szCs w:val="22"/>
        </w:rPr>
        <w:t xml:space="preserve"> </w:t>
      </w:r>
      <w:r w:rsidR="008C2F2B">
        <w:rPr>
          <w:rFonts w:eastAsia="Arial Unicode MS"/>
          <w:sz w:val="22"/>
          <w:szCs w:val="22"/>
        </w:rPr>
        <w:t>le résultat d’</w:t>
      </w:r>
      <w:r w:rsidR="0033541E" w:rsidRPr="00D310C6">
        <w:rPr>
          <w:rFonts w:eastAsia="Arial Unicode MS"/>
          <w:sz w:val="22"/>
          <w:szCs w:val="22"/>
        </w:rPr>
        <w:t xml:space="preserve">une </w:t>
      </w:r>
      <w:r w:rsidR="00EF3025">
        <w:rPr>
          <w:rFonts w:eastAsia="Arial Unicode MS"/>
          <w:sz w:val="22"/>
          <w:szCs w:val="22"/>
        </w:rPr>
        <w:t>augmentation</w:t>
      </w:r>
      <w:r w:rsidR="0033541E" w:rsidRPr="00D310C6">
        <w:rPr>
          <w:rFonts w:eastAsia="Arial Unicode MS"/>
          <w:sz w:val="22"/>
          <w:szCs w:val="22"/>
        </w:rPr>
        <w:t xml:space="preserve"> de la production dans les branches de </w:t>
      </w:r>
      <w:r w:rsidR="00EF3025" w:rsidRPr="00D310C6">
        <w:rPr>
          <w:rFonts w:eastAsia="Arial Unicode MS"/>
          <w:sz w:val="22"/>
          <w:szCs w:val="22"/>
        </w:rPr>
        <w:t>l</w:t>
      </w:r>
      <w:r w:rsidR="00EF3025">
        <w:rPr>
          <w:rFonts w:eastAsia="Arial Unicode MS"/>
          <w:sz w:val="22"/>
          <w:szCs w:val="22"/>
        </w:rPr>
        <w:t>’</w:t>
      </w:r>
      <w:r w:rsidR="00EF3025" w:rsidRPr="00D310C6">
        <w:rPr>
          <w:rFonts w:eastAsia="Arial Unicode MS"/>
          <w:sz w:val="22"/>
          <w:szCs w:val="22"/>
        </w:rPr>
        <w:t>« </w:t>
      </w:r>
      <w:r w:rsidR="00EF3025" w:rsidRPr="00F41F46">
        <w:rPr>
          <w:rFonts w:eastAsia="Arial Unicode MS"/>
          <w:sz w:val="22"/>
          <w:szCs w:val="22"/>
        </w:rPr>
        <w:t>Industrie chimique</w:t>
      </w:r>
      <w:r w:rsidR="00EF3025">
        <w:rPr>
          <w:rFonts w:eastAsia="Arial Unicode MS"/>
          <w:sz w:val="22"/>
          <w:szCs w:val="22"/>
        </w:rPr>
        <w:t> », de l’</w:t>
      </w:r>
      <w:r w:rsidR="00EF3025" w:rsidRPr="00D310C6">
        <w:rPr>
          <w:rFonts w:eastAsia="Arial Unicode MS"/>
          <w:sz w:val="22"/>
          <w:szCs w:val="22"/>
        </w:rPr>
        <w:t>« </w:t>
      </w:r>
      <w:r w:rsidR="00EF3025" w:rsidRPr="00F41F46">
        <w:rPr>
          <w:rFonts w:eastAsia="Arial Unicode MS"/>
          <w:sz w:val="22"/>
          <w:szCs w:val="22"/>
        </w:rPr>
        <w:t>Industrie automobile</w:t>
      </w:r>
      <w:r w:rsidR="00EF3025" w:rsidRPr="00D310C6">
        <w:rPr>
          <w:rFonts w:eastAsia="Arial Unicode MS"/>
          <w:sz w:val="22"/>
          <w:szCs w:val="22"/>
        </w:rPr>
        <w:t>» et</w:t>
      </w:r>
      <w:r w:rsidR="00EF3025">
        <w:rPr>
          <w:rFonts w:eastAsia="Arial Unicode MS"/>
          <w:sz w:val="22"/>
          <w:szCs w:val="22"/>
        </w:rPr>
        <w:t xml:space="preserve"> </w:t>
      </w:r>
      <w:r w:rsidR="00EF3025" w:rsidRPr="00D310C6">
        <w:rPr>
          <w:rFonts w:eastAsia="Arial Unicode MS"/>
          <w:sz w:val="22"/>
          <w:szCs w:val="22"/>
        </w:rPr>
        <w:t>de la « </w:t>
      </w:r>
      <w:r w:rsidR="00EF3025" w:rsidRPr="00F41F46">
        <w:rPr>
          <w:rFonts w:eastAsia="Arial Unicode MS"/>
          <w:sz w:val="22"/>
          <w:szCs w:val="22"/>
        </w:rPr>
        <w:t>Métallurgie</w:t>
      </w:r>
      <w:r w:rsidR="00EF3025">
        <w:rPr>
          <w:rFonts w:eastAsia="Arial Unicode MS"/>
          <w:sz w:val="22"/>
          <w:szCs w:val="22"/>
        </w:rPr>
        <w:t xml:space="preserve">» </w:t>
      </w:r>
      <w:r w:rsidR="008C2F2B">
        <w:rPr>
          <w:rFonts w:eastAsia="Arial Unicode MS"/>
          <w:sz w:val="22"/>
          <w:szCs w:val="22"/>
        </w:rPr>
        <w:t>d’une part,</w:t>
      </w:r>
      <w:r w:rsidR="00E564E6" w:rsidRPr="00D310C6">
        <w:rPr>
          <w:rFonts w:eastAsia="Arial Unicode MS"/>
          <w:sz w:val="22"/>
          <w:szCs w:val="22"/>
        </w:rPr>
        <w:t xml:space="preserve"> </w:t>
      </w:r>
      <w:r w:rsidR="0033541E" w:rsidRPr="00D310C6">
        <w:rPr>
          <w:rFonts w:eastAsia="Arial Unicode MS"/>
          <w:sz w:val="22"/>
          <w:szCs w:val="22"/>
        </w:rPr>
        <w:t>et</w:t>
      </w:r>
      <w:r w:rsidR="00490415">
        <w:rPr>
          <w:rFonts w:eastAsia="Arial Unicode MS"/>
          <w:sz w:val="22"/>
          <w:szCs w:val="22"/>
        </w:rPr>
        <w:t xml:space="preserve"> </w:t>
      </w:r>
      <w:r w:rsidR="00490415" w:rsidRPr="004A5769">
        <w:rPr>
          <w:rFonts w:eastAsia="Arial Unicode MS"/>
          <w:sz w:val="22"/>
          <w:szCs w:val="22"/>
        </w:rPr>
        <w:t>d’</w:t>
      </w:r>
      <w:r w:rsidR="0033541E" w:rsidRPr="00D310C6">
        <w:rPr>
          <w:rFonts w:eastAsia="Arial Unicode MS"/>
          <w:sz w:val="22"/>
          <w:szCs w:val="22"/>
        </w:rPr>
        <w:t>une</w:t>
      </w:r>
      <w:r w:rsidR="003F1A8D">
        <w:rPr>
          <w:rFonts w:eastAsia="Arial Unicode MS"/>
          <w:sz w:val="22"/>
          <w:szCs w:val="22"/>
        </w:rPr>
        <w:t xml:space="preserve"> </w:t>
      </w:r>
      <w:r w:rsidR="00EF3025">
        <w:rPr>
          <w:rFonts w:eastAsia="Arial Unicode MS"/>
          <w:sz w:val="22"/>
          <w:szCs w:val="22"/>
        </w:rPr>
        <w:t>diminution</w:t>
      </w:r>
      <w:r w:rsidR="007507E3" w:rsidRPr="00D310C6">
        <w:rPr>
          <w:rFonts w:eastAsia="Arial Unicode MS"/>
          <w:sz w:val="22"/>
          <w:szCs w:val="22"/>
        </w:rPr>
        <w:t xml:space="preserve"> de la production dans </w:t>
      </w:r>
      <w:r w:rsidR="00CE234D" w:rsidRPr="00D310C6">
        <w:rPr>
          <w:rFonts w:eastAsia="Arial Unicode MS"/>
          <w:sz w:val="22"/>
          <w:szCs w:val="22"/>
        </w:rPr>
        <w:t>les</w:t>
      </w:r>
      <w:r w:rsidR="007507E3" w:rsidRPr="00D310C6">
        <w:rPr>
          <w:rFonts w:eastAsia="Arial Unicode MS"/>
          <w:sz w:val="22"/>
          <w:szCs w:val="22"/>
        </w:rPr>
        <w:t xml:space="preserve"> branche</w:t>
      </w:r>
      <w:r w:rsidR="00CE234D" w:rsidRPr="00D310C6">
        <w:rPr>
          <w:rFonts w:eastAsia="Arial Unicode MS"/>
          <w:sz w:val="22"/>
          <w:szCs w:val="22"/>
        </w:rPr>
        <w:t>s</w:t>
      </w:r>
      <w:r w:rsidR="003F1A8D">
        <w:rPr>
          <w:rFonts w:eastAsia="Arial Unicode MS"/>
          <w:sz w:val="22"/>
          <w:szCs w:val="22"/>
        </w:rPr>
        <w:t xml:space="preserve"> </w:t>
      </w:r>
      <w:r w:rsidR="007507E3" w:rsidRPr="00D310C6">
        <w:rPr>
          <w:rFonts w:eastAsia="Arial Unicode MS"/>
          <w:sz w:val="22"/>
          <w:szCs w:val="22"/>
        </w:rPr>
        <w:t>de</w:t>
      </w:r>
      <w:r w:rsidR="00A92EB8" w:rsidRPr="00D310C6">
        <w:rPr>
          <w:rFonts w:eastAsia="Arial Unicode MS"/>
          <w:sz w:val="22"/>
          <w:szCs w:val="22"/>
        </w:rPr>
        <w:t>s</w:t>
      </w:r>
      <w:r w:rsidR="007507E3" w:rsidRPr="00D310C6">
        <w:rPr>
          <w:rFonts w:eastAsia="Arial Unicode MS"/>
          <w:sz w:val="22"/>
          <w:szCs w:val="22"/>
        </w:rPr>
        <w:t xml:space="preserve"> « </w:t>
      </w:r>
      <w:r w:rsidR="00A92EB8" w:rsidRPr="00D310C6">
        <w:rPr>
          <w:rFonts w:eastAsia="Arial Unicode MS"/>
          <w:sz w:val="22"/>
          <w:szCs w:val="22"/>
        </w:rPr>
        <w:t>Industries alimentaires</w:t>
      </w:r>
      <w:r w:rsidR="002E446D">
        <w:rPr>
          <w:rFonts w:eastAsia="Arial Unicode MS"/>
          <w:sz w:val="22"/>
          <w:szCs w:val="22"/>
        </w:rPr>
        <w:t xml:space="preserve">» et </w:t>
      </w:r>
      <w:r w:rsidR="00F21865" w:rsidRPr="00D310C6">
        <w:rPr>
          <w:rFonts w:eastAsia="Arial Unicode MS"/>
          <w:sz w:val="22"/>
          <w:szCs w:val="22"/>
        </w:rPr>
        <w:t>de la «Fabrication de boissons »</w:t>
      </w:r>
      <w:r w:rsidR="00EF0B38">
        <w:rPr>
          <w:rFonts w:eastAsia="Arial Unicode MS"/>
          <w:sz w:val="22"/>
          <w:szCs w:val="22"/>
        </w:rPr>
        <w:t xml:space="preserve"> </w:t>
      </w:r>
      <w:r w:rsidR="00EF0B38" w:rsidRPr="00A2455C">
        <w:rPr>
          <w:rFonts w:eastAsia="Arial Unicode MS"/>
          <w:sz w:val="22"/>
          <w:szCs w:val="22"/>
        </w:rPr>
        <w:t>d’autre part</w:t>
      </w:r>
      <w:r w:rsidR="002E446D">
        <w:rPr>
          <w:rFonts w:eastAsia="Arial Unicode MS"/>
          <w:sz w:val="22"/>
          <w:szCs w:val="22"/>
        </w:rPr>
        <w:t>.</w:t>
      </w:r>
      <w:r w:rsidR="00F21865" w:rsidRPr="00D310C6">
        <w:rPr>
          <w:rFonts w:eastAsia="Arial Unicode MS"/>
          <w:sz w:val="22"/>
          <w:szCs w:val="22"/>
        </w:rPr>
        <w:t xml:space="preserve"> </w:t>
      </w:r>
    </w:p>
    <w:p w:rsidR="00F05668" w:rsidRDefault="0038590B" w:rsidP="0082137A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A075CB">
        <w:rPr>
          <w:rFonts w:eastAsia="Arial Unicode MS"/>
          <w:sz w:val="22"/>
          <w:szCs w:val="22"/>
        </w:rPr>
        <w:t>ont été</w:t>
      </w:r>
      <w:r w:rsidRPr="00D310C6">
        <w:rPr>
          <w:rFonts w:eastAsia="Arial Unicode MS"/>
          <w:sz w:val="22"/>
          <w:szCs w:val="22"/>
        </w:rPr>
        <w:t xml:space="preserve"> jugés d’un niveau normal par </w:t>
      </w:r>
      <w:r w:rsidR="00EF3025">
        <w:rPr>
          <w:rFonts w:eastAsia="Arial Unicode MS"/>
          <w:sz w:val="22"/>
          <w:szCs w:val="22"/>
        </w:rPr>
        <w:t>71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EF3025">
        <w:rPr>
          <w:rFonts w:eastAsia="Arial Unicode MS"/>
          <w:sz w:val="22"/>
          <w:szCs w:val="22"/>
        </w:rPr>
        <w:t>1</w:t>
      </w:r>
      <w:r w:rsidR="0063735A">
        <w:rPr>
          <w:rFonts w:eastAsia="Arial Unicode MS"/>
          <w:sz w:val="22"/>
          <w:szCs w:val="22"/>
        </w:rPr>
        <w:t>6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3F1A8D"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2F7B54" w:rsidRPr="00D310C6">
        <w:rPr>
          <w:rFonts w:eastAsia="Arial Unicode MS"/>
          <w:sz w:val="22"/>
          <w:szCs w:val="22"/>
        </w:rPr>
        <w:t xml:space="preserve">, selon </w:t>
      </w:r>
      <w:r w:rsidR="00EF3025">
        <w:rPr>
          <w:rFonts w:eastAsia="Arial Unicode MS"/>
          <w:sz w:val="22"/>
          <w:szCs w:val="22"/>
        </w:rPr>
        <w:t>37</w:t>
      </w:r>
      <w:r w:rsidR="002F7B54" w:rsidRPr="00D310C6">
        <w:rPr>
          <w:rFonts w:eastAsia="Arial Unicode MS"/>
          <w:sz w:val="22"/>
          <w:szCs w:val="22"/>
        </w:rPr>
        <w:t>% des patrons,</w:t>
      </w:r>
      <w:r w:rsidRPr="00D310C6">
        <w:rPr>
          <w:rFonts w:eastAsia="Arial Unicode MS"/>
          <w:sz w:val="22"/>
          <w:szCs w:val="22"/>
        </w:rPr>
        <w:t xml:space="preserve"> connu une </w:t>
      </w:r>
      <w:r w:rsidR="00EF3025">
        <w:rPr>
          <w:rFonts w:eastAsia="Arial Unicode MS"/>
          <w:sz w:val="22"/>
          <w:szCs w:val="22"/>
        </w:rPr>
        <w:t>hausse et</w:t>
      </w:r>
      <w:r w:rsidR="00373B71">
        <w:rPr>
          <w:rFonts w:eastAsia="Arial Unicode MS"/>
          <w:sz w:val="22"/>
          <w:szCs w:val="22"/>
        </w:rPr>
        <w:t>,</w:t>
      </w:r>
      <w:r w:rsidR="00EF3025">
        <w:rPr>
          <w:rFonts w:eastAsia="Arial Unicode MS"/>
          <w:sz w:val="22"/>
          <w:szCs w:val="22"/>
        </w:rPr>
        <w:t xml:space="preserve"> selon 18% des patrons</w:t>
      </w:r>
      <w:r w:rsidR="00373B71">
        <w:rPr>
          <w:rFonts w:eastAsia="Arial Unicode MS"/>
          <w:sz w:val="22"/>
          <w:szCs w:val="22"/>
        </w:rPr>
        <w:t>,</w:t>
      </w:r>
      <w:r w:rsidR="00EF3025">
        <w:rPr>
          <w:rFonts w:eastAsia="Arial Unicode MS"/>
          <w:sz w:val="22"/>
          <w:szCs w:val="22"/>
        </w:rPr>
        <w:t xml:space="preserve"> </w:t>
      </w:r>
      <w:r w:rsidR="00373B71">
        <w:rPr>
          <w:rFonts w:eastAsia="Arial Unicode MS"/>
          <w:sz w:val="22"/>
          <w:szCs w:val="22"/>
        </w:rPr>
        <w:t>une baisse</w:t>
      </w:r>
      <w:r w:rsidRPr="00D310C6">
        <w:rPr>
          <w:rFonts w:eastAsia="Arial Unicode MS"/>
          <w:sz w:val="22"/>
          <w:szCs w:val="22"/>
        </w:rPr>
        <w:t xml:space="preserve">. </w:t>
      </w:r>
      <w:r w:rsidR="003832DA" w:rsidRPr="00D310C6">
        <w:rPr>
          <w:rFonts w:eastAsia="Arial Unicode MS"/>
          <w:sz w:val="22"/>
          <w:szCs w:val="22"/>
        </w:rPr>
        <w:t xml:space="preserve">Dans ce contexte, le taux d’utilisation de la capacité productive (TUC) </w:t>
      </w:r>
      <w:r w:rsidR="00207F60" w:rsidRPr="004A5769">
        <w:rPr>
          <w:rFonts w:eastAsia="Arial Unicode MS"/>
          <w:sz w:val="22"/>
          <w:szCs w:val="22"/>
        </w:rPr>
        <w:t>se se</w:t>
      </w:r>
      <w:r w:rsidR="005E5F58" w:rsidRPr="004A5769">
        <w:rPr>
          <w:rFonts w:eastAsia="Arial Unicode MS"/>
          <w:sz w:val="22"/>
          <w:szCs w:val="22"/>
        </w:rPr>
        <w:t xml:space="preserve">rait </w:t>
      </w:r>
      <w:r w:rsidR="00FA2ABB" w:rsidRPr="004A5769">
        <w:rPr>
          <w:rFonts w:eastAsia="Arial Unicode MS"/>
          <w:sz w:val="22"/>
          <w:szCs w:val="22"/>
        </w:rPr>
        <w:t>établi</w:t>
      </w:r>
      <w:r w:rsidR="003F1A8D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à 7</w:t>
      </w:r>
      <w:r w:rsidR="00373B71">
        <w:rPr>
          <w:rFonts w:eastAsia="Arial Unicode MS"/>
          <w:sz w:val="22"/>
          <w:szCs w:val="22"/>
        </w:rPr>
        <w:t>2</w:t>
      </w:r>
      <w:r w:rsidR="002824C8" w:rsidRPr="00D310C6">
        <w:rPr>
          <w:rFonts w:eastAsia="Arial Unicode MS"/>
          <w:sz w:val="22"/>
          <w:szCs w:val="22"/>
        </w:rPr>
        <w:t>%</w:t>
      </w:r>
      <w:r w:rsidR="003832DA" w:rsidRPr="00D310C6">
        <w:rPr>
          <w:rFonts w:eastAsia="Arial Unicode MS"/>
          <w:sz w:val="22"/>
          <w:szCs w:val="22"/>
        </w:rPr>
        <w:t xml:space="preserve"> au </w:t>
      </w:r>
      <w:r w:rsidR="00373B71">
        <w:rPr>
          <w:rFonts w:eastAsia="Arial Unicode MS"/>
          <w:sz w:val="22"/>
          <w:szCs w:val="22"/>
        </w:rPr>
        <w:t>4</w:t>
      </w:r>
      <w:r w:rsidR="003832DA" w:rsidRPr="00D310C6">
        <w:rPr>
          <w:rFonts w:eastAsia="Arial Unicode MS"/>
          <w:sz w:val="22"/>
          <w:szCs w:val="22"/>
          <w:vertAlign w:val="superscript"/>
        </w:rPr>
        <w:t>ème</w:t>
      </w:r>
      <w:r w:rsidR="003832DA" w:rsidRPr="00D310C6">
        <w:rPr>
          <w:rFonts w:eastAsia="Arial Unicode MS"/>
          <w:sz w:val="22"/>
          <w:szCs w:val="22"/>
        </w:rPr>
        <w:t xml:space="preserve"> trimestre</w:t>
      </w:r>
      <w:r w:rsidR="00A15EDE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2016</w:t>
      </w:r>
      <w:r w:rsidR="00FA2ABB">
        <w:rPr>
          <w:rFonts w:eastAsia="Arial Unicode MS"/>
          <w:sz w:val="22"/>
          <w:szCs w:val="22"/>
        </w:rPr>
        <w:t>.</w:t>
      </w:r>
    </w:p>
    <w:p w:rsidR="00F03C7C" w:rsidRDefault="00330198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  <w:r w:rsidR="00F03C7C">
        <w:rPr>
          <w:rFonts w:eastAsia="Arial Unicode MS"/>
          <w:sz w:val="22"/>
          <w:szCs w:val="22"/>
        </w:rPr>
        <w:br w:type="page"/>
      </w:r>
    </w:p>
    <w:p w:rsidR="0038590B" w:rsidRPr="00302676" w:rsidRDefault="00330198" w:rsidP="0063735A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3183890</wp:posOffset>
            </wp:positionH>
            <wp:positionV relativeFrom="margin">
              <wp:posOffset>-138430</wp:posOffset>
            </wp:positionV>
            <wp:extent cx="3257550" cy="2471420"/>
            <wp:effectExtent l="2540" t="0" r="0" b="635"/>
            <wp:wrapSquare wrapText="bothSides"/>
            <wp:docPr id="117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 </w:t>
      </w:r>
      <w:r w:rsidR="0038590B" w:rsidRPr="00302676">
        <w:rPr>
          <w:rFonts w:eastAsia="Arial Unicode MS"/>
          <w:sz w:val="22"/>
          <w:szCs w:val="22"/>
        </w:rPr>
        <w:t>de</w:t>
      </w:r>
      <w:r w:rsidR="003F1A8D">
        <w:rPr>
          <w:rFonts w:eastAsia="Arial Unicode MS"/>
          <w:sz w:val="22"/>
          <w:szCs w:val="22"/>
        </w:rPr>
        <w:t xml:space="preserve"> </w:t>
      </w:r>
      <w:r w:rsidR="009C02DC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8C2F2B" w:rsidRPr="00B857E2">
        <w:rPr>
          <w:rFonts w:eastAsia="Arial Unicode MS"/>
          <w:sz w:val="22"/>
          <w:szCs w:val="22"/>
        </w:rPr>
        <w:t>,</w:t>
      </w:r>
      <w:r w:rsidR="008C2F2B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8C2F2B" w:rsidRPr="00B857E2">
        <w:rPr>
          <w:rFonts w:eastAsia="Arial Unicode MS"/>
          <w:sz w:val="22"/>
          <w:szCs w:val="22"/>
        </w:rPr>
        <w:t>de son côté</w:t>
      </w:r>
      <w:r w:rsidR="00FF7383" w:rsidRPr="00B857E2">
        <w:rPr>
          <w:rFonts w:eastAsia="Arial Unicode MS"/>
          <w:sz w:val="22"/>
          <w:szCs w:val="22"/>
        </w:rPr>
        <w:t>,</w:t>
      </w:r>
      <w:r w:rsidR="003F1A8D" w:rsidRPr="00B857E2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aurait, </w:t>
      </w:r>
      <w:r w:rsidR="00EF0EC6" w:rsidRPr="00302676">
        <w:rPr>
          <w:rFonts w:eastAsia="Arial Unicode MS"/>
          <w:sz w:val="22"/>
          <w:szCs w:val="22"/>
        </w:rPr>
        <w:t xml:space="preserve">selon </w:t>
      </w:r>
      <w:r w:rsidR="0063735A">
        <w:rPr>
          <w:rFonts w:eastAsia="Arial Unicode MS"/>
          <w:sz w:val="22"/>
          <w:szCs w:val="22"/>
        </w:rPr>
        <w:t>83%</w:t>
      </w:r>
      <w:r w:rsidR="00EF0EC6" w:rsidRPr="00302676">
        <w:rPr>
          <w:rFonts w:eastAsia="Arial Unicode MS"/>
          <w:sz w:val="22"/>
          <w:szCs w:val="22"/>
        </w:rPr>
        <w:t xml:space="preserve"> des patrons, </w:t>
      </w:r>
      <w:r w:rsidR="0038590B" w:rsidRPr="00302676">
        <w:rPr>
          <w:rFonts w:eastAsia="Arial Unicode MS"/>
          <w:sz w:val="22"/>
          <w:szCs w:val="22"/>
        </w:rPr>
        <w:t>affiché</w:t>
      </w:r>
      <w:r w:rsidR="003F1A8D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7E1533">
        <w:rPr>
          <w:rFonts w:eastAsia="Arial Unicode MS"/>
          <w:sz w:val="22"/>
          <w:szCs w:val="22"/>
        </w:rPr>
        <w:t>baisse</w:t>
      </w:r>
      <w:r w:rsidR="0038590B" w:rsidRPr="00302676">
        <w:rPr>
          <w:rFonts w:eastAsia="Arial Unicode MS"/>
          <w:sz w:val="22"/>
          <w:szCs w:val="22"/>
        </w:rPr>
        <w:t xml:space="preserve"> due, en particulier, à une </w:t>
      </w:r>
      <w:r w:rsidR="007E1533">
        <w:rPr>
          <w:rFonts w:eastAsia="Arial Unicode MS"/>
          <w:sz w:val="22"/>
          <w:szCs w:val="22"/>
        </w:rPr>
        <w:t>diminution</w:t>
      </w:r>
      <w:r w:rsidR="003F1A8D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 xml:space="preserve">«Autres industries extractives», dominée par </w:t>
      </w:r>
      <w:r w:rsidR="00356D34" w:rsidRPr="00302676">
        <w:rPr>
          <w:rFonts w:eastAsia="Arial Unicode MS"/>
          <w:sz w:val="22"/>
          <w:szCs w:val="22"/>
        </w:rPr>
        <w:t>l</w:t>
      </w:r>
      <w:r w:rsidR="0038590B" w:rsidRPr="00302676">
        <w:rPr>
          <w:rFonts w:eastAsia="Arial Unicode MS"/>
          <w:sz w:val="22"/>
          <w:szCs w:val="22"/>
        </w:rPr>
        <w:t xml:space="preserve">es phosphates. </w:t>
      </w:r>
    </w:p>
    <w:p w:rsidR="0038590B" w:rsidRPr="00302676" w:rsidRDefault="0038590B" w:rsidP="0038590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</w:p>
    <w:p w:rsidR="0038590B" w:rsidRPr="00490415" w:rsidRDefault="0038590B" w:rsidP="0063735A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 w:rsidRPr="00302676">
        <w:rPr>
          <w:rFonts w:eastAsia="Arial Unicode MS"/>
          <w:sz w:val="22"/>
          <w:szCs w:val="22"/>
        </w:rPr>
        <w:lastRenderedPageBreak/>
        <w:t xml:space="preserve">La situation des carnets de commande </w:t>
      </w:r>
      <w:r w:rsidR="00011B92">
        <w:rPr>
          <w:rFonts w:eastAsia="Arial Unicode MS"/>
          <w:sz w:val="22"/>
          <w:szCs w:val="22"/>
        </w:rPr>
        <w:t>a été</w:t>
      </w:r>
      <w:r w:rsidRPr="00302676">
        <w:rPr>
          <w:rFonts w:eastAsia="Arial Unicode MS"/>
          <w:sz w:val="22"/>
          <w:szCs w:val="22"/>
        </w:rPr>
        <w:t xml:space="preserve">, par ailleurs, jugée d’un niveau normal par </w:t>
      </w:r>
      <w:r w:rsidR="00706C10">
        <w:rPr>
          <w:rFonts w:eastAsia="Arial Unicode MS"/>
          <w:sz w:val="22"/>
          <w:szCs w:val="22"/>
        </w:rPr>
        <w:t>95%</w:t>
      </w:r>
      <w:r w:rsidRPr="00302676">
        <w:rPr>
          <w:rFonts w:eastAsia="Arial Unicode MS"/>
          <w:sz w:val="22"/>
          <w:szCs w:val="22"/>
        </w:rPr>
        <w:t xml:space="preserve">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Pr="00302676">
        <w:rPr>
          <w:rFonts w:eastAsia="Arial Unicode MS"/>
          <w:sz w:val="22"/>
          <w:szCs w:val="22"/>
        </w:rPr>
        <w:t xml:space="preserve">, </w:t>
      </w:r>
      <w:r w:rsidR="003F0254" w:rsidRPr="00302676">
        <w:rPr>
          <w:rFonts w:eastAsia="Arial Unicode MS"/>
          <w:sz w:val="22"/>
          <w:szCs w:val="22"/>
        </w:rPr>
        <w:t xml:space="preserve">selon </w:t>
      </w:r>
      <w:r w:rsidR="0063735A">
        <w:rPr>
          <w:rFonts w:eastAsia="Arial Unicode MS"/>
          <w:sz w:val="22"/>
          <w:szCs w:val="22"/>
        </w:rPr>
        <w:t>88%</w:t>
      </w:r>
      <w:r w:rsidR="003F0254" w:rsidRPr="00302676">
        <w:rPr>
          <w:rFonts w:eastAsia="Arial Unicode MS"/>
          <w:sz w:val="22"/>
          <w:szCs w:val="22"/>
        </w:rPr>
        <w:t xml:space="preserve"> des patrons</w:t>
      </w:r>
      <w:r w:rsidRPr="00302676">
        <w:rPr>
          <w:rFonts w:eastAsia="Arial Unicode MS"/>
          <w:sz w:val="22"/>
          <w:szCs w:val="22"/>
        </w:rPr>
        <w:t>, connu une stabilité</w:t>
      </w:r>
      <w:r w:rsidR="00490415">
        <w:rPr>
          <w:rFonts w:eastAsia="Arial Unicode MS"/>
          <w:sz w:val="22"/>
          <w:szCs w:val="22"/>
        </w:rPr>
        <w:t xml:space="preserve"> </w:t>
      </w:r>
      <w:r w:rsidR="00EF0B38">
        <w:rPr>
          <w:rFonts w:eastAsia="Arial Unicode MS"/>
          <w:sz w:val="22"/>
          <w:szCs w:val="22"/>
        </w:rPr>
        <w:t>et le</w:t>
      </w:r>
      <w:r w:rsidR="00490415" w:rsidRPr="004A5769">
        <w:rPr>
          <w:rFonts w:eastAsia="Arial Unicode MS"/>
          <w:sz w:val="22"/>
          <w:szCs w:val="22"/>
        </w:rPr>
        <w:t xml:space="preserve"> </w:t>
      </w:r>
      <w:r w:rsidRPr="004A5769">
        <w:rPr>
          <w:rFonts w:eastAsia="Arial Unicode MS"/>
          <w:sz w:val="22"/>
          <w:szCs w:val="22"/>
        </w:rPr>
        <w:t>TUC</w:t>
      </w:r>
      <w:r w:rsidR="00490415" w:rsidRPr="004A5769">
        <w:rPr>
          <w:rFonts w:eastAsia="Arial Unicode MS"/>
          <w:sz w:val="22"/>
          <w:szCs w:val="22"/>
        </w:rPr>
        <w:t xml:space="preserve"> se serait </w:t>
      </w:r>
      <w:r w:rsidRPr="004A5769">
        <w:rPr>
          <w:rFonts w:eastAsia="Arial Unicode MS"/>
          <w:sz w:val="22"/>
          <w:szCs w:val="22"/>
        </w:rPr>
        <w:t>établi</w:t>
      </w:r>
      <w:r w:rsidR="003F0254" w:rsidRPr="004A5769">
        <w:rPr>
          <w:rFonts w:eastAsia="Arial Unicode MS"/>
          <w:sz w:val="22"/>
          <w:szCs w:val="22"/>
        </w:rPr>
        <w:t xml:space="preserve"> à</w:t>
      </w:r>
      <w:r w:rsidR="00F5202C" w:rsidRPr="004A5769">
        <w:rPr>
          <w:rFonts w:eastAsia="Arial Unicode MS"/>
          <w:sz w:val="22"/>
          <w:szCs w:val="22"/>
        </w:rPr>
        <w:t xml:space="preserve"> </w:t>
      </w:r>
      <w:r w:rsidR="00706C10">
        <w:rPr>
          <w:rFonts w:eastAsia="Arial Unicode MS"/>
          <w:sz w:val="22"/>
          <w:szCs w:val="22"/>
        </w:rPr>
        <w:t>64</w:t>
      </w:r>
      <w:r w:rsidRPr="004A5769">
        <w:rPr>
          <w:rFonts w:eastAsia="Arial Unicode MS"/>
          <w:sz w:val="22"/>
          <w:szCs w:val="22"/>
        </w:rPr>
        <w:t>%.</w:t>
      </w:r>
      <w:r w:rsidRPr="00490415">
        <w:rPr>
          <w:rFonts w:eastAsia="Arial Unicode MS"/>
          <w:color w:val="FF0000"/>
          <w:sz w:val="22"/>
          <w:szCs w:val="22"/>
          <w:u w:val="single"/>
        </w:rPr>
        <w:t xml:space="preserve"> 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2F71A5" w:rsidRDefault="002F71A5" w:rsidP="00EC7A91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  <w:rtl/>
        </w:rPr>
      </w:pPr>
    </w:p>
    <w:p w:rsidR="0038590B" w:rsidRPr="00302676" w:rsidRDefault="00A15EDE" w:rsidP="0044734F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="00EF0EC6" w:rsidRPr="00302676">
        <w:rPr>
          <w:rFonts w:eastAsia="Arial Unicode MS"/>
          <w:sz w:val="22"/>
          <w:szCs w:val="22"/>
        </w:rPr>
        <w:t xml:space="preserve">, </w:t>
      </w:r>
      <w:r w:rsidR="008E04B8" w:rsidRPr="00302676">
        <w:rPr>
          <w:rFonts w:eastAsia="Arial Unicode MS"/>
          <w:sz w:val="22"/>
          <w:szCs w:val="22"/>
        </w:rPr>
        <w:t xml:space="preserve">selon </w:t>
      </w:r>
      <w:r w:rsidR="0044734F">
        <w:rPr>
          <w:rFonts w:eastAsia="Arial Unicode MS"/>
          <w:sz w:val="22"/>
          <w:szCs w:val="22"/>
        </w:rPr>
        <w:t>71%</w:t>
      </w:r>
      <w:r w:rsidR="008E04B8" w:rsidRPr="00302676">
        <w:rPr>
          <w:rFonts w:eastAsia="Arial Unicode MS"/>
          <w:sz w:val="22"/>
          <w:szCs w:val="22"/>
        </w:rPr>
        <w:t xml:space="preserve"> des chefs d’entreprises, </w:t>
      </w:r>
      <w:r>
        <w:rPr>
          <w:rFonts w:eastAsia="Arial Unicode MS"/>
          <w:sz w:val="22"/>
          <w:szCs w:val="22"/>
        </w:rPr>
        <w:t>connu</w:t>
      </w:r>
      <w:r w:rsidR="00A13CF0" w:rsidRPr="00302676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stabilité</w:t>
      </w:r>
      <w:r w:rsidR="002A1960" w:rsidRPr="00302676">
        <w:rPr>
          <w:rFonts w:eastAsia="Arial Unicode MS"/>
          <w:sz w:val="22"/>
          <w:szCs w:val="22"/>
        </w:rPr>
        <w:t xml:space="preserve"> due</w:t>
      </w:r>
      <w:r w:rsidR="003F1A8D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stagna</w:t>
      </w:r>
      <w:r w:rsidR="00A75427" w:rsidRPr="00302676">
        <w:rPr>
          <w:rFonts w:eastAsia="Arial Unicode MS"/>
          <w:sz w:val="22"/>
          <w:szCs w:val="22"/>
        </w:rPr>
        <w:t>tion</w:t>
      </w:r>
      <w:r w:rsidR="0038590B" w:rsidRPr="00302676">
        <w:rPr>
          <w:rFonts w:eastAsia="Arial Unicode MS"/>
          <w:sz w:val="22"/>
          <w:szCs w:val="22"/>
        </w:rPr>
        <w:t xml:space="preserve"> 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>
        <w:rPr>
          <w:rFonts w:eastAsia="Arial Unicode MS"/>
          <w:sz w:val="22"/>
          <w:szCs w:val="22"/>
        </w:rPr>
        <w:t>P</w:t>
      </w:r>
      <w:r w:rsidR="0038590B" w:rsidRPr="00302676">
        <w:rPr>
          <w:rFonts w:eastAsia="Arial Unicode MS"/>
          <w:sz w:val="22"/>
          <w:szCs w:val="22"/>
        </w:rPr>
        <w:t>roduction et distribution</w:t>
      </w:r>
      <w:r w:rsidR="009E1CC2" w:rsidRPr="00302676">
        <w:rPr>
          <w:rFonts w:eastAsia="Arial Unicode MS"/>
          <w:sz w:val="22"/>
          <w:szCs w:val="22"/>
        </w:rPr>
        <w:t> </w:t>
      </w:r>
      <w:r w:rsidR="0038590B" w:rsidRPr="00302676">
        <w:rPr>
          <w:rFonts w:eastAsia="Arial Unicode MS"/>
          <w:sz w:val="22"/>
          <w:szCs w:val="22"/>
        </w:rPr>
        <w:t xml:space="preserve">d’électricité, de gaz, de vapeur et d’air conditionné ». </w:t>
      </w:r>
    </w:p>
    <w:p w:rsidR="0038590B" w:rsidRPr="00302676" w:rsidRDefault="00A94D3C" w:rsidP="0044734F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 production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63735A">
        <w:rPr>
          <w:rFonts w:eastAsia="Arial Unicode MS"/>
          <w:sz w:val="22"/>
          <w:szCs w:val="22"/>
        </w:rPr>
        <w:t>de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011B92" w:rsidRPr="00011B92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>aurait</w:t>
      </w:r>
      <w:r w:rsidR="00C33D7F" w:rsidRPr="00C33D7F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38590B" w:rsidRPr="00302676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44734F">
        <w:rPr>
          <w:rFonts w:eastAsia="Arial Unicode MS"/>
          <w:sz w:val="22"/>
          <w:szCs w:val="22"/>
        </w:rPr>
        <w:t>92</w:t>
      </w:r>
      <w:r w:rsidR="00EF0EC6" w:rsidRPr="00302676">
        <w:rPr>
          <w:rFonts w:eastAsia="Arial Unicode MS"/>
          <w:sz w:val="22"/>
          <w:szCs w:val="22"/>
        </w:rPr>
        <w:t xml:space="preserve">% 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38590B" w:rsidP="0063735A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302676">
        <w:rPr>
          <w:rFonts w:eastAsia="Arial Unicode MS"/>
          <w:sz w:val="22"/>
          <w:szCs w:val="22"/>
        </w:rPr>
        <w:t xml:space="preserve">Les carnets de commandes </w:t>
      </w:r>
      <w:r w:rsidR="00011B92">
        <w:rPr>
          <w:rFonts w:eastAsia="Arial Unicode MS"/>
          <w:sz w:val="22"/>
          <w:szCs w:val="22"/>
        </w:rPr>
        <w:t>ont</w:t>
      </w:r>
      <w:r w:rsidRPr="00302676">
        <w:rPr>
          <w:rFonts w:eastAsia="Arial Unicode MS"/>
          <w:sz w:val="22"/>
          <w:szCs w:val="22"/>
        </w:rPr>
        <w:t xml:space="preserve"> été jugés d’un niveau normal par la </w:t>
      </w:r>
      <w:r w:rsidR="0063735A">
        <w:rPr>
          <w:rFonts w:eastAsia="Arial Unicode MS"/>
          <w:sz w:val="22"/>
          <w:szCs w:val="22"/>
        </w:rPr>
        <w:t>majorité</w:t>
      </w:r>
      <w:r w:rsidRPr="00302676">
        <w:rPr>
          <w:rFonts w:eastAsia="Arial Unicode MS"/>
          <w:sz w:val="22"/>
          <w:szCs w:val="22"/>
        </w:rPr>
        <w:t xml:space="preserve"> des chefs d’entreprises des deux secteurs</w:t>
      </w:r>
      <w:r w:rsidR="00011B92">
        <w:rPr>
          <w:rFonts w:eastAsia="Arial Unicode MS"/>
          <w:sz w:val="22"/>
          <w:szCs w:val="22"/>
        </w:rPr>
        <w:t>,</w:t>
      </w:r>
      <w:r w:rsidRPr="00302676">
        <w:rPr>
          <w:rFonts w:eastAsia="Arial Unicode MS"/>
          <w:sz w:val="22"/>
          <w:szCs w:val="22"/>
        </w:rPr>
        <w:t xml:space="preserve"> énergétique et environnemental. </w:t>
      </w:r>
      <w:r w:rsidR="003F0254" w:rsidRPr="00302676">
        <w:rPr>
          <w:rFonts w:eastAsia="Arial Unicode MS"/>
          <w:sz w:val="22"/>
          <w:szCs w:val="22"/>
        </w:rPr>
        <w:t>L’e</w:t>
      </w:r>
      <w:r w:rsidRPr="00302676">
        <w:rPr>
          <w:rFonts w:eastAsia="Arial Unicode MS"/>
          <w:sz w:val="22"/>
          <w:szCs w:val="22"/>
        </w:rPr>
        <w:t>mploi</w:t>
      </w:r>
      <w:r w:rsidR="003F1A8D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 w:rsidR="003F0254" w:rsidRPr="00302676">
        <w:rPr>
          <w:rFonts w:eastAsia="Arial Unicode MS"/>
          <w:sz w:val="22"/>
          <w:szCs w:val="22"/>
        </w:rPr>
        <w:t xml:space="preserve">, selon </w:t>
      </w:r>
      <w:r w:rsidR="00317A9E">
        <w:rPr>
          <w:rFonts w:eastAsia="Arial Unicode MS"/>
          <w:sz w:val="22"/>
          <w:szCs w:val="22"/>
        </w:rPr>
        <w:t>32%</w:t>
      </w:r>
      <w:r w:rsidR="003F0254" w:rsidRPr="00302676">
        <w:rPr>
          <w:rFonts w:eastAsia="Arial Unicode MS"/>
          <w:sz w:val="22"/>
          <w:szCs w:val="22"/>
        </w:rPr>
        <w:t xml:space="preserve"> des patrons du secteur énergétique</w:t>
      </w:r>
      <w:r w:rsidR="00317A9E">
        <w:rPr>
          <w:rFonts w:eastAsia="Arial Unicode MS"/>
          <w:sz w:val="22"/>
          <w:szCs w:val="22"/>
        </w:rPr>
        <w:t>, connu</w:t>
      </w:r>
      <w:r w:rsidR="00921E8C">
        <w:rPr>
          <w:rFonts w:eastAsia="Arial Unicode MS"/>
          <w:sz w:val="22"/>
          <w:szCs w:val="22"/>
        </w:rPr>
        <w:t xml:space="preserve"> une légère hausse</w:t>
      </w:r>
      <w:r w:rsidR="003F0254" w:rsidRPr="00302676">
        <w:rPr>
          <w:rFonts w:eastAsia="Arial Unicode MS"/>
          <w:sz w:val="22"/>
          <w:szCs w:val="22"/>
        </w:rPr>
        <w:t xml:space="preserve"> et</w:t>
      </w:r>
      <w:r w:rsidR="00921E8C">
        <w:rPr>
          <w:rFonts w:eastAsia="Arial Unicode MS"/>
          <w:sz w:val="22"/>
          <w:szCs w:val="22"/>
        </w:rPr>
        <w:t xml:space="preserve"> aurait, selon la quasi-totalité</w:t>
      </w:r>
      <w:r w:rsidR="003F0254" w:rsidRPr="00302676">
        <w:rPr>
          <w:rFonts w:eastAsia="Arial Unicode MS"/>
          <w:sz w:val="22"/>
          <w:szCs w:val="22"/>
        </w:rPr>
        <w:t xml:space="preserve"> </w:t>
      </w:r>
      <w:r w:rsidR="00921E8C" w:rsidRPr="00302676">
        <w:rPr>
          <w:rFonts w:eastAsia="Arial Unicode MS"/>
          <w:sz w:val="22"/>
          <w:szCs w:val="22"/>
        </w:rPr>
        <w:t>des chefs d’entreprises du secteur environnemental</w:t>
      </w:r>
      <w:r w:rsidR="00921E8C">
        <w:rPr>
          <w:rFonts w:eastAsia="Arial Unicode MS"/>
          <w:sz w:val="22"/>
          <w:szCs w:val="22"/>
        </w:rPr>
        <w:t>, connu une baisse</w:t>
      </w:r>
      <w:r w:rsidRPr="00302676">
        <w:rPr>
          <w:rFonts w:eastAsia="Arial Unicode MS"/>
          <w:sz w:val="22"/>
          <w:szCs w:val="22"/>
        </w:rPr>
        <w:t xml:space="preserve">. Dans ces conditions, le TUC </w:t>
      </w:r>
      <w:r w:rsidR="00A42EA3" w:rsidRPr="004A5769">
        <w:rPr>
          <w:rFonts w:eastAsia="Arial Unicode MS"/>
          <w:sz w:val="22"/>
          <w:szCs w:val="22"/>
        </w:rPr>
        <w:t xml:space="preserve">aurait </w:t>
      </w:r>
      <w:r w:rsidR="00F5202C" w:rsidRPr="004A5769">
        <w:rPr>
          <w:rFonts w:eastAsia="Arial Unicode MS"/>
          <w:sz w:val="22"/>
          <w:szCs w:val="22"/>
        </w:rPr>
        <w:t>atteint</w:t>
      </w:r>
      <w:r w:rsidRPr="004A5769">
        <w:rPr>
          <w:rFonts w:eastAsia="Arial Unicode MS"/>
          <w:sz w:val="22"/>
          <w:szCs w:val="22"/>
        </w:rPr>
        <w:t xml:space="preserve"> </w:t>
      </w:r>
      <w:r w:rsidR="00902341">
        <w:rPr>
          <w:rFonts w:eastAsia="Arial Unicode MS"/>
          <w:sz w:val="22"/>
          <w:szCs w:val="22"/>
        </w:rPr>
        <w:t>90</w:t>
      </w:r>
      <w:r w:rsidRPr="00302676">
        <w:rPr>
          <w:rFonts w:eastAsia="Arial Unicode MS"/>
          <w:sz w:val="22"/>
          <w:szCs w:val="22"/>
        </w:rPr>
        <w:t>% pour l</w:t>
      </w:r>
      <w:r w:rsidR="00757AF5" w:rsidRPr="00302676">
        <w:rPr>
          <w:rFonts w:eastAsia="Arial Unicode MS"/>
          <w:sz w:val="22"/>
          <w:szCs w:val="22"/>
        </w:rPr>
        <w:t xml:space="preserve">'industrie </w:t>
      </w:r>
      <w:r w:rsidRPr="00302676">
        <w:rPr>
          <w:rFonts w:eastAsia="Arial Unicode MS"/>
          <w:sz w:val="22"/>
          <w:szCs w:val="22"/>
        </w:rPr>
        <w:t xml:space="preserve">énergétique et </w:t>
      </w:r>
      <w:r w:rsidR="00500ACF" w:rsidRPr="00302676">
        <w:rPr>
          <w:rFonts w:eastAsia="Arial Unicode MS"/>
          <w:sz w:val="22"/>
          <w:szCs w:val="22"/>
        </w:rPr>
        <w:t>8</w:t>
      </w:r>
      <w:r w:rsidR="00902341">
        <w:rPr>
          <w:rFonts w:eastAsia="Arial Unicode MS"/>
          <w:sz w:val="22"/>
          <w:szCs w:val="22"/>
        </w:rPr>
        <w:t>5</w:t>
      </w:r>
      <w:r w:rsidRPr="00302676">
        <w:rPr>
          <w:rFonts w:eastAsia="Arial Unicode MS"/>
          <w:sz w:val="22"/>
          <w:szCs w:val="22"/>
        </w:rPr>
        <w:t>% pour l’industrie environnementale.</w:t>
      </w:r>
    </w:p>
    <w:p w:rsidR="00902341" w:rsidRDefault="00902341" w:rsidP="00902341">
      <w:pPr>
        <w:spacing w:after="120" w:line="276" w:lineRule="auto"/>
        <w:jc w:val="both"/>
        <w:rPr>
          <w:rFonts w:eastAsia="Arial Unicode MS"/>
          <w:sz w:val="22"/>
          <w:szCs w:val="22"/>
        </w:rPr>
      </w:pPr>
    </w:p>
    <w:p w:rsidR="00316313" w:rsidRDefault="00330198" w:rsidP="00902341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3004185</wp:posOffset>
            </wp:positionH>
            <wp:positionV relativeFrom="margin">
              <wp:posOffset>4601845</wp:posOffset>
            </wp:positionV>
            <wp:extent cx="2940050" cy="3390900"/>
            <wp:effectExtent l="3810" t="1270" r="0" b="0"/>
            <wp:wrapSquare wrapText="bothSides"/>
            <wp:docPr id="116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4782820</wp:posOffset>
            </wp:positionV>
            <wp:extent cx="3009900" cy="3209925"/>
            <wp:effectExtent l="3810" t="1270" r="0" b="0"/>
            <wp:wrapSquare wrapText="bothSides"/>
            <wp:docPr id="115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95BA9" w:rsidRDefault="00095BA9" w:rsidP="00544B74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A2170">
        <w:rPr>
          <w:rFonts w:eastAsia="Arial Unicode MS"/>
          <w:sz w:val="22"/>
          <w:szCs w:val="22"/>
        </w:rPr>
        <w:t>Le remplacement d’une partie des équipements et l’extension de l’activité</w:t>
      </w:r>
      <w:r w:rsidR="00F1754C" w:rsidRPr="00FA2170">
        <w:rPr>
          <w:rFonts w:eastAsia="Arial Unicode MS"/>
          <w:sz w:val="22"/>
          <w:szCs w:val="22"/>
        </w:rPr>
        <w:t xml:space="preserve"> </w:t>
      </w:r>
      <w:r w:rsidR="00665C54" w:rsidRPr="00FA2170">
        <w:rPr>
          <w:rFonts w:eastAsia="Arial Unicode MS"/>
          <w:sz w:val="22"/>
          <w:szCs w:val="22"/>
        </w:rPr>
        <w:t>auraient</w:t>
      </w:r>
      <w:r w:rsidR="00F1754C" w:rsidRPr="00FA2170">
        <w:rPr>
          <w:rFonts w:eastAsia="Arial Unicode MS"/>
          <w:sz w:val="22"/>
          <w:szCs w:val="22"/>
        </w:rPr>
        <w:t xml:space="preserve"> fait l’objet des </w:t>
      </w:r>
      <w:r w:rsidR="00544B74">
        <w:rPr>
          <w:rFonts w:eastAsia="Arial Unicode MS"/>
          <w:sz w:val="22"/>
          <w:szCs w:val="22"/>
        </w:rPr>
        <w:t xml:space="preserve">principales </w:t>
      </w:r>
      <w:r w:rsidR="00F1754C" w:rsidRPr="00FA2170">
        <w:rPr>
          <w:rFonts w:eastAsia="Arial Unicode MS"/>
          <w:b/>
          <w:bCs/>
          <w:sz w:val="22"/>
          <w:szCs w:val="22"/>
        </w:rPr>
        <w:t>dépenses d’investissements</w:t>
      </w:r>
      <w:r w:rsidR="00FA2170" w:rsidRPr="00FA2170">
        <w:rPr>
          <w:rFonts w:eastAsia="Arial Unicode MS"/>
          <w:b/>
          <w:bCs/>
          <w:sz w:val="22"/>
          <w:szCs w:val="22"/>
        </w:rPr>
        <w:t xml:space="preserve"> </w:t>
      </w:r>
      <w:r w:rsidR="00FA2170" w:rsidRPr="00A2455C">
        <w:rPr>
          <w:rFonts w:eastAsia="Arial Unicode MS"/>
          <w:sz w:val="22"/>
          <w:szCs w:val="22"/>
        </w:rPr>
        <w:t>réalisé</w:t>
      </w:r>
      <w:r w:rsidR="00A2455C" w:rsidRPr="00A2455C">
        <w:rPr>
          <w:rFonts w:eastAsia="Arial Unicode MS"/>
          <w:sz w:val="22"/>
          <w:szCs w:val="22"/>
        </w:rPr>
        <w:t>e</w:t>
      </w:r>
      <w:r w:rsidR="00FA2170" w:rsidRPr="00A2455C">
        <w:rPr>
          <w:rFonts w:eastAsia="Arial Unicode MS"/>
          <w:sz w:val="22"/>
          <w:szCs w:val="22"/>
        </w:rPr>
        <w:t>s</w:t>
      </w:r>
      <w:r w:rsidR="00F1754C" w:rsidRPr="00A2455C">
        <w:rPr>
          <w:rFonts w:eastAsia="Arial Unicode MS"/>
          <w:sz w:val="22"/>
          <w:szCs w:val="22"/>
        </w:rPr>
        <w:t xml:space="preserve"> </w:t>
      </w:r>
      <w:r w:rsidR="00F1754C" w:rsidRPr="00FA2170">
        <w:rPr>
          <w:rFonts w:eastAsia="Arial Unicode MS"/>
          <w:sz w:val="22"/>
          <w:szCs w:val="22"/>
        </w:rPr>
        <w:t>en 2016</w:t>
      </w:r>
      <w:r w:rsidR="00A2455C">
        <w:rPr>
          <w:rFonts w:eastAsia="Arial Unicode MS"/>
          <w:sz w:val="22"/>
          <w:szCs w:val="22"/>
        </w:rPr>
        <w:t>, selon</w:t>
      </w:r>
      <w:r w:rsidR="00F1754C" w:rsidRPr="00FA2170">
        <w:rPr>
          <w:rFonts w:eastAsia="Arial Unicode MS"/>
          <w:sz w:val="22"/>
          <w:szCs w:val="22"/>
        </w:rPr>
        <w:t xml:space="preserve"> </w:t>
      </w:r>
      <w:r w:rsidR="001E3163" w:rsidRPr="00FA2170">
        <w:rPr>
          <w:rFonts w:eastAsia="Arial Unicode MS"/>
          <w:sz w:val="22"/>
          <w:szCs w:val="22"/>
        </w:rPr>
        <w:t xml:space="preserve">la majorité des </w:t>
      </w:r>
      <w:r w:rsidR="00A2455C">
        <w:rPr>
          <w:rFonts w:eastAsia="Arial Unicode MS"/>
          <w:sz w:val="22"/>
          <w:szCs w:val="22"/>
        </w:rPr>
        <w:t>chefs d’</w:t>
      </w:r>
      <w:r w:rsidR="001E3163" w:rsidRPr="00FA2170">
        <w:rPr>
          <w:rFonts w:eastAsia="Arial Unicode MS"/>
          <w:sz w:val="22"/>
          <w:szCs w:val="22"/>
        </w:rPr>
        <w:t xml:space="preserve">entreprises </w:t>
      </w:r>
      <w:r w:rsidR="00544B74">
        <w:rPr>
          <w:rFonts w:eastAsia="Arial Unicode MS"/>
          <w:sz w:val="22"/>
          <w:szCs w:val="22"/>
        </w:rPr>
        <w:t xml:space="preserve">relevant des secteurs l’industrie manufacturière, extractive et </w:t>
      </w:r>
      <w:r w:rsidR="0082137A">
        <w:rPr>
          <w:rFonts w:eastAsia="Arial Unicode MS"/>
          <w:sz w:val="22"/>
          <w:szCs w:val="22"/>
        </w:rPr>
        <w:t>énergétique</w:t>
      </w:r>
      <w:r w:rsidR="00A2455C">
        <w:rPr>
          <w:rFonts w:eastAsia="Arial Unicode MS"/>
          <w:sz w:val="22"/>
          <w:szCs w:val="22"/>
        </w:rPr>
        <w:t>.</w:t>
      </w:r>
    </w:p>
    <w:p w:rsidR="00A2455C" w:rsidRDefault="00A2455C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7E5AD3" w:rsidRDefault="007E5AD3" w:rsidP="007E5AD3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7E5AD3" w:rsidRPr="004915DF" w:rsidRDefault="00330198" w:rsidP="004E24AF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658495</wp:posOffset>
            </wp:positionV>
            <wp:extent cx="3219450" cy="2657475"/>
            <wp:effectExtent l="0" t="1270" r="4445" b="0"/>
            <wp:wrapSquare wrapText="bothSides"/>
            <wp:docPr id="11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94D3C">
        <w:rPr>
          <w:rFonts w:eastAsia="Arial Unicode MS"/>
          <w:sz w:val="22"/>
          <w:szCs w:val="22"/>
        </w:rPr>
        <w:t xml:space="preserve">L’activité du </w:t>
      </w:r>
      <w:r w:rsidR="00006216">
        <w:rPr>
          <w:rFonts w:eastAsia="Arial Unicode MS"/>
          <w:b/>
          <w:bCs/>
          <w:color w:val="660033"/>
          <w:sz w:val="22"/>
          <w:szCs w:val="22"/>
        </w:rPr>
        <w:t>secteur de l</w:t>
      </w:r>
      <w:r w:rsidR="00006216"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 w:rsidR="00A94D3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006216" w:rsidRPr="00DD1D7B">
        <w:rPr>
          <w:rFonts w:eastAsia="Arial Unicode MS"/>
          <w:sz w:val="22"/>
          <w:szCs w:val="22"/>
        </w:rPr>
        <w:t xml:space="preserve">aurait </w:t>
      </w:r>
      <w:r w:rsidR="00006216">
        <w:rPr>
          <w:rFonts w:eastAsia="Arial Unicode MS"/>
          <w:sz w:val="22"/>
          <w:szCs w:val="22"/>
        </w:rPr>
        <w:t xml:space="preserve">connu, au </w:t>
      </w:r>
      <w:r w:rsidR="004E24AF">
        <w:rPr>
          <w:rFonts w:eastAsia="Arial Unicode MS" w:hint="cs"/>
          <w:sz w:val="22"/>
          <w:szCs w:val="22"/>
          <w:rtl/>
        </w:rPr>
        <w:t>4</w:t>
      </w:r>
      <w:r w:rsidR="00006216" w:rsidRPr="00CD4F95">
        <w:rPr>
          <w:rFonts w:eastAsia="Arial Unicode MS"/>
          <w:sz w:val="22"/>
          <w:szCs w:val="22"/>
          <w:vertAlign w:val="superscript"/>
        </w:rPr>
        <w:t>ème</w:t>
      </w:r>
      <w:r w:rsidR="00A71DB5">
        <w:rPr>
          <w:rFonts w:eastAsia="Arial Unicode MS"/>
          <w:sz w:val="22"/>
          <w:szCs w:val="22"/>
        </w:rPr>
        <w:t xml:space="preserve"> </w:t>
      </w:r>
      <w:r w:rsidR="00006216">
        <w:rPr>
          <w:rFonts w:eastAsia="Arial Unicode MS"/>
          <w:sz w:val="22"/>
          <w:szCs w:val="22"/>
        </w:rPr>
        <w:t>trimestre</w:t>
      </w:r>
      <w:r w:rsidR="008637F4">
        <w:rPr>
          <w:rFonts w:eastAsia="Arial Unicode MS" w:hint="cs"/>
          <w:sz w:val="22"/>
          <w:szCs w:val="22"/>
          <w:rtl/>
        </w:rPr>
        <w:t xml:space="preserve"> </w:t>
      </w:r>
      <w:r w:rsidR="00006216">
        <w:rPr>
          <w:rFonts w:eastAsia="Arial Unicode MS"/>
          <w:sz w:val="22"/>
          <w:szCs w:val="22"/>
        </w:rPr>
        <w:t xml:space="preserve">2016, </w:t>
      </w:r>
      <w:r w:rsidR="004E24AF">
        <w:rPr>
          <w:rFonts w:eastAsia="Arial Unicode MS"/>
          <w:sz w:val="22"/>
          <w:szCs w:val="22"/>
        </w:rPr>
        <w:t xml:space="preserve">une </w:t>
      </w:r>
      <w:r w:rsidR="006D1BFB">
        <w:rPr>
          <w:rFonts w:eastAsia="Arial Unicode MS"/>
          <w:sz w:val="22"/>
          <w:szCs w:val="22"/>
        </w:rPr>
        <w:t>baisse selon</w:t>
      </w:r>
      <w:r w:rsidR="004E24AF" w:rsidRPr="00DD1D7B">
        <w:rPr>
          <w:rFonts w:eastAsia="Arial Unicode MS"/>
          <w:sz w:val="22"/>
          <w:szCs w:val="22"/>
        </w:rPr>
        <w:t xml:space="preserve"> </w:t>
      </w:r>
      <w:r w:rsidR="004E24AF">
        <w:rPr>
          <w:rFonts w:eastAsia="Arial Unicode MS"/>
          <w:sz w:val="22"/>
          <w:szCs w:val="22"/>
        </w:rPr>
        <w:t>27</w:t>
      </w:r>
      <w:r w:rsidR="004E24AF" w:rsidRPr="00DD1D7B">
        <w:rPr>
          <w:rFonts w:eastAsia="Arial Unicode MS"/>
          <w:sz w:val="22"/>
          <w:szCs w:val="22"/>
        </w:rPr>
        <w:t xml:space="preserve">% des </w:t>
      </w:r>
      <w:r w:rsidR="004E24AF" w:rsidRPr="00A13CF0">
        <w:rPr>
          <w:rFonts w:eastAsia="Arial Unicode MS"/>
          <w:sz w:val="22"/>
          <w:szCs w:val="22"/>
        </w:rPr>
        <w:t>patrons</w:t>
      </w:r>
      <w:r w:rsidR="004E24AF">
        <w:rPr>
          <w:rFonts w:eastAsia="Arial Unicode MS"/>
          <w:sz w:val="22"/>
          <w:szCs w:val="22"/>
        </w:rPr>
        <w:t xml:space="preserve"> et </w:t>
      </w:r>
      <w:r w:rsidR="004E24AF" w:rsidRPr="00A13CF0">
        <w:rPr>
          <w:rFonts w:eastAsia="Arial Unicode MS"/>
          <w:sz w:val="22"/>
          <w:szCs w:val="22"/>
        </w:rPr>
        <w:t>une</w:t>
      </w:r>
      <w:r w:rsidR="004E24AF">
        <w:rPr>
          <w:rFonts w:eastAsia="Arial Unicode MS"/>
          <w:sz w:val="22"/>
          <w:szCs w:val="22"/>
        </w:rPr>
        <w:t xml:space="preserve"> stabilité selon 56%</w:t>
      </w:r>
      <w:r w:rsidR="004E24AF" w:rsidRPr="00A13CF0">
        <w:rPr>
          <w:rFonts w:eastAsia="Arial Unicode MS"/>
          <w:sz w:val="22"/>
          <w:szCs w:val="22"/>
        </w:rPr>
        <w:t xml:space="preserve">. </w:t>
      </w:r>
      <w:r w:rsidR="004E24AF" w:rsidRPr="002B204B">
        <w:rPr>
          <w:rFonts w:eastAsia="Arial Unicode MS"/>
          <w:sz w:val="22"/>
          <w:szCs w:val="22"/>
        </w:rPr>
        <w:t xml:space="preserve">Cette </w:t>
      </w:r>
      <w:r w:rsidR="004E24AF">
        <w:rPr>
          <w:rFonts w:eastAsia="Arial Unicode MS"/>
          <w:sz w:val="22"/>
          <w:szCs w:val="22"/>
        </w:rPr>
        <w:t xml:space="preserve">légère baisse </w:t>
      </w:r>
      <w:r w:rsidR="004E24AF" w:rsidRPr="002B204B">
        <w:rPr>
          <w:rFonts w:eastAsia="Arial Unicode MS"/>
          <w:sz w:val="22"/>
          <w:szCs w:val="22"/>
        </w:rPr>
        <w:t>aurait</w:t>
      </w:r>
      <w:r w:rsidR="004E24AF">
        <w:rPr>
          <w:rFonts w:eastAsia="Arial Unicode MS"/>
          <w:sz w:val="22"/>
          <w:szCs w:val="22"/>
        </w:rPr>
        <w:t xml:space="preserve"> été le résultat principalement de la baisse d’activité dans le « Génie civil » due, à la diminution d’activité de la « </w:t>
      </w:r>
      <w:r w:rsidR="004E24AF" w:rsidRPr="003A202F">
        <w:rPr>
          <w:rFonts w:eastAsia="Arial Unicode MS"/>
          <w:sz w:val="22"/>
          <w:szCs w:val="22"/>
        </w:rPr>
        <w:t>Construction d'ouvrages maritimes et fluviaux</w:t>
      </w:r>
      <w:r w:rsidR="004E24AF">
        <w:rPr>
          <w:rFonts w:eastAsia="Arial Unicode MS"/>
          <w:sz w:val="22"/>
          <w:szCs w:val="22"/>
        </w:rPr>
        <w:t> » et de la « </w:t>
      </w:r>
      <w:r w:rsidR="004E24AF" w:rsidRPr="003A202F">
        <w:rPr>
          <w:rFonts w:eastAsia="Arial Unicode MS"/>
          <w:sz w:val="22"/>
          <w:szCs w:val="22"/>
        </w:rPr>
        <w:t>Construction de routes et autoroutes</w:t>
      </w:r>
      <w:r w:rsidR="004E24AF">
        <w:rPr>
          <w:rFonts w:eastAsia="Arial Unicode MS"/>
          <w:sz w:val="22"/>
          <w:szCs w:val="22"/>
        </w:rPr>
        <w:t> »</w:t>
      </w:r>
      <w:r w:rsidR="004E24AF">
        <w:rPr>
          <w:rFonts w:eastAsia="Arial Unicode MS" w:hint="cs"/>
          <w:sz w:val="22"/>
          <w:szCs w:val="22"/>
          <w:rtl/>
        </w:rPr>
        <w:t>.</w:t>
      </w:r>
    </w:p>
    <w:p w:rsidR="00C64B98" w:rsidRDefault="00006216" w:rsidP="0055363B">
      <w:pPr>
        <w:tabs>
          <w:tab w:val="left" w:pos="5977"/>
        </w:tabs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La</w:t>
      </w:r>
      <w:r w:rsidRPr="00DD1D7B">
        <w:rPr>
          <w:rFonts w:eastAsia="Arial Unicode MS"/>
          <w:noProof/>
          <w:sz w:val="22"/>
          <w:szCs w:val="22"/>
        </w:rPr>
        <w:t xml:space="preserve"> situation des carnets de commande </w:t>
      </w:r>
      <w:r w:rsidR="00A94D3C">
        <w:rPr>
          <w:rFonts w:eastAsia="Arial Unicode MS"/>
          <w:noProof/>
          <w:sz w:val="22"/>
          <w:szCs w:val="22"/>
        </w:rPr>
        <w:t>a</w:t>
      </w:r>
      <w:r w:rsidRPr="00DD1D7B">
        <w:rPr>
          <w:rFonts w:eastAsia="Arial Unicode MS"/>
          <w:noProof/>
          <w:sz w:val="22"/>
          <w:szCs w:val="22"/>
        </w:rPr>
        <w:t xml:space="preserve"> été jugée d’un niveau normal par </w:t>
      </w:r>
      <w:r>
        <w:rPr>
          <w:rFonts w:eastAsia="Arial Unicode MS"/>
          <w:noProof/>
          <w:sz w:val="22"/>
          <w:szCs w:val="22"/>
        </w:rPr>
        <w:t>5</w:t>
      </w:r>
      <w:r w:rsidR="004E24AF">
        <w:rPr>
          <w:rFonts w:eastAsia="Arial Unicode MS" w:hint="cs"/>
          <w:noProof/>
          <w:sz w:val="22"/>
          <w:szCs w:val="22"/>
          <w:rtl/>
        </w:rPr>
        <w:t>2</w:t>
      </w:r>
      <w:r w:rsidRPr="00DD1D7B">
        <w:rPr>
          <w:rFonts w:eastAsia="Arial Unicode MS"/>
          <w:noProof/>
          <w:sz w:val="22"/>
          <w:szCs w:val="22"/>
        </w:rPr>
        <w:t xml:space="preserve">% des patrons et </w:t>
      </w:r>
      <w:r w:rsidR="00EA3448">
        <w:rPr>
          <w:rFonts w:eastAsia="Arial Unicode MS"/>
          <w:noProof/>
          <w:sz w:val="22"/>
          <w:szCs w:val="22"/>
        </w:rPr>
        <w:t>inférieur à la normale</w:t>
      </w:r>
      <w:r w:rsidRPr="00DD1D7B">
        <w:rPr>
          <w:rFonts w:eastAsia="Arial Unicode MS"/>
          <w:noProof/>
          <w:sz w:val="22"/>
          <w:szCs w:val="22"/>
        </w:rPr>
        <w:t xml:space="preserve"> par </w:t>
      </w:r>
      <w:r>
        <w:rPr>
          <w:rFonts w:eastAsia="Arial Unicode MS"/>
          <w:noProof/>
          <w:sz w:val="22"/>
          <w:szCs w:val="22"/>
        </w:rPr>
        <w:t>3</w:t>
      </w:r>
      <w:r w:rsidR="004E24AF">
        <w:rPr>
          <w:rFonts w:eastAsia="Arial Unicode MS" w:hint="cs"/>
          <w:noProof/>
          <w:sz w:val="22"/>
          <w:szCs w:val="22"/>
          <w:rtl/>
        </w:rPr>
        <w:t>3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 w:rsidR="00462AEA"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 w:rsidR="00462AEA">
        <w:rPr>
          <w:rFonts w:eastAsia="Arial Unicode MS"/>
          <w:noProof/>
          <w:sz w:val="22"/>
          <w:szCs w:val="22"/>
        </w:rPr>
        <w:t xml:space="preserve"> aurait connu </w:t>
      </w:r>
      <w:r w:rsidRPr="00DD1D7B">
        <w:rPr>
          <w:rFonts w:eastAsia="Arial Unicode MS"/>
          <w:noProof/>
          <w:sz w:val="22"/>
          <w:szCs w:val="22"/>
        </w:rPr>
        <w:t xml:space="preserve">une stabilité </w:t>
      </w:r>
      <w:r w:rsidR="00462AEA">
        <w:rPr>
          <w:rFonts w:eastAsia="Arial Unicode MS"/>
          <w:noProof/>
          <w:sz w:val="22"/>
          <w:szCs w:val="22"/>
        </w:rPr>
        <w:t>pour 7</w:t>
      </w:r>
      <w:r w:rsidR="004E24AF">
        <w:rPr>
          <w:rFonts w:eastAsia="Arial Unicode MS" w:hint="cs"/>
          <w:noProof/>
          <w:sz w:val="22"/>
          <w:szCs w:val="22"/>
          <w:rtl/>
        </w:rPr>
        <w:t>4</w:t>
      </w:r>
      <w:r w:rsidR="00462AEA" w:rsidRPr="00DD1D7B">
        <w:rPr>
          <w:rFonts w:eastAsia="Arial Unicode MS"/>
          <w:noProof/>
          <w:sz w:val="22"/>
          <w:szCs w:val="22"/>
        </w:rPr>
        <w:t xml:space="preserve">% des patrons </w:t>
      </w:r>
      <w:r w:rsidR="00462AEA">
        <w:rPr>
          <w:rFonts w:eastAsia="Arial Unicode MS"/>
          <w:noProof/>
          <w:sz w:val="22"/>
          <w:szCs w:val="22"/>
        </w:rPr>
        <w:t xml:space="preserve">et </w:t>
      </w:r>
      <w:r w:rsidR="007E5AD3" w:rsidRPr="00DD1D7B">
        <w:rPr>
          <w:rFonts w:eastAsia="Arial Unicode MS"/>
          <w:noProof/>
          <w:sz w:val="22"/>
          <w:szCs w:val="22"/>
        </w:rPr>
        <w:t>le taux d’utilisation de la capac</w:t>
      </w:r>
      <w:r w:rsidR="007E5AD3">
        <w:rPr>
          <w:rFonts w:eastAsia="Arial Unicode MS"/>
          <w:noProof/>
          <w:sz w:val="22"/>
          <w:szCs w:val="22"/>
        </w:rPr>
        <w:t xml:space="preserve">ité productive (TUC) </w:t>
      </w:r>
      <w:r w:rsidR="00490415">
        <w:rPr>
          <w:rFonts w:eastAsia="Arial Unicode MS"/>
          <w:noProof/>
          <w:sz w:val="22"/>
          <w:szCs w:val="22"/>
        </w:rPr>
        <w:t>se se</w:t>
      </w:r>
      <w:r w:rsidR="009B74A7">
        <w:rPr>
          <w:rFonts w:eastAsia="Arial Unicode MS"/>
          <w:noProof/>
          <w:sz w:val="22"/>
          <w:szCs w:val="22"/>
        </w:rPr>
        <w:t xml:space="preserve">rait </w:t>
      </w:r>
      <w:r w:rsidR="00C9525B">
        <w:rPr>
          <w:rFonts w:eastAsia="Arial Unicode MS"/>
          <w:noProof/>
          <w:sz w:val="22"/>
          <w:szCs w:val="22"/>
        </w:rPr>
        <w:t>établi</w:t>
      </w:r>
      <w:r w:rsidR="009B74A7">
        <w:rPr>
          <w:rFonts w:eastAsia="Arial Unicode MS"/>
          <w:sz w:val="22"/>
          <w:szCs w:val="22"/>
        </w:rPr>
        <w:t xml:space="preserve"> </w:t>
      </w:r>
      <w:r w:rsidR="00C33D7F">
        <w:rPr>
          <w:rFonts w:eastAsia="Arial Unicode MS"/>
          <w:sz w:val="22"/>
          <w:szCs w:val="22"/>
        </w:rPr>
        <w:t xml:space="preserve">ainsi </w:t>
      </w:r>
      <w:r w:rsidR="009B74A7">
        <w:rPr>
          <w:rFonts w:eastAsia="Arial Unicode MS"/>
          <w:sz w:val="22"/>
          <w:szCs w:val="22"/>
        </w:rPr>
        <w:t>à 64%</w:t>
      </w:r>
      <w:r w:rsidR="007E5AD3" w:rsidRPr="00DD1D7B">
        <w:rPr>
          <w:rFonts w:eastAsia="Arial Unicode MS"/>
          <w:noProof/>
          <w:sz w:val="22"/>
          <w:szCs w:val="22"/>
        </w:rPr>
        <w:t>.</w:t>
      </w:r>
      <w:r w:rsidR="0055363B" w:rsidRPr="0055363B">
        <w:rPr>
          <w:rFonts w:eastAsia="Arial Unicode MS"/>
          <w:noProof/>
          <w:sz w:val="22"/>
          <w:szCs w:val="22"/>
        </w:rPr>
        <w:t xml:space="preserve"> </w:t>
      </w:r>
    </w:p>
    <w:p w:rsidR="0055363B" w:rsidRDefault="0055363B" w:rsidP="0055363B">
      <w:pPr>
        <w:tabs>
          <w:tab w:val="left" w:pos="5977"/>
        </w:tabs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Notons, enfin, que 52% des entreprises auraient réalisé des dépenses d’investissement en 2016 destinées, principalement, au remplacement d’une partie du matériel.</w:t>
      </w:r>
    </w:p>
    <w:p w:rsidR="000E52CC" w:rsidRDefault="000E52CC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2E1737" w:rsidP="00484E17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484E1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premier</w:t>
      </w:r>
      <w:r w:rsidR="00462AEA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484E1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F03C7C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544B74" w:rsidRDefault="00330198" w:rsidP="0063735A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4754245</wp:posOffset>
            </wp:positionV>
            <wp:extent cx="3257550" cy="3562350"/>
            <wp:effectExtent l="0" t="1270" r="4445" b="0"/>
            <wp:wrapSquare wrapText="bothSides"/>
            <wp:docPr id="113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902341" w:rsidRPr="00544B74">
        <w:rPr>
          <w:rFonts w:eastAsia="Arial Unicode MS"/>
          <w:sz w:val="22"/>
          <w:szCs w:val="22"/>
        </w:rPr>
        <w:t xml:space="preserve">41% des patrons anticipent une hausse de la production 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>industrielle manufacturière</w:t>
      </w:r>
      <w:r w:rsidR="00902341" w:rsidRPr="00544B74">
        <w:rPr>
          <w:rFonts w:eastAsia="Arial Unicode MS"/>
          <w:sz w:val="22"/>
          <w:szCs w:val="22"/>
        </w:rPr>
        <w:t xml:space="preserve"> au 1</w:t>
      </w:r>
      <w:r w:rsidR="00902341" w:rsidRPr="00544B74">
        <w:rPr>
          <w:rFonts w:eastAsia="Arial Unicode MS"/>
          <w:sz w:val="22"/>
          <w:szCs w:val="22"/>
          <w:vertAlign w:val="superscript"/>
        </w:rPr>
        <w:t>er</w:t>
      </w:r>
      <w:r w:rsidR="00544B74" w:rsidRPr="00544B74">
        <w:rPr>
          <w:rFonts w:eastAsia="Arial Unicode MS"/>
          <w:sz w:val="22"/>
          <w:szCs w:val="22"/>
        </w:rPr>
        <w:t xml:space="preserve"> trimestre 2017</w:t>
      </w:r>
      <w:r w:rsidR="00902341" w:rsidRPr="00544B74">
        <w:rPr>
          <w:rFonts w:eastAsia="Arial Unicode MS"/>
          <w:sz w:val="22"/>
          <w:szCs w:val="22"/>
        </w:rPr>
        <w:t xml:space="preserve"> attribuable à une augmentation de l’activité de la « Fabrication d'autres pro</w:t>
      </w:r>
      <w:r w:rsidR="00544B74" w:rsidRPr="00544B74">
        <w:rPr>
          <w:rFonts w:eastAsia="Arial Unicode MS"/>
          <w:sz w:val="22"/>
          <w:szCs w:val="22"/>
        </w:rPr>
        <w:t>duits minéraux non métalliques»</w:t>
      </w:r>
      <w:r w:rsidR="00902341" w:rsidRPr="00544B74">
        <w:rPr>
          <w:rFonts w:eastAsia="Arial Unicode MS"/>
          <w:sz w:val="22"/>
          <w:szCs w:val="22"/>
        </w:rPr>
        <w:t xml:space="preserve"> </w:t>
      </w:r>
      <w:r w:rsidR="0063735A" w:rsidRPr="00544B74">
        <w:rPr>
          <w:rFonts w:eastAsia="Arial Unicode MS"/>
          <w:sz w:val="22"/>
          <w:szCs w:val="22"/>
        </w:rPr>
        <w:t xml:space="preserve">et </w:t>
      </w:r>
      <w:r w:rsidR="00902341" w:rsidRPr="00544B74">
        <w:rPr>
          <w:rFonts w:eastAsia="Arial Unicode MS"/>
          <w:sz w:val="22"/>
          <w:szCs w:val="22"/>
        </w:rPr>
        <w:t>de la « Métallurgie».  En outre, 3</w:t>
      </w:r>
      <w:r w:rsidR="0063735A" w:rsidRPr="00544B74">
        <w:rPr>
          <w:rFonts w:eastAsia="Arial Unicode MS"/>
          <w:sz w:val="22"/>
          <w:szCs w:val="22"/>
        </w:rPr>
        <w:t>3</w:t>
      </w:r>
      <w:r w:rsidR="00902341" w:rsidRPr="00544B74">
        <w:rPr>
          <w:rFonts w:eastAsia="Arial Unicode MS"/>
          <w:sz w:val="22"/>
          <w:szCs w:val="22"/>
        </w:rPr>
        <w:t>% des chefs d’entreprises prévoient une augmentation des effectifs employés.</w:t>
      </w:r>
    </w:p>
    <w:p w:rsidR="00902341" w:rsidRPr="002B204B" w:rsidRDefault="00902341" w:rsidP="00902341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2B204B">
        <w:rPr>
          <w:rFonts w:eastAsia="Arial Unicode MS"/>
          <w:sz w:val="22"/>
          <w:szCs w:val="22"/>
        </w:rPr>
        <w:t xml:space="preserve">es anticipations de la majorité des patrons </w:t>
      </w:r>
      <w:r>
        <w:rPr>
          <w:rFonts w:eastAsia="Arial Unicode MS"/>
          <w:sz w:val="22"/>
          <w:szCs w:val="22"/>
        </w:rPr>
        <w:t xml:space="preserve">révèlent également </w:t>
      </w:r>
      <w:r w:rsidRPr="002B204B">
        <w:rPr>
          <w:rFonts w:eastAsia="Arial Unicode MS"/>
          <w:sz w:val="22"/>
          <w:szCs w:val="22"/>
        </w:rPr>
        <w:t xml:space="preserve">une hausse de la production </w:t>
      </w:r>
      <w:r>
        <w:rPr>
          <w:rFonts w:eastAsia="Arial Unicode MS"/>
          <w:sz w:val="22"/>
          <w:szCs w:val="22"/>
        </w:rPr>
        <w:t>de</w:t>
      </w:r>
      <w:r w:rsidRPr="002B204B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Pr="002B204B">
        <w:rPr>
          <w:rFonts w:eastAsia="Arial Unicode MS"/>
          <w:sz w:val="22"/>
          <w:szCs w:val="22"/>
        </w:rPr>
        <w:t xml:space="preserve"> imputable principalement à une amélioration de la production des phosphates. Au niveau des effectifs employés, </w:t>
      </w:r>
      <w:r>
        <w:rPr>
          <w:rFonts w:eastAsia="Arial Unicode MS"/>
          <w:sz w:val="22"/>
          <w:szCs w:val="22"/>
        </w:rPr>
        <w:t>la quasi-totalité</w:t>
      </w:r>
      <w:r w:rsidRPr="002B204B">
        <w:rPr>
          <w:rFonts w:eastAsia="Arial Unicode MS"/>
          <w:sz w:val="22"/>
          <w:szCs w:val="22"/>
        </w:rPr>
        <w:t xml:space="preserve"> des patrons prévoient une stabilité.</w:t>
      </w:r>
    </w:p>
    <w:p w:rsidR="00902341" w:rsidRDefault="00902341" w:rsidP="00902341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 w:rsidRPr="006850D8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>connaîtrait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Pr="002B204B">
        <w:rPr>
          <w:rFonts w:eastAsia="Arial Unicode MS"/>
          <w:sz w:val="22"/>
          <w:szCs w:val="22"/>
        </w:rPr>
        <w:t xml:space="preserve">selon </w:t>
      </w:r>
      <w:r>
        <w:rPr>
          <w:rFonts w:eastAsia="Arial Unicode MS"/>
          <w:sz w:val="22"/>
          <w:szCs w:val="22"/>
        </w:rPr>
        <w:t>71%</w:t>
      </w:r>
      <w:r w:rsidRPr="002B204B">
        <w:rPr>
          <w:rFonts w:eastAsia="Arial Unicode MS"/>
          <w:sz w:val="22"/>
          <w:szCs w:val="22"/>
        </w:rPr>
        <w:t xml:space="preserve"> des chefs d’entreprises,</w:t>
      </w:r>
      <w:r>
        <w:rPr>
          <w:rFonts w:eastAsia="Arial Unicode MS"/>
          <w:sz w:val="22"/>
          <w:szCs w:val="22"/>
        </w:rPr>
        <w:t xml:space="preserve"> une stabilité de</w:t>
      </w:r>
      <w:r w:rsidRPr="002B204B">
        <w:rPr>
          <w:rFonts w:eastAsia="Arial Unicode MS"/>
          <w:sz w:val="22"/>
          <w:szCs w:val="22"/>
        </w:rPr>
        <w:t xml:space="preserve"> la production due à une </w:t>
      </w:r>
      <w:r>
        <w:rPr>
          <w:rFonts w:eastAsia="Arial Unicode MS"/>
          <w:sz w:val="22"/>
          <w:szCs w:val="22"/>
        </w:rPr>
        <w:t>stagnation</w:t>
      </w:r>
      <w:r w:rsidRPr="004A5769">
        <w:rPr>
          <w:rFonts w:eastAsia="Arial Unicode MS"/>
          <w:sz w:val="22"/>
          <w:szCs w:val="22"/>
        </w:rPr>
        <w:t xml:space="preserve"> de la</w:t>
      </w:r>
      <w:r w:rsidRPr="002B204B">
        <w:rPr>
          <w:rFonts w:eastAsia="Arial Unicode MS"/>
          <w:sz w:val="22"/>
          <w:szCs w:val="22"/>
        </w:rPr>
        <w:t xml:space="preserve"> « Production et distribution d’électricité, de gaz, de vapeur et d’air conditionné». </w:t>
      </w:r>
      <w:r>
        <w:rPr>
          <w:rFonts w:eastAsia="Arial Unicode MS"/>
          <w:sz w:val="22"/>
          <w:szCs w:val="22"/>
        </w:rPr>
        <w:t xml:space="preserve">La production de 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>l’industrie environnementale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EC7A91">
        <w:rPr>
          <w:rFonts w:eastAsia="Arial Unicode MS"/>
          <w:sz w:val="22"/>
          <w:szCs w:val="22"/>
        </w:rPr>
        <w:t>devrait, pour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93</w:t>
      </w:r>
      <w:r w:rsidRPr="002B204B">
        <w:rPr>
          <w:rFonts w:eastAsia="Arial Unicode MS"/>
          <w:sz w:val="22"/>
          <w:szCs w:val="22"/>
        </w:rPr>
        <w:t>% des industriels</w:t>
      </w:r>
      <w:r>
        <w:rPr>
          <w:rFonts w:eastAsia="Arial Unicode MS"/>
          <w:sz w:val="22"/>
          <w:szCs w:val="22"/>
        </w:rPr>
        <w:t>, augmenter</w:t>
      </w:r>
      <w:r w:rsidRPr="002B204B">
        <w:rPr>
          <w:rFonts w:eastAsia="Arial Unicode MS"/>
          <w:sz w:val="22"/>
          <w:szCs w:val="22"/>
        </w:rPr>
        <w:t>, notamment, dans les activités du «Captage, traitement et distribution d’eau». L’emploi</w:t>
      </w:r>
      <w:r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connaîtrait </w:t>
      </w:r>
      <w:r w:rsidRPr="004A5769">
        <w:rPr>
          <w:rFonts w:eastAsia="Arial Unicode MS"/>
          <w:sz w:val="22"/>
          <w:szCs w:val="22"/>
        </w:rPr>
        <w:t xml:space="preserve">une </w:t>
      </w:r>
      <w:r>
        <w:rPr>
          <w:rFonts w:eastAsia="Arial Unicode MS"/>
          <w:sz w:val="22"/>
          <w:szCs w:val="22"/>
        </w:rPr>
        <w:t>stabilité</w:t>
      </w:r>
      <w:r w:rsidRPr="004A5769">
        <w:rPr>
          <w:rFonts w:eastAsia="Arial Unicode MS"/>
          <w:sz w:val="22"/>
          <w:szCs w:val="22"/>
        </w:rPr>
        <w:t xml:space="preserve"> selon </w:t>
      </w:r>
      <w:r>
        <w:rPr>
          <w:rFonts w:eastAsia="Arial Unicode MS"/>
          <w:sz w:val="22"/>
          <w:szCs w:val="22"/>
        </w:rPr>
        <w:t>51%</w:t>
      </w:r>
      <w:r w:rsidRPr="002B204B">
        <w:rPr>
          <w:rFonts w:eastAsia="Arial Unicode MS"/>
          <w:sz w:val="22"/>
          <w:szCs w:val="22"/>
        </w:rPr>
        <w:t xml:space="preserve"> des patrons du secteur énergétique et une </w:t>
      </w:r>
      <w:r>
        <w:rPr>
          <w:rFonts w:eastAsia="Arial Unicode MS"/>
          <w:sz w:val="22"/>
          <w:szCs w:val="22"/>
        </w:rPr>
        <w:t>diminution</w:t>
      </w:r>
      <w:r w:rsidRPr="002B204B">
        <w:rPr>
          <w:rFonts w:eastAsia="Arial Unicode MS"/>
          <w:sz w:val="22"/>
          <w:szCs w:val="22"/>
        </w:rPr>
        <w:t xml:space="preserve"> selon </w:t>
      </w:r>
      <w:r>
        <w:rPr>
          <w:rFonts w:eastAsia="Arial Unicode MS"/>
          <w:sz w:val="22"/>
          <w:szCs w:val="22"/>
        </w:rPr>
        <w:t>la quasi-totalité</w:t>
      </w:r>
      <w:r w:rsidRPr="002B204B">
        <w:rPr>
          <w:rFonts w:eastAsia="Arial Unicode MS"/>
          <w:sz w:val="22"/>
          <w:szCs w:val="22"/>
        </w:rPr>
        <w:t xml:space="preserve"> des chefs d’entreprises du secteur environnemental.</w:t>
      </w:r>
      <w:r>
        <w:rPr>
          <w:rFonts w:eastAsia="Arial Unicode MS"/>
          <w:sz w:val="22"/>
          <w:szCs w:val="22"/>
        </w:rPr>
        <w:t xml:space="preserve">  </w:t>
      </w:r>
    </w:p>
    <w:p w:rsidR="00F81A11" w:rsidRPr="00F03C7C" w:rsidRDefault="00330198" w:rsidP="000F71D1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2995930</wp:posOffset>
            </wp:positionH>
            <wp:positionV relativeFrom="margin">
              <wp:posOffset>258445</wp:posOffset>
            </wp:positionV>
            <wp:extent cx="3145790" cy="2450465"/>
            <wp:effectExtent l="0" t="1270" r="1905" b="0"/>
            <wp:wrapSquare wrapText="bothSides"/>
            <wp:docPr id="112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2D769F" w:rsidRDefault="002D769F" w:rsidP="00A71DB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>
        <w:rPr>
          <w:rFonts w:eastAsia="Arial Unicode MS"/>
          <w:sz w:val="22"/>
          <w:szCs w:val="22"/>
        </w:rPr>
        <w:t xml:space="preserve">pour </w:t>
      </w:r>
      <w:r w:rsidRPr="00AF11D6">
        <w:rPr>
          <w:rFonts w:eastAsia="Arial Unicode MS"/>
          <w:sz w:val="22"/>
          <w:szCs w:val="22"/>
        </w:rPr>
        <w:t xml:space="preserve">le 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A71DB5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="00A71DB5">
        <w:rPr>
          <w:rFonts w:eastAsia="Arial Unicode MS"/>
          <w:sz w:val="22"/>
          <w:szCs w:val="22"/>
        </w:rPr>
        <w:t>au 1</w:t>
      </w:r>
      <w:r w:rsidR="00A71DB5" w:rsidRPr="00A71DB5">
        <w:rPr>
          <w:rFonts w:eastAsia="Arial Unicode MS"/>
          <w:sz w:val="22"/>
          <w:szCs w:val="22"/>
          <w:vertAlign w:val="superscript"/>
        </w:rPr>
        <w:t>er</w:t>
      </w:r>
      <w:r w:rsidR="00A71DB5">
        <w:rPr>
          <w:rFonts w:eastAsia="Arial Unicode MS"/>
          <w:sz w:val="22"/>
          <w:szCs w:val="22"/>
        </w:rPr>
        <w:t xml:space="preserve"> </w:t>
      </w:r>
      <w:r w:rsidR="00A71DB5" w:rsidRPr="00AF11D6">
        <w:rPr>
          <w:rFonts w:eastAsia="Arial Unicode MS"/>
          <w:sz w:val="22"/>
          <w:szCs w:val="22"/>
        </w:rPr>
        <w:t>trimestre 201</w:t>
      </w:r>
      <w:r w:rsidR="00A71DB5">
        <w:rPr>
          <w:rFonts w:eastAsia="Arial Unicode MS"/>
          <w:sz w:val="22"/>
          <w:szCs w:val="22"/>
        </w:rPr>
        <w:t xml:space="preserve">7, </w:t>
      </w:r>
      <w:r w:rsidRPr="00AF11D6">
        <w:rPr>
          <w:rFonts w:eastAsia="Arial Unicode MS"/>
          <w:sz w:val="22"/>
          <w:szCs w:val="22"/>
        </w:rPr>
        <w:t xml:space="preserve">font ressortir, globalement, une </w:t>
      </w:r>
      <w:r>
        <w:rPr>
          <w:rFonts w:eastAsia="Arial Unicode MS"/>
          <w:sz w:val="22"/>
          <w:szCs w:val="22"/>
        </w:rPr>
        <w:t>stabilité</w:t>
      </w:r>
      <w:r w:rsidRPr="00AF11D6">
        <w:rPr>
          <w:rFonts w:eastAsia="Arial Unicode MS"/>
          <w:sz w:val="22"/>
          <w:szCs w:val="22"/>
        </w:rPr>
        <w:t xml:space="preserve"> de l’activité</w:t>
      </w:r>
      <w:r w:rsidR="00A71DB5">
        <w:rPr>
          <w:rFonts w:eastAsia="Arial Unicode MS"/>
          <w:sz w:val="22"/>
          <w:szCs w:val="22"/>
        </w:rPr>
        <w:t xml:space="preserve"> selon 51% des chefs d’entreprises et une hausse selon 26%.</w:t>
      </w:r>
      <w:r w:rsidRPr="00AF11D6">
        <w:rPr>
          <w:rFonts w:eastAsia="Arial Unicode MS"/>
          <w:sz w:val="22"/>
          <w:szCs w:val="22"/>
        </w:rPr>
        <w:t xml:space="preserve"> </w:t>
      </w:r>
    </w:p>
    <w:p w:rsidR="002D769F" w:rsidRDefault="006E2332" w:rsidP="00A71DB5">
      <w:pPr>
        <w:spacing w:after="120" w:line="300" w:lineRule="exact"/>
        <w:jc w:val="both"/>
        <w:rPr>
          <w:color w:val="000000"/>
        </w:rPr>
      </w:pPr>
      <w:r w:rsidRPr="006E2332">
        <w:rPr>
          <w:rFonts w:eastAsia="Arial Unicode MS"/>
          <w:sz w:val="22"/>
          <w:szCs w:val="22"/>
        </w:rPr>
        <w:t xml:space="preserve">Cette stabilité </w:t>
      </w:r>
      <w:r w:rsidR="00A71DB5">
        <w:rPr>
          <w:rFonts w:eastAsia="Arial Unicode MS"/>
          <w:sz w:val="22"/>
          <w:szCs w:val="22"/>
        </w:rPr>
        <w:t xml:space="preserve">résulterait </w:t>
      </w:r>
      <w:r w:rsidR="00580B2B">
        <w:rPr>
          <w:rFonts w:eastAsia="Arial Unicode MS"/>
          <w:sz w:val="22"/>
          <w:szCs w:val="22"/>
        </w:rPr>
        <w:t>principalement</w:t>
      </w:r>
      <w:r w:rsidR="00A71DB5">
        <w:rPr>
          <w:rFonts w:eastAsia="Arial Unicode MS"/>
          <w:sz w:val="22"/>
          <w:szCs w:val="22"/>
        </w:rPr>
        <w:t xml:space="preserve"> de la hausse </w:t>
      </w:r>
      <w:r w:rsidR="00C17688">
        <w:rPr>
          <w:rFonts w:eastAsia="Arial Unicode MS"/>
          <w:sz w:val="22"/>
          <w:szCs w:val="22"/>
        </w:rPr>
        <w:t>d</w:t>
      </w:r>
      <w:r w:rsidR="00580B2B">
        <w:rPr>
          <w:rFonts w:eastAsia="Arial Unicode MS"/>
          <w:sz w:val="22"/>
          <w:szCs w:val="22"/>
        </w:rPr>
        <w:t>’activité</w:t>
      </w:r>
      <w:r w:rsidR="004E2B58">
        <w:rPr>
          <w:rFonts w:eastAsia="Arial Unicode MS"/>
          <w:sz w:val="22"/>
          <w:szCs w:val="22"/>
        </w:rPr>
        <w:t xml:space="preserve"> prévue</w:t>
      </w:r>
      <w:r w:rsidRPr="006E2332">
        <w:rPr>
          <w:rFonts w:eastAsia="Arial Unicode MS"/>
          <w:sz w:val="22"/>
          <w:szCs w:val="22"/>
        </w:rPr>
        <w:t xml:space="preserve"> </w:t>
      </w:r>
      <w:r w:rsidR="00A71DB5">
        <w:rPr>
          <w:rFonts w:eastAsia="Arial Unicode MS"/>
          <w:sz w:val="22"/>
          <w:szCs w:val="22"/>
        </w:rPr>
        <w:t>au niveau</w:t>
      </w:r>
      <w:r w:rsidRPr="006E2332">
        <w:rPr>
          <w:rFonts w:eastAsia="Arial Unicode MS"/>
          <w:sz w:val="22"/>
          <w:szCs w:val="22"/>
        </w:rPr>
        <w:t xml:space="preserve"> des « Travaux de construction spécialisés »</w:t>
      </w:r>
      <w:r w:rsidR="003F1A8D">
        <w:rPr>
          <w:rFonts w:eastAsia="Arial Unicode MS"/>
          <w:sz w:val="22"/>
          <w:szCs w:val="22"/>
        </w:rPr>
        <w:t xml:space="preserve"> </w:t>
      </w:r>
      <w:r w:rsidR="003F1A8D" w:rsidRPr="005516EE">
        <w:rPr>
          <w:rFonts w:eastAsia="Arial Unicode MS"/>
          <w:sz w:val="22"/>
          <w:szCs w:val="22"/>
        </w:rPr>
        <w:t>et</w:t>
      </w:r>
      <w:r w:rsidRPr="005516EE">
        <w:rPr>
          <w:rFonts w:eastAsia="Arial Unicode MS"/>
          <w:sz w:val="22"/>
          <w:szCs w:val="22"/>
        </w:rPr>
        <w:t xml:space="preserve"> de</w:t>
      </w:r>
      <w:r w:rsidRPr="006E2332">
        <w:rPr>
          <w:rFonts w:eastAsia="Arial Unicode MS"/>
          <w:sz w:val="22"/>
          <w:szCs w:val="22"/>
        </w:rPr>
        <w:t xml:space="preserve"> la</w:t>
      </w:r>
      <w:r w:rsidR="00A71DB5">
        <w:rPr>
          <w:rFonts w:eastAsia="Arial Unicode MS"/>
          <w:sz w:val="22"/>
          <w:szCs w:val="22"/>
        </w:rPr>
        <w:t xml:space="preserve"> baisse d’activité du « Génie civil ».</w:t>
      </w:r>
      <w:r w:rsidR="00850ED6">
        <w:rPr>
          <w:rFonts w:eastAsia="Arial Unicode MS"/>
          <w:sz w:val="22"/>
          <w:szCs w:val="22"/>
        </w:rPr>
        <w:t xml:space="preserve"> Elle </w:t>
      </w:r>
      <w:r w:rsidR="002D769F" w:rsidRPr="00AF11D6">
        <w:rPr>
          <w:rFonts w:eastAsia="Arial Unicode MS"/>
          <w:sz w:val="22"/>
          <w:szCs w:val="22"/>
        </w:rPr>
        <w:t>serait accompagnée</w:t>
      </w:r>
      <w:r w:rsidR="00850ED6">
        <w:rPr>
          <w:rFonts w:eastAsia="Arial Unicode MS"/>
          <w:sz w:val="22"/>
          <w:szCs w:val="22"/>
        </w:rPr>
        <w:t>,</w:t>
      </w:r>
      <w:r w:rsidR="002D769F" w:rsidRPr="00AF11D6">
        <w:rPr>
          <w:rFonts w:eastAsia="Arial Unicode MS"/>
          <w:sz w:val="22"/>
          <w:szCs w:val="22"/>
        </w:rPr>
        <w:t xml:space="preserve"> </w:t>
      </w:r>
      <w:r w:rsidR="003C153C">
        <w:rPr>
          <w:rFonts w:eastAsia="Arial Unicode MS"/>
          <w:sz w:val="22"/>
          <w:szCs w:val="22"/>
        </w:rPr>
        <w:t>selon</w:t>
      </w:r>
      <w:r w:rsidR="00850ED6" w:rsidRPr="00AF11D6">
        <w:rPr>
          <w:rFonts w:eastAsia="Arial Unicode MS"/>
          <w:sz w:val="22"/>
          <w:szCs w:val="22"/>
        </w:rPr>
        <w:t xml:space="preserve"> </w:t>
      </w:r>
      <w:r w:rsidR="00850ED6">
        <w:rPr>
          <w:rFonts w:eastAsia="Arial Unicode MS"/>
          <w:sz w:val="22"/>
          <w:szCs w:val="22"/>
        </w:rPr>
        <w:t xml:space="preserve">près de </w:t>
      </w:r>
      <w:r w:rsidR="00A71DB5">
        <w:rPr>
          <w:rFonts w:eastAsia="Arial Unicode MS"/>
          <w:sz w:val="22"/>
          <w:szCs w:val="22"/>
        </w:rPr>
        <w:t>72</w:t>
      </w:r>
      <w:r w:rsidR="00850ED6" w:rsidRPr="00AF11D6">
        <w:rPr>
          <w:rFonts w:eastAsia="Arial Unicode MS"/>
          <w:sz w:val="22"/>
          <w:szCs w:val="22"/>
        </w:rPr>
        <w:t>% des chefs d’entreprises</w:t>
      </w:r>
      <w:r w:rsidR="00850ED6">
        <w:rPr>
          <w:rFonts w:eastAsia="Arial Unicode MS"/>
          <w:sz w:val="22"/>
          <w:szCs w:val="22"/>
        </w:rPr>
        <w:t>,</w:t>
      </w:r>
      <w:r w:rsidR="00850ED6" w:rsidRPr="00AF11D6">
        <w:rPr>
          <w:rFonts w:eastAsia="Arial Unicode MS"/>
          <w:sz w:val="22"/>
          <w:szCs w:val="22"/>
        </w:rPr>
        <w:t xml:space="preserve"> </w:t>
      </w:r>
      <w:r w:rsidR="002D769F" w:rsidRPr="00AF11D6">
        <w:rPr>
          <w:rFonts w:eastAsia="Arial Unicode MS"/>
          <w:sz w:val="22"/>
          <w:szCs w:val="22"/>
        </w:rPr>
        <w:t>par une stabilité des effectifs employés.</w:t>
      </w:r>
    </w:p>
    <w:p w:rsidR="005B18F9" w:rsidRDefault="005B18F9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sectPr w:rsidR="005B18F9" w:rsidSect="00A66E43">
      <w:footerReference w:type="default" r:id="rId19"/>
      <w:footerReference w:type="first" r:id="rId20"/>
      <w:type w:val="continuous"/>
      <w:pgSz w:w="11906" w:h="16838"/>
      <w:pgMar w:top="1258" w:right="1417" w:bottom="1258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763" w:rsidRDefault="00645763">
      <w:r>
        <w:separator/>
      </w:r>
    </w:p>
  </w:endnote>
  <w:endnote w:type="continuationSeparator" w:id="1">
    <w:p w:rsidR="00645763" w:rsidRDefault="0064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  <w:r w:rsidRPr="0013128E">
      <w:rPr>
        <w:rFonts w:ascii="Calibri" w:hAnsi="Calibri" w:cs="Arial"/>
      </w:rPr>
      <w:fldChar w:fldCharType="begin"/>
    </w:r>
    <w:r w:rsidRPr="00A66E43">
      <w:instrText>PAGE   \* MERGEFORMAT</w:instrText>
    </w:r>
    <w:r w:rsidRPr="0013128E">
      <w:rPr>
        <w:rFonts w:ascii="Calibri" w:hAnsi="Calibri" w:cs="Arial"/>
      </w:rPr>
      <w:fldChar w:fldCharType="separate"/>
    </w:r>
    <w:r w:rsidR="00330198" w:rsidRPr="00330198">
      <w:rPr>
        <w:rFonts w:ascii="Cambria" w:hAnsi="Cambria"/>
        <w:noProof/>
        <w:color w:val="4F81BD"/>
      </w:rPr>
      <w:t>2</w:t>
    </w:r>
    <w:r w:rsidRPr="0013128E">
      <w:rPr>
        <w:rFonts w:ascii="Cambria" w:hAnsi="Cambria"/>
        <w:color w:val="4F81BD"/>
      </w:rPr>
      <w:fldChar w:fldCharType="end"/>
    </w: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630C01">
    <w:pPr>
      <w:pStyle w:val="Pieddepage"/>
      <w:jc w:val="center"/>
    </w:pPr>
    <w:fldSimple w:instr=" PAGE   \* MERGEFORMAT ">
      <w:r>
        <w:rPr>
          <w:noProof/>
        </w:rPr>
        <w:t>1</w:t>
      </w:r>
    </w:fldSimple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  <w:r w:rsidRPr="0013128E">
      <w:rPr>
        <w:rFonts w:ascii="Calibri" w:hAnsi="Calibri" w:cs="Arial"/>
      </w:rPr>
      <w:fldChar w:fldCharType="begin"/>
    </w:r>
    <w:r w:rsidRPr="00A66E43">
      <w:instrText>PAGE   \* MERGEFORMAT</w:instrText>
    </w:r>
    <w:r w:rsidRPr="0013128E">
      <w:rPr>
        <w:rFonts w:ascii="Calibri" w:hAnsi="Calibri" w:cs="Arial"/>
      </w:rPr>
      <w:fldChar w:fldCharType="separate"/>
    </w:r>
    <w:r w:rsidR="00330198" w:rsidRPr="00330198">
      <w:rPr>
        <w:rFonts w:ascii="Cambria" w:hAnsi="Cambria"/>
        <w:noProof/>
        <w:color w:val="4F81BD"/>
      </w:rPr>
      <w:t>4</w:t>
    </w:r>
    <w:r w:rsidRPr="0013128E">
      <w:rPr>
        <w:rFonts w:ascii="Cambria" w:hAnsi="Cambria"/>
        <w:color w:val="4F81BD"/>
      </w:rPr>
      <w:fldChar w:fldCharType="end"/>
    </w:r>
  </w:p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630C01">
    <w:pPr>
      <w:pStyle w:val="Pieddepage"/>
      <w:jc w:val="center"/>
    </w:pPr>
    <w:fldSimple w:instr=" PAGE   \* MERGEFORMAT ">
      <w:r>
        <w:rPr>
          <w:noProof/>
        </w:rPr>
        <w:t>1</w:t>
      </w:r>
    </w:fldSimple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763" w:rsidRDefault="00645763">
      <w:r>
        <w:separator/>
      </w:r>
    </w:p>
  </w:footnote>
  <w:footnote w:type="continuationSeparator" w:id="1">
    <w:p w:rsidR="00645763" w:rsidRDefault="00645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numPicBullet w:numPicBulletId="1">
    <w:pict>
      <v:shape id="_x0000_i1028" type="#_x0000_t75" style="width:11pt;height:11pt" o:bullet="t">
        <v:imagedata r:id="rId2" o:title="msoAD26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1021C"/>
    <w:rsid w:val="00011B92"/>
    <w:rsid w:val="00013E44"/>
    <w:rsid w:val="00014315"/>
    <w:rsid w:val="000275EF"/>
    <w:rsid w:val="00031605"/>
    <w:rsid w:val="0003329C"/>
    <w:rsid w:val="0003724A"/>
    <w:rsid w:val="00043D21"/>
    <w:rsid w:val="00053F91"/>
    <w:rsid w:val="000554EE"/>
    <w:rsid w:val="000625B3"/>
    <w:rsid w:val="00074098"/>
    <w:rsid w:val="0007624B"/>
    <w:rsid w:val="00084B71"/>
    <w:rsid w:val="00086874"/>
    <w:rsid w:val="0009283F"/>
    <w:rsid w:val="00095BA9"/>
    <w:rsid w:val="000A2AE4"/>
    <w:rsid w:val="000A3E97"/>
    <w:rsid w:val="000A6D2B"/>
    <w:rsid w:val="000B1D9D"/>
    <w:rsid w:val="000B2A3E"/>
    <w:rsid w:val="000B3925"/>
    <w:rsid w:val="000B5B84"/>
    <w:rsid w:val="000B6C46"/>
    <w:rsid w:val="000D4A9A"/>
    <w:rsid w:val="000E1335"/>
    <w:rsid w:val="000E52CC"/>
    <w:rsid w:val="000E5893"/>
    <w:rsid w:val="000E76B0"/>
    <w:rsid w:val="000F0BF1"/>
    <w:rsid w:val="000F6813"/>
    <w:rsid w:val="000F71D1"/>
    <w:rsid w:val="00100AF5"/>
    <w:rsid w:val="0010285F"/>
    <w:rsid w:val="001062FA"/>
    <w:rsid w:val="00106C12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7652"/>
    <w:rsid w:val="0014114C"/>
    <w:rsid w:val="00144168"/>
    <w:rsid w:val="0014690D"/>
    <w:rsid w:val="00151644"/>
    <w:rsid w:val="0015197C"/>
    <w:rsid w:val="001575EB"/>
    <w:rsid w:val="00157A43"/>
    <w:rsid w:val="00160B9E"/>
    <w:rsid w:val="0016330A"/>
    <w:rsid w:val="00164075"/>
    <w:rsid w:val="00167B4D"/>
    <w:rsid w:val="0017017D"/>
    <w:rsid w:val="001724B1"/>
    <w:rsid w:val="0017323F"/>
    <w:rsid w:val="00176022"/>
    <w:rsid w:val="001814FA"/>
    <w:rsid w:val="00186F4B"/>
    <w:rsid w:val="00193033"/>
    <w:rsid w:val="00193417"/>
    <w:rsid w:val="00196035"/>
    <w:rsid w:val="001A0E03"/>
    <w:rsid w:val="001A1553"/>
    <w:rsid w:val="001A2AA6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D12"/>
    <w:rsid w:val="001E0DAC"/>
    <w:rsid w:val="001E3163"/>
    <w:rsid w:val="001E5F22"/>
    <w:rsid w:val="001F1643"/>
    <w:rsid w:val="001F19C6"/>
    <w:rsid w:val="001F2033"/>
    <w:rsid w:val="001F3599"/>
    <w:rsid w:val="001F6BEB"/>
    <w:rsid w:val="001F73EE"/>
    <w:rsid w:val="00203FD6"/>
    <w:rsid w:val="00204441"/>
    <w:rsid w:val="0020594A"/>
    <w:rsid w:val="00206659"/>
    <w:rsid w:val="00207F60"/>
    <w:rsid w:val="00210EFA"/>
    <w:rsid w:val="00212505"/>
    <w:rsid w:val="00215236"/>
    <w:rsid w:val="002164FB"/>
    <w:rsid w:val="0022299E"/>
    <w:rsid w:val="00233459"/>
    <w:rsid w:val="00236B5B"/>
    <w:rsid w:val="00245FD1"/>
    <w:rsid w:val="002559DF"/>
    <w:rsid w:val="00256291"/>
    <w:rsid w:val="00257C74"/>
    <w:rsid w:val="00260217"/>
    <w:rsid w:val="00265A87"/>
    <w:rsid w:val="002668FE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BF8"/>
    <w:rsid w:val="00292557"/>
    <w:rsid w:val="002930D8"/>
    <w:rsid w:val="00295A6C"/>
    <w:rsid w:val="002A0E1D"/>
    <w:rsid w:val="002A1960"/>
    <w:rsid w:val="002A416A"/>
    <w:rsid w:val="002A6C6C"/>
    <w:rsid w:val="002A7221"/>
    <w:rsid w:val="002B0525"/>
    <w:rsid w:val="002B1448"/>
    <w:rsid w:val="002B204B"/>
    <w:rsid w:val="002B2CAA"/>
    <w:rsid w:val="002B5BF0"/>
    <w:rsid w:val="002D38C3"/>
    <w:rsid w:val="002D3BD2"/>
    <w:rsid w:val="002D537A"/>
    <w:rsid w:val="002D769F"/>
    <w:rsid w:val="002E1737"/>
    <w:rsid w:val="002E446D"/>
    <w:rsid w:val="002E750F"/>
    <w:rsid w:val="002F37B3"/>
    <w:rsid w:val="002F3FB3"/>
    <w:rsid w:val="002F5C54"/>
    <w:rsid w:val="002F71A5"/>
    <w:rsid w:val="002F7B54"/>
    <w:rsid w:val="00302676"/>
    <w:rsid w:val="003027A9"/>
    <w:rsid w:val="00302E80"/>
    <w:rsid w:val="00304F3F"/>
    <w:rsid w:val="00305B12"/>
    <w:rsid w:val="0030605C"/>
    <w:rsid w:val="00306CBC"/>
    <w:rsid w:val="00307146"/>
    <w:rsid w:val="003121A0"/>
    <w:rsid w:val="00312DB8"/>
    <w:rsid w:val="00313123"/>
    <w:rsid w:val="00314191"/>
    <w:rsid w:val="00316313"/>
    <w:rsid w:val="00317A9E"/>
    <w:rsid w:val="00321166"/>
    <w:rsid w:val="00330198"/>
    <w:rsid w:val="003329F7"/>
    <w:rsid w:val="0033375A"/>
    <w:rsid w:val="00334763"/>
    <w:rsid w:val="0033541E"/>
    <w:rsid w:val="00336BD4"/>
    <w:rsid w:val="0034133F"/>
    <w:rsid w:val="0034613F"/>
    <w:rsid w:val="00351D4C"/>
    <w:rsid w:val="00356D34"/>
    <w:rsid w:val="00365978"/>
    <w:rsid w:val="0036616B"/>
    <w:rsid w:val="00373B71"/>
    <w:rsid w:val="00373C67"/>
    <w:rsid w:val="00374017"/>
    <w:rsid w:val="00377B93"/>
    <w:rsid w:val="003832DA"/>
    <w:rsid w:val="00383327"/>
    <w:rsid w:val="0038590B"/>
    <w:rsid w:val="0039671A"/>
    <w:rsid w:val="003A2CE4"/>
    <w:rsid w:val="003B0615"/>
    <w:rsid w:val="003B5F82"/>
    <w:rsid w:val="003B6532"/>
    <w:rsid w:val="003B7C9A"/>
    <w:rsid w:val="003C153C"/>
    <w:rsid w:val="003C1B70"/>
    <w:rsid w:val="003C2ECA"/>
    <w:rsid w:val="003C3C15"/>
    <w:rsid w:val="003C709A"/>
    <w:rsid w:val="003D0B92"/>
    <w:rsid w:val="003D68CD"/>
    <w:rsid w:val="003D76E8"/>
    <w:rsid w:val="003E208A"/>
    <w:rsid w:val="003E37F2"/>
    <w:rsid w:val="003E443B"/>
    <w:rsid w:val="003E4FE1"/>
    <w:rsid w:val="003E7341"/>
    <w:rsid w:val="003F0254"/>
    <w:rsid w:val="003F1A8D"/>
    <w:rsid w:val="003F28EA"/>
    <w:rsid w:val="003F68B1"/>
    <w:rsid w:val="003F7BFE"/>
    <w:rsid w:val="00404176"/>
    <w:rsid w:val="00405781"/>
    <w:rsid w:val="00407D80"/>
    <w:rsid w:val="00416C7F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DB7"/>
    <w:rsid w:val="0044734F"/>
    <w:rsid w:val="00454991"/>
    <w:rsid w:val="00456E49"/>
    <w:rsid w:val="00462822"/>
    <w:rsid w:val="00462AEA"/>
    <w:rsid w:val="004659F5"/>
    <w:rsid w:val="00470F06"/>
    <w:rsid w:val="0047233F"/>
    <w:rsid w:val="00474E89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10D9"/>
    <w:rsid w:val="004915DF"/>
    <w:rsid w:val="00491F4E"/>
    <w:rsid w:val="004A03AC"/>
    <w:rsid w:val="004A1B02"/>
    <w:rsid w:val="004A2AD5"/>
    <w:rsid w:val="004A5769"/>
    <w:rsid w:val="004A7EF1"/>
    <w:rsid w:val="004B19E7"/>
    <w:rsid w:val="004B2E96"/>
    <w:rsid w:val="004B411A"/>
    <w:rsid w:val="004C7838"/>
    <w:rsid w:val="004D4CBB"/>
    <w:rsid w:val="004E20CC"/>
    <w:rsid w:val="004E24AF"/>
    <w:rsid w:val="004E2B58"/>
    <w:rsid w:val="004E2DD7"/>
    <w:rsid w:val="004E423B"/>
    <w:rsid w:val="004E59A5"/>
    <w:rsid w:val="004E5E98"/>
    <w:rsid w:val="004E682E"/>
    <w:rsid w:val="004E6E15"/>
    <w:rsid w:val="004E7600"/>
    <w:rsid w:val="004F3556"/>
    <w:rsid w:val="00500ACF"/>
    <w:rsid w:val="00502528"/>
    <w:rsid w:val="00505AD5"/>
    <w:rsid w:val="00506785"/>
    <w:rsid w:val="00513024"/>
    <w:rsid w:val="005142A8"/>
    <w:rsid w:val="00514D14"/>
    <w:rsid w:val="00530796"/>
    <w:rsid w:val="00532B0F"/>
    <w:rsid w:val="005337B6"/>
    <w:rsid w:val="00533D55"/>
    <w:rsid w:val="00535A84"/>
    <w:rsid w:val="00537897"/>
    <w:rsid w:val="00541980"/>
    <w:rsid w:val="00541C46"/>
    <w:rsid w:val="00544B74"/>
    <w:rsid w:val="00544B7F"/>
    <w:rsid w:val="005516EE"/>
    <w:rsid w:val="00551FCF"/>
    <w:rsid w:val="0055363B"/>
    <w:rsid w:val="00557213"/>
    <w:rsid w:val="005573F0"/>
    <w:rsid w:val="00566A26"/>
    <w:rsid w:val="00572FD7"/>
    <w:rsid w:val="00577644"/>
    <w:rsid w:val="00580B2B"/>
    <w:rsid w:val="00581492"/>
    <w:rsid w:val="00583A84"/>
    <w:rsid w:val="00584197"/>
    <w:rsid w:val="005850FD"/>
    <w:rsid w:val="00585CD7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789E"/>
    <w:rsid w:val="005C3B99"/>
    <w:rsid w:val="005C490C"/>
    <w:rsid w:val="005D0DC1"/>
    <w:rsid w:val="005D4A17"/>
    <w:rsid w:val="005E5C5A"/>
    <w:rsid w:val="005E5F58"/>
    <w:rsid w:val="005F3076"/>
    <w:rsid w:val="00600463"/>
    <w:rsid w:val="00600F6D"/>
    <w:rsid w:val="00602C7C"/>
    <w:rsid w:val="00604007"/>
    <w:rsid w:val="006056E5"/>
    <w:rsid w:val="00612B0E"/>
    <w:rsid w:val="006153E5"/>
    <w:rsid w:val="00616F7E"/>
    <w:rsid w:val="006202E0"/>
    <w:rsid w:val="00621BE8"/>
    <w:rsid w:val="00630C01"/>
    <w:rsid w:val="00630E13"/>
    <w:rsid w:val="00631531"/>
    <w:rsid w:val="006328C2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5C54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D89"/>
    <w:rsid w:val="006B089B"/>
    <w:rsid w:val="006B3697"/>
    <w:rsid w:val="006B36B6"/>
    <w:rsid w:val="006C4536"/>
    <w:rsid w:val="006D08D3"/>
    <w:rsid w:val="006D09D7"/>
    <w:rsid w:val="006D1BFB"/>
    <w:rsid w:val="006D40B9"/>
    <w:rsid w:val="006D50AE"/>
    <w:rsid w:val="006D5263"/>
    <w:rsid w:val="006D7F7D"/>
    <w:rsid w:val="006E0499"/>
    <w:rsid w:val="006E1F9E"/>
    <w:rsid w:val="006E2332"/>
    <w:rsid w:val="006E5679"/>
    <w:rsid w:val="006E6C4B"/>
    <w:rsid w:val="006F499A"/>
    <w:rsid w:val="00702012"/>
    <w:rsid w:val="00704699"/>
    <w:rsid w:val="00706C10"/>
    <w:rsid w:val="00711A4F"/>
    <w:rsid w:val="00711D32"/>
    <w:rsid w:val="00720AA5"/>
    <w:rsid w:val="00722358"/>
    <w:rsid w:val="00722F27"/>
    <w:rsid w:val="007320F2"/>
    <w:rsid w:val="00733C13"/>
    <w:rsid w:val="00737135"/>
    <w:rsid w:val="00744367"/>
    <w:rsid w:val="007507E3"/>
    <w:rsid w:val="00753113"/>
    <w:rsid w:val="0075402B"/>
    <w:rsid w:val="007563F9"/>
    <w:rsid w:val="00757AF5"/>
    <w:rsid w:val="00757E5D"/>
    <w:rsid w:val="00760864"/>
    <w:rsid w:val="007611CA"/>
    <w:rsid w:val="0076370A"/>
    <w:rsid w:val="00766520"/>
    <w:rsid w:val="00772EAC"/>
    <w:rsid w:val="00777D93"/>
    <w:rsid w:val="0078191E"/>
    <w:rsid w:val="007862ED"/>
    <w:rsid w:val="00790B01"/>
    <w:rsid w:val="007923E3"/>
    <w:rsid w:val="00792FF0"/>
    <w:rsid w:val="007A4D09"/>
    <w:rsid w:val="007B3F80"/>
    <w:rsid w:val="007B3FA3"/>
    <w:rsid w:val="007C305A"/>
    <w:rsid w:val="007D02BB"/>
    <w:rsid w:val="007D09FF"/>
    <w:rsid w:val="007D2263"/>
    <w:rsid w:val="007D442B"/>
    <w:rsid w:val="007E1420"/>
    <w:rsid w:val="007E1533"/>
    <w:rsid w:val="007E5AD3"/>
    <w:rsid w:val="007E64AF"/>
    <w:rsid w:val="007E71EE"/>
    <w:rsid w:val="007F0825"/>
    <w:rsid w:val="007F4784"/>
    <w:rsid w:val="007F4BA9"/>
    <w:rsid w:val="007F5B2F"/>
    <w:rsid w:val="00801153"/>
    <w:rsid w:val="00801F97"/>
    <w:rsid w:val="00803FCD"/>
    <w:rsid w:val="00804FEE"/>
    <w:rsid w:val="00810D7F"/>
    <w:rsid w:val="008150BF"/>
    <w:rsid w:val="00815FC3"/>
    <w:rsid w:val="0082137A"/>
    <w:rsid w:val="00825871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6410"/>
    <w:rsid w:val="00871F9A"/>
    <w:rsid w:val="008741C5"/>
    <w:rsid w:val="008758DE"/>
    <w:rsid w:val="00876787"/>
    <w:rsid w:val="00881864"/>
    <w:rsid w:val="00882C89"/>
    <w:rsid w:val="00893F31"/>
    <w:rsid w:val="00894A15"/>
    <w:rsid w:val="00895AA3"/>
    <w:rsid w:val="008A691E"/>
    <w:rsid w:val="008A7F8C"/>
    <w:rsid w:val="008B0453"/>
    <w:rsid w:val="008B1E64"/>
    <w:rsid w:val="008B2CBB"/>
    <w:rsid w:val="008B4895"/>
    <w:rsid w:val="008B7C79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31FE"/>
    <w:rsid w:val="00906EB8"/>
    <w:rsid w:val="009102EE"/>
    <w:rsid w:val="009174FB"/>
    <w:rsid w:val="00921E8C"/>
    <w:rsid w:val="0092724E"/>
    <w:rsid w:val="00931126"/>
    <w:rsid w:val="009377FB"/>
    <w:rsid w:val="00940D49"/>
    <w:rsid w:val="0094389A"/>
    <w:rsid w:val="00946792"/>
    <w:rsid w:val="009475AB"/>
    <w:rsid w:val="00947FC6"/>
    <w:rsid w:val="00954425"/>
    <w:rsid w:val="0095483F"/>
    <w:rsid w:val="00957A56"/>
    <w:rsid w:val="00971D5C"/>
    <w:rsid w:val="009801E4"/>
    <w:rsid w:val="00982ADB"/>
    <w:rsid w:val="009831C0"/>
    <w:rsid w:val="00983318"/>
    <w:rsid w:val="00983ECD"/>
    <w:rsid w:val="00986F74"/>
    <w:rsid w:val="00991D68"/>
    <w:rsid w:val="009929AA"/>
    <w:rsid w:val="009956CF"/>
    <w:rsid w:val="009975E3"/>
    <w:rsid w:val="009A3DCF"/>
    <w:rsid w:val="009A3EBE"/>
    <w:rsid w:val="009A431C"/>
    <w:rsid w:val="009A69BF"/>
    <w:rsid w:val="009A7A01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5321"/>
    <w:rsid w:val="009D5A39"/>
    <w:rsid w:val="009D7D48"/>
    <w:rsid w:val="009E1CC2"/>
    <w:rsid w:val="009E4E74"/>
    <w:rsid w:val="009F4C75"/>
    <w:rsid w:val="00A01DE9"/>
    <w:rsid w:val="00A02ED5"/>
    <w:rsid w:val="00A03537"/>
    <w:rsid w:val="00A03B99"/>
    <w:rsid w:val="00A06792"/>
    <w:rsid w:val="00A075CB"/>
    <w:rsid w:val="00A12866"/>
    <w:rsid w:val="00A13AFA"/>
    <w:rsid w:val="00A13CF0"/>
    <w:rsid w:val="00A1430C"/>
    <w:rsid w:val="00A1572C"/>
    <w:rsid w:val="00A15EDE"/>
    <w:rsid w:val="00A16299"/>
    <w:rsid w:val="00A2168A"/>
    <w:rsid w:val="00A23965"/>
    <w:rsid w:val="00A2404F"/>
    <w:rsid w:val="00A2455C"/>
    <w:rsid w:val="00A24A06"/>
    <w:rsid w:val="00A354B7"/>
    <w:rsid w:val="00A36B5E"/>
    <w:rsid w:val="00A42EA3"/>
    <w:rsid w:val="00A43B9B"/>
    <w:rsid w:val="00A529E0"/>
    <w:rsid w:val="00A5393D"/>
    <w:rsid w:val="00A611F6"/>
    <w:rsid w:val="00A614FE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34E9"/>
    <w:rsid w:val="00A85D85"/>
    <w:rsid w:val="00A92176"/>
    <w:rsid w:val="00A92EB8"/>
    <w:rsid w:val="00A94D3C"/>
    <w:rsid w:val="00A95465"/>
    <w:rsid w:val="00A96487"/>
    <w:rsid w:val="00AA53CC"/>
    <w:rsid w:val="00AB0858"/>
    <w:rsid w:val="00AB24B6"/>
    <w:rsid w:val="00AB5150"/>
    <w:rsid w:val="00AB635B"/>
    <w:rsid w:val="00AC26A5"/>
    <w:rsid w:val="00AC2CF2"/>
    <w:rsid w:val="00AC3EF4"/>
    <w:rsid w:val="00AC7561"/>
    <w:rsid w:val="00AC7EEE"/>
    <w:rsid w:val="00AD4CA8"/>
    <w:rsid w:val="00AD53FD"/>
    <w:rsid w:val="00AD56E7"/>
    <w:rsid w:val="00AE4467"/>
    <w:rsid w:val="00AF04E7"/>
    <w:rsid w:val="00AF11D6"/>
    <w:rsid w:val="00AF6102"/>
    <w:rsid w:val="00B0407B"/>
    <w:rsid w:val="00B065DA"/>
    <w:rsid w:val="00B10250"/>
    <w:rsid w:val="00B24F9D"/>
    <w:rsid w:val="00B26FFC"/>
    <w:rsid w:val="00B345AB"/>
    <w:rsid w:val="00B35B39"/>
    <w:rsid w:val="00B365B9"/>
    <w:rsid w:val="00B36EC4"/>
    <w:rsid w:val="00B376D9"/>
    <w:rsid w:val="00B43C5F"/>
    <w:rsid w:val="00B44B88"/>
    <w:rsid w:val="00B4533E"/>
    <w:rsid w:val="00B51A49"/>
    <w:rsid w:val="00B55AAA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A67"/>
    <w:rsid w:val="00B77653"/>
    <w:rsid w:val="00B81D2D"/>
    <w:rsid w:val="00B83220"/>
    <w:rsid w:val="00B841D5"/>
    <w:rsid w:val="00B857E2"/>
    <w:rsid w:val="00B86C55"/>
    <w:rsid w:val="00B9066A"/>
    <w:rsid w:val="00B94223"/>
    <w:rsid w:val="00B974D5"/>
    <w:rsid w:val="00BB0A03"/>
    <w:rsid w:val="00BB2266"/>
    <w:rsid w:val="00BB2982"/>
    <w:rsid w:val="00BB616E"/>
    <w:rsid w:val="00BC2E39"/>
    <w:rsid w:val="00BC7766"/>
    <w:rsid w:val="00BD2B3A"/>
    <w:rsid w:val="00BE0748"/>
    <w:rsid w:val="00BE23F2"/>
    <w:rsid w:val="00BE79F4"/>
    <w:rsid w:val="00C10E72"/>
    <w:rsid w:val="00C14DCE"/>
    <w:rsid w:val="00C17688"/>
    <w:rsid w:val="00C23B5E"/>
    <w:rsid w:val="00C26145"/>
    <w:rsid w:val="00C32730"/>
    <w:rsid w:val="00C33D7F"/>
    <w:rsid w:val="00C42507"/>
    <w:rsid w:val="00C466D1"/>
    <w:rsid w:val="00C5491F"/>
    <w:rsid w:val="00C55FD3"/>
    <w:rsid w:val="00C56B6E"/>
    <w:rsid w:val="00C61F50"/>
    <w:rsid w:val="00C64B98"/>
    <w:rsid w:val="00C67995"/>
    <w:rsid w:val="00C76671"/>
    <w:rsid w:val="00C8184F"/>
    <w:rsid w:val="00C827BD"/>
    <w:rsid w:val="00C9525B"/>
    <w:rsid w:val="00C97449"/>
    <w:rsid w:val="00CA2006"/>
    <w:rsid w:val="00CA2232"/>
    <w:rsid w:val="00CB06D7"/>
    <w:rsid w:val="00CB19A6"/>
    <w:rsid w:val="00CB3A44"/>
    <w:rsid w:val="00CB45BE"/>
    <w:rsid w:val="00CB49D0"/>
    <w:rsid w:val="00CB6AE1"/>
    <w:rsid w:val="00CC383A"/>
    <w:rsid w:val="00CC43FB"/>
    <w:rsid w:val="00CD6E99"/>
    <w:rsid w:val="00CE16A5"/>
    <w:rsid w:val="00CE2229"/>
    <w:rsid w:val="00CE234D"/>
    <w:rsid w:val="00CE3972"/>
    <w:rsid w:val="00CE3CEA"/>
    <w:rsid w:val="00CE5918"/>
    <w:rsid w:val="00CE6A15"/>
    <w:rsid w:val="00CE7B4D"/>
    <w:rsid w:val="00CF2970"/>
    <w:rsid w:val="00CF3217"/>
    <w:rsid w:val="00CF5EA6"/>
    <w:rsid w:val="00CF6466"/>
    <w:rsid w:val="00CF6D85"/>
    <w:rsid w:val="00CF6F9D"/>
    <w:rsid w:val="00CF7036"/>
    <w:rsid w:val="00D00354"/>
    <w:rsid w:val="00D04431"/>
    <w:rsid w:val="00D119CB"/>
    <w:rsid w:val="00D135EC"/>
    <w:rsid w:val="00D15412"/>
    <w:rsid w:val="00D16DE4"/>
    <w:rsid w:val="00D235C1"/>
    <w:rsid w:val="00D26980"/>
    <w:rsid w:val="00D30B74"/>
    <w:rsid w:val="00D310C6"/>
    <w:rsid w:val="00D3407E"/>
    <w:rsid w:val="00D34498"/>
    <w:rsid w:val="00D407AA"/>
    <w:rsid w:val="00D4168B"/>
    <w:rsid w:val="00D42230"/>
    <w:rsid w:val="00D4334A"/>
    <w:rsid w:val="00D53B2F"/>
    <w:rsid w:val="00D54458"/>
    <w:rsid w:val="00D6022B"/>
    <w:rsid w:val="00D626C6"/>
    <w:rsid w:val="00D676A7"/>
    <w:rsid w:val="00D72D1C"/>
    <w:rsid w:val="00D74FF0"/>
    <w:rsid w:val="00D75067"/>
    <w:rsid w:val="00D80FF6"/>
    <w:rsid w:val="00D83517"/>
    <w:rsid w:val="00D85184"/>
    <w:rsid w:val="00D92659"/>
    <w:rsid w:val="00D94221"/>
    <w:rsid w:val="00DA2114"/>
    <w:rsid w:val="00DA3F98"/>
    <w:rsid w:val="00DB1375"/>
    <w:rsid w:val="00DB2CCF"/>
    <w:rsid w:val="00DB4906"/>
    <w:rsid w:val="00DB4CFC"/>
    <w:rsid w:val="00DC0356"/>
    <w:rsid w:val="00DC0988"/>
    <w:rsid w:val="00DD1D7B"/>
    <w:rsid w:val="00DD280D"/>
    <w:rsid w:val="00DD391E"/>
    <w:rsid w:val="00DE1B47"/>
    <w:rsid w:val="00DE26C3"/>
    <w:rsid w:val="00DF27E6"/>
    <w:rsid w:val="00E017B8"/>
    <w:rsid w:val="00E052C6"/>
    <w:rsid w:val="00E11548"/>
    <w:rsid w:val="00E208A0"/>
    <w:rsid w:val="00E324DB"/>
    <w:rsid w:val="00E3569D"/>
    <w:rsid w:val="00E459A8"/>
    <w:rsid w:val="00E50B24"/>
    <w:rsid w:val="00E564E6"/>
    <w:rsid w:val="00E57CE0"/>
    <w:rsid w:val="00E62C54"/>
    <w:rsid w:val="00E62E93"/>
    <w:rsid w:val="00E630BD"/>
    <w:rsid w:val="00E64713"/>
    <w:rsid w:val="00E663F9"/>
    <w:rsid w:val="00E6770C"/>
    <w:rsid w:val="00E702AF"/>
    <w:rsid w:val="00E72DEE"/>
    <w:rsid w:val="00E734FE"/>
    <w:rsid w:val="00E9575F"/>
    <w:rsid w:val="00EA0C8A"/>
    <w:rsid w:val="00EA3448"/>
    <w:rsid w:val="00EA36AD"/>
    <w:rsid w:val="00EA7121"/>
    <w:rsid w:val="00EA7557"/>
    <w:rsid w:val="00EB42FB"/>
    <w:rsid w:val="00EB537F"/>
    <w:rsid w:val="00EB5AC5"/>
    <w:rsid w:val="00EC1447"/>
    <w:rsid w:val="00EC7A91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3025"/>
    <w:rsid w:val="00F0227C"/>
    <w:rsid w:val="00F03C7C"/>
    <w:rsid w:val="00F05668"/>
    <w:rsid w:val="00F05BE7"/>
    <w:rsid w:val="00F07CFD"/>
    <w:rsid w:val="00F10EDE"/>
    <w:rsid w:val="00F1754C"/>
    <w:rsid w:val="00F17FE2"/>
    <w:rsid w:val="00F21865"/>
    <w:rsid w:val="00F236C1"/>
    <w:rsid w:val="00F27289"/>
    <w:rsid w:val="00F31D0B"/>
    <w:rsid w:val="00F34DE5"/>
    <w:rsid w:val="00F37DE1"/>
    <w:rsid w:val="00F461BE"/>
    <w:rsid w:val="00F463ED"/>
    <w:rsid w:val="00F4704E"/>
    <w:rsid w:val="00F50C76"/>
    <w:rsid w:val="00F511E9"/>
    <w:rsid w:val="00F5202C"/>
    <w:rsid w:val="00F5556A"/>
    <w:rsid w:val="00F55E9F"/>
    <w:rsid w:val="00F62091"/>
    <w:rsid w:val="00F63E5F"/>
    <w:rsid w:val="00F64E2D"/>
    <w:rsid w:val="00F75193"/>
    <w:rsid w:val="00F75DAA"/>
    <w:rsid w:val="00F76F1D"/>
    <w:rsid w:val="00F81A11"/>
    <w:rsid w:val="00F82293"/>
    <w:rsid w:val="00F831A2"/>
    <w:rsid w:val="00F85406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D771B"/>
    <w:rsid w:val="00FE08CF"/>
    <w:rsid w:val="00FE18C9"/>
    <w:rsid w:val="00FE2289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  <w:rPr>
      <w:lang/>
    </w:r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sque%20local%20D\Enqu&#234;tes\Conjoncture\1%20er%20T2017\Note_conjoncture_Secondaire_1Tr2017_fr_1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manufacturière, proportion en % </a:t>
            </a:r>
          </a:p>
        </c:rich>
      </c:tx>
      <c:layout>
        <c:manualLayout>
          <c:xMode val="edge"/>
          <c:yMode val="edge"/>
          <c:x val="9.4872565271446399E-2"/>
          <c:y val="3.5398226083808486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5034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42.5</c:v>
                </c:pt>
                <c:pt idx="1">
                  <c:v>13.38</c:v>
                </c:pt>
                <c:pt idx="2">
                  <c:v>6.4700000000000015</c:v>
                </c:pt>
                <c:pt idx="3">
                  <c:v>36.620000000000012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41.7</c:v>
                </c:pt>
                <c:pt idx="1">
                  <c:v>71.08</c:v>
                </c:pt>
                <c:pt idx="2">
                  <c:v>77.400000000000006</c:v>
                </c:pt>
                <c:pt idx="3">
                  <c:v>45.17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0.00</c:formatCode>
                <c:ptCount val="4"/>
                <c:pt idx="0" formatCode="General">
                  <c:v>15.81</c:v>
                </c:pt>
                <c:pt idx="1">
                  <c:v>15.54</c:v>
                </c:pt>
                <c:pt idx="2" formatCode="General">
                  <c:v>16.130000000000006</c:v>
                </c:pt>
                <c:pt idx="3" formatCode="General">
                  <c:v>18.22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26.69</c:v>
                </c:pt>
                <c:pt idx="1">
                  <c:v>-2.15</c:v>
                </c:pt>
                <c:pt idx="2">
                  <c:v>-9.66</c:v>
                </c:pt>
                <c:pt idx="3">
                  <c:v>18.399999999999999</c:v>
                </c:pt>
              </c:numCache>
            </c:numRef>
          </c:val>
        </c:ser>
        <c:axId val="238056192"/>
        <c:axId val="238057728"/>
      </c:barChart>
      <c:catAx>
        <c:axId val="238056192"/>
        <c:scaling>
          <c:orientation val="minMax"/>
        </c:scaling>
        <c:axPos val="b"/>
        <c:majorGridlines>
          <c:spPr>
            <a:ln w="954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8057728"/>
        <c:crosses val="autoZero"/>
        <c:auto val="1"/>
        <c:lblAlgn val="ctr"/>
        <c:lblOffset val="100"/>
      </c:catAx>
      <c:valAx>
        <c:axId val="238057728"/>
        <c:scaling>
          <c:orientation val="minMax"/>
          <c:max val="80"/>
        </c:scaling>
        <c:axPos val="l"/>
        <c:majorGridlines>
          <c:spPr>
            <a:ln w="9549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805619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82913247686144498"/>
          <c:y val="0.41368902163091686"/>
          <c:w val="0.99557052079016417"/>
          <c:h val="0.71262331432708881"/>
        </c:manualLayout>
      </c:layout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extractive, proportion en % </a:t>
            </a:r>
          </a:p>
        </c:rich>
      </c:tx>
    </c:title>
    <c:plotArea>
      <c:layout>
        <c:manualLayout>
          <c:layoutTarget val="inner"/>
          <c:xMode val="edge"/>
          <c:yMode val="edge"/>
          <c:x val="0.13273226811560834"/>
          <c:y val="0.22506955380577429"/>
          <c:w val="0.63614280671057"/>
          <c:h val="0.6021154855643046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16.66</c:v>
                </c:pt>
                <c:pt idx="1">
                  <c:v>0</c:v>
                </c:pt>
                <c:pt idx="2">
                  <c:v>3.9</c:v>
                </c:pt>
                <c:pt idx="3">
                  <c:v>7.38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0.54</c:v>
                </c:pt>
                <c:pt idx="1">
                  <c:v>94.8</c:v>
                </c:pt>
                <c:pt idx="2">
                  <c:v>90.47</c:v>
                </c:pt>
                <c:pt idx="3">
                  <c:v>87.42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82.81</c:v>
                </c:pt>
                <c:pt idx="1">
                  <c:v>5.2</c:v>
                </c:pt>
                <c:pt idx="2">
                  <c:v>5.6199999999999983</c:v>
                </c:pt>
                <c:pt idx="3">
                  <c:v>5.2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-66.149999999999991</c:v>
                </c:pt>
                <c:pt idx="1">
                  <c:v>-5.2</c:v>
                </c:pt>
                <c:pt idx="2">
                  <c:v>-1.72</c:v>
                </c:pt>
                <c:pt idx="3">
                  <c:v>2.1800000000000002</c:v>
                </c:pt>
              </c:numCache>
            </c:numRef>
          </c:val>
        </c:ser>
        <c:axId val="238010752"/>
        <c:axId val="238012288"/>
      </c:barChart>
      <c:catAx>
        <c:axId val="2380107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8012288"/>
        <c:crosses val="autoZero"/>
        <c:auto val="1"/>
        <c:lblAlgn val="ctr"/>
        <c:lblOffset val="100"/>
      </c:catAx>
      <c:valAx>
        <c:axId val="238012288"/>
        <c:scaling>
          <c:orientation val="minMax"/>
          <c:max val="100"/>
          <c:min val="-80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801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79616544919836829"/>
          <c:y val="0.3687240299781806"/>
          <c:w val="0.94954748126363719"/>
          <c:h val="0.67468909759774054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8" b="1" i="0" baseline="0"/>
              <a:t>Opinion des entreprises dans l'industrie environnementale, proportion en % </a:t>
            </a:r>
            <a:endParaRPr lang="fr-FR" sz="1000" b="1"/>
          </a:p>
        </c:rich>
      </c:tx>
      <c:layout>
        <c:manualLayout>
          <c:xMode val="edge"/>
          <c:yMode val="edge"/>
          <c:x val="7.4276635153047374E-2"/>
          <c:y val="3.6035986831125882E-2"/>
        </c:manualLayout>
      </c:layout>
    </c:title>
    <c:plotArea>
      <c:layout>
        <c:manualLayout>
          <c:layoutTarget val="inner"/>
          <c:xMode val="edge"/>
          <c:yMode val="edge"/>
          <c:x val="8.96594699856086E-2"/>
          <c:y val="0.23657338986472998"/>
          <c:w val="0.71127152654305992"/>
          <c:h val="0.576599636583902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91.64</c:v>
                </c:pt>
                <c:pt idx="1">
                  <c:v>0</c:v>
                </c:pt>
                <c:pt idx="2">
                  <c:v>0</c:v>
                </c:pt>
                <c:pt idx="3">
                  <c:v>3.92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4.42</c:v>
                </c:pt>
                <c:pt idx="1">
                  <c:v>99.990000000000023</c:v>
                </c:pt>
                <c:pt idx="2">
                  <c:v>100</c:v>
                </c:pt>
                <c:pt idx="3">
                  <c:v>4.42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3.94</c:v>
                </c:pt>
                <c:pt idx="1">
                  <c:v>1.0000000000000004E-2</c:v>
                </c:pt>
                <c:pt idx="2">
                  <c:v>0</c:v>
                </c:pt>
                <c:pt idx="3">
                  <c:v>91.66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87.7</c:v>
                </c:pt>
                <c:pt idx="1">
                  <c:v>-1.0000000000000004E-2</c:v>
                </c:pt>
                <c:pt idx="2">
                  <c:v>0</c:v>
                </c:pt>
                <c:pt idx="3">
                  <c:v>-87.73</c:v>
                </c:pt>
              </c:numCache>
            </c:numRef>
          </c:val>
        </c:ser>
        <c:axId val="238182400"/>
        <c:axId val="238183936"/>
      </c:barChart>
      <c:catAx>
        <c:axId val="238182400"/>
        <c:scaling>
          <c:orientation val="minMax"/>
        </c:scaling>
        <c:axPos val="b"/>
        <c:majorGridlines>
          <c:spPr>
            <a:ln w="950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9" b="1"/>
            </a:pPr>
            <a:endParaRPr lang="fr-FR"/>
          </a:p>
        </c:txPr>
        <c:crossAx val="238183936"/>
        <c:crosses val="autoZero"/>
        <c:auto val="1"/>
        <c:lblAlgn val="ctr"/>
        <c:lblOffset val="100"/>
      </c:catAx>
      <c:valAx>
        <c:axId val="238183936"/>
        <c:scaling>
          <c:orientation val="minMax"/>
          <c:max val="105"/>
          <c:min val="-100"/>
        </c:scaling>
        <c:axPos val="l"/>
        <c:majorGridlines>
          <c:spPr>
            <a:ln w="950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23818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2616771565761637"/>
          <c:y val="0.36408599214115589"/>
          <c:w val="0.9975853018372699"/>
          <c:h val="0.74047820612018922"/>
        </c:manualLayout>
      </c:layout>
      <c:txPr>
        <a:bodyPr/>
        <a:lstStyle/>
        <a:p>
          <a:pPr>
            <a:defRPr sz="799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énergétique, proportion en % </a:t>
            </a:r>
          </a:p>
        </c:rich>
      </c:tx>
      <c:layout>
        <c:manualLayout>
          <c:xMode val="edge"/>
          <c:yMode val="edge"/>
          <c:x val="0.11410358018973119"/>
          <c:y val="3.0769181375263872E-2"/>
        </c:manualLayout>
      </c:layout>
    </c:title>
    <c:plotArea>
      <c:layout>
        <c:manualLayout>
          <c:layoutTarget val="inner"/>
          <c:xMode val="edge"/>
          <c:yMode val="edge"/>
          <c:x val="0.12637886621480859"/>
          <c:y val="0.19404327218279949"/>
          <c:w val="0.69565666633443568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28.650000000000006</c:v>
                </c:pt>
                <c:pt idx="1">
                  <c:v>4.8099999999999996</c:v>
                </c:pt>
                <c:pt idx="2">
                  <c:v>0</c:v>
                </c:pt>
                <c:pt idx="3">
                  <c:v>32.020000000000003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71.349999999999994</c:v>
                </c:pt>
                <c:pt idx="1">
                  <c:v>95.19</c:v>
                </c:pt>
                <c:pt idx="2">
                  <c:v>100</c:v>
                </c:pt>
                <c:pt idx="3">
                  <c:v>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16.97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28.650000000000006</c:v>
                </c:pt>
                <c:pt idx="1">
                  <c:v>4.8099999999999996</c:v>
                </c:pt>
                <c:pt idx="2">
                  <c:v>0</c:v>
                </c:pt>
                <c:pt idx="3">
                  <c:v>15.05</c:v>
                </c:pt>
              </c:numCache>
            </c:numRef>
          </c:val>
        </c:ser>
        <c:axId val="233106816"/>
        <c:axId val="238646400"/>
      </c:barChart>
      <c:catAx>
        <c:axId val="233106816"/>
        <c:scaling>
          <c:orientation val="minMax"/>
        </c:scaling>
        <c:axPos val="b"/>
        <c:majorGridlines>
          <c:spPr>
            <a:ln w="951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8646400"/>
        <c:crossesAt val="0"/>
        <c:auto val="1"/>
        <c:lblAlgn val="ctr"/>
        <c:lblOffset val="100"/>
      </c:catAx>
      <c:valAx>
        <c:axId val="238646400"/>
        <c:scaling>
          <c:orientation val="minMax"/>
          <c:max val="105"/>
          <c:min val="0"/>
        </c:scaling>
        <c:axPos val="l"/>
        <c:majorGridlines>
          <c:spPr>
            <a:ln w="951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3106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2158852692433049"/>
          <c:y val="0.37531845216595655"/>
          <c:w val="1"/>
          <c:h val="0.72060391533627122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entreprises sur l'activité  de la construction, proportion en %</a:t>
            </a:r>
            <a:endParaRPr lang="fr-FR" sz="900"/>
          </a:p>
        </c:rich>
      </c:tx>
      <c:layout>
        <c:manualLayout>
          <c:xMode val="edge"/>
          <c:yMode val="edge"/>
          <c:x val="7.593880033288522E-2"/>
          <c:y val="3.212832596668911E-2"/>
        </c:manualLayout>
      </c:layout>
    </c:title>
    <c:plotArea>
      <c:layout>
        <c:manualLayout>
          <c:layoutTarget val="inner"/>
          <c:xMode val="edge"/>
          <c:yMode val="edge"/>
          <c:x val="9.9868311258780526E-2"/>
          <c:y val="0.18761435756985398"/>
          <c:w val="0.70250724439791756"/>
          <c:h val="0.6301259666956420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17.112717673006181</c:v>
                </c:pt>
                <c:pt idx="1">
                  <c:v>24.003194000000001</c:v>
                </c:pt>
                <c:pt idx="2">
                  <c:v>2.2662610000000001</c:v>
                </c:pt>
                <c:pt idx="3">
                  <c:v>26.597688000000005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55.689863322661942</c:v>
                </c:pt>
                <c:pt idx="1">
                  <c:v>61.003479000000006</c:v>
                </c:pt>
                <c:pt idx="2">
                  <c:v>61.214457000000003</c:v>
                </c:pt>
                <c:pt idx="3">
                  <c:v>45.673571000000003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27.197415942760987</c:v>
                </c:pt>
                <c:pt idx="1">
                  <c:v>14.993325</c:v>
                </c:pt>
                <c:pt idx="2">
                  <c:v>36.519279000000004</c:v>
                </c:pt>
                <c:pt idx="3">
                  <c:v>27.728736999999985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-10.084697559241645</c:v>
                </c:pt>
                <c:pt idx="1">
                  <c:v>9.0098690000000001</c:v>
                </c:pt>
                <c:pt idx="2">
                  <c:v>-34.253017</c:v>
                </c:pt>
                <c:pt idx="3">
                  <c:v>-1.1310480000000001</c:v>
                </c:pt>
              </c:numCache>
            </c:numRef>
          </c:val>
        </c:ser>
        <c:axId val="238779392"/>
        <c:axId val="238785280"/>
      </c:barChart>
      <c:catAx>
        <c:axId val="2387793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398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238785280"/>
        <c:crosses val="autoZero"/>
        <c:auto val="1"/>
        <c:lblAlgn val="ctr"/>
        <c:lblOffset val="100"/>
      </c:catAx>
      <c:valAx>
        <c:axId val="238785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48"/>
        </c:spPr>
        <c:crossAx val="238779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0208757441905121"/>
          <c:y val="0.45208754110197191"/>
          <c:w val="0.97727290186287663"/>
          <c:h val="0.707396110802134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Anticipations des 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5960889504209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70446064612293757"/>
          <c:h val="0.700564639051846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41.33</c:v>
                </c:pt>
                <c:pt idx="1">
                  <c:v>78.959999999999994</c:v>
                </c:pt>
                <c:pt idx="2">
                  <c:v>28.650000000000006</c:v>
                </c:pt>
                <c:pt idx="3">
                  <c:v>93.03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37.08</c:v>
                </c:pt>
                <c:pt idx="1">
                  <c:v>19.97</c:v>
                </c:pt>
                <c:pt idx="2">
                  <c:v>71.349999999999994</c:v>
                </c:pt>
                <c:pt idx="3">
                  <c:v>6.95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21.6</c:v>
                </c:pt>
                <c:pt idx="1">
                  <c:v>1.07</c:v>
                </c:pt>
                <c:pt idx="2">
                  <c:v>0</c:v>
                </c:pt>
                <c:pt idx="3">
                  <c:v>1.0000000000000004E-2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19.73</c:v>
                </c:pt>
                <c:pt idx="1">
                  <c:v>77.900000000000006</c:v>
                </c:pt>
                <c:pt idx="2">
                  <c:v>28.650000000000006</c:v>
                </c:pt>
                <c:pt idx="3">
                  <c:v>93.02</c:v>
                </c:pt>
              </c:numCache>
            </c:numRef>
          </c:val>
        </c:ser>
        <c:axId val="238426752"/>
        <c:axId val="238457216"/>
      </c:barChart>
      <c:catAx>
        <c:axId val="2384267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238457216"/>
        <c:crosses val="autoZero"/>
        <c:auto val="1"/>
        <c:lblAlgn val="ctr"/>
        <c:lblOffset val="100"/>
      </c:catAx>
      <c:valAx>
        <c:axId val="238457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23842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2381842329949762"/>
          <c:y val="0.27537567419457193"/>
          <c:w val="1"/>
          <c:h val="0.6005082057050558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entreprises sur l'activité  de construction, proportion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72"/>
          <c:w val="0.71733566637503665"/>
          <c:h val="0.580745876914639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26</c:v>
                </c:pt>
                <c:pt idx="1">
                  <c:v>28</c:v>
                </c:pt>
                <c:pt idx="2">
                  <c:v>10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51</c:v>
                </c:pt>
                <c:pt idx="1">
                  <c:v>49</c:v>
                </c:pt>
                <c:pt idx="2">
                  <c:v>54</c:v>
                </c:pt>
                <c:pt idx="3">
                  <c:v>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23</c:v>
                </c:pt>
                <c:pt idx="1">
                  <c:v>23</c:v>
                </c:pt>
                <c:pt idx="2">
                  <c:v>36</c:v>
                </c:pt>
                <c:pt idx="3">
                  <c:v>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-26</c:v>
                </c:pt>
                <c:pt idx="3">
                  <c:v>31</c:v>
                </c:pt>
              </c:numCache>
            </c:numRef>
          </c:val>
        </c:ser>
        <c:axId val="239106304"/>
        <c:axId val="239116288"/>
      </c:barChart>
      <c:catAx>
        <c:axId val="239106304"/>
        <c:scaling>
          <c:orientation val="minMax"/>
        </c:scaling>
        <c:axPos val="b"/>
        <c:majorGridlines>
          <c:spPr>
            <a:ln w="951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9116288"/>
        <c:crosses val="autoZero"/>
        <c:auto val="1"/>
        <c:lblAlgn val="ctr"/>
        <c:lblOffset val="100"/>
      </c:catAx>
      <c:valAx>
        <c:axId val="239116288"/>
        <c:scaling>
          <c:orientation val="minMax"/>
        </c:scaling>
        <c:axPos val="l"/>
        <c:majorGridlines>
          <c:spPr>
            <a:ln w="951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39106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336286089238832"/>
          <c:y val="0.36661927380534937"/>
          <c:w val="1"/>
          <c:h val="0.62394890922035562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58E4D-E5ED-4C44-93B1-24A4E940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Note_conjoncture_Secondaire_1Tr2017_fr_1.dot</Template>
  <TotalTime>4</TotalTime>
  <Pages>4</Pages>
  <Words>801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feddouli mourad</dc:creator>
  <cp:keywords/>
  <cp:lastModifiedBy> </cp:lastModifiedBy>
  <cp:revision>2</cp:revision>
  <cp:lastPrinted>2017-03-20T11:38:00Z</cp:lastPrinted>
  <dcterms:created xsi:type="dcterms:W3CDTF">2017-03-21T11:25:00Z</dcterms:created>
  <dcterms:modified xsi:type="dcterms:W3CDTF">2017-03-21T11:25:00Z</dcterms:modified>
</cp:coreProperties>
</file>