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77" w:rsidRPr="00C706A5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C706A5">
        <w:rPr>
          <w:rFonts w:ascii="Book Antiqua" w:hAnsi="Book Antiqua" w:cs="Times New Roman"/>
          <w:b/>
          <w:bCs/>
          <w:color w:val="000000" w:themeColor="text1"/>
        </w:rPr>
        <w:t xml:space="preserve">          </w:t>
      </w: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DA65F6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</w:t>
      </w:r>
      <w:r w:rsidR="005A0745"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2E3CF2" w:rsidRDefault="00085BED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        </w:t>
      </w:r>
    </w:p>
    <w:p w:rsidR="002E3CF2" w:rsidRDefault="004A5D5B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0D4077" w:rsidRPr="00C706A5" w:rsidRDefault="008C2800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</w:t>
      </w:r>
      <w:r w:rsidR="00A064CC"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9341B4" w:rsidP="009E781A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Troisième </w:t>
      </w:r>
      <w:r w:rsidR="003C1653">
        <w:rPr>
          <w:rFonts w:ascii="Book Antiqua" w:hAnsi="Book Antiqua" w:cs="Times New Roman"/>
          <w:b/>
          <w:bCs/>
          <w:color w:val="660033"/>
          <w:sz w:val="26"/>
          <w:szCs w:val="26"/>
        </w:rPr>
        <w:t>trimestre 2016</w:t>
      </w:r>
    </w:p>
    <w:p w:rsidR="004105E0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0013E4" w:rsidRPr="00C706A5" w:rsidRDefault="000013E4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A45128" w:rsidRPr="00C706A5" w:rsidRDefault="005E2815" w:rsidP="007D6D8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 xml:space="preserve">Les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résultats de l’enquête permanente de conjoncture auprès des ménages, menée par le HCP, </w:t>
      </w:r>
      <w:r w:rsidRPr="00C706A5">
        <w:rPr>
          <w:rFonts w:ascii="Times New Roman" w:hAnsi="Times New Roman" w:cs="Times New Roman"/>
          <w:b/>
          <w:color w:val="000000" w:themeColor="text1"/>
        </w:rPr>
        <w:t>montrent</w:t>
      </w:r>
      <w:r w:rsidR="00292CDC">
        <w:rPr>
          <w:rFonts w:ascii="Times New Roman" w:hAnsi="Times New Roman" w:cs="Times New Roman"/>
          <w:b/>
          <w:color w:val="000000" w:themeColor="text1"/>
        </w:rPr>
        <w:t>,</w:t>
      </w:r>
      <w:r w:rsidRPr="00C706A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5406FD">
        <w:rPr>
          <w:rFonts w:ascii="Times New Roman" w:hAnsi="Times New Roman" w:cs="Times New Roman"/>
          <w:b/>
          <w:color w:val="000000" w:themeColor="text1"/>
        </w:rPr>
        <w:t>globalement</w:t>
      </w:r>
      <w:r w:rsidR="00292CDC">
        <w:rPr>
          <w:rFonts w:ascii="Times New Roman" w:hAnsi="Times New Roman" w:cs="Times New Roman"/>
          <w:b/>
          <w:color w:val="000000" w:themeColor="text1"/>
        </w:rPr>
        <w:t>,</w:t>
      </w:r>
      <w:r w:rsidR="005406F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781B40">
        <w:rPr>
          <w:rFonts w:ascii="Times New Roman" w:hAnsi="Times New Roman" w:cs="Times New Roman"/>
          <w:b/>
          <w:color w:val="000000" w:themeColor="text1"/>
        </w:rPr>
        <w:t xml:space="preserve">que </w:t>
      </w:r>
      <w:r w:rsidR="00660442">
        <w:rPr>
          <w:rFonts w:ascii="Times New Roman" w:hAnsi="Times New Roman" w:cs="Times New Roman"/>
          <w:b/>
          <w:color w:val="000000" w:themeColor="text1"/>
        </w:rPr>
        <w:t xml:space="preserve">le moral des ménages </w:t>
      </w:r>
      <w:r w:rsidR="007D6D87">
        <w:rPr>
          <w:rFonts w:ascii="Times New Roman" w:hAnsi="Times New Roman" w:cs="Times New Roman"/>
          <w:b/>
          <w:color w:val="000000" w:themeColor="text1"/>
        </w:rPr>
        <w:t>a</w:t>
      </w:r>
      <w:r w:rsidR="00660442">
        <w:rPr>
          <w:rFonts w:ascii="Times New Roman" w:hAnsi="Times New Roman" w:cs="Times New Roman"/>
          <w:b/>
          <w:color w:val="000000" w:themeColor="text1"/>
        </w:rPr>
        <w:t xml:space="preserve"> relativement </w:t>
      </w:r>
      <w:r w:rsidR="009B2D74">
        <w:rPr>
          <w:rFonts w:ascii="Times New Roman" w:hAnsi="Times New Roman" w:cs="Times New Roman"/>
          <w:b/>
          <w:color w:val="000000" w:themeColor="text1"/>
        </w:rPr>
        <w:t>baiss</w:t>
      </w:r>
      <w:r w:rsidR="00781B40">
        <w:rPr>
          <w:rFonts w:ascii="Times New Roman" w:hAnsi="Times New Roman" w:cs="Times New Roman"/>
          <w:b/>
          <w:color w:val="000000" w:themeColor="text1"/>
        </w:rPr>
        <w:t>é</w:t>
      </w:r>
      <w:r w:rsidR="00660442">
        <w:rPr>
          <w:rFonts w:ascii="Times New Roman" w:hAnsi="Times New Roman" w:cs="Times New Roman"/>
          <w:b/>
          <w:color w:val="000000" w:themeColor="text1"/>
        </w:rPr>
        <w:t xml:space="preserve"> a</w:t>
      </w:r>
      <w:r w:rsidR="003658EF">
        <w:rPr>
          <w:rFonts w:ascii="Times New Roman" w:hAnsi="Times New Roman" w:cs="Times New Roman"/>
          <w:b/>
          <w:color w:val="000000" w:themeColor="text1"/>
        </w:rPr>
        <w:t>u</w:t>
      </w:r>
      <w:r w:rsidR="001424D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781B40">
        <w:rPr>
          <w:rFonts w:ascii="Times New Roman" w:hAnsi="Times New Roman" w:cs="Times New Roman"/>
          <w:b/>
          <w:color w:val="000000" w:themeColor="text1"/>
        </w:rPr>
        <w:t>troisi</w:t>
      </w:r>
      <w:r w:rsidR="009E781A">
        <w:rPr>
          <w:rFonts w:ascii="Times New Roman" w:hAnsi="Times New Roman" w:cs="Times New Roman"/>
          <w:b/>
          <w:color w:val="000000" w:themeColor="text1"/>
        </w:rPr>
        <w:t>ème</w:t>
      </w:r>
      <w:r w:rsidR="001424D2">
        <w:rPr>
          <w:rFonts w:ascii="Times New Roman" w:hAnsi="Times New Roman" w:cs="Times New Roman"/>
          <w:b/>
          <w:color w:val="000000" w:themeColor="text1"/>
        </w:rPr>
        <w:t xml:space="preserve"> trimestre</w:t>
      </w:r>
      <w:r w:rsidR="00781B40">
        <w:rPr>
          <w:rFonts w:ascii="Times New Roman" w:hAnsi="Times New Roman" w:cs="Times New Roman"/>
          <w:b/>
          <w:color w:val="000000" w:themeColor="text1"/>
        </w:rPr>
        <w:t>.</w:t>
      </w:r>
    </w:p>
    <w:p w:rsidR="00F80F35" w:rsidRPr="00C706A5" w:rsidRDefault="00A45128" w:rsidP="001968E2">
      <w:pPr>
        <w:widowControl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F70F2A" w:rsidRPr="00C706A5" w:rsidRDefault="00DD6FD9" w:rsidP="00F70F2A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D6FD9">
        <w:rPr>
          <w:rFonts w:ascii="Times New Roman" w:hAnsi="Times New Roman" w:cs="Times New Roman"/>
          <w:color w:val="000000" w:themeColor="text1"/>
        </w:rPr>
        <w:t xml:space="preserve">C’est ainsi qu’au </w:t>
      </w:r>
      <w:r w:rsidR="00781B40">
        <w:rPr>
          <w:rFonts w:ascii="Times New Roman" w:hAnsi="Times New Roman" w:cs="Times New Roman"/>
          <w:color w:val="000000" w:themeColor="text1"/>
        </w:rPr>
        <w:t>troisième</w:t>
      </w:r>
      <w:r w:rsidRPr="00DD6FD9">
        <w:rPr>
          <w:rFonts w:ascii="Times New Roman" w:hAnsi="Times New Roman" w:cs="Times New Roman"/>
          <w:color w:val="000000" w:themeColor="text1"/>
        </w:rPr>
        <w:t xml:space="preserve"> trimestre</w:t>
      </w:r>
      <w:r w:rsidR="00722F6F">
        <w:rPr>
          <w:rFonts w:ascii="Times New Roman" w:hAnsi="Times New Roman" w:cs="Times New Roman"/>
          <w:color w:val="000000" w:themeColor="text1"/>
        </w:rPr>
        <w:t xml:space="preserve"> de 2016</w:t>
      </w:r>
      <w:r w:rsidRPr="00DD6FD9">
        <w:rPr>
          <w:rFonts w:ascii="Times New Roman" w:hAnsi="Times New Roman" w:cs="Times New Roman"/>
          <w:color w:val="000000" w:themeColor="text1"/>
        </w:rPr>
        <w:t xml:space="preserve">, l'indice de confiance des ménages (ICM) est passé à </w:t>
      </w:r>
      <w:r w:rsidR="005B02B8">
        <w:rPr>
          <w:rFonts w:ascii="Times New Roman" w:hAnsi="Times New Roman" w:cs="Times New Roman"/>
          <w:color w:val="000000" w:themeColor="text1"/>
        </w:rPr>
        <w:t xml:space="preserve">     </w:t>
      </w:r>
      <w:r w:rsidRPr="00DD6FD9">
        <w:rPr>
          <w:rFonts w:ascii="Times New Roman" w:hAnsi="Times New Roman" w:cs="Times New Roman"/>
          <w:color w:val="000000" w:themeColor="text1"/>
        </w:rPr>
        <w:t>7</w:t>
      </w:r>
      <w:r w:rsidR="00781B40">
        <w:rPr>
          <w:rFonts w:ascii="Times New Roman" w:hAnsi="Times New Roman" w:cs="Times New Roman"/>
          <w:color w:val="000000" w:themeColor="text1"/>
        </w:rPr>
        <w:t>3</w:t>
      </w:r>
      <w:r w:rsidRPr="00DD6FD9">
        <w:rPr>
          <w:rFonts w:ascii="Times New Roman" w:hAnsi="Times New Roman" w:cs="Times New Roman"/>
          <w:color w:val="000000" w:themeColor="text1"/>
        </w:rPr>
        <w:t>,</w:t>
      </w:r>
      <w:r w:rsidR="00781B40">
        <w:rPr>
          <w:rFonts w:ascii="Times New Roman" w:hAnsi="Times New Roman" w:cs="Times New Roman"/>
          <w:color w:val="000000" w:themeColor="text1"/>
        </w:rPr>
        <w:t>8</w:t>
      </w:r>
      <w:r w:rsidRPr="00DD6FD9">
        <w:rPr>
          <w:rFonts w:ascii="Times New Roman" w:hAnsi="Times New Roman" w:cs="Times New Roman"/>
          <w:color w:val="000000" w:themeColor="text1"/>
        </w:rPr>
        <w:t xml:space="preserve"> points, au lieu de 7</w:t>
      </w:r>
      <w:r w:rsidR="00781B40">
        <w:rPr>
          <w:rFonts w:ascii="Times New Roman" w:hAnsi="Times New Roman" w:cs="Times New Roman"/>
          <w:color w:val="000000" w:themeColor="text1"/>
        </w:rPr>
        <w:t>5</w:t>
      </w:r>
      <w:r w:rsidRPr="00DD6FD9">
        <w:rPr>
          <w:rFonts w:ascii="Times New Roman" w:hAnsi="Times New Roman" w:cs="Times New Roman"/>
          <w:color w:val="000000" w:themeColor="text1"/>
        </w:rPr>
        <w:t>,</w:t>
      </w:r>
      <w:r w:rsidR="00781B40">
        <w:rPr>
          <w:rFonts w:ascii="Times New Roman" w:hAnsi="Times New Roman" w:cs="Times New Roman"/>
          <w:color w:val="000000" w:themeColor="text1"/>
        </w:rPr>
        <w:t>7</w:t>
      </w:r>
      <w:r w:rsidRPr="00DD6FD9">
        <w:rPr>
          <w:rFonts w:ascii="Times New Roman" w:hAnsi="Times New Roman" w:cs="Times New Roman"/>
          <w:color w:val="000000" w:themeColor="text1"/>
        </w:rPr>
        <w:t xml:space="preserve"> points un </w:t>
      </w:r>
      <w:r w:rsidR="00781B40">
        <w:rPr>
          <w:rFonts w:ascii="Times New Roman" w:hAnsi="Times New Roman" w:cs="Times New Roman"/>
          <w:color w:val="000000" w:themeColor="text1"/>
        </w:rPr>
        <w:t>trimestre auparavant</w:t>
      </w:r>
      <w:r w:rsidR="005B02B8">
        <w:rPr>
          <w:rFonts w:ascii="Times New Roman" w:hAnsi="Times New Roman" w:cs="Times New Roman"/>
          <w:color w:val="000000" w:themeColor="text1"/>
        </w:rPr>
        <w:t xml:space="preserve"> et de 76,3 points </w:t>
      </w:r>
      <w:r w:rsidR="00F70F2A" w:rsidRPr="00C706A5">
        <w:rPr>
          <w:rFonts w:ascii="Times New Roman" w:hAnsi="Times New Roman" w:cs="Times New Roman"/>
          <w:color w:val="000000" w:themeColor="text1"/>
        </w:rPr>
        <w:t>le m</w:t>
      </w:r>
      <w:r w:rsidR="00F70F2A">
        <w:rPr>
          <w:rFonts w:ascii="Times New Roman" w:hAnsi="Times New Roman" w:cs="Times New Roman"/>
          <w:color w:val="000000" w:themeColor="text1"/>
        </w:rPr>
        <w:t>ême trimestre de l’année précédente.</w:t>
      </w:r>
      <w:r w:rsidR="00F70F2A" w:rsidRPr="00C706A5">
        <w:rPr>
          <w:rFonts w:ascii="Times New Roman" w:hAnsi="Times New Roman" w:cs="Times New Roman"/>
          <w:color w:val="000000" w:themeColor="text1"/>
        </w:rPr>
        <w:t xml:space="preserve"> </w:t>
      </w:r>
    </w:p>
    <w:p w:rsidR="00DD6FD9" w:rsidRDefault="00DD6FD9" w:rsidP="00F70F2A">
      <w:pPr>
        <w:jc w:val="both"/>
        <w:rPr>
          <w:rFonts w:ascii="Times New Roman" w:hAnsi="Times New Roman" w:cs="Times New Roman"/>
          <w:color w:val="000000" w:themeColor="text1"/>
        </w:rPr>
      </w:pPr>
    </w:p>
    <w:p w:rsidR="00DD6FD9" w:rsidRPr="00DD6FD9" w:rsidRDefault="00DD6FD9" w:rsidP="00DD6FD9">
      <w:pPr>
        <w:jc w:val="both"/>
        <w:rPr>
          <w:rFonts w:ascii="Times New Roman" w:hAnsi="Times New Roman" w:cs="Times New Roman"/>
          <w:color w:val="000000" w:themeColor="text1"/>
        </w:rPr>
      </w:pPr>
    </w:p>
    <w:p w:rsidR="00E5224B" w:rsidRPr="00C706A5" w:rsidRDefault="000A5C5F" w:rsidP="001347D2">
      <w:pPr>
        <w:widowControl/>
        <w:tabs>
          <w:tab w:val="left" w:pos="567"/>
          <w:tab w:val="left" w:pos="709"/>
        </w:tabs>
        <w:spacing w:line="276" w:lineRule="auto"/>
        <w:jc w:val="center"/>
        <w:rPr>
          <w:rFonts w:ascii="Book Antiqua" w:hAnsi="Book Antiqua" w:cs="Times New Roman"/>
          <w:color w:val="000000" w:themeColor="text1"/>
        </w:rPr>
      </w:pPr>
      <w:r w:rsidRPr="000A5C5F">
        <w:rPr>
          <w:rFonts w:ascii="Book Antiqua" w:hAnsi="Book Antiqua" w:cs="Times New Roman"/>
          <w:noProof/>
          <w:color w:val="000000" w:themeColor="text1"/>
        </w:rPr>
        <w:drawing>
          <wp:inline distT="0" distB="0" distL="0" distR="0">
            <wp:extent cx="5972810" cy="2612390"/>
            <wp:effectExtent l="19050" t="0" r="27940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013E4" w:rsidRDefault="000013E4" w:rsidP="007137CC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F5E6A" w:rsidRPr="00C706A5" w:rsidRDefault="00D26D39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13767" w:rsidRPr="00C706A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8D3806" w:rsidRDefault="006F1D72" w:rsidP="002A18ED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379209308"/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des </w:t>
      </w:r>
      <w:r w:rsidR="00860E86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composantes de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l'ICM</w:t>
      </w:r>
      <w:bookmarkEnd w:id="0"/>
    </w:p>
    <w:p w:rsidR="00C07FB5" w:rsidRDefault="00722F6F" w:rsidP="00C07FB5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es composantes </w:t>
      </w:r>
      <w:r>
        <w:rPr>
          <w:rFonts w:ascii="Times New Roman" w:hAnsi="Times New Roman" w:cs="Times New Roman"/>
          <w:color w:val="000000" w:themeColor="text1"/>
        </w:rPr>
        <w:t xml:space="preserve">de l’ICM </w:t>
      </w:r>
      <w:r w:rsidR="00560ED1" w:rsidRPr="00560ED1">
        <w:rPr>
          <w:rFonts w:ascii="Times New Roman" w:hAnsi="Times New Roman" w:cs="Times New Roman"/>
          <w:color w:val="000000" w:themeColor="text1"/>
        </w:rPr>
        <w:t>portent sur la perception par les ménages de l’évolution du niveau de vie</w:t>
      </w:r>
      <w:r w:rsidR="005C2EDD">
        <w:rPr>
          <w:rFonts w:ascii="Times New Roman" w:hAnsi="Times New Roman" w:cs="Times New Roman"/>
          <w:color w:val="000000" w:themeColor="text1"/>
        </w:rPr>
        <w:t>,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du chômage, de </w:t>
      </w:r>
      <w:r w:rsidR="008F33D5">
        <w:rPr>
          <w:rFonts w:ascii="Times New Roman" w:hAnsi="Times New Roman" w:cs="Times New Roman"/>
          <w:color w:val="000000" w:themeColor="text1"/>
        </w:rPr>
        <w:t>l’opportunité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à </w:t>
      </w:r>
      <w:r w:rsidR="008F33D5">
        <w:rPr>
          <w:rFonts w:ascii="Times New Roman" w:hAnsi="Times New Roman" w:cs="Times New Roman"/>
          <w:color w:val="000000" w:themeColor="text1"/>
        </w:rPr>
        <w:t>effectuer des achats de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bien</w:t>
      </w:r>
      <w:r w:rsidR="00560ED1">
        <w:rPr>
          <w:rFonts w:ascii="Times New Roman" w:hAnsi="Times New Roman" w:cs="Times New Roman"/>
          <w:color w:val="000000" w:themeColor="text1"/>
        </w:rPr>
        <w:t>s</w:t>
      </w:r>
      <w:r w:rsidR="00C07FB5">
        <w:rPr>
          <w:rFonts w:ascii="Times New Roman" w:hAnsi="Times New Roman" w:cs="Times New Roman"/>
          <w:color w:val="000000" w:themeColor="text1"/>
        </w:rPr>
        <w:t xml:space="preserve"> durables et de </w:t>
      </w:r>
      <w:r w:rsidR="00560ED1" w:rsidRPr="00560ED1">
        <w:rPr>
          <w:rFonts w:ascii="Times New Roman" w:hAnsi="Times New Roman" w:cs="Times New Roman"/>
          <w:color w:val="000000" w:themeColor="text1"/>
        </w:rPr>
        <w:t>leur situation financière.</w:t>
      </w:r>
      <w:r w:rsidR="00560ED1">
        <w:rPr>
          <w:rFonts w:ascii="Times New Roman" w:hAnsi="Times New Roman" w:cs="Times New Roman"/>
          <w:color w:val="000000" w:themeColor="text1"/>
        </w:rPr>
        <w:t xml:space="preserve"> </w:t>
      </w:r>
    </w:p>
    <w:p w:rsidR="00C07FB5" w:rsidRDefault="00C07FB5" w:rsidP="00C07FB5">
      <w:pPr>
        <w:jc w:val="both"/>
        <w:rPr>
          <w:rFonts w:ascii="Times New Roman" w:hAnsi="Times New Roman" w:cs="Times New Roman"/>
          <w:color w:val="000000" w:themeColor="text1"/>
        </w:rPr>
      </w:pPr>
    </w:p>
    <w:p w:rsidR="000013E4" w:rsidRDefault="000013E4" w:rsidP="00C07FB5">
      <w:pPr>
        <w:jc w:val="both"/>
        <w:rPr>
          <w:rFonts w:ascii="Times New Roman" w:hAnsi="Times New Roman" w:cs="Times New Roman"/>
          <w:color w:val="000000" w:themeColor="text1"/>
        </w:rPr>
      </w:pPr>
    </w:p>
    <w:p w:rsidR="000013E4" w:rsidRDefault="000013E4" w:rsidP="00C07FB5">
      <w:pPr>
        <w:jc w:val="both"/>
        <w:rPr>
          <w:rFonts w:ascii="Times New Roman" w:hAnsi="Times New Roman" w:cs="Times New Roman"/>
          <w:color w:val="000000" w:themeColor="text1"/>
        </w:rPr>
      </w:pPr>
    </w:p>
    <w:p w:rsidR="000013E4" w:rsidRDefault="000013E4" w:rsidP="00C07FB5">
      <w:pPr>
        <w:jc w:val="both"/>
        <w:rPr>
          <w:rFonts w:ascii="Times New Roman" w:hAnsi="Times New Roman" w:cs="Times New Roman"/>
          <w:color w:val="000000" w:themeColor="text1"/>
        </w:rPr>
      </w:pPr>
    </w:p>
    <w:p w:rsidR="0002570E" w:rsidRPr="0002570E" w:rsidRDefault="005B02B8" w:rsidP="0002570E">
      <w:pPr>
        <w:pStyle w:val="Paragraphedeliste"/>
        <w:numPr>
          <w:ilvl w:val="0"/>
          <w:numId w:val="16"/>
        </w:numPr>
        <w:spacing w:before="240"/>
        <w:ind w:left="86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2570E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lastRenderedPageBreak/>
        <w:t>Sentiment d’une dé</w:t>
      </w:r>
      <w:r w:rsidR="0002570E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 xml:space="preserve">térioration </w:t>
      </w:r>
      <w:r w:rsidR="00C07FB5" w:rsidRPr="0002570E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du niveau de vie </w:t>
      </w:r>
    </w:p>
    <w:p w:rsidR="00C07FB5" w:rsidRPr="00C07FB5" w:rsidRDefault="0002570E" w:rsidP="0002570E">
      <w:pPr>
        <w:pStyle w:val="Paragraphedeliste"/>
        <w:spacing w:before="240"/>
        <w:ind w:left="86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2570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111470" w:rsidRPr="00DD6FD9" w:rsidRDefault="001A2204" w:rsidP="006137C3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DD6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781B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troisi</w:t>
      </w:r>
      <w:r w:rsidRPr="00DD6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ème trimestre, le solde d’opinion sur l’évolution du niveau de vie </w:t>
      </w:r>
      <w:r w:rsidR="00DD6FD9" w:rsidRPr="00DD6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 resté toujours négatif, à moins </w:t>
      </w:r>
      <w:r w:rsidR="00781B40">
        <w:rPr>
          <w:rFonts w:ascii="Times New Roman" w:hAnsi="Times New Roman" w:cs="Times New Roman"/>
          <w:color w:val="000000" w:themeColor="text1"/>
          <w:sz w:val="24"/>
          <w:szCs w:val="24"/>
        </w:rPr>
        <w:t>17,4</w:t>
      </w:r>
      <w:r w:rsidR="00DD6FD9" w:rsidRPr="00DD6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points, au lieu de moins </w:t>
      </w:r>
      <w:r w:rsidR="00781B40">
        <w:rPr>
          <w:rFonts w:ascii="Times New Roman" w:hAnsi="Times New Roman" w:cs="Times New Roman"/>
          <w:color w:val="000000" w:themeColor="text1"/>
          <w:sz w:val="24"/>
          <w:szCs w:val="24"/>
        </w:rPr>
        <w:t>15,2</w:t>
      </w:r>
      <w:r w:rsidR="00DD6FD9" w:rsidRPr="00DD6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le trimestre précédent et de moins </w:t>
      </w:r>
      <w:r w:rsidR="00781B40">
        <w:rPr>
          <w:rFonts w:ascii="Times New Roman" w:hAnsi="Times New Roman" w:cs="Times New Roman"/>
          <w:color w:val="000000" w:themeColor="text1"/>
          <w:sz w:val="24"/>
          <w:szCs w:val="24"/>
        </w:rPr>
        <w:t>15,1</w:t>
      </w:r>
      <w:r w:rsidR="00DD6FD9" w:rsidRPr="00DD6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une année auparavant. </w:t>
      </w:r>
      <w:r w:rsidRPr="00DD6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Globalement, 4</w:t>
      </w:r>
      <w:r w:rsidR="00146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4,8</w:t>
      </w:r>
      <w:r w:rsidRPr="00DD6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des ménages déclarent une dégradation </w:t>
      </w:r>
      <w:r w:rsidR="00C07FB5" w:rsidRPr="00DD6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du</w:t>
      </w:r>
      <w:r w:rsidRPr="00DD6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niveau de vie et </w:t>
      </w:r>
      <w:r w:rsidR="00146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27,4</w:t>
      </w:r>
      <w:r w:rsidR="0063428A" w:rsidRPr="00DD6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</w:t>
      </w:r>
      <w:r w:rsidRPr="00DD6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une amélioration.</w:t>
      </w:r>
    </w:p>
    <w:p w:rsidR="00111470" w:rsidRDefault="00EB409B" w:rsidP="006137C3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Au cours des 12 prochains mois</w:t>
      </w:r>
      <w:r w:rsidR="00D24C8C">
        <w:rPr>
          <w:rFonts w:ascii="Times New Roman" w:hAnsi="Times New Roman" w:cs="Times New Roman"/>
          <w:color w:val="000000" w:themeColor="text1"/>
        </w:rPr>
        <w:t xml:space="preserve">, </w:t>
      </w:r>
      <w:r w:rsidR="00146EDA">
        <w:rPr>
          <w:rFonts w:ascii="Times New Roman" w:hAnsi="Times New Roman" w:cs="Times New Roman"/>
          <w:color w:val="000000" w:themeColor="text1"/>
        </w:rPr>
        <w:t>33,2</w:t>
      </w:r>
      <w:r w:rsidR="006B2CA2">
        <w:rPr>
          <w:rFonts w:ascii="Times New Roman" w:hAnsi="Times New Roman" w:cs="Times New Roman"/>
          <w:color w:val="000000" w:themeColor="text1"/>
        </w:rPr>
        <w:t xml:space="preserve">% des ménages s’attendent à une </w:t>
      </w:r>
      <w:r w:rsidR="00146EDA">
        <w:rPr>
          <w:rFonts w:ascii="Times New Roman" w:hAnsi="Times New Roman" w:cs="Times New Roman"/>
          <w:color w:val="000000" w:themeColor="text1"/>
        </w:rPr>
        <w:t>dégradation</w:t>
      </w:r>
      <w:r w:rsidR="006B2CA2">
        <w:rPr>
          <w:rFonts w:ascii="Times New Roman" w:hAnsi="Times New Roman" w:cs="Times New Roman"/>
          <w:color w:val="000000" w:themeColor="text1"/>
        </w:rPr>
        <w:t xml:space="preserve"> du niveau de vie, </w:t>
      </w:r>
      <w:r w:rsidR="00781B40">
        <w:rPr>
          <w:rFonts w:ascii="Times New Roman" w:hAnsi="Times New Roman" w:cs="Times New Roman"/>
          <w:color w:val="000000" w:themeColor="text1"/>
        </w:rPr>
        <w:t>40</w:t>
      </w:r>
      <w:r w:rsidR="00146EDA">
        <w:rPr>
          <w:rFonts w:ascii="Times New Roman" w:hAnsi="Times New Roman" w:cs="Times New Roman"/>
          <w:color w:val="000000" w:themeColor="text1"/>
        </w:rPr>
        <w:t>,7</w:t>
      </w:r>
      <w:r w:rsidR="006B2CA2">
        <w:rPr>
          <w:rFonts w:ascii="Times New Roman" w:hAnsi="Times New Roman" w:cs="Times New Roman"/>
          <w:color w:val="000000" w:themeColor="text1"/>
        </w:rPr>
        <w:t xml:space="preserve">% </w:t>
      </w:r>
      <w:r w:rsidR="00781B40">
        <w:rPr>
          <w:rFonts w:ascii="Times New Roman" w:hAnsi="Times New Roman" w:cs="Times New Roman"/>
          <w:color w:val="000000" w:themeColor="text1"/>
        </w:rPr>
        <w:t>à un maintien au même niveau</w:t>
      </w:r>
      <w:r w:rsidR="00722F6F">
        <w:rPr>
          <w:rFonts w:ascii="Times New Roman" w:hAnsi="Times New Roman" w:cs="Times New Roman"/>
          <w:color w:val="000000" w:themeColor="text1"/>
        </w:rPr>
        <w:t xml:space="preserve"> et 26,1%  à une amélioration</w:t>
      </w:r>
      <w:r w:rsidR="0063428A">
        <w:rPr>
          <w:rFonts w:ascii="Times New Roman" w:hAnsi="Times New Roman" w:cs="Times New Roman"/>
          <w:color w:val="000000" w:themeColor="text1"/>
        </w:rPr>
        <w:t xml:space="preserve">. </w:t>
      </w:r>
      <w:r w:rsidR="001A2204">
        <w:rPr>
          <w:rFonts w:ascii="Times New Roman" w:hAnsi="Times New Roman" w:cs="Times New Roman"/>
          <w:color w:val="000000" w:themeColor="text1"/>
        </w:rPr>
        <w:t>Le solde d’opinion</w:t>
      </w:r>
      <w:r w:rsidR="00B60473">
        <w:rPr>
          <w:rFonts w:ascii="Times New Roman" w:hAnsi="Times New Roman" w:cs="Times New Roman"/>
          <w:color w:val="000000" w:themeColor="text1"/>
        </w:rPr>
        <w:t xml:space="preserve"> </w:t>
      </w:r>
      <w:r w:rsidR="001A2204">
        <w:rPr>
          <w:rFonts w:ascii="Times New Roman" w:hAnsi="Times New Roman" w:cs="Times New Roman"/>
          <w:color w:val="000000" w:themeColor="text1"/>
        </w:rPr>
        <w:t xml:space="preserve">passe ainsi </w:t>
      </w:r>
      <w:r w:rsidR="00FE5443">
        <w:rPr>
          <w:rFonts w:ascii="Times New Roman" w:hAnsi="Times New Roman" w:cs="Times New Roman"/>
          <w:color w:val="000000" w:themeColor="text1"/>
        </w:rPr>
        <w:t xml:space="preserve">à </w:t>
      </w:r>
      <w:r w:rsidR="00DD6FD9">
        <w:rPr>
          <w:rFonts w:ascii="Times New Roman" w:hAnsi="Times New Roman" w:cs="Times New Roman"/>
          <w:color w:val="000000" w:themeColor="text1"/>
        </w:rPr>
        <w:t>moins</w:t>
      </w:r>
      <w:r w:rsidR="00CB2019">
        <w:rPr>
          <w:rFonts w:ascii="Times New Roman" w:hAnsi="Times New Roman" w:cs="Times New Roman"/>
          <w:color w:val="000000" w:themeColor="text1"/>
        </w:rPr>
        <w:t xml:space="preserve"> </w:t>
      </w:r>
      <w:r w:rsidR="00781B40">
        <w:rPr>
          <w:rFonts w:ascii="Times New Roman" w:hAnsi="Times New Roman" w:cs="Times New Roman"/>
          <w:color w:val="000000" w:themeColor="text1"/>
        </w:rPr>
        <w:t>7,1</w:t>
      </w:r>
      <w:r w:rsidR="00FE5443">
        <w:rPr>
          <w:rFonts w:ascii="Times New Roman" w:hAnsi="Times New Roman" w:cs="Times New Roman"/>
          <w:color w:val="000000" w:themeColor="text1"/>
        </w:rPr>
        <w:t xml:space="preserve"> points, </w:t>
      </w:r>
      <w:r w:rsidR="001A2204">
        <w:rPr>
          <w:rFonts w:ascii="Times New Roman" w:hAnsi="Times New Roman" w:cs="Times New Roman"/>
          <w:color w:val="000000" w:themeColor="text1"/>
        </w:rPr>
        <w:t>au lieu</w:t>
      </w:r>
      <w:r w:rsidR="00101DA7">
        <w:rPr>
          <w:rFonts w:ascii="Times New Roman" w:hAnsi="Times New Roman" w:cs="Times New Roman"/>
          <w:color w:val="000000" w:themeColor="text1"/>
        </w:rPr>
        <w:t xml:space="preserve"> de</w:t>
      </w:r>
      <w:r w:rsidR="00FE5443">
        <w:rPr>
          <w:rFonts w:ascii="Times New Roman" w:hAnsi="Times New Roman" w:cs="Times New Roman"/>
          <w:color w:val="000000" w:themeColor="text1"/>
        </w:rPr>
        <w:t xml:space="preserve"> </w:t>
      </w:r>
      <w:r w:rsidR="00DD6FD9">
        <w:rPr>
          <w:rFonts w:ascii="Times New Roman" w:hAnsi="Times New Roman" w:cs="Times New Roman"/>
          <w:color w:val="000000" w:themeColor="text1"/>
        </w:rPr>
        <w:t xml:space="preserve">moins </w:t>
      </w:r>
      <w:r w:rsidR="004C4CB2">
        <w:rPr>
          <w:rFonts w:ascii="Times New Roman" w:hAnsi="Times New Roman" w:cs="Times New Roman"/>
          <w:color w:val="000000" w:themeColor="text1"/>
        </w:rPr>
        <w:t>7,6</w:t>
      </w:r>
      <w:r w:rsidR="00FE5443">
        <w:rPr>
          <w:rFonts w:ascii="Times New Roman" w:hAnsi="Times New Roman" w:cs="Times New Roman"/>
          <w:color w:val="000000" w:themeColor="text1"/>
        </w:rPr>
        <w:t xml:space="preserve"> points </w:t>
      </w:r>
      <w:r>
        <w:rPr>
          <w:rFonts w:ascii="Times New Roman" w:hAnsi="Times New Roman" w:cs="Times New Roman"/>
          <w:color w:val="000000" w:themeColor="text1"/>
        </w:rPr>
        <w:t>le</w:t>
      </w:r>
      <w:r w:rsidR="00FE5443">
        <w:rPr>
          <w:rFonts w:ascii="Times New Roman" w:hAnsi="Times New Roman" w:cs="Times New Roman"/>
          <w:color w:val="000000" w:themeColor="text1"/>
        </w:rPr>
        <w:t xml:space="preserve"> trimestre </w:t>
      </w:r>
      <w:r>
        <w:rPr>
          <w:rFonts w:ascii="Times New Roman" w:hAnsi="Times New Roman" w:cs="Times New Roman"/>
          <w:color w:val="000000" w:themeColor="text1"/>
        </w:rPr>
        <w:t>précédent</w:t>
      </w:r>
      <w:r w:rsidR="00FE5443">
        <w:rPr>
          <w:rFonts w:ascii="Times New Roman" w:hAnsi="Times New Roman" w:cs="Times New Roman"/>
          <w:color w:val="000000" w:themeColor="text1"/>
        </w:rPr>
        <w:t xml:space="preserve"> et </w:t>
      </w:r>
      <w:r w:rsidR="00DD6FD9">
        <w:rPr>
          <w:rFonts w:ascii="Times New Roman" w:hAnsi="Times New Roman" w:cs="Times New Roman"/>
          <w:color w:val="000000" w:themeColor="text1"/>
        </w:rPr>
        <w:t xml:space="preserve">moins </w:t>
      </w:r>
      <w:r w:rsidR="004C4CB2">
        <w:rPr>
          <w:rFonts w:ascii="Times New Roman" w:hAnsi="Times New Roman" w:cs="Times New Roman"/>
          <w:color w:val="000000" w:themeColor="text1"/>
        </w:rPr>
        <w:t>7,7</w:t>
      </w:r>
      <w:r w:rsidR="00FE5443">
        <w:rPr>
          <w:rFonts w:ascii="Times New Roman" w:hAnsi="Times New Roman" w:cs="Times New Roman"/>
          <w:color w:val="000000" w:themeColor="text1"/>
        </w:rPr>
        <w:t xml:space="preserve"> points </w:t>
      </w:r>
      <w:r w:rsidR="00C37044">
        <w:rPr>
          <w:rFonts w:ascii="Times New Roman" w:hAnsi="Times New Roman" w:cs="Times New Roman"/>
          <w:color w:val="000000" w:themeColor="text1"/>
        </w:rPr>
        <w:t xml:space="preserve">une année </w:t>
      </w:r>
      <w:r w:rsidR="001864E5">
        <w:rPr>
          <w:rFonts w:ascii="Times New Roman" w:hAnsi="Times New Roman" w:cs="Times New Roman"/>
          <w:color w:val="000000" w:themeColor="text1"/>
        </w:rPr>
        <w:t>auparavant</w:t>
      </w:r>
      <w:r w:rsidR="00B60473">
        <w:rPr>
          <w:rFonts w:ascii="Times New Roman" w:hAnsi="Times New Roman" w:cs="Times New Roman"/>
          <w:color w:val="000000" w:themeColor="text1"/>
        </w:rPr>
        <w:t>.</w:t>
      </w:r>
      <w:r w:rsidR="004A02DC">
        <w:rPr>
          <w:rFonts w:ascii="Times New Roman" w:hAnsi="Times New Roman" w:cs="Times New Roman"/>
          <w:color w:val="000000" w:themeColor="text1"/>
        </w:rPr>
        <w:t xml:space="preserve"> </w:t>
      </w:r>
      <w:r w:rsidR="00212714">
        <w:rPr>
          <w:rFonts w:ascii="Times New Roman" w:hAnsi="Times New Roman" w:cs="Times New Roman"/>
          <w:color w:val="000000" w:themeColor="text1"/>
        </w:rPr>
        <w:t xml:space="preserve"> </w:t>
      </w:r>
    </w:p>
    <w:p w:rsidR="0092695A" w:rsidRDefault="0092695A" w:rsidP="006137C3">
      <w:pPr>
        <w:widowControl/>
        <w:spacing w:line="276" w:lineRule="auto"/>
        <w:ind w:left="-426"/>
        <w:jc w:val="both"/>
        <w:rPr>
          <w:rFonts w:ascii="Book Antiqua" w:hAnsi="Book Antiqua" w:cs="Times New Roman"/>
          <w:color w:val="000000" w:themeColor="text1"/>
        </w:rPr>
      </w:pPr>
    </w:p>
    <w:p w:rsidR="00B06E0C" w:rsidRPr="004C4CB2" w:rsidRDefault="00721B0F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sz w:val="22"/>
          <w:szCs w:val="22"/>
        </w:rPr>
      </w:pPr>
      <w:r w:rsidRPr="00721B0F">
        <w:rPr>
          <w:rFonts w:ascii="Book Antiqua" w:hAnsi="Book Antiqua" w:cs="Times New Roman"/>
          <w:noProof/>
          <w:color w:val="000000" w:themeColor="text1"/>
          <w:sz w:val="22"/>
          <w:szCs w:val="22"/>
        </w:rPr>
        <w:drawing>
          <wp:inline distT="0" distB="0" distL="0" distR="0">
            <wp:extent cx="5972210" cy="2448000"/>
            <wp:effectExtent l="19050" t="0" r="28540" b="9450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6E0C" w:rsidRPr="00C706A5" w:rsidRDefault="00B06E0C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rtl/>
        </w:rPr>
      </w:pPr>
    </w:p>
    <w:p w:rsidR="000656CB" w:rsidRPr="00417308" w:rsidRDefault="004B2685" w:rsidP="00D22459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224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Persistance d’une perception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224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négative</w:t>
      </w:r>
      <w:r w:rsidR="00EB2A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</w:t>
      </w:r>
      <w:r w:rsidR="009B2D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l’évolution d</w:t>
      </w:r>
      <w:r w:rsidR="00EB2A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 chômage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DD6FD9" w:rsidRPr="00146EDA" w:rsidRDefault="00C553B5" w:rsidP="002E1871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46EDA">
        <w:rPr>
          <w:rFonts w:ascii="Times New Roman" w:hAnsi="Times New Roman" w:cs="Times New Roman"/>
          <w:color w:val="000000" w:themeColor="text1"/>
        </w:rPr>
        <w:t>Au</w:t>
      </w:r>
      <w:r w:rsidR="003C2D1C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4C4CB2" w:rsidRPr="00146EDA">
        <w:rPr>
          <w:rFonts w:ascii="Times New Roman" w:hAnsi="Times New Roman" w:cs="Times New Roman"/>
          <w:color w:val="000000" w:themeColor="text1"/>
        </w:rPr>
        <w:t>troisième</w:t>
      </w:r>
      <w:r w:rsidR="003C2D1C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F430E6" w:rsidRPr="00146EDA">
        <w:rPr>
          <w:rFonts w:ascii="Times New Roman" w:hAnsi="Times New Roman" w:cs="Times New Roman"/>
          <w:color w:val="000000" w:themeColor="text1"/>
        </w:rPr>
        <w:t>trimestre</w:t>
      </w:r>
      <w:r w:rsidRPr="00146EDA">
        <w:rPr>
          <w:rFonts w:ascii="Times New Roman" w:hAnsi="Times New Roman" w:cs="Times New Roman"/>
          <w:color w:val="000000" w:themeColor="text1"/>
        </w:rPr>
        <w:t>,</w:t>
      </w:r>
      <w:r w:rsidR="00B72B19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8346FB" w:rsidRPr="00146EDA">
        <w:rPr>
          <w:rFonts w:ascii="Times New Roman" w:hAnsi="Times New Roman" w:cs="Times New Roman"/>
          <w:color w:val="000000" w:themeColor="text1"/>
        </w:rPr>
        <w:t>7</w:t>
      </w:r>
      <w:r w:rsidR="00146EDA">
        <w:rPr>
          <w:rFonts w:ascii="Times New Roman" w:hAnsi="Times New Roman" w:cs="Times New Roman"/>
          <w:color w:val="000000" w:themeColor="text1"/>
        </w:rPr>
        <w:t>7</w:t>
      </w:r>
      <w:r w:rsidR="004C4CB2" w:rsidRPr="00146EDA">
        <w:rPr>
          <w:rFonts w:ascii="Times New Roman" w:hAnsi="Times New Roman" w:cs="Times New Roman"/>
          <w:color w:val="000000" w:themeColor="text1"/>
        </w:rPr>
        <w:t>,</w:t>
      </w:r>
      <w:r w:rsidR="00146EDA">
        <w:rPr>
          <w:rFonts w:ascii="Times New Roman" w:hAnsi="Times New Roman" w:cs="Times New Roman"/>
          <w:color w:val="000000" w:themeColor="text1"/>
        </w:rPr>
        <w:t>5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% </w:t>
      </w:r>
      <w:r w:rsidR="00C1044F" w:rsidRPr="00146EDA">
        <w:rPr>
          <w:rFonts w:ascii="Times New Roman" w:hAnsi="Times New Roman" w:cs="Times New Roman"/>
          <w:color w:val="000000" w:themeColor="text1"/>
        </w:rPr>
        <w:t xml:space="preserve">contre </w:t>
      </w:r>
      <w:r w:rsidR="00146EDA">
        <w:rPr>
          <w:rFonts w:ascii="Times New Roman" w:hAnsi="Times New Roman" w:cs="Times New Roman"/>
          <w:color w:val="000000" w:themeColor="text1"/>
        </w:rPr>
        <w:t>6,9</w:t>
      </w:r>
      <w:r w:rsidR="00C1044F" w:rsidRPr="00146EDA">
        <w:rPr>
          <w:rFonts w:ascii="Times New Roman" w:hAnsi="Times New Roman" w:cs="Times New Roman"/>
          <w:color w:val="000000" w:themeColor="text1"/>
        </w:rPr>
        <w:t xml:space="preserve">% </w:t>
      </w:r>
      <w:r w:rsidR="00A3172A" w:rsidRPr="00146EDA">
        <w:rPr>
          <w:rFonts w:ascii="Times New Roman" w:hAnsi="Times New Roman" w:cs="Times New Roman"/>
          <w:color w:val="000000" w:themeColor="text1"/>
        </w:rPr>
        <w:t>des ménages</w:t>
      </w:r>
      <w:r w:rsidR="00160141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C37044" w:rsidRPr="00146EDA">
        <w:rPr>
          <w:rFonts w:ascii="Times New Roman" w:hAnsi="Times New Roman" w:cs="Times New Roman"/>
          <w:color w:val="000000" w:themeColor="text1"/>
        </w:rPr>
        <w:t>s’attendent à</w:t>
      </w:r>
      <w:r w:rsidR="00160141" w:rsidRPr="00146EDA">
        <w:rPr>
          <w:rFonts w:ascii="Times New Roman" w:hAnsi="Times New Roman" w:cs="Times New Roman"/>
          <w:color w:val="000000" w:themeColor="text1"/>
        </w:rPr>
        <w:t xml:space="preserve"> u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ne hausse du </w:t>
      </w:r>
      <w:r w:rsidR="00160141" w:rsidRPr="00146EDA">
        <w:rPr>
          <w:rFonts w:ascii="Times New Roman" w:hAnsi="Times New Roman" w:cs="Times New Roman"/>
          <w:color w:val="000000" w:themeColor="text1"/>
        </w:rPr>
        <w:t>chômage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C37044" w:rsidRPr="00146EDA">
        <w:rPr>
          <w:rFonts w:ascii="Times New Roman" w:hAnsi="Times New Roman" w:cs="Times New Roman"/>
          <w:color w:val="000000" w:themeColor="text1"/>
        </w:rPr>
        <w:t>au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D22459" w:rsidRPr="00146EDA">
        <w:rPr>
          <w:rFonts w:ascii="Times New Roman" w:hAnsi="Times New Roman" w:cs="Times New Roman"/>
          <w:color w:val="000000" w:themeColor="text1"/>
        </w:rPr>
        <w:t xml:space="preserve">cours des 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12 </w:t>
      </w:r>
      <w:r w:rsidR="00160141" w:rsidRPr="00146EDA">
        <w:rPr>
          <w:rFonts w:ascii="Times New Roman" w:hAnsi="Times New Roman" w:cs="Times New Roman"/>
          <w:color w:val="000000" w:themeColor="text1"/>
        </w:rPr>
        <w:t>prochains mois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. </w:t>
      </w:r>
      <w:r w:rsidR="00DD6FD9" w:rsidRPr="00146EDA">
        <w:rPr>
          <w:rFonts w:ascii="Times New Roman" w:hAnsi="Times New Roman" w:cs="Times New Roman"/>
          <w:color w:val="000000" w:themeColor="text1"/>
        </w:rPr>
        <w:t>Le solde d’opinion est resté</w:t>
      </w:r>
      <w:r w:rsidR="00D22459" w:rsidRPr="00146EDA">
        <w:rPr>
          <w:rFonts w:ascii="Times New Roman" w:hAnsi="Times New Roman" w:cs="Times New Roman"/>
          <w:color w:val="000000" w:themeColor="text1"/>
        </w:rPr>
        <w:t xml:space="preserve"> ainsi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négatif, à moins </w:t>
      </w:r>
      <w:r w:rsidR="004C4CB2" w:rsidRPr="00146EDA">
        <w:rPr>
          <w:rFonts w:ascii="Times New Roman" w:hAnsi="Times New Roman" w:cs="Times New Roman"/>
          <w:color w:val="000000" w:themeColor="text1"/>
        </w:rPr>
        <w:t>70,</w:t>
      </w:r>
      <w:r w:rsidR="002E1871">
        <w:rPr>
          <w:rFonts w:ascii="Times New Roman" w:hAnsi="Times New Roman" w:cs="Times New Roman"/>
          <w:color w:val="000000" w:themeColor="text1"/>
        </w:rPr>
        <w:t>6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points, enregistrant une détérioration aussi bien par rapport au </w:t>
      </w:r>
      <w:r w:rsidR="004C4CB2" w:rsidRPr="00146EDA">
        <w:rPr>
          <w:rFonts w:ascii="Times New Roman" w:hAnsi="Times New Roman" w:cs="Times New Roman"/>
          <w:color w:val="000000" w:themeColor="text1"/>
        </w:rPr>
        <w:t>deuxième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trimestre que par rapport </w:t>
      </w:r>
      <w:r w:rsidR="002375C4" w:rsidRPr="00146EDA">
        <w:rPr>
          <w:rFonts w:ascii="Times New Roman" w:hAnsi="Times New Roman" w:cs="Times New Roman"/>
          <w:color w:val="000000" w:themeColor="text1"/>
        </w:rPr>
        <w:t xml:space="preserve">au même trimestre une année auparavant </w:t>
      </w:r>
      <w:r w:rsidR="00DD6FD9" w:rsidRPr="00146EDA">
        <w:rPr>
          <w:rFonts w:ascii="Times New Roman" w:hAnsi="Times New Roman" w:cs="Times New Roman"/>
          <w:color w:val="000000" w:themeColor="text1"/>
        </w:rPr>
        <w:t>où il était respectivement à moins 6</w:t>
      </w:r>
      <w:r w:rsidR="004C4CB2" w:rsidRPr="00146EDA">
        <w:rPr>
          <w:rFonts w:ascii="Times New Roman" w:hAnsi="Times New Roman" w:cs="Times New Roman"/>
          <w:color w:val="000000" w:themeColor="text1"/>
        </w:rPr>
        <w:t>9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points et moins </w:t>
      </w:r>
      <w:r w:rsidR="004C4CB2" w:rsidRPr="00146EDA">
        <w:rPr>
          <w:rFonts w:ascii="Times New Roman" w:hAnsi="Times New Roman" w:cs="Times New Roman"/>
          <w:color w:val="000000" w:themeColor="text1"/>
        </w:rPr>
        <w:t>66,2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points.</w:t>
      </w:r>
    </w:p>
    <w:p w:rsidR="00C37044" w:rsidRDefault="00C37044" w:rsidP="00DD6FD9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37044" w:rsidRDefault="00721B0F" w:rsidP="00DD6FD9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21B0F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72148" cy="2393342"/>
            <wp:effectExtent l="19050" t="0" r="9552" b="6958"/>
            <wp:docPr id="6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1D6D" w:rsidRPr="00417308" w:rsidRDefault="003849A2" w:rsidP="00DE3C99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656CB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Une conjoncture toujours perçue comme peu </w:t>
      </w:r>
      <w:r w:rsidR="007D40C4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propice</w:t>
      </w:r>
      <w:r w:rsidR="000656CB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à l’achat de biens durables </w:t>
      </w:r>
    </w:p>
    <w:p w:rsidR="009E0162" w:rsidRPr="00EA1D6D" w:rsidRDefault="009E0162" w:rsidP="0012794C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</w:rPr>
      </w:pPr>
    </w:p>
    <w:p w:rsidR="00417308" w:rsidRDefault="00044E75" w:rsidP="00F372EB">
      <w:pPr>
        <w:pStyle w:val="Paragraphedeliste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F05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F3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troisième</w:t>
      </w:r>
      <w:r w:rsidRPr="00F05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trimestre,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5</w:t>
      </w:r>
      <w:r w:rsidR="00F3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F3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8</w:t>
      </w:r>
      <w:r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</w:t>
      </w:r>
      <w:r w:rsidR="004C44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contre </w:t>
      </w:r>
      <w:r w:rsidR="00F3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19</w:t>
      </w:r>
      <w:r w:rsidR="004C44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F3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</w:t>
      </w:r>
      <w:r w:rsidR="004C44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4C444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</w:t>
      </w:r>
      <w:r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des ménages considèrent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que le moment n’est pas opportun pour </w:t>
      </w:r>
      <w:r w:rsidR="00271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effectuer</w:t>
      </w:r>
      <w:r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des achats de biens durables.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F3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</w:t>
      </w:r>
      <w:r w:rsidR="00DD6FD9" w:rsidRPr="00195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 solde d’opinion relatif à cette composante </w:t>
      </w:r>
      <w:r w:rsidR="00DD6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est </w:t>
      </w:r>
      <w:r w:rsidR="00DD6FD9" w:rsidRPr="00195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rest</w:t>
      </w:r>
      <w:r w:rsidR="00DD6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é</w:t>
      </w:r>
      <w:r w:rsidR="00DD6FD9" w:rsidRPr="00195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négatif, passant à </w:t>
      </w:r>
      <w:r w:rsidR="00DD6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moins </w:t>
      </w:r>
      <w:r w:rsidR="00F3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40,5</w:t>
      </w:r>
      <w:r w:rsidR="00DD6FD9" w:rsidRPr="00195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points, après avoir été </w:t>
      </w:r>
      <w:r w:rsidR="00DD6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de moins </w:t>
      </w:r>
      <w:r w:rsidR="00F3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34,2</w:t>
      </w:r>
      <w:r w:rsidR="00DD6FD9" w:rsidRPr="001958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</w:t>
      </w:r>
      <w:r w:rsidR="00DD6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nts le </w:t>
      </w:r>
      <w:r w:rsidR="00F3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troisième</w:t>
      </w:r>
      <w:r w:rsidR="00DD6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trimestre </w:t>
      </w:r>
      <w:r w:rsidR="00A72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de </w:t>
      </w:r>
      <w:r w:rsidR="00DD6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2015</w:t>
      </w:r>
      <w:r w:rsidR="002E1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et moins 34,8 le trimestre précédent</w:t>
      </w:r>
      <w:r w:rsidR="00DD6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  <w:r w:rsidR="00B57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</w:p>
    <w:p w:rsidR="006137C3" w:rsidRDefault="006137C3" w:rsidP="00F372EB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7308" w:rsidRDefault="00EA7737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737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5972210" cy="2462400"/>
            <wp:effectExtent l="19050" t="0" r="28540" b="0"/>
            <wp:docPr id="7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17308" w:rsidRPr="00F960F0" w:rsidRDefault="00417308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11D5" w:rsidRPr="00F811D5" w:rsidRDefault="002C1D2E" w:rsidP="009B2D74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 w:rsidRPr="00F81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B2D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Les ménages perçoivent une d</w:t>
      </w:r>
      <w:r w:rsidR="00C96B1D" w:rsidRPr="00F81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étérioration </w:t>
      </w:r>
      <w:r w:rsidR="001678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</w:t>
      </w:r>
      <w:r w:rsidR="009B2D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eur </w:t>
      </w:r>
      <w:r w:rsidR="00C96B1D" w:rsidRPr="00F81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A95E94" w:rsidRPr="00F81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ituation financière </w:t>
      </w:r>
      <w:r w:rsidR="009B2D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actuelle et s’attendent à son amélioration </w:t>
      </w:r>
      <w:r w:rsidR="00146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03B67" w:rsidRDefault="00E03B67" w:rsidP="006137C3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E03B67">
        <w:rPr>
          <w:rFonts w:ascii="Times New Roman" w:hAnsi="Times New Roman" w:cs="Times New Roman"/>
          <w:color w:val="000000" w:themeColor="text1"/>
        </w:rPr>
        <w:t xml:space="preserve">Au deuxième trimestre, </w:t>
      </w:r>
      <w:r w:rsidR="00F372EB">
        <w:rPr>
          <w:rFonts w:ascii="Times New Roman" w:hAnsi="Times New Roman" w:cs="Times New Roman"/>
          <w:color w:val="000000" w:themeColor="text1"/>
        </w:rPr>
        <w:t>59</w:t>
      </w:r>
      <w:r w:rsidRPr="00E03B67">
        <w:rPr>
          <w:rFonts w:ascii="Times New Roman" w:hAnsi="Times New Roman" w:cs="Times New Roman"/>
          <w:color w:val="000000" w:themeColor="text1"/>
        </w:rPr>
        <w:t xml:space="preserve">% des ménages estiment que leurs revenus couvrent leurs dépenses, </w:t>
      </w:r>
      <w:r w:rsidR="00F372EB">
        <w:rPr>
          <w:rFonts w:ascii="Times New Roman" w:hAnsi="Times New Roman" w:cs="Times New Roman"/>
          <w:color w:val="000000" w:themeColor="text1"/>
        </w:rPr>
        <w:t>33,4</w:t>
      </w:r>
      <w:r w:rsidRPr="00E03B67">
        <w:rPr>
          <w:rFonts w:ascii="Times New Roman" w:hAnsi="Times New Roman" w:cs="Times New Roman"/>
          <w:color w:val="000000" w:themeColor="text1"/>
        </w:rPr>
        <w:t xml:space="preserve"> % déclarent s’endetter ou puiser dans leur épargne et </w:t>
      </w:r>
      <w:r w:rsidR="00F372EB">
        <w:rPr>
          <w:rFonts w:ascii="Times New Roman" w:hAnsi="Times New Roman" w:cs="Times New Roman"/>
          <w:color w:val="000000" w:themeColor="text1"/>
        </w:rPr>
        <w:t>7,</w:t>
      </w:r>
      <w:r w:rsidR="006137C3">
        <w:rPr>
          <w:rFonts w:ascii="Times New Roman" w:hAnsi="Times New Roman" w:cs="Times New Roman"/>
          <w:color w:val="000000" w:themeColor="text1"/>
        </w:rPr>
        <w:t>6</w:t>
      </w:r>
      <w:r w:rsidRPr="00E03B67">
        <w:rPr>
          <w:rFonts w:ascii="Times New Roman" w:hAnsi="Times New Roman" w:cs="Times New Roman"/>
          <w:color w:val="000000" w:themeColor="text1"/>
        </w:rPr>
        <w:t xml:space="preserve"> % affirment épargner une partie de leur revenu. Le solde d’opinion sur la situation financière actuelle des ménages est resté ainsi négatif, à moins 2</w:t>
      </w:r>
      <w:r w:rsidR="00F372EB">
        <w:rPr>
          <w:rFonts w:ascii="Times New Roman" w:hAnsi="Times New Roman" w:cs="Times New Roman"/>
          <w:color w:val="000000" w:themeColor="text1"/>
        </w:rPr>
        <w:t>5,</w:t>
      </w:r>
      <w:r w:rsidR="006137C3">
        <w:rPr>
          <w:rFonts w:ascii="Times New Roman" w:hAnsi="Times New Roman" w:cs="Times New Roman"/>
          <w:color w:val="000000" w:themeColor="text1"/>
        </w:rPr>
        <w:t>8</w:t>
      </w:r>
      <w:r w:rsidRPr="00E03B67">
        <w:rPr>
          <w:rFonts w:ascii="Times New Roman" w:hAnsi="Times New Roman" w:cs="Times New Roman"/>
          <w:color w:val="000000" w:themeColor="text1"/>
        </w:rPr>
        <w:t xml:space="preserve"> points, avec </w:t>
      </w:r>
      <w:r w:rsidR="00F372EB">
        <w:rPr>
          <w:rFonts w:ascii="Times New Roman" w:hAnsi="Times New Roman" w:cs="Times New Roman"/>
          <w:color w:val="000000" w:themeColor="text1"/>
        </w:rPr>
        <w:t>une détério</w:t>
      </w:r>
      <w:r w:rsidRPr="00E03B67">
        <w:rPr>
          <w:rFonts w:ascii="Times New Roman" w:hAnsi="Times New Roman" w:cs="Times New Roman"/>
          <w:color w:val="000000" w:themeColor="text1"/>
        </w:rPr>
        <w:t xml:space="preserve">ration aussi bien par rapport au premier trimestre que par rapport au </w:t>
      </w:r>
      <w:r w:rsidR="00F372EB">
        <w:rPr>
          <w:rFonts w:ascii="Times New Roman" w:hAnsi="Times New Roman" w:cs="Times New Roman"/>
          <w:color w:val="000000" w:themeColor="text1"/>
        </w:rPr>
        <w:t>trois</w:t>
      </w:r>
      <w:r w:rsidRPr="00E03B67">
        <w:rPr>
          <w:rFonts w:ascii="Times New Roman" w:hAnsi="Times New Roman" w:cs="Times New Roman"/>
          <w:color w:val="000000" w:themeColor="text1"/>
        </w:rPr>
        <w:t>ième trimestre de l’année dernière où il était respectivement de moins 2</w:t>
      </w:r>
      <w:r w:rsidR="00F372EB">
        <w:rPr>
          <w:rFonts w:ascii="Times New Roman" w:hAnsi="Times New Roman" w:cs="Times New Roman"/>
          <w:color w:val="000000" w:themeColor="text1"/>
        </w:rPr>
        <w:t>3</w:t>
      </w:r>
      <w:r w:rsidRPr="00E03B67">
        <w:rPr>
          <w:rFonts w:ascii="Times New Roman" w:hAnsi="Times New Roman" w:cs="Times New Roman"/>
          <w:color w:val="000000" w:themeColor="text1"/>
        </w:rPr>
        <w:t xml:space="preserve"> points et de moins 2</w:t>
      </w:r>
      <w:r w:rsidR="00F372EB">
        <w:rPr>
          <w:rFonts w:ascii="Times New Roman" w:hAnsi="Times New Roman" w:cs="Times New Roman"/>
          <w:color w:val="000000" w:themeColor="text1"/>
        </w:rPr>
        <w:t>5,1</w:t>
      </w:r>
      <w:r w:rsidRPr="00E03B67">
        <w:rPr>
          <w:rFonts w:ascii="Times New Roman" w:hAnsi="Times New Roman" w:cs="Times New Roman"/>
          <w:color w:val="000000" w:themeColor="text1"/>
        </w:rPr>
        <w:t xml:space="preserve"> points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EA79FB" w:rsidRDefault="00F45C72" w:rsidP="002B7C12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Evaluant</w:t>
      </w:r>
      <w:r w:rsidR="002B7C12">
        <w:rPr>
          <w:rFonts w:ascii="Times New Roman" w:hAnsi="Times New Roman" w:cs="Times New Roman"/>
          <w:color w:val="000000" w:themeColor="text1"/>
        </w:rPr>
        <w:t xml:space="preserve"> l’évolution de</w:t>
      </w:r>
      <w:r>
        <w:rPr>
          <w:rFonts w:ascii="Times New Roman" w:hAnsi="Times New Roman" w:cs="Times New Roman"/>
          <w:color w:val="000000" w:themeColor="text1"/>
        </w:rPr>
        <w:t xml:space="preserve"> leur </w:t>
      </w:r>
      <w:r w:rsidR="0016780D">
        <w:rPr>
          <w:rFonts w:ascii="Times New Roman" w:hAnsi="Times New Roman" w:cs="Times New Roman"/>
          <w:color w:val="000000" w:themeColor="text1"/>
        </w:rPr>
        <w:t>situation financière</w:t>
      </w:r>
      <w:r>
        <w:rPr>
          <w:rFonts w:ascii="Times New Roman" w:hAnsi="Times New Roman" w:cs="Times New Roman"/>
          <w:color w:val="000000" w:themeColor="text1"/>
        </w:rPr>
        <w:t xml:space="preserve"> au cours des 12 derniers mois</w:t>
      </w:r>
      <w:r w:rsidR="0016780D">
        <w:rPr>
          <w:rFonts w:ascii="Times New Roman" w:hAnsi="Times New Roman" w:cs="Times New Roman"/>
          <w:color w:val="000000" w:themeColor="text1"/>
        </w:rPr>
        <w:t xml:space="preserve">, </w:t>
      </w:r>
      <w:r w:rsidR="00F372EB">
        <w:rPr>
          <w:rFonts w:ascii="Times New Roman" w:hAnsi="Times New Roman" w:cs="Times New Roman"/>
          <w:color w:val="000000" w:themeColor="text1"/>
        </w:rPr>
        <w:t>39</w:t>
      </w:r>
      <w:r w:rsidR="00540BE7" w:rsidRPr="008771D1">
        <w:rPr>
          <w:rFonts w:ascii="Times New Roman" w:hAnsi="Times New Roman" w:cs="Times New Roman"/>
          <w:color w:val="000000" w:themeColor="text1"/>
        </w:rPr>
        <w:t>,</w:t>
      </w:r>
      <w:r w:rsidR="00F372EB">
        <w:rPr>
          <w:rFonts w:ascii="Times New Roman" w:hAnsi="Times New Roman" w:cs="Times New Roman"/>
          <w:color w:val="000000" w:themeColor="text1"/>
        </w:rPr>
        <w:t>3</w:t>
      </w:r>
      <w:r w:rsidR="00540BE7" w:rsidRPr="00941528">
        <w:rPr>
          <w:rFonts w:ascii="Times New Roman" w:hAnsi="Times New Roman" w:cs="Times New Roman"/>
          <w:color w:val="000000" w:themeColor="text1"/>
        </w:rPr>
        <w:t>%</w:t>
      </w:r>
      <w:r w:rsidR="00540BE7">
        <w:rPr>
          <w:rFonts w:ascii="Times New Roman" w:hAnsi="Times New Roman" w:cs="Times New Roman"/>
          <w:color w:val="000000" w:themeColor="text1"/>
        </w:rPr>
        <w:t xml:space="preserve"> </w:t>
      </w:r>
      <w:r w:rsidR="0016780D" w:rsidRPr="00F811D5">
        <w:rPr>
          <w:rFonts w:ascii="Times New Roman" w:hAnsi="Times New Roman" w:cs="Times New Roman"/>
          <w:color w:val="000000" w:themeColor="text1"/>
        </w:rPr>
        <w:t xml:space="preserve">des ménages </w:t>
      </w:r>
      <w:r w:rsidR="0016780D">
        <w:rPr>
          <w:rFonts w:ascii="Times New Roman" w:hAnsi="Times New Roman" w:cs="Times New Roman"/>
          <w:color w:val="000000" w:themeColor="text1"/>
        </w:rPr>
        <w:t xml:space="preserve">considèrent qu’elle </w:t>
      </w:r>
      <w:r w:rsidR="00540BE7">
        <w:rPr>
          <w:rFonts w:ascii="Times New Roman" w:hAnsi="Times New Roman" w:cs="Times New Roman"/>
          <w:color w:val="000000" w:themeColor="text1"/>
        </w:rPr>
        <w:t>s’est dégradée</w:t>
      </w:r>
      <w:r w:rsidR="0016780D">
        <w:rPr>
          <w:rFonts w:ascii="Times New Roman" w:hAnsi="Times New Roman" w:cs="Times New Roman"/>
          <w:color w:val="000000" w:themeColor="text1"/>
        </w:rPr>
        <w:t xml:space="preserve">, </w:t>
      </w:r>
      <w:r w:rsidR="00540BE7">
        <w:rPr>
          <w:rFonts w:ascii="Times New Roman" w:hAnsi="Times New Roman" w:cs="Times New Roman"/>
          <w:color w:val="000000" w:themeColor="text1"/>
        </w:rPr>
        <w:t>12,</w:t>
      </w:r>
      <w:r w:rsidR="00F372EB">
        <w:rPr>
          <w:rFonts w:ascii="Times New Roman" w:hAnsi="Times New Roman" w:cs="Times New Roman"/>
          <w:color w:val="000000" w:themeColor="text1"/>
        </w:rPr>
        <w:t>3</w:t>
      </w:r>
      <w:r w:rsidR="00540BE7" w:rsidRPr="00F811D5">
        <w:rPr>
          <w:rFonts w:ascii="Times New Roman" w:hAnsi="Times New Roman" w:cs="Times New Roman"/>
          <w:color w:val="000000" w:themeColor="text1"/>
        </w:rPr>
        <w:t xml:space="preserve">% </w:t>
      </w:r>
      <w:r w:rsidR="00B831BA">
        <w:rPr>
          <w:rFonts w:ascii="Times New Roman" w:hAnsi="Times New Roman" w:cs="Times New Roman"/>
          <w:color w:val="000000" w:themeColor="text1"/>
        </w:rPr>
        <w:t xml:space="preserve">qu’elle </w:t>
      </w:r>
      <w:r>
        <w:rPr>
          <w:rFonts w:ascii="Times New Roman" w:hAnsi="Times New Roman" w:cs="Times New Roman"/>
          <w:color w:val="000000" w:themeColor="text1"/>
        </w:rPr>
        <w:t>s’est plutôt améliorée</w:t>
      </w:r>
      <w:r w:rsidR="0016780D">
        <w:rPr>
          <w:rFonts w:ascii="Times New Roman" w:hAnsi="Times New Roman" w:cs="Times New Roman"/>
          <w:color w:val="000000" w:themeColor="text1"/>
        </w:rPr>
        <w:t xml:space="preserve">. Cette perception reste </w:t>
      </w:r>
      <w:r>
        <w:rPr>
          <w:rFonts w:ascii="Times New Roman" w:hAnsi="Times New Roman" w:cs="Times New Roman"/>
          <w:color w:val="000000" w:themeColor="text1"/>
        </w:rPr>
        <w:t xml:space="preserve">ainsi </w:t>
      </w:r>
      <w:r w:rsidR="0016780D">
        <w:rPr>
          <w:rFonts w:ascii="Times New Roman" w:hAnsi="Times New Roman" w:cs="Times New Roman"/>
          <w:color w:val="000000" w:themeColor="text1"/>
        </w:rPr>
        <w:t xml:space="preserve">toujours négative, </w:t>
      </w:r>
      <w:r>
        <w:rPr>
          <w:rFonts w:ascii="Times New Roman" w:hAnsi="Times New Roman" w:cs="Times New Roman"/>
          <w:color w:val="000000" w:themeColor="text1"/>
        </w:rPr>
        <w:t>avec</w:t>
      </w:r>
      <w:r w:rsidR="006617C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un solde d’opinion de </w:t>
      </w:r>
      <w:r w:rsidR="006617C3">
        <w:rPr>
          <w:rFonts w:ascii="Times New Roman" w:hAnsi="Times New Roman" w:cs="Times New Roman"/>
          <w:color w:val="000000" w:themeColor="text1"/>
        </w:rPr>
        <w:t xml:space="preserve">moins </w:t>
      </w:r>
      <w:r w:rsidR="00F372EB">
        <w:rPr>
          <w:rFonts w:ascii="Times New Roman" w:hAnsi="Times New Roman" w:cs="Times New Roman"/>
          <w:color w:val="000000" w:themeColor="text1"/>
        </w:rPr>
        <w:t>27</w:t>
      </w:r>
      <w:r w:rsidR="006617C3">
        <w:rPr>
          <w:rFonts w:ascii="Times New Roman" w:hAnsi="Times New Roman" w:cs="Times New Roman"/>
          <w:color w:val="000000" w:themeColor="text1"/>
        </w:rPr>
        <w:t xml:space="preserve"> points</w:t>
      </w:r>
      <w:r w:rsidR="00540BE7">
        <w:rPr>
          <w:rFonts w:ascii="Times New Roman" w:hAnsi="Times New Roman" w:cs="Times New Roman"/>
          <w:color w:val="000000" w:themeColor="text1"/>
        </w:rPr>
        <w:t xml:space="preserve">, en </w:t>
      </w:r>
      <w:r>
        <w:rPr>
          <w:rFonts w:ascii="Times New Roman" w:hAnsi="Times New Roman" w:cs="Times New Roman"/>
          <w:color w:val="000000" w:themeColor="text1"/>
        </w:rPr>
        <w:t xml:space="preserve">deçà des </w:t>
      </w:r>
      <w:r w:rsidR="00540BE7">
        <w:rPr>
          <w:rFonts w:ascii="Times New Roman" w:hAnsi="Times New Roman" w:cs="Times New Roman"/>
          <w:color w:val="000000" w:themeColor="text1"/>
        </w:rPr>
        <w:t xml:space="preserve">moins </w:t>
      </w:r>
      <w:r w:rsidR="00F372EB">
        <w:rPr>
          <w:rFonts w:ascii="Times New Roman" w:hAnsi="Times New Roman" w:cs="Times New Roman"/>
          <w:color w:val="000000" w:themeColor="text1"/>
        </w:rPr>
        <w:t>20</w:t>
      </w:r>
      <w:r w:rsidR="00FA5F3D">
        <w:rPr>
          <w:rFonts w:ascii="Times New Roman" w:hAnsi="Times New Roman" w:cs="Times New Roman"/>
          <w:color w:val="000000" w:themeColor="text1"/>
        </w:rPr>
        <w:t>,8</w:t>
      </w:r>
      <w:r w:rsidR="00540BE7">
        <w:rPr>
          <w:rFonts w:ascii="Times New Roman" w:hAnsi="Times New Roman" w:cs="Times New Roman"/>
          <w:color w:val="000000" w:themeColor="text1"/>
        </w:rPr>
        <w:t xml:space="preserve"> points enregistré</w:t>
      </w:r>
      <w:r>
        <w:rPr>
          <w:rFonts w:ascii="Times New Roman" w:hAnsi="Times New Roman" w:cs="Times New Roman"/>
          <w:color w:val="000000" w:themeColor="text1"/>
        </w:rPr>
        <w:t>s</w:t>
      </w:r>
      <w:r w:rsidR="00540BE7">
        <w:rPr>
          <w:rFonts w:ascii="Times New Roman" w:hAnsi="Times New Roman" w:cs="Times New Roman"/>
          <w:color w:val="000000" w:themeColor="text1"/>
        </w:rPr>
        <w:t xml:space="preserve"> au </w:t>
      </w:r>
      <w:r w:rsidR="00FA5F3D">
        <w:rPr>
          <w:rFonts w:ascii="Times New Roman" w:hAnsi="Times New Roman" w:cs="Times New Roman"/>
          <w:color w:val="000000" w:themeColor="text1"/>
        </w:rPr>
        <w:t>troisième</w:t>
      </w:r>
      <w:r w:rsidR="00540BE7">
        <w:rPr>
          <w:rFonts w:ascii="Times New Roman" w:hAnsi="Times New Roman" w:cs="Times New Roman"/>
          <w:color w:val="000000" w:themeColor="text1"/>
        </w:rPr>
        <w:t xml:space="preserve"> trimestre de </w:t>
      </w:r>
      <w:r>
        <w:rPr>
          <w:rFonts w:ascii="Times New Roman" w:hAnsi="Times New Roman" w:cs="Times New Roman"/>
          <w:color w:val="000000" w:themeColor="text1"/>
        </w:rPr>
        <w:t>l’année précédente</w:t>
      </w:r>
      <w:r w:rsidR="00540BE7">
        <w:rPr>
          <w:rFonts w:ascii="Times New Roman" w:hAnsi="Times New Roman" w:cs="Times New Roman"/>
          <w:color w:val="000000" w:themeColor="text1"/>
        </w:rPr>
        <w:t>.</w:t>
      </w:r>
      <w:r w:rsidR="0066023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En revanche, l</w:t>
      </w:r>
      <w:r w:rsidR="0066023F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 xml:space="preserve"> regard </w:t>
      </w:r>
      <w:r w:rsidR="0066023F">
        <w:rPr>
          <w:rFonts w:ascii="Times New Roman" w:hAnsi="Times New Roman" w:cs="Times New Roman"/>
          <w:color w:val="000000" w:themeColor="text1"/>
        </w:rPr>
        <w:t xml:space="preserve">sur l’avenir </w:t>
      </w:r>
      <w:r w:rsidR="002B7C12">
        <w:rPr>
          <w:rFonts w:ascii="Times New Roman" w:hAnsi="Times New Roman" w:cs="Times New Roman"/>
          <w:color w:val="000000" w:themeColor="text1"/>
        </w:rPr>
        <w:t xml:space="preserve">de la situation financière </w:t>
      </w:r>
      <w:r w:rsidR="0066023F">
        <w:rPr>
          <w:rFonts w:ascii="Times New Roman" w:hAnsi="Times New Roman" w:cs="Times New Roman"/>
          <w:color w:val="000000" w:themeColor="text1"/>
        </w:rPr>
        <w:t xml:space="preserve">des mêmes ménages </w:t>
      </w:r>
      <w:r>
        <w:rPr>
          <w:rFonts w:ascii="Times New Roman" w:hAnsi="Times New Roman" w:cs="Times New Roman"/>
          <w:color w:val="000000" w:themeColor="text1"/>
        </w:rPr>
        <w:t>est resté optimiste</w:t>
      </w:r>
      <w:r w:rsidR="00807B58">
        <w:rPr>
          <w:rFonts w:ascii="Times New Roman" w:hAnsi="Times New Roman" w:cs="Times New Roman"/>
          <w:color w:val="000000" w:themeColor="text1"/>
        </w:rPr>
        <w:t>. Au</w:t>
      </w:r>
      <w:r w:rsidR="004B5321">
        <w:rPr>
          <w:rFonts w:ascii="Times New Roman" w:hAnsi="Times New Roman" w:cs="Times New Roman"/>
          <w:color w:val="000000" w:themeColor="text1"/>
        </w:rPr>
        <w:t xml:space="preserve"> </w:t>
      </w:r>
      <w:r w:rsidR="00807B58">
        <w:rPr>
          <w:rFonts w:ascii="Times New Roman" w:hAnsi="Times New Roman" w:cs="Times New Roman"/>
          <w:color w:val="000000" w:themeColor="text1"/>
        </w:rPr>
        <w:t xml:space="preserve">cours des 12 prochains mois, </w:t>
      </w:r>
      <w:r w:rsidR="00FA5F3D">
        <w:rPr>
          <w:rFonts w:ascii="Times New Roman" w:hAnsi="Times New Roman" w:cs="Times New Roman"/>
          <w:color w:val="000000" w:themeColor="text1"/>
        </w:rPr>
        <w:t>24,5</w:t>
      </w:r>
      <w:r>
        <w:rPr>
          <w:rFonts w:ascii="Times New Roman" w:hAnsi="Times New Roman" w:cs="Times New Roman"/>
          <w:color w:val="000000" w:themeColor="text1"/>
        </w:rPr>
        <w:t>% des ménages s’attendent à une amélioration</w:t>
      </w:r>
      <w:r w:rsidR="00C25F02">
        <w:rPr>
          <w:rFonts w:ascii="Times New Roman" w:hAnsi="Times New Roman" w:cs="Times New Roman"/>
          <w:color w:val="000000" w:themeColor="text1"/>
        </w:rPr>
        <w:t xml:space="preserve"> de leur situation financière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="00FA5F3D">
        <w:rPr>
          <w:rFonts w:ascii="Times New Roman" w:hAnsi="Times New Roman" w:cs="Times New Roman"/>
          <w:color w:val="000000" w:themeColor="text1"/>
        </w:rPr>
        <w:t>19,5</w:t>
      </w:r>
      <w:r>
        <w:rPr>
          <w:rFonts w:ascii="Times New Roman" w:hAnsi="Times New Roman" w:cs="Times New Roman"/>
          <w:color w:val="000000" w:themeColor="text1"/>
        </w:rPr>
        <w:t>% à une dégradation. Le solde d’opinion</w:t>
      </w:r>
      <w:r w:rsidR="00EA79FB">
        <w:rPr>
          <w:rFonts w:ascii="Times New Roman" w:hAnsi="Times New Roman" w:cs="Times New Roman"/>
          <w:color w:val="000000" w:themeColor="text1"/>
        </w:rPr>
        <w:t xml:space="preserve"> est resté </w:t>
      </w:r>
      <w:r>
        <w:rPr>
          <w:rFonts w:ascii="Times New Roman" w:hAnsi="Times New Roman" w:cs="Times New Roman"/>
          <w:color w:val="000000" w:themeColor="text1"/>
        </w:rPr>
        <w:t xml:space="preserve">ainsi </w:t>
      </w:r>
      <w:r w:rsidR="00EA79FB">
        <w:rPr>
          <w:rFonts w:ascii="Times New Roman" w:hAnsi="Times New Roman" w:cs="Times New Roman"/>
          <w:color w:val="000000" w:themeColor="text1"/>
        </w:rPr>
        <w:t xml:space="preserve">positif à </w:t>
      </w:r>
      <w:r w:rsidR="00FA5F3D">
        <w:rPr>
          <w:rFonts w:ascii="Times New Roman" w:hAnsi="Times New Roman" w:cs="Times New Roman"/>
          <w:color w:val="000000" w:themeColor="text1"/>
        </w:rPr>
        <w:t>5 points, contre 2,3</w:t>
      </w:r>
      <w:r w:rsidR="00EA79FB" w:rsidRPr="00195890">
        <w:rPr>
          <w:rFonts w:ascii="Times New Roman" w:hAnsi="Times New Roman" w:cs="Times New Roman"/>
          <w:color w:val="000000" w:themeColor="text1"/>
        </w:rPr>
        <w:t xml:space="preserve"> point</w:t>
      </w:r>
      <w:r w:rsidR="002B7C12">
        <w:rPr>
          <w:rFonts w:ascii="Times New Roman" w:hAnsi="Times New Roman" w:cs="Times New Roman"/>
          <w:color w:val="000000" w:themeColor="text1"/>
        </w:rPr>
        <w:t xml:space="preserve">s le trimestre précédent et </w:t>
      </w:r>
      <w:r w:rsidR="00FA5F3D">
        <w:rPr>
          <w:rFonts w:ascii="Times New Roman" w:hAnsi="Times New Roman" w:cs="Times New Roman"/>
          <w:color w:val="000000" w:themeColor="text1"/>
        </w:rPr>
        <w:t>3,3</w:t>
      </w:r>
      <w:r w:rsidR="00EA79FB" w:rsidRPr="00195890">
        <w:rPr>
          <w:rFonts w:ascii="Times New Roman" w:hAnsi="Times New Roman" w:cs="Times New Roman"/>
          <w:color w:val="000000" w:themeColor="text1"/>
        </w:rPr>
        <w:t xml:space="preserve"> point</w:t>
      </w:r>
      <w:r w:rsidR="0066023F">
        <w:rPr>
          <w:rFonts w:ascii="Times New Roman" w:hAnsi="Times New Roman" w:cs="Times New Roman"/>
          <w:color w:val="000000" w:themeColor="text1"/>
        </w:rPr>
        <w:t>s</w:t>
      </w:r>
      <w:r w:rsidR="00EA79FB" w:rsidRPr="00195890">
        <w:rPr>
          <w:rFonts w:ascii="Times New Roman" w:hAnsi="Times New Roman" w:cs="Times New Roman"/>
          <w:color w:val="000000" w:themeColor="text1"/>
        </w:rPr>
        <w:t xml:space="preserve"> enregistré une année auparavant.</w:t>
      </w:r>
    </w:p>
    <w:p w:rsidR="00E03B67" w:rsidRDefault="00E03B67" w:rsidP="00807B58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E416E" w:rsidRDefault="00CF10DF" w:rsidP="00BF234A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F10DF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5972810" cy="2804795"/>
            <wp:effectExtent l="19050" t="0" r="27940" b="0"/>
            <wp:docPr id="8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51DD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E21A1" w:rsidRPr="003A3FCF" w:rsidRDefault="000E21A1" w:rsidP="00C25E2E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d’autres indicateurs </w:t>
      </w:r>
      <w:r w:rsidR="005D5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trimestriels </w:t>
      </w:r>
      <w:r w:rsidR="00D75C4F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 conjoncture</w:t>
      </w:r>
      <w:r w:rsidR="00D75C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C07FB5" w:rsidRPr="00C07FB5" w:rsidRDefault="001F7D34" w:rsidP="00346987">
      <w:pPr>
        <w:jc w:val="both"/>
        <w:rPr>
          <w:rFonts w:ascii="Times New Roman" w:hAnsi="Times New Roman" w:cs="Times New Roman"/>
          <w:color w:val="FF6600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Pr="00C706A5">
        <w:rPr>
          <w:rFonts w:ascii="Times New Roman" w:hAnsi="Times New Roman" w:cs="Times New Roman"/>
          <w:color w:val="000000" w:themeColor="text1"/>
        </w:rPr>
        <w:t>a capacité d</w:t>
      </w:r>
      <w:r>
        <w:rPr>
          <w:rFonts w:ascii="Times New Roman" w:hAnsi="Times New Roman" w:cs="Times New Roman"/>
          <w:color w:val="000000" w:themeColor="text1"/>
        </w:rPr>
        <w:t xml:space="preserve">es ménages à épargner </w:t>
      </w:r>
      <w:r w:rsidRPr="00C706A5">
        <w:rPr>
          <w:rFonts w:ascii="Times New Roman" w:hAnsi="Times New Roman" w:cs="Times New Roman"/>
          <w:color w:val="000000" w:themeColor="text1"/>
        </w:rPr>
        <w:t xml:space="preserve">et l’évolution des prix des produits alimentaires </w:t>
      </w:r>
      <w:r>
        <w:rPr>
          <w:rFonts w:ascii="Times New Roman" w:hAnsi="Times New Roman" w:cs="Times New Roman"/>
          <w:color w:val="000000" w:themeColor="text1"/>
        </w:rPr>
        <w:t>sont les deux</w:t>
      </w:r>
      <w:r w:rsidR="0071373B">
        <w:rPr>
          <w:rFonts w:ascii="Times New Roman" w:hAnsi="Times New Roman" w:cs="Times New Roman"/>
          <w:color w:val="000000" w:themeColor="text1"/>
        </w:rPr>
        <w:t xml:space="preserve"> indicateurs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1373B">
        <w:rPr>
          <w:rFonts w:ascii="Times New Roman" w:hAnsi="Times New Roman" w:cs="Times New Roman"/>
          <w:color w:val="000000" w:themeColor="text1"/>
        </w:rPr>
        <w:t>publiés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1373B">
        <w:rPr>
          <w:rFonts w:ascii="Times New Roman" w:hAnsi="Times New Roman" w:cs="Times New Roman"/>
          <w:color w:val="000000" w:themeColor="text1"/>
        </w:rPr>
        <w:t>par les notes trimestrielles sur les enquêtes de conjoncture menées auprès des ménages. L’intégralité des indicateurs</w:t>
      </w:r>
      <w:r w:rsidR="00346987">
        <w:rPr>
          <w:rFonts w:ascii="Times New Roman" w:hAnsi="Times New Roman" w:cs="Times New Roman"/>
          <w:color w:val="000000" w:themeColor="text1"/>
        </w:rPr>
        <w:t>,</w:t>
      </w:r>
      <w:r w:rsidR="0071373B">
        <w:rPr>
          <w:rFonts w:ascii="Times New Roman" w:hAnsi="Times New Roman" w:cs="Times New Roman"/>
          <w:color w:val="000000" w:themeColor="text1"/>
        </w:rPr>
        <w:t xml:space="preserve"> qui comprennent en outre d’autres </w:t>
      </w:r>
      <w:r w:rsidR="00C1044F">
        <w:rPr>
          <w:rFonts w:ascii="Times New Roman" w:hAnsi="Times New Roman" w:cs="Times New Roman"/>
          <w:color w:val="000000" w:themeColor="text1"/>
        </w:rPr>
        <w:t>variables</w:t>
      </w:r>
      <w:r w:rsidR="00346987">
        <w:rPr>
          <w:rFonts w:ascii="Times New Roman" w:hAnsi="Times New Roman" w:cs="Times New Roman"/>
          <w:color w:val="000000" w:themeColor="text1"/>
        </w:rPr>
        <w:t>,</w:t>
      </w:r>
      <w:r w:rsidR="0071373B">
        <w:rPr>
          <w:rFonts w:ascii="Times New Roman" w:hAnsi="Times New Roman" w:cs="Times New Roman"/>
          <w:color w:val="000000" w:themeColor="text1"/>
        </w:rPr>
        <w:t xml:space="preserve"> </w:t>
      </w:r>
      <w:r w:rsidR="00346987">
        <w:rPr>
          <w:rFonts w:ascii="Times New Roman" w:hAnsi="Times New Roman" w:cs="Times New Roman"/>
          <w:color w:val="000000" w:themeColor="text1"/>
        </w:rPr>
        <w:t>n’est</w:t>
      </w:r>
      <w:r w:rsidR="0071373B">
        <w:rPr>
          <w:rFonts w:ascii="Times New Roman" w:hAnsi="Times New Roman" w:cs="Times New Roman"/>
          <w:color w:val="000000" w:themeColor="text1"/>
        </w:rPr>
        <w:t xml:space="preserve"> publié</w:t>
      </w:r>
      <w:r w:rsidR="00346987">
        <w:rPr>
          <w:rFonts w:ascii="Times New Roman" w:hAnsi="Times New Roman" w:cs="Times New Roman"/>
          <w:color w:val="000000" w:themeColor="text1"/>
        </w:rPr>
        <w:t xml:space="preserve">e </w:t>
      </w:r>
      <w:r w:rsidR="0071373B">
        <w:rPr>
          <w:rFonts w:ascii="Times New Roman" w:hAnsi="Times New Roman" w:cs="Times New Roman"/>
          <w:color w:val="000000" w:themeColor="text1"/>
        </w:rPr>
        <w:t>qu’</w:t>
      </w:r>
      <w:r w:rsidR="00C1044F">
        <w:rPr>
          <w:rFonts w:ascii="Times New Roman" w:hAnsi="Times New Roman" w:cs="Times New Roman"/>
          <w:color w:val="000000" w:themeColor="text1"/>
        </w:rPr>
        <w:t>après</w:t>
      </w:r>
      <w:r w:rsidR="0071373B">
        <w:rPr>
          <w:rFonts w:ascii="Times New Roman" w:hAnsi="Times New Roman" w:cs="Times New Roman"/>
          <w:color w:val="000000" w:themeColor="text1"/>
        </w:rPr>
        <w:t xml:space="preserve"> exploitation des données sur l’ensemble de l’année.  </w:t>
      </w:r>
    </w:p>
    <w:p w:rsidR="0071373B" w:rsidRPr="00C07FB5" w:rsidRDefault="0071373B" w:rsidP="0071373B">
      <w:pPr>
        <w:widowControl/>
        <w:spacing w:line="276" w:lineRule="auto"/>
        <w:jc w:val="both"/>
        <w:rPr>
          <w:rFonts w:ascii="Times New Roman" w:hAnsi="Times New Roman" w:cs="Times New Roman"/>
          <w:color w:val="FF6600"/>
        </w:rPr>
      </w:pPr>
    </w:p>
    <w:p w:rsidR="007D78F4" w:rsidRPr="000013E4" w:rsidRDefault="004153FC" w:rsidP="007D78F4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Perception</w:t>
      </w:r>
      <w:r w:rsidR="006A08BD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D78F4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pessimiste </w:t>
      </w:r>
      <w:r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</w:t>
      </w:r>
      <w:r w:rsidR="007D78F4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08BD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capacité future </w:t>
      </w:r>
      <w:r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des ménages </w:t>
      </w:r>
      <w:r w:rsidR="006A08BD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à </w:t>
      </w:r>
      <w:r w:rsidR="000656CB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épargner </w:t>
      </w:r>
    </w:p>
    <w:p w:rsidR="000013E4" w:rsidRPr="000013E4" w:rsidRDefault="000013E4" w:rsidP="000013E4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F66680" w:rsidRDefault="00FA5F3D" w:rsidP="00F45E1C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Au troisième</w:t>
      </w:r>
      <w:r w:rsidR="00F430E6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trimestre</w:t>
      </w:r>
      <w:r w:rsidR="000B09BA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r w:rsidR="00BF4F5B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8</w:t>
      </w:r>
      <w:r w:rsidR="00F45E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</w:t>
      </w:r>
      <w:r w:rsidR="00741C47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%</w:t>
      </w:r>
      <w:r w:rsidR="00DE048F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des ménages</w:t>
      </w:r>
      <w:r w:rsidR="00713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415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ne s’attendent pas à </w:t>
      </w:r>
      <w:r w:rsidR="00511C57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épargner au cours des 12 prochains </w:t>
      </w:r>
      <w:r w:rsidR="0005706F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mois</w:t>
      </w:r>
      <w:r w:rsidR="00507FF6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  <w:r w:rsidR="00415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Le </w:t>
      </w:r>
      <w:r w:rsidR="00EA79FB" w:rsidRPr="00EA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solde d’opinion est resté </w:t>
      </w:r>
      <w:r w:rsidR="00415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ainsi </w:t>
      </w:r>
      <w:r w:rsidR="00EA79FB" w:rsidRPr="00EA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négatif, à moins </w:t>
      </w:r>
      <w:r w:rsidR="00F45E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67,9</w:t>
      </w:r>
      <w:r w:rsidR="00EA79FB" w:rsidRPr="00EA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points, après avoir été de moins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6</w:t>
      </w:r>
      <w:r w:rsidR="00F45E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,6</w:t>
      </w:r>
      <w:r w:rsidR="00EA79FB" w:rsidRPr="00EA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points le trimestre passé et de moins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7</w:t>
      </w:r>
      <w:r w:rsidR="00F45E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F45E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6</w:t>
      </w:r>
      <w:r w:rsidR="00EA79FB" w:rsidRPr="00EA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points </w:t>
      </w:r>
      <w:r w:rsidR="00415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une année auparavant</w:t>
      </w:r>
      <w:r w:rsidR="00EA79FB" w:rsidRPr="00EA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  <w:r w:rsidR="00BF4F5B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</w:p>
    <w:p w:rsidR="00047148" w:rsidRPr="00417308" w:rsidRDefault="00047148" w:rsidP="00972F22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837999" w:rsidRPr="00417308" w:rsidRDefault="00C03391" w:rsidP="009B2D74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46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Attente</w:t>
      </w:r>
      <w:r w:rsidR="008379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517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d’une hausse</w:t>
      </w:r>
      <w:r w:rsidR="008379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des prix des produits alimentaires</w:t>
      </w:r>
      <w:r w:rsidR="00146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A79FB" w:rsidRPr="00EA79FB" w:rsidRDefault="00FA5F3D" w:rsidP="00146EDA">
      <w:pPr>
        <w:spacing w:before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t>Au troisième</w:t>
      </w:r>
      <w:r w:rsidR="00F430E6" w:rsidRPr="00EA79FB">
        <w:rPr>
          <w:rFonts w:ascii="Times New Roman" w:hAnsi="Times New Roman" w:cs="Times New Roman"/>
          <w:color w:val="000000" w:themeColor="text1"/>
        </w:rPr>
        <w:t xml:space="preserve"> trimestre</w:t>
      </w:r>
      <w:r w:rsidR="00985AB3" w:rsidRPr="00EA79FB">
        <w:rPr>
          <w:rFonts w:ascii="Times New Roman" w:hAnsi="Times New Roman" w:cs="Times New Roman"/>
          <w:color w:val="000000" w:themeColor="text1"/>
        </w:rPr>
        <w:t xml:space="preserve">, </w:t>
      </w:r>
      <w:r w:rsidR="002364B4" w:rsidRPr="00EA79FB">
        <w:rPr>
          <w:rFonts w:ascii="Times New Roman" w:hAnsi="Times New Roman" w:cs="Times New Roman"/>
          <w:color w:val="000000" w:themeColor="text1"/>
        </w:rPr>
        <w:t>8</w:t>
      </w:r>
      <w:r w:rsidR="00BE1B70" w:rsidRPr="00EA79FB"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563170" w:rsidRPr="00EA79FB">
        <w:rPr>
          <w:rFonts w:ascii="Times New Roman" w:hAnsi="Times New Roman" w:cs="Times New Roman"/>
          <w:color w:val="000000" w:themeColor="text1"/>
        </w:rPr>
        <w:t>%</w:t>
      </w:r>
      <w:r w:rsidR="00742AC3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EA79FB">
        <w:rPr>
          <w:rFonts w:ascii="Times New Roman" w:hAnsi="Times New Roman" w:cs="Times New Roman"/>
          <w:color w:val="000000" w:themeColor="text1"/>
        </w:rPr>
        <w:t>contre 0,</w:t>
      </w:r>
      <w:r>
        <w:rPr>
          <w:rFonts w:ascii="Times New Roman" w:hAnsi="Times New Roman" w:cs="Times New Roman"/>
          <w:color w:val="000000" w:themeColor="text1"/>
        </w:rPr>
        <w:t>3</w:t>
      </w:r>
      <w:r w:rsidR="002A1529" w:rsidRPr="00EA79FB">
        <w:rPr>
          <w:rFonts w:ascii="Times New Roman" w:hAnsi="Times New Roman" w:cs="Times New Roman"/>
          <w:color w:val="000000" w:themeColor="text1"/>
        </w:rPr>
        <w:t xml:space="preserve"> % </w:t>
      </w:r>
      <w:r w:rsidR="00742AC3" w:rsidRPr="00EA79FB">
        <w:rPr>
          <w:rFonts w:ascii="Times New Roman" w:hAnsi="Times New Roman" w:cs="Times New Roman"/>
          <w:color w:val="000000" w:themeColor="text1"/>
        </w:rPr>
        <w:t>des ménages</w:t>
      </w:r>
      <w:r w:rsidR="00EA0137" w:rsidRPr="00EA79FB">
        <w:rPr>
          <w:rFonts w:ascii="Times New Roman" w:hAnsi="Times New Roman" w:cs="Times New Roman"/>
          <w:color w:val="000000" w:themeColor="text1"/>
        </w:rPr>
        <w:t xml:space="preserve"> estiment</w:t>
      </w:r>
      <w:r w:rsidR="00F656E6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EA79FB">
        <w:rPr>
          <w:rFonts w:ascii="Times New Roman" w:hAnsi="Times New Roman" w:cs="Times New Roman"/>
          <w:color w:val="000000" w:themeColor="text1"/>
        </w:rPr>
        <w:t>que les prix des produits alimentaires ont augmenté</w:t>
      </w:r>
      <w:r w:rsidR="00DC1E47" w:rsidRPr="00EA79FB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EA0137" w:rsidRPr="00EA79FB">
        <w:rPr>
          <w:rFonts w:ascii="Times New Roman" w:hAnsi="Times New Roman" w:cs="Times New Roman"/>
          <w:color w:val="000000" w:themeColor="text1"/>
        </w:rPr>
        <w:t xml:space="preserve">au cours des </w:t>
      </w:r>
      <w:r w:rsidR="00E009EE" w:rsidRPr="00EA79FB">
        <w:rPr>
          <w:rFonts w:ascii="Times New Roman" w:hAnsi="Times New Roman" w:cs="Times New Roman"/>
          <w:color w:val="000000" w:themeColor="text1"/>
        </w:rPr>
        <w:t>12 derniers mois</w:t>
      </w:r>
      <w:r w:rsidR="00D77F27" w:rsidRPr="00EA79FB">
        <w:rPr>
          <w:rFonts w:ascii="Times New Roman" w:hAnsi="Times New Roman" w:cs="Times New Roman"/>
          <w:color w:val="000000" w:themeColor="text1"/>
        </w:rPr>
        <w:t xml:space="preserve">. </w:t>
      </w:r>
      <w:r w:rsidR="00EA79FB" w:rsidRPr="00EA79FB">
        <w:rPr>
          <w:rFonts w:ascii="Times New Roman" w:hAnsi="Times New Roman" w:cs="Times New Roman"/>
          <w:color w:val="000000" w:themeColor="text1"/>
        </w:rPr>
        <w:t>Le solde d’opinion</w:t>
      </w:r>
      <w:r w:rsidR="00C25F02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 xml:space="preserve">est </w:t>
      </w:r>
      <w:r w:rsidR="00807B58">
        <w:rPr>
          <w:rFonts w:ascii="Times New Roman" w:hAnsi="Times New Roman" w:cs="Times New Roman"/>
          <w:color w:val="000000" w:themeColor="text1"/>
        </w:rPr>
        <w:t xml:space="preserve">ainsi </w:t>
      </w:r>
      <w:r w:rsidR="004153FC">
        <w:rPr>
          <w:rFonts w:ascii="Times New Roman" w:hAnsi="Times New Roman" w:cs="Times New Roman"/>
          <w:color w:val="000000" w:themeColor="text1"/>
        </w:rPr>
        <w:t xml:space="preserve">resté </w:t>
      </w:r>
      <w:r w:rsidR="00540BE7">
        <w:rPr>
          <w:rFonts w:ascii="Times New Roman" w:hAnsi="Times New Roman" w:cs="Times New Roman"/>
          <w:color w:val="000000" w:themeColor="text1"/>
        </w:rPr>
        <w:t xml:space="preserve">toujours négatif, </w:t>
      </w:r>
      <w:r w:rsidR="00EA79FB" w:rsidRPr="00EA79FB">
        <w:rPr>
          <w:rFonts w:ascii="Times New Roman" w:hAnsi="Times New Roman" w:cs="Times New Roman"/>
          <w:color w:val="000000" w:themeColor="text1"/>
        </w:rPr>
        <w:t>à moins 87,</w:t>
      </w:r>
      <w:r w:rsidR="00146EDA">
        <w:rPr>
          <w:rFonts w:ascii="Times New Roman" w:hAnsi="Times New Roman" w:cs="Times New Roman"/>
          <w:color w:val="000000" w:themeColor="text1"/>
        </w:rPr>
        <w:t>7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points, après avoir été </w:t>
      </w:r>
      <w:r w:rsidR="00B633E3">
        <w:rPr>
          <w:rFonts w:ascii="Times New Roman" w:hAnsi="Times New Roman" w:cs="Times New Roman"/>
          <w:color w:val="000000" w:themeColor="text1"/>
        </w:rPr>
        <w:t>de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moins </w:t>
      </w:r>
      <w:r w:rsidR="00146EDA">
        <w:rPr>
          <w:rFonts w:ascii="Times New Roman" w:hAnsi="Times New Roman" w:cs="Times New Roman"/>
          <w:color w:val="000000" w:themeColor="text1"/>
        </w:rPr>
        <w:t>87,9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 le trimestre précédent et </w:t>
      </w:r>
      <w:r w:rsidR="00B633E3">
        <w:rPr>
          <w:rFonts w:ascii="Times New Roman" w:hAnsi="Times New Roman" w:cs="Times New Roman"/>
          <w:color w:val="000000" w:themeColor="text1"/>
        </w:rPr>
        <w:t>de</w:t>
      </w:r>
      <w:r w:rsidR="00146EDA">
        <w:rPr>
          <w:rFonts w:ascii="Times New Roman" w:hAnsi="Times New Roman" w:cs="Times New Roman"/>
          <w:color w:val="000000" w:themeColor="text1"/>
        </w:rPr>
        <w:t xml:space="preserve"> moins 84,3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 une année auparavant.</w:t>
      </w:r>
    </w:p>
    <w:p w:rsidR="00BC5D13" w:rsidRPr="00B85F7C" w:rsidRDefault="004153FC" w:rsidP="005C5BF2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Au cours des 12 prochains mois, </w:t>
      </w:r>
      <w:r w:rsidR="00B633E3">
        <w:rPr>
          <w:rFonts w:ascii="Times New Roman" w:hAnsi="Times New Roman" w:cs="Times New Roman"/>
          <w:color w:val="000000" w:themeColor="text1"/>
        </w:rPr>
        <w:t>l</w:t>
      </w:r>
      <w:r>
        <w:rPr>
          <w:rFonts w:ascii="Times New Roman" w:hAnsi="Times New Roman" w:cs="Times New Roman"/>
          <w:color w:val="000000" w:themeColor="text1"/>
        </w:rPr>
        <w:t xml:space="preserve">es prix </w:t>
      </w:r>
      <w:r w:rsidR="00B633E3">
        <w:rPr>
          <w:rFonts w:ascii="Times New Roman" w:hAnsi="Times New Roman" w:cs="Times New Roman"/>
          <w:color w:val="000000" w:themeColor="text1"/>
        </w:rPr>
        <w:t xml:space="preserve">des produits alimentaires </w:t>
      </w:r>
      <w:r>
        <w:rPr>
          <w:rFonts w:ascii="Times New Roman" w:hAnsi="Times New Roman" w:cs="Times New Roman"/>
          <w:color w:val="000000" w:themeColor="text1"/>
        </w:rPr>
        <w:t xml:space="preserve">devraient continuer à augmenter selon </w:t>
      </w:r>
      <w:r w:rsidR="007516A5" w:rsidRPr="00B85F7C">
        <w:rPr>
          <w:rFonts w:ascii="Times New Roman" w:hAnsi="Times New Roman" w:cs="Times New Roman"/>
          <w:color w:val="000000" w:themeColor="text1"/>
        </w:rPr>
        <w:t>78,</w:t>
      </w:r>
      <w:r w:rsidR="005C5BF2">
        <w:rPr>
          <w:rFonts w:ascii="Times New Roman" w:hAnsi="Times New Roman" w:cs="Times New Roman"/>
          <w:color w:val="000000" w:themeColor="text1"/>
        </w:rPr>
        <w:t>6</w:t>
      </w:r>
      <w:r w:rsidR="002A7E5D" w:rsidRPr="00B85F7C">
        <w:rPr>
          <w:rFonts w:ascii="Times New Roman" w:hAnsi="Times New Roman" w:cs="Times New Roman"/>
          <w:color w:val="000000" w:themeColor="text1"/>
        </w:rPr>
        <w:t>%</w:t>
      </w:r>
      <w:r w:rsidR="002A1C56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7E5D" w:rsidRPr="00B85F7C">
        <w:rPr>
          <w:rFonts w:ascii="Times New Roman" w:hAnsi="Times New Roman" w:cs="Times New Roman"/>
          <w:color w:val="000000" w:themeColor="text1"/>
        </w:rPr>
        <w:t>des ménages</w:t>
      </w:r>
      <w:r w:rsidR="00B633E3">
        <w:rPr>
          <w:rFonts w:ascii="Times New Roman" w:hAnsi="Times New Roman" w:cs="Times New Roman"/>
          <w:color w:val="000000" w:themeColor="text1"/>
        </w:rPr>
        <w:t xml:space="preserve">. </w:t>
      </w:r>
      <w:r w:rsidR="00FA5F3D">
        <w:rPr>
          <w:rFonts w:ascii="Times New Roman" w:hAnsi="Times New Roman" w:cs="Times New Roman"/>
          <w:color w:val="000000" w:themeColor="text1"/>
        </w:rPr>
        <w:t>Seuls 0,</w:t>
      </w:r>
      <w:r w:rsidR="005C5BF2">
        <w:rPr>
          <w:rFonts w:ascii="Times New Roman" w:hAnsi="Times New Roman" w:cs="Times New Roman"/>
          <w:color w:val="000000" w:themeColor="text1"/>
        </w:rPr>
        <w:t>7</w:t>
      </w:r>
      <w:r w:rsidR="00FA5F3D">
        <w:rPr>
          <w:rFonts w:ascii="Times New Roman" w:hAnsi="Times New Roman" w:cs="Times New Roman"/>
          <w:color w:val="000000" w:themeColor="text1"/>
        </w:rPr>
        <w:t>% s’attendent à une baisse des prix de ces derniers.</w:t>
      </w:r>
      <w:r w:rsidR="008D3987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>L</w:t>
      </w:r>
      <w:r w:rsidR="00376AC0" w:rsidRPr="00B85F7C">
        <w:rPr>
          <w:rFonts w:ascii="Times New Roman" w:hAnsi="Times New Roman" w:cs="Times New Roman"/>
          <w:color w:val="000000" w:themeColor="text1"/>
        </w:rPr>
        <w:t xml:space="preserve">e </w:t>
      </w:r>
      <w:r w:rsidR="00EA0137" w:rsidRPr="00B85F7C">
        <w:rPr>
          <w:rFonts w:ascii="Times New Roman" w:hAnsi="Times New Roman" w:cs="Times New Roman"/>
          <w:color w:val="000000" w:themeColor="text1"/>
        </w:rPr>
        <w:t>solde d’opinion</w:t>
      </w:r>
      <w:r w:rsidR="00851DBD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est </w:t>
      </w:r>
      <w:r w:rsidR="00807B58">
        <w:rPr>
          <w:rFonts w:ascii="Times New Roman" w:hAnsi="Times New Roman" w:cs="Times New Roman"/>
          <w:color w:val="000000" w:themeColor="text1"/>
        </w:rPr>
        <w:t>ainsi</w:t>
      </w:r>
      <w:r w:rsidR="00807B58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>resté</w:t>
      </w:r>
      <w:r w:rsidR="00807B58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>négatif, à</w:t>
      </w:r>
      <w:r w:rsidR="00EA79FB">
        <w:rPr>
          <w:rFonts w:ascii="Times New Roman" w:hAnsi="Times New Roman" w:cs="Times New Roman"/>
          <w:color w:val="000000" w:themeColor="text1"/>
        </w:rPr>
        <w:t xml:space="preserve"> moins </w:t>
      </w:r>
      <w:r w:rsidR="005C5BF2">
        <w:rPr>
          <w:rFonts w:ascii="Times New Roman" w:hAnsi="Times New Roman" w:cs="Times New Roman"/>
          <w:color w:val="000000" w:themeColor="text1"/>
        </w:rPr>
        <w:t>77,9</w:t>
      </w:r>
      <w:r w:rsidR="00511BC9" w:rsidRPr="00B85F7C">
        <w:rPr>
          <w:rFonts w:ascii="Times New Roman" w:hAnsi="Times New Roman" w:cs="Times New Roman"/>
          <w:color w:val="000000" w:themeColor="text1"/>
        </w:rPr>
        <w:t xml:space="preserve"> points</w:t>
      </w:r>
      <w:r w:rsidR="00540BE7">
        <w:rPr>
          <w:rFonts w:ascii="Times New Roman" w:hAnsi="Times New Roman" w:cs="Times New Roman"/>
          <w:color w:val="000000" w:themeColor="text1"/>
        </w:rPr>
        <w:t>, se situant toujours en d</w:t>
      </w:r>
      <w:r w:rsidR="00B633E3">
        <w:rPr>
          <w:rFonts w:ascii="Times New Roman" w:hAnsi="Times New Roman" w:cs="Times New Roman"/>
          <w:color w:val="000000" w:themeColor="text1"/>
        </w:rPr>
        <w:t>eçà</w:t>
      </w:r>
      <w:r w:rsidR="00540BE7">
        <w:rPr>
          <w:rFonts w:ascii="Times New Roman" w:hAnsi="Times New Roman" w:cs="Times New Roman"/>
          <w:color w:val="000000" w:themeColor="text1"/>
        </w:rPr>
        <w:t xml:space="preserve"> de</w:t>
      </w:r>
      <w:r>
        <w:rPr>
          <w:rFonts w:ascii="Times New Roman" w:hAnsi="Times New Roman" w:cs="Times New Roman"/>
          <w:color w:val="000000" w:themeColor="text1"/>
        </w:rPr>
        <w:t>s</w:t>
      </w:r>
      <w:r w:rsidR="00540BE7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 xml:space="preserve">moins </w:t>
      </w:r>
      <w:r w:rsidR="00540BE7" w:rsidRPr="00B85F7C">
        <w:rPr>
          <w:rFonts w:ascii="Times New Roman" w:hAnsi="Times New Roman" w:cs="Times New Roman"/>
          <w:color w:val="000000" w:themeColor="text1"/>
        </w:rPr>
        <w:t>7</w:t>
      </w:r>
      <w:r w:rsidR="00593133">
        <w:rPr>
          <w:rFonts w:ascii="Times New Roman" w:hAnsi="Times New Roman" w:cs="Times New Roman"/>
          <w:color w:val="000000" w:themeColor="text1"/>
        </w:rPr>
        <w:t>5</w:t>
      </w:r>
      <w:r w:rsidR="00540BE7" w:rsidRPr="00B85F7C">
        <w:rPr>
          <w:rFonts w:ascii="Times New Roman" w:hAnsi="Times New Roman" w:cs="Times New Roman"/>
          <w:color w:val="000000" w:themeColor="text1"/>
        </w:rPr>
        <w:t>,</w:t>
      </w:r>
      <w:r w:rsidR="00146EDA">
        <w:rPr>
          <w:rFonts w:ascii="Times New Roman" w:hAnsi="Times New Roman" w:cs="Times New Roman"/>
          <w:color w:val="000000" w:themeColor="text1"/>
        </w:rPr>
        <w:t>3</w:t>
      </w:r>
      <w:r w:rsidR="00540BE7" w:rsidRPr="00B85F7C">
        <w:rPr>
          <w:rFonts w:ascii="Times New Roman" w:hAnsi="Times New Roman" w:cs="Times New Roman"/>
          <w:color w:val="000000" w:themeColor="text1"/>
        </w:rPr>
        <w:t xml:space="preserve"> points </w:t>
      </w:r>
      <w:r w:rsidR="00540BE7">
        <w:rPr>
          <w:rFonts w:ascii="Times New Roman" w:hAnsi="Times New Roman" w:cs="Times New Roman"/>
          <w:color w:val="000000" w:themeColor="text1"/>
        </w:rPr>
        <w:t>enregistré</w:t>
      </w:r>
      <w:r>
        <w:rPr>
          <w:rFonts w:ascii="Times New Roman" w:hAnsi="Times New Roman" w:cs="Times New Roman"/>
          <w:color w:val="000000" w:themeColor="text1"/>
        </w:rPr>
        <w:t>s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une année </w:t>
      </w:r>
      <w:r w:rsidR="00FA52FF">
        <w:rPr>
          <w:rFonts w:ascii="Times New Roman" w:hAnsi="Times New Roman" w:cs="Times New Roman"/>
          <w:color w:val="000000" w:themeColor="text1"/>
        </w:rPr>
        <w:t>auparavant</w:t>
      </w:r>
      <w:r w:rsidR="00540BE7">
        <w:rPr>
          <w:rFonts w:ascii="Times New Roman" w:hAnsi="Times New Roman" w:cs="Times New Roman"/>
          <w:color w:val="000000" w:themeColor="text1"/>
        </w:rPr>
        <w:t>.</w:t>
      </w:r>
      <w:r w:rsidR="00851DBD" w:rsidRPr="00B85F7C">
        <w:rPr>
          <w:rFonts w:ascii="Times New Roman" w:hAnsi="Times New Roman" w:cs="Times New Roman"/>
          <w:color w:val="000000" w:themeColor="text1"/>
        </w:rPr>
        <w:t xml:space="preserve"> </w:t>
      </w:r>
    </w:p>
    <w:p w:rsidR="00DF62C2" w:rsidRPr="005D0680" w:rsidRDefault="0069760B" w:rsidP="00047148">
      <w:pPr>
        <w:widowControl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068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57ECB" w:rsidRPr="005D0680">
        <w:rPr>
          <w:rFonts w:ascii="Times New Roman" w:hAnsi="Times New Roman" w:cs="Times New Roman"/>
          <w:color w:val="000000" w:themeColor="text1"/>
        </w:rPr>
        <w:t xml:space="preserve">              </w:t>
      </w:r>
      <w:r w:rsidRPr="005D0680">
        <w:rPr>
          <w:rFonts w:ascii="Times New Roman" w:hAnsi="Times New Roman" w:cs="Times New Roman"/>
          <w:color w:val="000000" w:themeColor="text1"/>
        </w:rPr>
        <w:t xml:space="preserve"> </w:t>
      </w:r>
      <w:r w:rsidR="00B57ECB" w:rsidRPr="005D0680">
        <w:rPr>
          <w:rFonts w:ascii="Times New Roman" w:hAnsi="Times New Roman" w:cs="Times New Roman"/>
          <w:color w:val="000000" w:themeColor="text1"/>
        </w:rPr>
        <w:t xml:space="preserve">   </w:t>
      </w:r>
    </w:p>
    <w:p w:rsidR="006013E0" w:rsidRDefault="00CF10DF" w:rsidP="00B57ECB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F10DF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72810" cy="3117850"/>
            <wp:effectExtent l="19050" t="0" r="27940" b="6350"/>
            <wp:docPr id="13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9141A8">
        <w:rPr>
          <w:rFonts w:ascii="Times New Roman" w:hAnsi="Times New Roman" w:cs="Times New Roman"/>
          <w:color w:val="000000" w:themeColor="text1"/>
        </w:rPr>
        <w:br w:type="textWrapping" w:clear="all"/>
      </w:r>
    </w:p>
    <w:p w:rsidR="00C72318" w:rsidRPr="00C706A5" w:rsidRDefault="00C72318" w:rsidP="00B57ECB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Ci-joint  les détails des différents indicateurs et un rappel des principaux concepts.</w:t>
      </w:r>
    </w:p>
    <w:p w:rsidR="003A0725" w:rsidRPr="00C706A5" w:rsidRDefault="003A0725" w:rsidP="003A072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text" w:horzAnchor="margin" w:tblpY="289"/>
        <w:tblW w:w="9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2"/>
      </w:tblGrid>
      <w:tr w:rsidR="003A0725" w:rsidRPr="00C706A5" w:rsidTr="003A0725">
        <w:trPr>
          <w:trHeight w:val="6662"/>
        </w:trPr>
        <w:tc>
          <w:tcPr>
            <w:tcW w:w="9802" w:type="dxa"/>
          </w:tcPr>
          <w:p w:rsid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</w:p>
          <w:p w:rsidR="00C51B7C" w:rsidRDefault="00C51B7C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  <w:r w:rsidRPr="000013E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évolutions des composantes de l’ICM et des autres indicateurs de l’enquête, illustrées dans les graphiques, sont exprimées en termes de soldes d'opinions</w:t>
            </w:r>
          </w:p>
          <w:p w:rsidR="000013E4" w:rsidRP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  <w:p w:rsidR="003A0725" w:rsidRPr="00C706A5" w:rsidRDefault="003A0725" w:rsidP="003C1653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</w:t>
            </w:r>
            <w:r w:rsid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par ailleurs, 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que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les questions abordées sont qualitatives à 3 modalités (amélioration, stagnation,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3A0725" w:rsidRDefault="003A0725" w:rsidP="00782F93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Des tests statistiques de Fisher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 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</w:t>
            </w:r>
            <w:r w:rsidR="00782F93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6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ont confirmé l’absence des variations saisonnières stables et mobiles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A0725" w:rsidRPr="00C51B7C" w:rsidRDefault="003A0725" w:rsidP="00C51B7C">
            <w:pPr>
              <w:ind w:left="360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4" w:history="1">
              <w:r w:rsidRPr="00C51B7C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Pr="00C706A5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1F5970" w:rsidRPr="00C706A5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422ACC" w:rsidRPr="00A160AD" w:rsidRDefault="005D5B33" w:rsidP="002F5E45">
      <w:pPr>
        <w:spacing w:line="360" w:lineRule="auto"/>
        <w:ind w:left="-14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>Evolution de l’I</w:t>
      </w:r>
      <w:r w:rsidR="00C35BF2"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ndice de </w:t>
      </w:r>
      <w:r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>C</w:t>
      </w:r>
      <w:r w:rsidR="00C35BF2"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onfiance des </w:t>
      </w:r>
      <w:r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>M</w:t>
      </w:r>
      <w:r w:rsidR="00C35BF2"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énages  (ICM) </w:t>
      </w:r>
      <w:r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>et de ses composantes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656"/>
        <w:gridCol w:w="709"/>
        <w:gridCol w:w="708"/>
        <w:gridCol w:w="567"/>
        <w:gridCol w:w="567"/>
        <w:gridCol w:w="567"/>
        <w:gridCol w:w="567"/>
        <w:gridCol w:w="567"/>
        <w:gridCol w:w="532"/>
        <w:gridCol w:w="602"/>
        <w:gridCol w:w="709"/>
        <w:gridCol w:w="567"/>
        <w:gridCol w:w="567"/>
        <w:gridCol w:w="709"/>
        <w:gridCol w:w="567"/>
        <w:gridCol w:w="640"/>
      </w:tblGrid>
      <w:tr w:rsidR="00827DC9" w:rsidRPr="0069760B" w:rsidTr="00572558">
        <w:trPr>
          <w:trHeight w:val="777"/>
          <w:jc w:val="center"/>
        </w:trPr>
        <w:tc>
          <w:tcPr>
            <w:tcW w:w="5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DC9" w:rsidRPr="00572558" w:rsidRDefault="00827DC9" w:rsidP="002B79DC">
            <w:pPr>
              <w:widowControl/>
              <w:autoSpaceDE/>
              <w:autoSpaceDN/>
              <w:adjustRightInd/>
              <w:ind w:left="15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Indicateur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DC9" w:rsidRPr="00572558" w:rsidRDefault="00827DC9" w:rsidP="000656C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B925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2016</w:t>
            </w:r>
          </w:p>
        </w:tc>
      </w:tr>
      <w:tr w:rsidR="00572558" w:rsidRPr="0069760B" w:rsidTr="00572558">
        <w:trPr>
          <w:trHeight w:val="594"/>
          <w:jc w:val="center"/>
        </w:trPr>
        <w:tc>
          <w:tcPr>
            <w:tcW w:w="5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DC9" w:rsidRPr="00572558" w:rsidRDefault="00827DC9" w:rsidP="002B79DC">
            <w:pPr>
              <w:widowControl/>
              <w:autoSpaceDE/>
              <w:autoSpaceDN/>
              <w:adjustRightInd/>
              <w:ind w:left="15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T1/15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T2/15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T3/15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DC9" w:rsidRPr="00572558" w:rsidRDefault="00827DC9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B92516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B92516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6C770A" w:rsidP="006C770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</w:t>
            </w:r>
            <w:r w:rsidR="00827DC9"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/16</w:t>
            </w:r>
          </w:p>
        </w:tc>
      </w:tr>
      <w:tr w:rsidR="00572558" w:rsidRPr="008325DA" w:rsidTr="00572558">
        <w:trPr>
          <w:trHeight w:val="70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Indice de Confiance des Ménages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72558">
              <w:rPr>
                <w:rFonts w:ascii="Calibri" w:hAnsi="Calibri"/>
                <w:b/>
                <w:bCs/>
                <w:sz w:val="18"/>
                <w:szCs w:val="18"/>
              </w:rPr>
              <w:t>74,0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71,6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DC9" w:rsidRPr="00572558" w:rsidRDefault="00827DC9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DC9" w:rsidRPr="00572558" w:rsidRDefault="00827DC9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DC9" w:rsidRPr="00572558" w:rsidRDefault="00827DC9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DC9" w:rsidRPr="00572558" w:rsidRDefault="00827DC9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27DC9" w:rsidRPr="00572558" w:rsidRDefault="00827DC9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77,1</w:t>
            </w:r>
          </w:p>
          <w:p w:rsidR="00827DC9" w:rsidRPr="00572558" w:rsidRDefault="00827DC9" w:rsidP="002D79A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8325D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4A6D0D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827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73,8</w:t>
            </w:r>
          </w:p>
        </w:tc>
      </w:tr>
      <w:tr w:rsidR="00572558" w:rsidRPr="0069760B" w:rsidTr="00572558">
        <w:trPr>
          <w:trHeight w:val="70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Perspectives d'évolution du nombre de chômeurs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-66,5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-68,8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-68,0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-67,1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-66,2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0E5EA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-70,</w:t>
            </w:r>
            <w:r w:rsidR="000E5EA9" w:rsidRPr="005725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72558" w:rsidRPr="0069760B" w:rsidTr="00572558">
        <w:trPr>
          <w:trHeight w:val="70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passée du niveau de vie en général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-17,7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-17,4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-16,5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-14,1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-12,8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-15,1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-15,2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-17,4</w:t>
            </w:r>
          </w:p>
        </w:tc>
      </w:tr>
      <w:tr w:rsidR="00572558" w:rsidRPr="0069760B" w:rsidTr="00572558">
        <w:trPr>
          <w:trHeight w:val="70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Perspectives d'évolution du niveau de vie en général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-13,1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-13,1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-12,7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-7,1</w:t>
            </w:r>
          </w:p>
        </w:tc>
      </w:tr>
      <w:tr w:rsidR="00572558" w:rsidRPr="0069760B" w:rsidTr="00572558">
        <w:trPr>
          <w:trHeight w:val="70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Opportunité d'achat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-28,9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-33,1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-38,1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-36,0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-34,2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-40,2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-34,8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-40,5</w:t>
            </w:r>
          </w:p>
        </w:tc>
      </w:tr>
      <w:tr w:rsidR="00572558" w:rsidRPr="0069760B" w:rsidTr="00572558">
        <w:trPr>
          <w:trHeight w:val="70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Situation financière actuelle des ménages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-29,7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-28,3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-30,6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-28,0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-25,1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-23,0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0E5EA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-25,</w:t>
            </w:r>
            <w:r w:rsidR="000E5EA9" w:rsidRPr="005725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572558" w:rsidRPr="0069760B" w:rsidTr="00572558">
        <w:trPr>
          <w:trHeight w:val="70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passée  de la situation financière des ménages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-23,3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-25 ,8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-20.2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-20,8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-22,8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-27,0</w:t>
            </w:r>
          </w:p>
        </w:tc>
      </w:tr>
      <w:tr w:rsidR="00572558" w:rsidRPr="0069760B" w:rsidTr="00572558">
        <w:trPr>
          <w:trHeight w:val="70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future de la situation financière des ménages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-1,5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-3,9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9" w:rsidRPr="00572558" w:rsidRDefault="00827DC9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C9" w:rsidRPr="00572558" w:rsidRDefault="00827DC9" w:rsidP="00827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6C770A" w:rsidRPr="00827DC9" w:rsidTr="004054B1">
        <w:trPr>
          <w:trHeight w:val="482"/>
          <w:jc w:val="center"/>
        </w:trPr>
        <w:tc>
          <w:tcPr>
            <w:tcW w:w="148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0A" w:rsidRPr="00572558" w:rsidRDefault="006C770A" w:rsidP="00B92516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Autres soldes</w:t>
            </w:r>
          </w:p>
        </w:tc>
      </w:tr>
      <w:tr w:rsidR="00572558" w:rsidRPr="0069760B" w:rsidTr="00572558">
        <w:trPr>
          <w:trHeight w:val="51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future des prix des produits alimentaires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-76,9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-77,2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-75.6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70A" w:rsidRPr="00572558" w:rsidRDefault="006C770A" w:rsidP="00405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-79,3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70A" w:rsidRPr="00572558" w:rsidRDefault="006C770A" w:rsidP="000E5EA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 w:rsidR="000E5EA9" w:rsidRPr="005725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E5EA9" w:rsidRPr="005725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572558" w:rsidRPr="0069760B" w:rsidTr="00572558">
        <w:trPr>
          <w:trHeight w:val="51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passée des prix des produits alimentaires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-91,6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-90,5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-90,8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-81,8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-84,5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70A" w:rsidRPr="00572558" w:rsidRDefault="006C770A" w:rsidP="00405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-87,9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70A" w:rsidRPr="00572558" w:rsidRDefault="006C770A" w:rsidP="008D72E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-87,7</w:t>
            </w:r>
          </w:p>
        </w:tc>
      </w:tr>
      <w:tr w:rsidR="00572558" w:rsidRPr="0069760B" w:rsidTr="00572558">
        <w:trPr>
          <w:trHeight w:val="51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70A" w:rsidRPr="00572558" w:rsidRDefault="006C770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Capacité à épargner des ménages dans les mois à venir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-71,1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-69,2</w:t>
            </w:r>
          </w:p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70A" w:rsidRPr="00572558" w:rsidRDefault="006C770A" w:rsidP="00405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-66,6</w:t>
            </w:r>
          </w:p>
          <w:p w:rsidR="006C770A" w:rsidRPr="00572558" w:rsidRDefault="006C770A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70A" w:rsidRPr="00572558" w:rsidRDefault="006C770A" w:rsidP="008D72E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-67,9</w:t>
            </w:r>
          </w:p>
        </w:tc>
      </w:tr>
    </w:tbl>
    <w:p w:rsidR="0068173C" w:rsidRPr="00C706A5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68173C" w:rsidRPr="00C706A5" w:rsidSect="00337B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7DF" w:rsidRDefault="006677DF" w:rsidP="00460705">
      <w:r>
        <w:separator/>
      </w:r>
    </w:p>
  </w:endnote>
  <w:endnote w:type="continuationSeparator" w:id="0">
    <w:p w:rsidR="006677DF" w:rsidRDefault="006677DF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32658"/>
      <w:docPartObj>
        <w:docPartGallery w:val="Page Numbers (Bottom of Page)"/>
        <w:docPartUnique/>
      </w:docPartObj>
    </w:sdtPr>
    <w:sdtContent>
      <w:p w:rsidR="00146EDA" w:rsidRDefault="00FB6658">
        <w:pPr>
          <w:pStyle w:val="Pieddepage"/>
          <w:jc w:val="center"/>
        </w:pPr>
        <w:fldSimple w:instr=" PAGE   \* MERGEFORMAT ">
          <w:r w:rsidR="006677DF">
            <w:rPr>
              <w:noProof/>
            </w:rPr>
            <w:t>1</w:t>
          </w:r>
        </w:fldSimple>
      </w:p>
    </w:sdtContent>
  </w:sdt>
  <w:p w:rsidR="00146EDA" w:rsidRDefault="00146ED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7DF" w:rsidRDefault="006677DF" w:rsidP="00460705">
      <w:r>
        <w:separator/>
      </w:r>
    </w:p>
  </w:footnote>
  <w:footnote w:type="continuationSeparator" w:id="0">
    <w:p w:rsidR="006677DF" w:rsidRDefault="006677DF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056781"/>
    <w:multiLevelType w:val="hybridMultilevel"/>
    <w:tmpl w:val="784EAA80"/>
    <w:lvl w:ilvl="0" w:tplc="6DD295CC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432E"/>
    <w:multiLevelType w:val="hybridMultilevel"/>
    <w:tmpl w:val="0CEE6D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5032A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51664"/>
    <w:multiLevelType w:val="hybridMultilevel"/>
    <w:tmpl w:val="23060486"/>
    <w:lvl w:ilvl="0" w:tplc="20AE1A2A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C3212"/>
    <w:multiLevelType w:val="hybridMultilevel"/>
    <w:tmpl w:val="0EB82B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7D7E0F"/>
    <w:multiLevelType w:val="hybridMultilevel"/>
    <w:tmpl w:val="575CB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D297B"/>
    <w:multiLevelType w:val="hybridMultilevel"/>
    <w:tmpl w:val="054A5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3"/>
  </w:num>
  <w:num w:numId="5">
    <w:abstractNumId w:val="10"/>
  </w:num>
  <w:num w:numId="6">
    <w:abstractNumId w:val="12"/>
  </w:num>
  <w:num w:numId="7">
    <w:abstractNumId w:val="0"/>
  </w:num>
  <w:num w:numId="8">
    <w:abstractNumId w:val="8"/>
  </w:num>
  <w:num w:numId="9">
    <w:abstractNumId w:val="17"/>
  </w:num>
  <w:num w:numId="10">
    <w:abstractNumId w:val="7"/>
  </w:num>
  <w:num w:numId="11">
    <w:abstractNumId w:val="19"/>
  </w:num>
  <w:num w:numId="12">
    <w:abstractNumId w:val="1"/>
  </w:num>
  <w:num w:numId="13">
    <w:abstractNumId w:val="18"/>
  </w:num>
  <w:num w:numId="14">
    <w:abstractNumId w:val="9"/>
  </w:num>
  <w:num w:numId="15">
    <w:abstractNumId w:val="5"/>
  </w:num>
  <w:num w:numId="16">
    <w:abstractNumId w:val="3"/>
  </w:num>
  <w:num w:numId="17">
    <w:abstractNumId w:val="16"/>
  </w:num>
  <w:num w:numId="18">
    <w:abstractNumId w:val="15"/>
  </w:num>
  <w:num w:numId="19">
    <w:abstractNumId w:val="6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12704"/>
    <w:rsid w:val="000013E4"/>
    <w:rsid w:val="000016A1"/>
    <w:rsid w:val="000023E0"/>
    <w:rsid w:val="00002F9B"/>
    <w:rsid w:val="00003F54"/>
    <w:rsid w:val="00005381"/>
    <w:rsid w:val="000060F8"/>
    <w:rsid w:val="000069AE"/>
    <w:rsid w:val="00011A0E"/>
    <w:rsid w:val="00011BC4"/>
    <w:rsid w:val="00011F4E"/>
    <w:rsid w:val="00014530"/>
    <w:rsid w:val="00014940"/>
    <w:rsid w:val="00015112"/>
    <w:rsid w:val="000151DD"/>
    <w:rsid w:val="00015EF3"/>
    <w:rsid w:val="00016F90"/>
    <w:rsid w:val="000174FE"/>
    <w:rsid w:val="00017526"/>
    <w:rsid w:val="0001754D"/>
    <w:rsid w:val="00022644"/>
    <w:rsid w:val="00023DE5"/>
    <w:rsid w:val="00024686"/>
    <w:rsid w:val="0002532B"/>
    <w:rsid w:val="0002570E"/>
    <w:rsid w:val="00025F15"/>
    <w:rsid w:val="000265CF"/>
    <w:rsid w:val="000315FD"/>
    <w:rsid w:val="00031CFB"/>
    <w:rsid w:val="000324B4"/>
    <w:rsid w:val="00032619"/>
    <w:rsid w:val="00032AF9"/>
    <w:rsid w:val="00032ECD"/>
    <w:rsid w:val="000356C1"/>
    <w:rsid w:val="00035819"/>
    <w:rsid w:val="000364EF"/>
    <w:rsid w:val="00036F7C"/>
    <w:rsid w:val="0003703D"/>
    <w:rsid w:val="000370B6"/>
    <w:rsid w:val="0004211E"/>
    <w:rsid w:val="00042157"/>
    <w:rsid w:val="00043430"/>
    <w:rsid w:val="0004437F"/>
    <w:rsid w:val="00044E75"/>
    <w:rsid w:val="000451AC"/>
    <w:rsid w:val="00046C56"/>
    <w:rsid w:val="00046EB3"/>
    <w:rsid w:val="00047148"/>
    <w:rsid w:val="00047B2B"/>
    <w:rsid w:val="00050145"/>
    <w:rsid w:val="00051534"/>
    <w:rsid w:val="000518A6"/>
    <w:rsid w:val="00051B80"/>
    <w:rsid w:val="00052C8E"/>
    <w:rsid w:val="0005319E"/>
    <w:rsid w:val="00055B18"/>
    <w:rsid w:val="0005628D"/>
    <w:rsid w:val="000569E9"/>
    <w:rsid w:val="00056F4A"/>
    <w:rsid w:val="0005706F"/>
    <w:rsid w:val="00057262"/>
    <w:rsid w:val="00057BC7"/>
    <w:rsid w:val="00057E1A"/>
    <w:rsid w:val="00061CA4"/>
    <w:rsid w:val="00062779"/>
    <w:rsid w:val="00064021"/>
    <w:rsid w:val="000646B0"/>
    <w:rsid w:val="000656CB"/>
    <w:rsid w:val="00066E22"/>
    <w:rsid w:val="00067347"/>
    <w:rsid w:val="00067D35"/>
    <w:rsid w:val="00070565"/>
    <w:rsid w:val="000706EE"/>
    <w:rsid w:val="000712A9"/>
    <w:rsid w:val="000718BD"/>
    <w:rsid w:val="000720FD"/>
    <w:rsid w:val="00072708"/>
    <w:rsid w:val="00072CF2"/>
    <w:rsid w:val="00072EEA"/>
    <w:rsid w:val="00072F7C"/>
    <w:rsid w:val="00073079"/>
    <w:rsid w:val="000749D1"/>
    <w:rsid w:val="000753A8"/>
    <w:rsid w:val="00076938"/>
    <w:rsid w:val="000779C2"/>
    <w:rsid w:val="00077CAA"/>
    <w:rsid w:val="00081434"/>
    <w:rsid w:val="0008224D"/>
    <w:rsid w:val="00082D2E"/>
    <w:rsid w:val="000836A6"/>
    <w:rsid w:val="0008574A"/>
    <w:rsid w:val="00085BED"/>
    <w:rsid w:val="000877E9"/>
    <w:rsid w:val="00087DA2"/>
    <w:rsid w:val="000909E5"/>
    <w:rsid w:val="00090FCF"/>
    <w:rsid w:val="00090FEC"/>
    <w:rsid w:val="00091D64"/>
    <w:rsid w:val="00091FB9"/>
    <w:rsid w:val="00092DFB"/>
    <w:rsid w:val="00093D84"/>
    <w:rsid w:val="00094BEF"/>
    <w:rsid w:val="00097300"/>
    <w:rsid w:val="00097799"/>
    <w:rsid w:val="0009797C"/>
    <w:rsid w:val="00097D75"/>
    <w:rsid w:val="000A0177"/>
    <w:rsid w:val="000A0881"/>
    <w:rsid w:val="000A14AD"/>
    <w:rsid w:val="000A158A"/>
    <w:rsid w:val="000A20DC"/>
    <w:rsid w:val="000A2DA9"/>
    <w:rsid w:val="000A33DF"/>
    <w:rsid w:val="000A40C3"/>
    <w:rsid w:val="000A5C5F"/>
    <w:rsid w:val="000A5F4A"/>
    <w:rsid w:val="000A62F9"/>
    <w:rsid w:val="000B0844"/>
    <w:rsid w:val="000B09BA"/>
    <w:rsid w:val="000B1487"/>
    <w:rsid w:val="000B16D1"/>
    <w:rsid w:val="000B34E3"/>
    <w:rsid w:val="000B552C"/>
    <w:rsid w:val="000C0C01"/>
    <w:rsid w:val="000C3718"/>
    <w:rsid w:val="000C39F9"/>
    <w:rsid w:val="000C439F"/>
    <w:rsid w:val="000C4C0E"/>
    <w:rsid w:val="000C56EA"/>
    <w:rsid w:val="000C689C"/>
    <w:rsid w:val="000C7F17"/>
    <w:rsid w:val="000D1CF5"/>
    <w:rsid w:val="000D24FA"/>
    <w:rsid w:val="000D2586"/>
    <w:rsid w:val="000D2E52"/>
    <w:rsid w:val="000D341B"/>
    <w:rsid w:val="000D367A"/>
    <w:rsid w:val="000D4077"/>
    <w:rsid w:val="000D54E1"/>
    <w:rsid w:val="000D5638"/>
    <w:rsid w:val="000D5AB2"/>
    <w:rsid w:val="000D5B0A"/>
    <w:rsid w:val="000E10E0"/>
    <w:rsid w:val="000E17D9"/>
    <w:rsid w:val="000E1BEE"/>
    <w:rsid w:val="000E20BC"/>
    <w:rsid w:val="000E21A1"/>
    <w:rsid w:val="000E4DC7"/>
    <w:rsid w:val="000E5EA9"/>
    <w:rsid w:val="000F0919"/>
    <w:rsid w:val="000F0DB1"/>
    <w:rsid w:val="000F184A"/>
    <w:rsid w:val="000F2945"/>
    <w:rsid w:val="000F2B60"/>
    <w:rsid w:val="000F5A2E"/>
    <w:rsid w:val="000F6CE8"/>
    <w:rsid w:val="000F70E8"/>
    <w:rsid w:val="000F74C5"/>
    <w:rsid w:val="000F7A57"/>
    <w:rsid w:val="000F7C4F"/>
    <w:rsid w:val="00100026"/>
    <w:rsid w:val="00101249"/>
    <w:rsid w:val="00101DA7"/>
    <w:rsid w:val="00102B5C"/>
    <w:rsid w:val="001037B3"/>
    <w:rsid w:val="00104221"/>
    <w:rsid w:val="00104438"/>
    <w:rsid w:val="00104463"/>
    <w:rsid w:val="00104CAC"/>
    <w:rsid w:val="001052BE"/>
    <w:rsid w:val="00105320"/>
    <w:rsid w:val="00106C84"/>
    <w:rsid w:val="00106E19"/>
    <w:rsid w:val="00106EC0"/>
    <w:rsid w:val="00106FA4"/>
    <w:rsid w:val="00107245"/>
    <w:rsid w:val="00107534"/>
    <w:rsid w:val="00107E17"/>
    <w:rsid w:val="00107F1E"/>
    <w:rsid w:val="001103D0"/>
    <w:rsid w:val="00110B90"/>
    <w:rsid w:val="00110BE5"/>
    <w:rsid w:val="00111470"/>
    <w:rsid w:val="001116C8"/>
    <w:rsid w:val="00111FC4"/>
    <w:rsid w:val="00113273"/>
    <w:rsid w:val="001133D2"/>
    <w:rsid w:val="00113767"/>
    <w:rsid w:val="0011495F"/>
    <w:rsid w:val="00115D48"/>
    <w:rsid w:val="001161C4"/>
    <w:rsid w:val="00116945"/>
    <w:rsid w:val="0011726A"/>
    <w:rsid w:val="00117A2F"/>
    <w:rsid w:val="00117F82"/>
    <w:rsid w:val="00121180"/>
    <w:rsid w:val="00121CCC"/>
    <w:rsid w:val="00122941"/>
    <w:rsid w:val="00123E79"/>
    <w:rsid w:val="00124827"/>
    <w:rsid w:val="00125161"/>
    <w:rsid w:val="001254E5"/>
    <w:rsid w:val="00125543"/>
    <w:rsid w:val="00126B26"/>
    <w:rsid w:val="00126E55"/>
    <w:rsid w:val="0012794C"/>
    <w:rsid w:val="00127D67"/>
    <w:rsid w:val="00131E2D"/>
    <w:rsid w:val="00133286"/>
    <w:rsid w:val="0013347C"/>
    <w:rsid w:val="00133687"/>
    <w:rsid w:val="00133860"/>
    <w:rsid w:val="001347D2"/>
    <w:rsid w:val="00135D83"/>
    <w:rsid w:val="00137D7D"/>
    <w:rsid w:val="00137ECA"/>
    <w:rsid w:val="001404A9"/>
    <w:rsid w:val="001414F3"/>
    <w:rsid w:val="001424D2"/>
    <w:rsid w:val="0014379B"/>
    <w:rsid w:val="001438AB"/>
    <w:rsid w:val="0014398F"/>
    <w:rsid w:val="00144320"/>
    <w:rsid w:val="001467F7"/>
    <w:rsid w:val="00146EDA"/>
    <w:rsid w:val="0014733D"/>
    <w:rsid w:val="00151AE6"/>
    <w:rsid w:val="00151C70"/>
    <w:rsid w:val="0015212E"/>
    <w:rsid w:val="001523D7"/>
    <w:rsid w:val="00152D59"/>
    <w:rsid w:val="00153ECF"/>
    <w:rsid w:val="00154339"/>
    <w:rsid w:val="001545AE"/>
    <w:rsid w:val="00154E44"/>
    <w:rsid w:val="00156587"/>
    <w:rsid w:val="0015763C"/>
    <w:rsid w:val="00157CA9"/>
    <w:rsid w:val="0016005A"/>
    <w:rsid w:val="00160141"/>
    <w:rsid w:val="00161772"/>
    <w:rsid w:val="00162062"/>
    <w:rsid w:val="001638CE"/>
    <w:rsid w:val="001643DF"/>
    <w:rsid w:val="001648E6"/>
    <w:rsid w:val="00165671"/>
    <w:rsid w:val="0016596E"/>
    <w:rsid w:val="001672BD"/>
    <w:rsid w:val="0016780D"/>
    <w:rsid w:val="00173781"/>
    <w:rsid w:val="00174542"/>
    <w:rsid w:val="00174553"/>
    <w:rsid w:val="0017495A"/>
    <w:rsid w:val="001757C5"/>
    <w:rsid w:val="001760CB"/>
    <w:rsid w:val="00181B72"/>
    <w:rsid w:val="00182E1E"/>
    <w:rsid w:val="00184023"/>
    <w:rsid w:val="00184250"/>
    <w:rsid w:val="00185207"/>
    <w:rsid w:val="00185ABC"/>
    <w:rsid w:val="001864E5"/>
    <w:rsid w:val="00186530"/>
    <w:rsid w:val="001871C4"/>
    <w:rsid w:val="00187A5C"/>
    <w:rsid w:val="00187EB7"/>
    <w:rsid w:val="00190672"/>
    <w:rsid w:val="00191E08"/>
    <w:rsid w:val="00191F62"/>
    <w:rsid w:val="00193B35"/>
    <w:rsid w:val="00193B4D"/>
    <w:rsid w:val="0019435A"/>
    <w:rsid w:val="001956DC"/>
    <w:rsid w:val="00195D2E"/>
    <w:rsid w:val="001960E9"/>
    <w:rsid w:val="001968E2"/>
    <w:rsid w:val="00196D8E"/>
    <w:rsid w:val="00196DF3"/>
    <w:rsid w:val="001975D4"/>
    <w:rsid w:val="00197D9A"/>
    <w:rsid w:val="00197F64"/>
    <w:rsid w:val="001A048A"/>
    <w:rsid w:val="001A0F65"/>
    <w:rsid w:val="001A2204"/>
    <w:rsid w:val="001A288D"/>
    <w:rsid w:val="001A384F"/>
    <w:rsid w:val="001A4203"/>
    <w:rsid w:val="001A4BB7"/>
    <w:rsid w:val="001A648B"/>
    <w:rsid w:val="001A69DD"/>
    <w:rsid w:val="001A6BB6"/>
    <w:rsid w:val="001B0AB6"/>
    <w:rsid w:val="001B1130"/>
    <w:rsid w:val="001B1C9F"/>
    <w:rsid w:val="001B1E0E"/>
    <w:rsid w:val="001B2334"/>
    <w:rsid w:val="001B3593"/>
    <w:rsid w:val="001B3707"/>
    <w:rsid w:val="001B3CB2"/>
    <w:rsid w:val="001B50A1"/>
    <w:rsid w:val="001B561B"/>
    <w:rsid w:val="001B5B96"/>
    <w:rsid w:val="001B5F02"/>
    <w:rsid w:val="001B69A3"/>
    <w:rsid w:val="001B7322"/>
    <w:rsid w:val="001B7854"/>
    <w:rsid w:val="001C0839"/>
    <w:rsid w:val="001C4D54"/>
    <w:rsid w:val="001C5656"/>
    <w:rsid w:val="001C5AA4"/>
    <w:rsid w:val="001C67D4"/>
    <w:rsid w:val="001C6846"/>
    <w:rsid w:val="001C6883"/>
    <w:rsid w:val="001D0C73"/>
    <w:rsid w:val="001D28DC"/>
    <w:rsid w:val="001D2D35"/>
    <w:rsid w:val="001D3A1D"/>
    <w:rsid w:val="001D709D"/>
    <w:rsid w:val="001E0D0B"/>
    <w:rsid w:val="001E1901"/>
    <w:rsid w:val="001E36D5"/>
    <w:rsid w:val="001E42CC"/>
    <w:rsid w:val="001E4F55"/>
    <w:rsid w:val="001E6198"/>
    <w:rsid w:val="001E78BD"/>
    <w:rsid w:val="001F062E"/>
    <w:rsid w:val="001F14B0"/>
    <w:rsid w:val="001F20AF"/>
    <w:rsid w:val="001F321B"/>
    <w:rsid w:val="001F3646"/>
    <w:rsid w:val="001F4A3E"/>
    <w:rsid w:val="001F4FE4"/>
    <w:rsid w:val="001F5970"/>
    <w:rsid w:val="001F59E2"/>
    <w:rsid w:val="001F5D34"/>
    <w:rsid w:val="001F626D"/>
    <w:rsid w:val="001F6A9C"/>
    <w:rsid w:val="001F70B6"/>
    <w:rsid w:val="001F739C"/>
    <w:rsid w:val="001F7711"/>
    <w:rsid w:val="001F7D34"/>
    <w:rsid w:val="00200755"/>
    <w:rsid w:val="002021DE"/>
    <w:rsid w:val="002041E9"/>
    <w:rsid w:val="0020508E"/>
    <w:rsid w:val="00206A7F"/>
    <w:rsid w:val="0020711A"/>
    <w:rsid w:val="00207730"/>
    <w:rsid w:val="0021180E"/>
    <w:rsid w:val="0021213E"/>
    <w:rsid w:val="00212714"/>
    <w:rsid w:val="00212E56"/>
    <w:rsid w:val="00213786"/>
    <w:rsid w:val="00214439"/>
    <w:rsid w:val="00214D50"/>
    <w:rsid w:val="002163AF"/>
    <w:rsid w:val="002164DC"/>
    <w:rsid w:val="00216E7C"/>
    <w:rsid w:val="00221FC5"/>
    <w:rsid w:val="00222682"/>
    <w:rsid w:val="002226A1"/>
    <w:rsid w:val="00222815"/>
    <w:rsid w:val="00222831"/>
    <w:rsid w:val="00223178"/>
    <w:rsid w:val="00223808"/>
    <w:rsid w:val="0022467F"/>
    <w:rsid w:val="00225685"/>
    <w:rsid w:val="00226A52"/>
    <w:rsid w:val="00226BE3"/>
    <w:rsid w:val="00227B1B"/>
    <w:rsid w:val="0023094A"/>
    <w:rsid w:val="00232556"/>
    <w:rsid w:val="00233531"/>
    <w:rsid w:val="002364B4"/>
    <w:rsid w:val="0023661B"/>
    <w:rsid w:val="00236927"/>
    <w:rsid w:val="002375C4"/>
    <w:rsid w:val="0024028E"/>
    <w:rsid w:val="00241A46"/>
    <w:rsid w:val="002431B9"/>
    <w:rsid w:val="002436BE"/>
    <w:rsid w:val="00243AE1"/>
    <w:rsid w:val="00245992"/>
    <w:rsid w:val="00246518"/>
    <w:rsid w:val="002478EF"/>
    <w:rsid w:val="00247A3B"/>
    <w:rsid w:val="002502C2"/>
    <w:rsid w:val="00251ABE"/>
    <w:rsid w:val="0025208F"/>
    <w:rsid w:val="0025259C"/>
    <w:rsid w:val="00253166"/>
    <w:rsid w:val="002534E9"/>
    <w:rsid w:val="00254D8A"/>
    <w:rsid w:val="00256232"/>
    <w:rsid w:val="00256FBC"/>
    <w:rsid w:val="00257385"/>
    <w:rsid w:val="00260173"/>
    <w:rsid w:val="00260D98"/>
    <w:rsid w:val="002613C1"/>
    <w:rsid w:val="0026141F"/>
    <w:rsid w:val="002620C4"/>
    <w:rsid w:val="00262122"/>
    <w:rsid w:val="00262237"/>
    <w:rsid w:val="0026337D"/>
    <w:rsid w:val="002636A0"/>
    <w:rsid w:val="00263D54"/>
    <w:rsid w:val="0026440A"/>
    <w:rsid w:val="00264457"/>
    <w:rsid w:val="00265566"/>
    <w:rsid w:val="00265CFD"/>
    <w:rsid w:val="00266110"/>
    <w:rsid w:val="00267202"/>
    <w:rsid w:val="00267298"/>
    <w:rsid w:val="002672A0"/>
    <w:rsid w:val="0026748C"/>
    <w:rsid w:val="00267B6E"/>
    <w:rsid w:val="00270AD9"/>
    <w:rsid w:val="00270B31"/>
    <w:rsid w:val="00271743"/>
    <w:rsid w:val="0027263B"/>
    <w:rsid w:val="00272727"/>
    <w:rsid w:val="00272D28"/>
    <w:rsid w:val="0027471B"/>
    <w:rsid w:val="002751C2"/>
    <w:rsid w:val="00275256"/>
    <w:rsid w:val="00276077"/>
    <w:rsid w:val="00280072"/>
    <w:rsid w:val="0028098C"/>
    <w:rsid w:val="002821C5"/>
    <w:rsid w:val="0028239A"/>
    <w:rsid w:val="0028485A"/>
    <w:rsid w:val="00287EC1"/>
    <w:rsid w:val="00290113"/>
    <w:rsid w:val="002915B7"/>
    <w:rsid w:val="00291C4B"/>
    <w:rsid w:val="00292082"/>
    <w:rsid w:val="00292381"/>
    <w:rsid w:val="00292CDC"/>
    <w:rsid w:val="00293863"/>
    <w:rsid w:val="002941A3"/>
    <w:rsid w:val="00295A6D"/>
    <w:rsid w:val="00295DF0"/>
    <w:rsid w:val="00296645"/>
    <w:rsid w:val="00296E08"/>
    <w:rsid w:val="002A0DFB"/>
    <w:rsid w:val="002A1005"/>
    <w:rsid w:val="002A1529"/>
    <w:rsid w:val="002A18ED"/>
    <w:rsid w:val="002A1C56"/>
    <w:rsid w:val="002A1D28"/>
    <w:rsid w:val="002A1FD6"/>
    <w:rsid w:val="002A29D2"/>
    <w:rsid w:val="002A2E36"/>
    <w:rsid w:val="002A321D"/>
    <w:rsid w:val="002A4737"/>
    <w:rsid w:val="002A53E5"/>
    <w:rsid w:val="002A5852"/>
    <w:rsid w:val="002A7486"/>
    <w:rsid w:val="002A7C02"/>
    <w:rsid w:val="002A7E1E"/>
    <w:rsid w:val="002A7E5D"/>
    <w:rsid w:val="002B15A7"/>
    <w:rsid w:val="002B15E6"/>
    <w:rsid w:val="002B2EC5"/>
    <w:rsid w:val="002B3D5B"/>
    <w:rsid w:val="002B4B64"/>
    <w:rsid w:val="002B51C3"/>
    <w:rsid w:val="002B7130"/>
    <w:rsid w:val="002B74FD"/>
    <w:rsid w:val="002B7509"/>
    <w:rsid w:val="002B799E"/>
    <w:rsid w:val="002B79DC"/>
    <w:rsid w:val="002B7C12"/>
    <w:rsid w:val="002C03DA"/>
    <w:rsid w:val="002C0743"/>
    <w:rsid w:val="002C0BC4"/>
    <w:rsid w:val="002C0E6A"/>
    <w:rsid w:val="002C10D7"/>
    <w:rsid w:val="002C18A0"/>
    <w:rsid w:val="002C1D2E"/>
    <w:rsid w:val="002C211A"/>
    <w:rsid w:val="002C2298"/>
    <w:rsid w:val="002C26D4"/>
    <w:rsid w:val="002C2BED"/>
    <w:rsid w:val="002C3101"/>
    <w:rsid w:val="002C366D"/>
    <w:rsid w:val="002C5954"/>
    <w:rsid w:val="002C6A1C"/>
    <w:rsid w:val="002C768B"/>
    <w:rsid w:val="002C79A8"/>
    <w:rsid w:val="002C7EF2"/>
    <w:rsid w:val="002D112B"/>
    <w:rsid w:val="002D2100"/>
    <w:rsid w:val="002D2970"/>
    <w:rsid w:val="002D3C52"/>
    <w:rsid w:val="002D3E22"/>
    <w:rsid w:val="002D54C7"/>
    <w:rsid w:val="002D56C5"/>
    <w:rsid w:val="002D5AAA"/>
    <w:rsid w:val="002D6616"/>
    <w:rsid w:val="002D6FC3"/>
    <w:rsid w:val="002D79AA"/>
    <w:rsid w:val="002E02C4"/>
    <w:rsid w:val="002E1871"/>
    <w:rsid w:val="002E3AEC"/>
    <w:rsid w:val="002E3CF2"/>
    <w:rsid w:val="002E5787"/>
    <w:rsid w:val="002E5ABF"/>
    <w:rsid w:val="002E5BEC"/>
    <w:rsid w:val="002E6F5B"/>
    <w:rsid w:val="002E710F"/>
    <w:rsid w:val="002F08CD"/>
    <w:rsid w:val="002F1287"/>
    <w:rsid w:val="002F56E4"/>
    <w:rsid w:val="002F5CBB"/>
    <w:rsid w:val="002F5E45"/>
    <w:rsid w:val="002F5E6A"/>
    <w:rsid w:val="002F61B2"/>
    <w:rsid w:val="002F6AEC"/>
    <w:rsid w:val="002F7AAE"/>
    <w:rsid w:val="00300726"/>
    <w:rsid w:val="00301913"/>
    <w:rsid w:val="00302717"/>
    <w:rsid w:val="003043BE"/>
    <w:rsid w:val="00306F45"/>
    <w:rsid w:val="00307232"/>
    <w:rsid w:val="00307E20"/>
    <w:rsid w:val="00311292"/>
    <w:rsid w:val="00312C75"/>
    <w:rsid w:val="00313590"/>
    <w:rsid w:val="00313E26"/>
    <w:rsid w:val="00314363"/>
    <w:rsid w:val="00315331"/>
    <w:rsid w:val="00315FDD"/>
    <w:rsid w:val="00322586"/>
    <w:rsid w:val="0032273E"/>
    <w:rsid w:val="0032393A"/>
    <w:rsid w:val="00323DD3"/>
    <w:rsid w:val="00324379"/>
    <w:rsid w:val="003243FF"/>
    <w:rsid w:val="0032457C"/>
    <w:rsid w:val="00325F2B"/>
    <w:rsid w:val="00326439"/>
    <w:rsid w:val="0032654E"/>
    <w:rsid w:val="00326669"/>
    <w:rsid w:val="003266B8"/>
    <w:rsid w:val="00326D4A"/>
    <w:rsid w:val="00326F79"/>
    <w:rsid w:val="00327D2D"/>
    <w:rsid w:val="0033159D"/>
    <w:rsid w:val="003325C2"/>
    <w:rsid w:val="00333CD8"/>
    <w:rsid w:val="00335081"/>
    <w:rsid w:val="00335AA7"/>
    <w:rsid w:val="00337515"/>
    <w:rsid w:val="00337BE3"/>
    <w:rsid w:val="00342196"/>
    <w:rsid w:val="003423DE"/>
    <w:rsid w:val="00343199"/>
    <w:rsid w:val="00344737"/>
    <w:rsid w:val="00346706"/>
    <w:rsid w:val="00346987"/>
    <w:rsid w:val="003514ED"/>
    <w:rsid w:val="00351C1F"/>
    <w:rsid w:val="00351E1C"/>
    <w:rsid w:val="00352106"/>
    <w:rsid w:val="0035217E"/>
    <w:rsid w:val="00352D33"/>
    <w:rsid w:val="00353CB2"/>
    <w:rsid w:val="00354A18"/>
    <w:rsid w:val="00354E92"/>
    <w:rsid w:val="003559FA"/>
    <w:rsid w:val="00360176"/>
    <w:rsid w:val="00360720"/>
    <w:rsid w:val="0036132C"/>
    <w:rsid w:val="00362A0D"/>
    <w:rsid w:val="0036400D"/>
    <w:rsid w:val="003658EF"/>
    <w:rsid w:val="00365FDC"/>
    <w:rsid w:val="003670AA"/>
    <w:rsid w:val="00370A60"/>
    <w:rsid w:val="003713F9"/>
    <w:rsid w:val="003719C4"/>
    <w:rsid w:val="003724EE"/>
    <w:rsid w:val="00373C93"/>
    <w:rsid w:val="0037636A"/>
    <w:rsid w:val="00376AC0"/>
    <w:rsid w:val="00377971"/>
    <w:rsid w:val="00380461"/>
    <w:rsid w:val="003812CC"/>
    <w:rsid w:val="00381490"/>
    <w:rsid w:val="00381936"/>
    <w:rsid w:val="00384704"/>
    <w:rsid w:val="0038490E"/>
    <w:rsid w:val="003849A2"/>
    <w:rsid w:val="00385E59"/>
    <w:rsid w:val="00386E22"/>
    <w:rsid w:val="00387270"/>
    <w:rsid w:val="00390465"/>
    <w:rsid w:val="00391350"/>
    <w:rsid w:val="003917E1"/>
    <w:rsid w:val="00393479"/>
    <w:rsid w:val="003937BF"/>
    <w:rsid w:val="003960C1"/>
    <w:rsid w:val="003A0725"/>
    <w:rsid w:val="003A1290"/>
    <w:rsid w:val="003A18CF"/>
    <w:rsid w:val="003A3105"/>
    <w:rsid w:val="003A32A5"/>
    <w:rsid w:val="003A35D3"/>
    <w:rsid w:val="003A3FB3"/>
    <w:rsid w:val="003A3FCF"/>
    <w:rsid w:val="003A4987"/>
    <w:rsid w:val="003A4FD0"/>
    <w:rsid w:val="003A50A2"/>
    <w:rsid w:val="003A5110"/>
    <w:rsid w:val="003A5245"/>
    <w:rsid w:val="003A52E9"/>
    <w:rsid w:val="003A5304"/>
    <w:rsid w:val="003A5AEB"/>
    <w:rsid w:val="003A6EC4"/>
    <w:rsid w:val="003A70BA"/>
    <w:rsid w:val="003A7ECC"/>
    <w:rsid w:val="003B092A"/>
    <w:rsid w:val="003B0EDF"/>
    <w:rsid w:val="003B12AD"/>
    <w:rsid w:val="003B220F"/>
    <w:rsid w:val="003B27AF"/>
    <w:rsid w:val="003B330D"/>
    <w:rsid w:val="003B478B"/>
    <w:rsid w:val="003B6387"/>
    <w:rsid w:val="003B6E43"/>
    <w:rsid w:val="003B7237"/>
    <w:rsid w:val="003C0E95"/>
    <w:rsid w:val="003C1028"/>
    <w:rsid w:val="003C1653"/>
    <w:rsid w:val="003C205E"/>
    <w:rsid w:val="003C2158"/>
    <w:rsid w:val="003C2208"/>
    <w:rsid w:val="003C2924"/>
    <w:rsid w:val="003C2D1C"/>
    <w:rsid w:val="003C3114"/>
    <w:rsid w:val="003C4254"/>
    <w:rsid w:val="003C50AE"/>
    <w:rsid w:val="003C79A0"/>
    <w:rsid w:val="003D554F"/>
    <w:rsid w:val="003D5D63"/>
    <w:rsid w:val="003D6DF2"/>
    <w:rsid w:val="003D748A"/>
    <w:rsid w:val="003D76D8"/>
    <w:rsid w:val="003D7D3E"/>
    <w:rsid w:val="003E04DE"/>
    <w:rsid w:val="003E0E01"/>
    <w:rsid w:val="003E1044"/>
    <w:rsid w:val="003E168D"/>
    <w:rsid w:val="003E22C4"/>
    <w:rsid w:val="003E3A1D"/>
    <w:rsid w:val="003E470E"/>
    <w:rsid w:val="003E4DD3"/>
    <w:rsid w:val="003E657B"/>
    <w:rsid w:val="003E7065"/>
    <w:rsid w:val="003E7485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3F670D"/>
    <w:rsid w:val="00400110"/>
    <w:rsid w:val="00400526"/>
    <w:rsid w:val="00400983"/>
    <w:rsid w:val="00401990"/>
    <w:rsid w:val="0040459B"/>
    <w:rsid w:val="00404C21"/>
    <w:rsid w:val="004054B1"/>
    <w:rsid w:val="00405940"/>
    <w:rsid w:val="004074DD"/>
    <w:rsid w:val="00407696"/>
    <w:rsid w:val="004105E0"/>
    <w:rsid w:val="0041160A"/>
    <w:rsid w:val="00412740"/>
    <w:rsid w:val="00413F4D"/>
    <w:rsid w:val="0041457A"/>
    <w:rsid w:val="004153FC"/>
    <w:rsid w:val="004158F0"/>
    <w:rsid w:val="00416547"/>
    <w:rsid w:val="00416870"/>
    <w:rsid w:val="00417308"/>
    <w:rsid w:val="0041772A"/>
    <w:rsid w:val="0042017B"/>
    <w:rsid w:val="004208F0"/>
    <w:rsid w:val="00420913"/>
    <w:rsid w:val="00420B43"/>
    <w:rsid w:val="00420D3C"/>
    <w:rsid w:val="004211F6"/>
    <w:rsid w:val="00421A81"/>
    <w:rsid w:val="00422883"/>
    <w:rsid w:val="00422ACC"/>
    <w:rsid w:val="00424BD9"/>
    <w:rsid w:val="00424E25"/>
    <w:rsid w:val="0042529A"/>
    <w:rsid w:val="00426845"/>
    <w:rsid w:val="00427219"/>
    <w:rsid w:val="004274C1"/>
    <w:rsid w:val="00430234"/>
    <w:rsid w:val="00431767"/>
    <w:rsid w:val="00431E4B"/>
    <w:rsid w:val="0043207F"/>
    <w:rsid w:val="0043296A"/>
    <w:rsid w:val="00434700"/>
    <w:rsid w:val="00434E44"/>
    <w:rsid w:val="00435604"/>
    <w:rsid w:val="00435631"/>
    <w:rsid w:val="00435C79"/>
    <w:rsid w:val="0043688A"/>
    <w:rsid w:val="0043785F"/>
    <w:rsid w:val="00437CA2"/>
    <w:rsid w:val="004409C3"/>
    <w:rsid w:val="00440B2D"/>
    <w:rsid w:val="00440D16"/>
    <w:rsid w:val="004421AE"/>
    <w:rsid w:val="004421E3"/>
    <w:rsid w:val="004430BB"/>
    <w:rsid w:val="0044331B"/>
    <w:rsid w:val="00443831"/>
    <w:rsid w:val="00445B5E"/>
    <w:rsid w:val="00446EA3"/>
    <w:rsid w:val="00450950"/>
    <w:rsid w:val="00450EFF"/>
    <w:rsid w:val="00451043"/>
    <w:rsid w:val="00451104"/>
    <w:rsid w:val="00451534"/>
    <w:rsid w:val="00452F6C"/>
    <w:rsid w:val="004535E1"/>
    <w:rsid w:val="00454144"/>
    <w:rsid w:val="0045422F"/>
    <w:rsid w:val="0045433C"/>
    <w:rsid w:val="0045471C"/>
    <w:rsid w:val="00457115"/>
    <w:rsid w:val="00460705"/>
    <w:rsid w:val="00460A24"/>
    <w:rsid w:val="00460BC9"/>
    <w:rsid w:val="0046151F"/>
    <w:rsid w:val="00462AA7"/>
    <w:rsid w:val="00464052"/>
    <w:rsid w:val="00465799"/>
    <w:rsid w:val="0046586B"/>
    <w:rsid w:val="004660F5"/>
    <w:rsid w:val="0046675F"/>
    <w:rsid w:val="004674F7"/>
    <w:rsid w:val="00470219"/>
    <w:rsid w:val="00470256"/>
    <w:rsid w:val="004708C0"/>
    <w:rsid w:val="00471039"/>
    <w:rsid w:val="00471447"/>
    <w:rsid w:val="00471B70"/>
    <w:rsid w:val="00471D1D"/>
    <w:rsid w:val="0047220A"/>
    <w:rsid w:val="0047271F"/>
    <w:rsid w:val="00472EDA"/>
    <w:rsid w:val="004732C6"/>
    <w:rsid w:val="00473ED5"/>
    <w:rsid w:val="004744E1"/>
    <w:rsid w:val="00474682"/>
    <w:rsid w:val="004758DE"/>
    <w:rsid w:val="00475AE3"/>
    <w:rsid w:val="00475F4B"/>
    <w:rsid w:val="004769C3"/>
    <w:rsid w:val="00477159"/>
    <w:rsid w:val="00477B88"/>
    <w:rsid w:val="00480253"/>
    <w:rsid w:val="004805D6"/>
    <w:rsid w:val="00481C22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31A3"/>
    <w:rsid w:val="00493412"/>
    <w:rsid w:val="00495348"/>
    <w:rsid w:val="0049640D"/>
    <w:rsid w:val="00497168"/>
    <w:rsid w:val="00497732"/>
    <w:rsid w:val="00497984"/>
    <w:rsid w:val="00497D4F"/>
    <w:rsid w:val="004A02DC"/>
    <w:rsid w:val="004A126D"/>
    <w:rsid w:val="004A2333"/>
    <w:rsid w:val="004A32F1"/>
    <w:rsid w:val="004A33E9"/>
    <w:rsid w:val="004A3EA6"/>
    <w:rsid w:val="004A3ECA"/>
    <w:rsid w:val="004A4BF6"/>
    <w:rsid w:val="004A5001"/>
    <w:rsid w:val="004A590B"/>
    <w:rsid w:val="004A5D5B"/>
    <w:rsid w:val="004A69AD"/>
    <w:rsid w:val="004A6D0D"/>
    <w:rsid w:val="004B04C6"/>
    <w:rsid w:val="004B2685"/>
    <w:rsid w:val="004B35F7"/>
    <w:rsid w:val="004B4273"/>
    <w:rsid w:val="004B4E32"/>
    <w:rsid w:val="004B5321"/>
    <w:rsid w:val="004B5383"/>
    <w:rsid w:val="004B64B5"/>
    <w:rsid w:val="004B7076"/>
    <w:rsid w:val="004C049D"/>
    <w:rsid w:val="004C202B"/>
    <w:rsid w:val="004C26B8"/>
    <w:rsid w:val="004C26D2"/>
    <w:rsid w:val="004C4444"/>
    <w:rsid w:val="004C4CB2"/>
    <w:rsid w:val="004C612A"/>
    <w:rsid w:val="004C722F"/>
    <w:rsid w:val="004C7237"/>
    <w:rsid w:val="004D03FA"/>
    <w:rsid w:val="004D07E5"/>
    <w:rsid w:val="004D14A8"/>
    <w:rsid w:val="004D2992"/>
    <w:rsid w:val="004D3202"/>
    <w:rsid w:val="004D469E"/>
    <w:rsid w:val="004D4741"/>
    <w:rsid w:val="004D48A5"/>
    <w:rsid w:val="004D4B44"/>
    <w:rsid w:val="004D4E20"/>
    <w:rsid w:val="004D7FEA"/>
    <w:rsid w:val="004E0C6B"/>
    <w:rsid w:val="004E0D06"/>
    <w:rsid w:val="004E183B"/>
    <w:rsid w:val="004E1C62"/>
    <w:rsid w:val="004E2497"/>
    <w:rsid w:val="004E24BC"/>
    <w:rsid w:val="004E2DFB"/>
    <w:rsid w:val="004E3363"/>
    <w:rsid w:val="004E3D51"/>
    <w:rsid w:val="004E3F63"/>
    <w:rsid w:val="004E4F5A"/>
    <w:rsid w:val="004E5131"/>
    <w:rsid w:val="004E5520"/>
    <w:rsid w:val="004E55BA"/>
    <w:rsid w:val="004E67DD"/>
    <w:rsid w:val="004E7840"/>
    <w:rsid w:val="004F07EF"/>
    <w:rsid w:val="004F0AE6"/>
    <w:rsid w:val="004F16D1"/>
    <w:rsid w:val="004F18F6"/>
    <w:rsid w:val="004F1AD1"/>
    <w:rsid w:val="004F344E"/>
    <w:rsid w:val="004F370D"/>
    <w:rsid w:val="004F3CFC"/>
    <w:rsid w:val="004F4A05"/>
    <w:rsid w:val="004F59BE"/>
    <w:rsid w:val="004F63DF"/>
    <w:rsid w:val="004F6CAB"/>
    <w:rsid w:val="004F7887"/>
    <w:rsid w:val="005010D2"/>
    <w:rsid w:val="005016B0"/>
    <w:rsid w:val="00501D0E"/>
    <w:rsid w:val="0050202E"/>
    <w:rsid w:val="00502774"/>
    <w:rsid w:val="00503DFC"/>
    <w:rsid w:val="00503F34"/>
    <w:rsid w:val="005041F1"/>
    <w:rsid w:val="00504C1B"/>
    <w:rsid w:val="0050642C"/>
    <w:rsid w:val="00506B0A"/>
    <w:rsid w:val="00506B3B"/>
    <w:rsid w:val="00506BF3"/>
    <w:rsid w:val="00506E8E"/>
    <w:rsid w:val="00507250"/>
    <w:rsid w:val="005076C2"/>
    <w:rsid w:val="00507FF6"/>
    <w:rsid w:val="00510671"/>
    <w:rsid w:val="00510B87"/>
    <w:rsid w:val="00511346"/>
    <w:rsid w:val="00511BC9"/>
    <w:rsid w:val="00511C57"/>
    <w:rsid w:val="0051274C"/>
    <w:rsid w:val="005128B6"/>
    <w:rsid w:val="00512E54"/>
    <w:rsid w:val="00513932"/>
    <w:rsid w:val="00513F5E"/>
    <w:rsid w:val="00514271"/>
    <w:rsid w:val="00514F62"/>
    <w:rsid w:val="00515560"/>
    <w:rsid w:val="00517831"/>
    <w:rsid w:val="005216FD"/>
    <w:rsid w:val="00522383"/>
    <w:rsid w:val="005228C3"/>
    <w:rsid w:val="0052315E"/>
    <w:rsid w:val="005231BF"/>
    <w:rsid w:val="005234AF"/>
    <w:rsid w:val="00525787"/>
    <w:rsid w:val="00530E86"/>
    <w:rsid w:val="00530E90"/>
    <w:rsid w:val="00531247"/>
    <w:rsid w:val="005314AC"/>
    <w:rsid w:val="00531A41"/>
    <w:rsid w:val="005325CC"/>
    <w:rsid w:val="005335C3"/>
    <w:rsid w:val="005346FE"/>
    <w:rsid w:val="00534965"/>
    <w:rsid w:val="0054064D"/>
    <w:rsid w:val="005406FD"/>
    <w:rsid w:val="0054089B"/>
    <w:rsid w:val="00540AC5"/>
    <w:rsid w:val="00540BE7"/>
    <w:rsid w:val="005426C2"/>
    <w:rsid w:val="005429BE"/>
    <w:rsid w:val="005453B8"/>
    <w:rsid w:val="00545A36"/>
    <w:rsid w:val="005465E0"/>
    <w:rsid w:val="005467EB"/>
    <w:rsid w:val="00546AA5"/>
    <w:rsid w:val="00547601"/>
    <w:rsid w:val="00547BA0"/>
    <w:rsid w:val="0055015D"/>
    <w:rsid w:val="0055058D"/>
    <w:rsid w:val="00550895"/>
    <w:rsid w:val="00551FFF"/>
    <w:rsid w:val="00553EB0"/>
    <w:rsid w:val="0055426F"/>
    <w:rsid w:val="00554678"/>
    <w:rsid w:val="00555222"/>
    <w:rsid w:val="00557809"/>
    <w:rsid w:val="00557C85"/>
    <w:rsid w:val="00560C19"/>
    <w:rsid w:val="00560ED1"/>
    <w:rsid w:val="00561B7D"/>
    <w:rsid w:val="00562D36"/>
    <w:rsid w:val="00562E23"/>
    <w:rsid w:val="00563170"/>
    <w:rsid w:val="00565E32"/>
    <w:rsid w:val="005665B1"/>
    <w:rsid w:val="0056722B"/>
    <w:rsid w:val="00567C21"/>
    <w:rsid w:val="00567CDC"/>
    <w:rsid w:val="00570BDD"/>
    <w:rsid w:val="00572558"/>
    <w:rsid w:val="00573060"/>
    <w:rsid w:val="0057388C"/>
    <w:rsid w:val="0057657D"/>
    <w:rsid w:val="00576614"/>
    <w:rsid w:val="005768F3"/>
    <w:rsid w:val="00576E52"/>
    <w:rsid w:val="00577957"/>
    <w:rsid w:val="00581039"/>
    <w:rsid w:val="005814AC"/>
    <w:rsid w:val="00581D56"/>
    <w:rsid w:val="00581E19"/>
    <w:rsid w:val="00582246"/>
    <w:rsid w:val="00582436"/>
    <w:rsid w:val="0058309C"/>
    <w:rsid w:val="00584093"/>
    <w:rsid w:val="0058425B"/>
    <w:rsid w:val="00585AB6"/>
    <w:rsid w:val="00585AD7"/>
    <w:rsid w:val="00585C38"/>
    <w:rsid w:val="00585D17"/>
    <w:rsid w:val="00586018"/>
    <w:rsid w:val="00586FA1"/>
    <w:rsid w:val="005879B7"/>
    <w:rsid w:val="005926A9"/>
    <w:rsid w:val="005926FE"/>
    <w:rsid w:val="00593133"/>
    <w:rsid w:val="00593A64"/>
    <w:rsid w:val="00593B3D"/>
    <w:rsid w:val="00594585"/>
    <w:rsid w:val="005950FE"/>
    <w:rsid w:val="00596CE0"/>
    <w:rsid w:val="00597CC7"/>
    <w:rsid w:val="005A0745"/>
    <w:rsid w:val="005A23B8"/>
    <w:rsid w:val="005A27B6"/>
    <w:rsid w:val="005A2E34"/>
    <w:rsid w:val="005A3289"/>
    <w:rsid w:val="005A36A6"/>
    <w:rsid w:val="005A4BB0"/>
    <w:rsid w:val="005A5697"/>
    <w:rsid w:val="005A5FB6"/>
    <w:rsid w:val="005A60A1"/>
    <w:rsid w:val="005A6369"/>
    <w:rsid w:val="005A6B2B"/>
    <w:rsid w:val="005A7C0B"/>
    <w:rsid w:val="005A7EB7"/>
    <w:rsid w:val="005B02B8"/>
    <w:rsid w:val="005B0A27"/>
    <w:rsid w:val="005B1014"/>
    <w:rsid w:val="005B1521"/>
    <w:rsid w:val="005B325E"/>
    <w:rsid w:val="005B33EC"/>
    <w:rsid w:val="005B445D"/>
    <w:rsid w:val="005B6912"/>
    <w:rsid w:val="005B6C42"/>
    <w:rsid w:val="005B6FD5"/>
    <w:rsid w:val="005B71BC"/>
    <w:rsid w:val="005B77A5"/>
    <w:rsid w:val="005C01F5"/>
    <w:rsid w:val="005C029D"/>
    <w:rsid w:val="005C1110"/>
    <w:rsid w:val="005C1739"/>
    <w:rsid w:val="005C2B41"/>
    <w:rsid w:val="005C2EDD"/>
    <w:rsid w:val="005C331A"/>
    <w:rsid w:val="005C41EB"/>
    <w:rsid w:val="005C473B"/>
    <w:rsid w:val="005C5BF2"/>
    <w:rsid w:val="005C68C9"/>
    <w:rsid w:val="005D0118"/>
    <w:rsid w:val="005D02B0"/>
    <w:rsid w:val="005D0483"/>
    <w:rsid w:val="005D0680"/>
    <w:rsid w:val="005D07D9"/>
    <w:rsid w:val="005D1941"/>
    <w:rsid w:val="005D1BE9"/>
    <w:rsid w:val="005D238E"/>
    <w:rsid w:val="005D2895"/>
    <w:rsid w:val="005D3CAB"/>
    <w:rsid w:val="005D3E5E"/>
    <w:rsid w:val="005D3EA9"/>
    <w:rsid w:val="005D44DC"/>
    <w:rsid w:val="005D466C"/>
    <w:rsid w:val="005D5B33"/>
    <w:rsid w:val="005D5DB2"/>
    <w:rsid w:val="005D63D7"/>
    <w:rsid w:val="005D6464"/>
    <w:rsid w:val="005D6C02"/>
    <w:rsid w:val="005D733B"/>
    <w:rsid w:val="005D7830"/>
    <w:rsid w:val="005D7D69"/>
    <w:rsid w:val="005D7E3C"/>
    <w:rsid w:val="005E180C"/>
    <w:rsid w:val="005E1D4B"/>
    <w:rsid w:val="005E2168"/>
    <w:rsid w:val="005E2815"/>
    <w:rsid w:val="005E2EB3"/>
    <w:rsid w:val="005E3E9B"/>
    <w:rsid w:val="005E5415"/>
    <w:rsid w:val="005E5D06"/>
    <w:rsid w:val="005E5EBF"/>
    <w:rsid w:val="005E6632"/>
    <w:rsid w:val="005F0D2E"/>
    <w:rsid w:val="005F1F0E"/>
    <w:rsid w:val="005F1FC0"/>
    <w:rsid w:val="005F2467"/>
    <w:rsid w:val="005F2E1B"/>
    <w:rsid w:val="005F3E46"/>
    <w:rsid w:val="005F4616"/>
    <w:rsid w:val="005F5357"/>
    <w:rsid w:val="00600D77"/>
    <w:rsid w:val="00600D95"/>
    <w:rsid w:val="006013E0"/>
    <w:rsid w:val="006031AF"/>
    <w:rsid w:val="00607796"/>
    <w:rsid w:val="006078F5"/>
    <w:rsid w:val="006137C3"/>
    <w:rsid w:val="00613A81"/>
    <w:rsid w:val="00615041"/>
    <w:rsid w:val="006170EF"/>
    <w:rsid w:val="00617A67"/>
    <w:rsid w:val="00617BEB"/>
    <w:rsid w:val="00621856"/>
    <w:rsid w:val="00622CF0"/>
    <w:rsid w:val="00623440"/>
    <w:rsid w:val="00623925"/>
    <w:rsid w:val="00624689"/>
    <w:rsid w:val="00624CE0"/>
    <w:rsid w:val="00625499"/>
    <w:rsid w:val="00626C37"/>
    <w:rsid w:val="00627948"/>
    <w:rsid w:val="006279EF"/>
    <w:rsid w:val="00627C24"/>
    <w:rsid w:val="0063078B"/>
    <w:rsid w:val="0063159E"/>
    <w:rsid w:val="006318E1"/>
    <w:rsid w:val="006332C7"/>
    <w:rsid w:val="00633518"/>
    <w:rsid w:val="00633DBA"/>
    <w:rsid w:val="00633F5E"/>
    <w:rsid w:val="00634247"/>
    <w:rsid w:val="0063428A"/>
    <w:rsid w:val="00634856"/>
    <w:rsid w:val="00634C05"/>
    <w:rsid w:val="00635BAA"/>
    <w:rsid w:val="00636540"/>
    <w:rsid w:val="00637056"/>
    <w:rsid w:val="0064120B"/>
    <w:rsid w:val="00641433"/>
    <w:rsid w:val="00641937"/>
    <w:rsid w:val="00642021"/>
    <w:rsid w:val="0064218D"/>
    <w:rsid w:val="00642A99"/>
    <w:rsid w:val="0064322F"/>
    <w:rsid w:val="00644E45"/>
    <w:rsid w:val="00645377"/>
    <w:rsid w:val="0064643D"/>
    <w:rsid w:val="00646954"/>
    <w:rsid w:val="006473DB"/>
    <w:rsid w:val="0064773C"/>
    <w:rsid w:val="00647BE8"/>
    <w:rsid w:val="0065045C"/>
    <w:rsid w:val="00651154"/>
    <w:rsid w:val="00651A47"/>
    <w:rsid w:val="00652533"/>
    <w:rsid w:val="00652BA1"/>
    <w:rsid w:val="0065300A"/>
    <w:rsid w:val="00653B79"/>
    <w:rsid w:val="00654BBD"/>
    <w:rsid w:val="006550AF"/>
    <w:rsid w:val="006551E0"/>
    <w:rsid w:val="006559CC"/>
    <w:rsid w:val="00655B47"/>
    <w:rsid w:val="00655B8C"/>
    <w:rsid w:val="006575AC"/>
    <w:rsid w:val="00657DDA"/>
    <w:rsid w:val="0066023F"/>
    <w:rsid w:val="0066027B"/>
    <w:rsid w:val="00660442"/>
    <w:rsid w:val="00660A7D"/>
    <w:rsid w:val="0066108F"/>
    <w:rsid w:val="0066175C"/>
    <w:rsid w:val="006617C3"/>
    <w:rsid w:val="00661962"/>
    <w:rsid w:val="00661A4E"/>
    <w:rsid w:val="006620AD"/>
    <w:rsid w:val="00663397"/>
    <w:rsid w:val="00663FAD"/>
    <w:rsid w:val="00665ECF"/>
    <w:rsid w:val="0066619E"/>
    <w:rsid w:val="00667089"/>
    <w:rsid w:val="006677DF"/>
    <w:rsid w:val="00671777"/>
    <w:rsid w:val="006717A3"/>
    <w:rsid w:val="00671ECF"/>
    <w:rsid w:val="00672383"/>
    <w:rsid w:val="0067261D"/>
    <w:rsid w:val="00672A2B"/>
    <w:rsid w:val="00672FEF"/>
    <w:rsid w:val="00675156"/>
    <w:rsid w:val="006754A3"/>
    <w:rsid w:val="0068033A"/>
    <w:rsid w:val="00680AAE"/>
    <w:rsid w:val="0068173C"/>
    <w:rsid w:val="006817AF"/>
    <w:rsid w:val="006820FF"/>
    <w:rsid w:val="00682795"/>
    <w:rsid w:val="00683592"/>
    <w:rsid w:val="00683796"/>
    <w:rsid w:val="00684C07"/>
    <w:rsid w:val="0068542B"/>
    <w:rsid w:val="00685467"/>
    <w:rsid w:val="006864D5"/>
    <w:rsid w:val="00686596"/>
    <w:rsid w:val="00686868"/>
    <w:rsid w:val="00687307"/>
    <w:rsid w:val="0069013E"/>
    <w:rsid w:val="00690E47"/>
    <w:rsid w:val="00691370"/>
    <w:rsid w:val="0069195E"/>
    <w:rsid w:val="00691E3B"/>
    <w:rsid w:val="00692444"/>
    <w:rsid w:val="006934E4"/>
    <w:rsid w:val="00693D6C"/>
    <w:rsid w:val="006945C1"/>
    <w:rsid w:val="006946EF"/>
    <w:rsid w:val="00695A2C"/>
    <w:rsid w:val="00696BA6"/>
    <w:rsid w:val="006975E3"/>
    <w:rsid w:val="0069760B"/>
    <w:rsid w:val="0069792B"/>
    <w:rsid w:val="00697B51"/>
    <w:rsid w:val="00697E8F"/>
    <w:rsid w:val="006A0433"/>
    <w:rsid w:val="006A0757"/>
    <w:rsid w:val="006A08BD"/>
    <w:rsid w:val="006A0913"/>
    <w:rsid w:val="006A0BB6"/>
    <w:rsid w:val="006A1512"/>
    <w:rsid w:val="006A230B"/>
    <w:rsid w:val="006A3B5A"/>
    <w:rsid w:val="006A411A"/>
    <w:rsid w:val="006A552D"/>
    <w:rsid w:val="006A5708"/>
    <w:rsid w:val="006A5A1C"/>
    <w:rsid w:val="006A77FC"/>
    <w:rsid w:val="006A7BD0"/>
    <w:rsid w:val="006B11E8"/>
    <w:rsid w:val="006B12D2"/>
    <w:rsid w:val="006B14FF"/>
    <w:rsid w:val="006B2086"/>
    <w:rsid w:val="006B2CA2"/>
    <w:rsid w:val="006B3C2A"/>
    <w:rsid w:val="006B695F"/>
    <w:rsid w:val="006B6E07"/>
    <w:rsid w:val="006B780E"/>
    <w:rsid w:val="006B7ED4"/>
    <w:rsid w:val="006C0202"/>
    <w:rsid w:val="006C0438"/>
    <w:rsid w:val="006C0465"/>
    <w:rsid w:val="006C0877"/>
    <w:rsid w:val="006C09E5"/>
    <w:rsid w:val="006C0CD4"/>
    <w:rsid w:val="006C1139"/>
    <w:rsid w:val="006C15C1"/>
    <w:rsid w:val="006C15D0"/>
    <w:rsid w:val="006C1649"/>
    <w:rsid w:val="006C1ABB"/>
    <w:rsid w:val="006C2BF9"/>
    <w:rsid w:val="006C2CF5"/>
    <w:rsid w:val="006C31B7"/>
    <w:rsid w:val="006C39DF"/>
    <w:rsid w:val="006C4C14"/>
    <w:rsid w:val="006C60A7"/>
    <w:rsid w:val="006C6BFF"/>
    <w:rsid w:val="006C7006"/>
    <w:rsid w:val="006C770A"/>
    <w:rsid w:val="006D0BD2"/>
    <w:rsid w:val="006D0E54"/>
    <w:rsid w:val="006D23F8"/>
    <w:rsid w:val="006D2675"/>
    <w:rsid w:val="006D3119"/>
    <w:rsid w:val="006D5C60"/>
    <w:rsid w:val="006D68DC"/>
    <w:rsid w:val="006D7C72"/>
    <w:rsid w:val="006E004B"/>
    <w:rsid w:val="006E1197"/>
    <w:rsid w:val="006E15E3"/>
    <w:rsid w:val="006E17ED"/>
    <w:rsid w:val="006E2BE2"/>
    <w:rsid w:val="006E2F48"/>
    <w:rsid w:val="006E3028"/>
    <w:rsid w:val="006E3F95"/>
    <w:rsid w:val="006E51CE"/>
    <w:rsid w:val="006E54CD"/>
    <w:rsid w:val="006E743A"/>
    <w:rsid w:val="006F0D13"/>
    <w:rsid w:val="006F0E4F"/>
    <w:rsid w:val="006F193E"/>
    <w:rsid w:val="006F1D72"/>
    <w:rsid w:val="006F2FA8"/>
    <w:rsid w:val="006F62E6"/>
    <w:rsid w:val="006F6A79"/>
    <w:rsid w:val="006F794A"/>
    <w:rsid w:val="0070068D"/>
    <w:rsid w:val="00700954"/>
    <w:rsid w:val="007034D0"/>
    <w:rsid w:val="00705867"/>
    <w:rsid w:val="007067B6"/>
    <w:rsid w:val="00706F3D"/>
    <w:rsid w:val="00707120"/>
    <w:rsid w:val="00707602"/>
    <w:rsid w:val="00710424"/>
    <w:rsid w:val="00710591"/>
    <w:rsid w:val="007119A5"/>
    <w:rsid w:val="007122EA"/>
    <w:rsid w:val="007125AF"/>
    <w:rsid w:val="00712B97"/>
    <w:rsid w:val="0071373B"/>
    <w:rsid w:val="007137CC"/>
    <w:rsid w:val="00714273"/>
    <w:rsid w:val="007143DA"/>
    <w:rsid w:val="00714E60"/>
    <w:rsid w:val="00715DF7"/>
    <w:rsid w:val="00715FBB"/>
    <w:rsid w:val="00716AC6"/>
    <w:rsid w:val="00717305"/>
    <w:rsid w:val="00717A01"/>
    <w:rsid w:val="00720767"/>
    <w:rsid w:val="00721B0F"/>
    <w:rsid w:val="00722189"/>
    <w:rsid w:val="00722F6F"/>
    <w:rsid w:val="00723405"/>
    <w:rsid w:val="00723882"/>
    <w:rsid w:val="00724CEF"/>
    <w:rsid w:val="00725C97"/>
    <w:rsid w:val="00727137"/>
    <w:rsid w:val="00727A17"/>
    <w:rsid w:val="007325A2"/>
    <w:rsid w:val="00732857"/>
    <w:rsid w:val="007328CF"/>
    <w:rsid w:val="00732D99"/>
    <w:rsid w:val="0073492C"/>
    <w:rsid w:val="00735526"/>
    <w:rsid w:val="007355D2"/>
    <w:rsid w:val="007360D9"/>
    <w:rsid w:val="00740BD9"/>
    <w:rsid w:val="00741BD7"/>
    <w:rsid w:val="00741C47"/>
    <w:rsid w:val="00742AC3"/>
    <w:rsid w:val="00742C5C"/>
    <w:rsid w:val="00743347"/>
    <w:rsid w:val="00743C10"/>
    <w:rsid w:val="00744469"/>
    <w:rsid w:val="00745483"/>
    <w:rsid w:val="00745AD8"/>
    <w:rsid w:val="00745DC4"/>
    <w:rsid w:val="0074699A"/>
    <w:rsid w:val="00750300"/>
    <w:rsid w:val="007516A5"/>
    <w:rsid w:val="00751780"/>
    <w:rsid w:val="00751D5F"/>
    <w:rsid w:val="007539E9"/>
    <w:rsid w:val="00753AB7"/>
    <w:rsid w:val="00754325"/>
    <w:rsid w:val="0075581F"/>
    <w:rsid w:val="00756238"/>
    <w:rsid w:val="0075742A"/>
    <w:rsid w:val="00760577"/>
    <w:rsid w:val="00760F13"/>
    <w:rsid w:val="00761915"/>
    <w:rsid w:val="00761A82"/>
    <w:rsid w:val="00763124"/>
    <w:rsid w:val="00763B79"/>
    <w:rsid w:val="007645FF"/>
    <w:rsid w:val="00765A34"/>
    <w:rsid w:val="00766BC9"/>
    <w:rsid w:val="00766FB9"/>
    <w:rsid w:val="0076762A"/>
    <w:rsid w:val="0076780C"/>
    <w:rsid w:val="00770188"/>
    <w:rsid w:val="00771DB9"/>
    <w:rsid w:val="00772D6A"/>
    <w:rsid w:val="00773421"/>
    <w:rsid w:val="00773FE4"/>
    <w:rsid w:val="007745FE"/>
    <w:rsid w:val="00774BE8"/>
    <w:rsid w:val="00774E22"/>
    <w:rsid w:val="0077630F"/>
    <w:rsid w:val="00777AFE"/>
    <w:rsid w:val="00777F87"/>
    <w:rsid w:val="00780E61"/>
    <w:rsid w:val="00781B40"/>
    <w:rsid w:val="00781DEE"/>
    <w:rsid w:val="00782F93"/>
    <w:rsid w:val="0078348A"/>
    <w:rsid w:val="00784FCF"/>
    <w:rsid w:val="0078567D"/>
    <w:rsid w:val="007909B3"/>
    <w:rsid w:val="007926D5"/>
    <w:rsid w:val="007937C5"/>
    <w:rsid w:val="00796363"/>
    <w:rsid w:val="007A00D5"/>
    <w:rsid w:val="007A02DF"/>
    <w:rsid w:val="007A0429"/>
    <w:rsid w:val="007A0E66"/>
    <w:rsid w:val="007A106F"/>
    <w:rsid w:val="007A2498"/>
    <w:rsid w:val="007A3C20"/>
    <w:rsid w:val="007A4238"/>
    <w:rsid w:val="007A430C"/>
    <w:rsid w:val="007A7334"/>
    <w:rsid w:val="007B2E46"/>
    <w:rsid w:val="007B348B"/>
    <w:rsid w:val="007B4778"/>
    <w:rsid w:val="007B4AFC"/>
    <w:rsid w:val="007B4F7A"/>
    <w:rsid w:val="007B601C"/>
    <w:rsid w:val="007B6A7F"/>
    <w:rsid w:val="007B7955"/>
    <w:rsid w:val="007C11F4"/>
    <w:rsid w:val="007C17FC"/>
    <w:rsid w:val="007C2155"/>
    <w:rsid w:val="007C2C4A"/>
    <w:rsid w:val="007C2DEA"/>
    <w:rsid w:val="007C32BD"/>
    <w:rsid w:val="007C33B5"/>
    <w:rsid w:val="007C34A5"/>
    <w:rsid w:val="007C4CD5"/>
    <w:rsid w:val="007C52B7"/>
    <w:rsid w:val="007C5542"/>
    <w:rsid w:val="007C58E4"/>
    <w:rsid w:val="007C7142"/>
    <w:rsid w:val="007C7AFB"/>
    <w:rsid w:val="007D01A0"/>
    <w:rsid w:val="007D04AD"/>
    <w:rsid w:val="007D0D66"/>
    <w:rsid w:val="007D40C4"/>
    <w:rsid w:val="007D41E2"/>
    <w:rsid w:val="007D4ED5"/>
    <w:rsid w:val="007D6641"/>
    <w:rsid w:val="007D6D87"/>
    <w:rsid w:val="007D7349"/>
    <w:rsid w:val="007D76C4"/>
    <w:rsid w:val="007D78F4"/>
    <w:rsid w:val="007D7FDE"/>
    <w:rsid w:val="007E05B5"/>
    <w:rsid w:val="007E06E3"/>
    <w:rsid w:val="007E0752"/>
    <w:rsid w:val="007E0D7B"/>
    <w:rsid w:val="007E656C"/>
    <w:rsid w:val="007E6919"/>
    <w:rsid w:val="007E79BB"/>
    <w:rsid w:val="007F09E0"/>
    <w:rsid w:val="007F0EBD"/>
    <w:rsid w:val="007F2CA7"/>
    <w:rsid w:val="007F2FA3"/>
    <w:rsid w:val="007F31D9"/>
    <w:rsid w:val="007F353D"/>
    <w:rsid w:val="007F3847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2183"/>
    <w:rsid w:val="00802A9E"/>
    <w:rsid w:val="00802F87"/>
    <w:rsid w:val="00803155"/>
    <w:rsid w:val="00803A06"/>
    <w:rsid w:val="00806401"/>
    <w:rsid w:val="00807B58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C60"/>
    <w:rsid w:val="00820E63"/>
    <w:rsid w:val="0082184D"/>
    <w:rsid w:val="0082199A"/>
    <w:rsid w:val="00822F6F"/>
    <w:rsid w:val="00823DE5"/>
    <w:rsid w:val="00823EFA"/>
    <w:rsid w:val="008246A6"/>
    <w:rsid w:val="00825C9C"/>
    <w:rsid w:val="00825F06"/>
    <w:rsid w:val="0082604B"/>
    <w:rsid w:val="0082622E"/>
    <w:rsid w:val="0082661B"/>
    <w:rsid w:val="00826B58"/>
    <w:rsid w:val="00827634"/>
    <w:rsid w:val="00827916"/>
    <w:rsid w:val="00827C0D"/>
    <w:rsid w:val="00827DC9"/>
    <w:rsid w:val="00827DE2"/>
    <w:rsid w:val="0083221A"/>
    <w:rsid w:val="008325C4"/>
    <w:rsid w:val="008325DA"/>
    <w:rsid w:val="00832D5A"/>
    <w:rsid w:val="00833A0C"/>
    <w:rsid w:val="00833A84"/>
    <w:rsid w:val="008344F7"/>
    <w:rsid w:val="008346FB"/>
    <w:rsid w:val="00834762"/>
    <w:rsid w:val="00834825"/>
    <w:rsid w:val="00834D94"/>
    <w:rsid w:val="0083547E"/>
    <w:rsid w:val="00835BBC"/>
    <w:rsid w:val="00837999"/>
    <w:rsid w:val="008379F4"/>
    <w:rsid w:val="0084029C"/>
    <w:rsid w:val="008407EE"/>
    <w:rsid w:val="00842AB8"/>
    <w:rsid w:val="0084366E"/>
    <w:rsid w:val="0084390C"/>
    <w:rsid w:val="00844D2C"/>
    <w:rsid w:val="00845B57"/>
    <w:rsid w:val="00845E27"/>
    <w:rsid w:val="00846510"/>
    <w:rsid w:val="008473C5"/>
    <w:rsid w:val="00851B6E"/>
    <w:rsid w:val="00851DBD"/>
    <w:rsid w:val="00852392"/>
    <w:rsid w:val="00853079"/>
    <w:rsid w:val="008533E4"/>
    <w:rsid w:val="00853CBC"/>
    <w:rsid w:val="00855149"/>
    <w:rsid w:val="008557C6"/>
    <w:rsid w:val="008577BA"/>
    <w:rsid w:val="00857F10"/>
    <w:rsid w:val="00860E74"/>
    <w:rsid w:val="00860E86"/>
    <w:rsid w:val="00862AF0"/>
    <w:rsid w:val="0086425D"/>
    <w:rsid w:val="00865A29"/>
    <w:rsid w:val="008660BF"/>
    <w:rsid w:val="00866C9F"/>
    <w:rsid w:val="00867752"/>
    <w:rsid w:val="008704DD"/>
    <w:rsid w:val="008735A9"/>
    <w:rsid w:val="0087393D"/>
    <w:rsid w:val="00874D53"/>
    <w:rsid w:val="008750A7"/>
    <w:rsid w:val="00876C88"/>
    <w:rsid w:val="008770F6"/>
    <w:rsid w:val="008771D1"/>
    <w:rsid w:val="00877221"/>
    <w:rsid w:val="0088145B"/>
    <w:rsid w:val="00881FD0"/>
    <w:rsid w:val="008824D7"/>
    <w:rsid w:val="00882754"/>
    <w:rsid w:val="008840E8"/>
    <w:rsid w:val="00884DDB"/>
    <w:rsid w:val="0088505E"/>
    <w:rsid w:val="00885A0C"/>
    <w:rsid w:val="00886365"/>
    <w:rsid w:val="008870BF"/>
    <w:rsid w:val="0088731E"/>
    <w:rsid w:val="00887488"/>
    <w:rsid w:val="00887F4C"/>
    <w:rsid w:val="00890C24"/>
    <w:rsid w:val="00892A7A"/>
    <w:rsid w:val="00892D30"/>
    <w:rsid w:val="00892EE4"/>
    <w:rsid w:val="008931AC"/>
    <w:rsid w:val="00893809"/>
    <w:rsid w:val="008941B1"/>
    <w:rsid w:val="00894425"/>
    <w:rsid w:val="008944F4"/>
    <w:rsid w:val="00894BC8"/>
    <w:rsid w:val="00895FC6"/>
    <w:rsid w:val="00896312"/>
    <w:rsid w:val="00896515"/>
    <w:rsid w:val="00897342"/>
    <w:rsid w:val="008A0C9C"/>
    <w:rsid w:val="008A184F"/>
    <w:rsid w:val="008A1CBA"/>
    <w:rsid w:val="008A3AF4"/>
    <w:rsid w:val="008A448E"/>
    <w:rsid w:val="008A4DF1"/>
    <w:rsid w:val="008A6651"/>
    <w:rsid w:val="008A6CD6"/>
    <w:rsid w:val="008B0864"/>
    <w:rsid w:val="008B1424"/>
    <w:rsid w:val="008B1F2A"/>
    <w:rsid w:val="008B4A63"/>
    <w:rsid w:val="008B4AC5"/>
    <w:rsid w:val="008B4BB5"/>
    <w:rsid w:val="008B4FD3"/>
    <w:rsid w:val="008B50A5"/>
    <w:rsid w:val="008B595A"/>
    <w:rsid w:val="008B6246"/>
    <w:rsid w:val="008B725E"/>
    <w:rsid w:val="008B79DF"/>
    <w:rsid w:val="008C02D0"/>
    <w:rsid w:val="008C0A72"/>
    <w:rsid w:val="008C154C"/>
    <w:rsid w:val="008C1716"/>
    <w:rsid w:val="008C2130"/>
    <w:rsid w:val="008C2800"/>
    <w:rsid w:val="008C2EDB"/>
    <w:rsid w:val="008C3CBE"/>
    <w:rsid w:val="008C4B42"/>
    <w:rsid w:val="008C7124"/>
    <w:rsid w:val="008C7EB7"/>
    <w:rsid w:val="008D14A9"/>
    <w:rsid w:val="008D1AAF"/>
    <w:rsid w:val="008D27B7"/>
    <w:rsid w:val="008D2E6F"/>
    <w:rsid w:val="008D37EC"/>
    <w:rsid w:val="008D3806"/>
    <w:rsid w:val="008D3987"/>
    <w:rsid w:val="008D449D"/>
    <w:rsid w:val="008D45C1"/>
    <w:rsid w:val="008D4C14"/>
    <w:rsid w:val="008D51E7"/>
    <w:rsid w:val="008D56B0"/>
    <w:rsid w:val="008D72E0"/>
    <w:rsid w:val="008D7771"/>
    <w:rsid w:val="008D7E8B"/>
    <w:rsid w:val="008E0A82"/>
    <w:rsid w:val="008E2CA1"/>
    <w:rsid w:val="008E2FF5"/>
    <w:rsid w:val="008E3E7B"/>
    <w:rsid w:val="008E6069"/>
    <w:rsid w:val="008E6F7E"/>
    <w:rsid w:val="008E7C4D"/>
    <w:rsid w:val="008E7F17"/>
    <w:rsid w:val="008F01C0"/>
    <w:rsid w:val="008F16DE"/>
    <w:rsid w:val="008F1A4F"/>
    <w:rsid w:val="008F2722"/>
    <w:rsid w:val="008F33D5"/>
    <w:rsid w:val="008F3C1D"/>
    <w:rsid w:val="008F448C"/>
    <w:rsid w:val="008F4F52"/>
    <w:rsid w:val="008F617D"/>
    <w:rsid w:val="008F649D"/>
    <w:rsid w:val="008F7AF7"/>
    <w:rsid w:val="00900152"/>
    <w:rsid w:val="00902061"/>
    <w:rsid w:val="009020FD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6611"/>
    <w:rsid w:val="0090769B"/>
    <w:rsid w:val="00907B6A"/>
    <w:rsid w:val="0091058F"/>
    <w:rsid w:val="00911F1B"/>
    <w:rsid w:val="00912426"/>
    <w:rsid w:val="00912704"/>
    <w:rsid w:val="00912A95"/>
    <w:rsid w:val="009130EC"/>
    <w:rsid w:val="00913D87"/>
    <w:rsid w:val="009141A8"/>
    <w:rsid w:val="00915686"/>
    <w:rsid w:val="00916F2D"/>
    <w:rsid w:val="00917757"/>
    <w:rsid w:val="00920825"/>
    <w:rsid w:val="009208FB"/>
    <w:rsid w:val="00922AF0"/>
    <w:rsid w:val="009251D3"/>
    <w:rsid w:val="00925C4D"/>
    <w:rsid w:val="0092631F"/>
    <w:rsid w:val="009264E7"/>
    <w:rsid w:val="0092695A"/>
    <w:rsid w:val="00927831"/>
    <w:rsid w:val="00927ECD"/>
    <w:rsid w:val="0093047E"/>
    <w:rsid w:val="00930FD8"/>
    <w:rsid w:val="009314EC"/>
    <w:rsid w:val="009326A8"/>
    <w:rsid w:val="009341B4"/>
    <w:rsid w:val="009342AC"/>
    <w:rsid w:val="009407CD"/>
    <w:rsid w:val="00941491"/>
    <w:rsid w:val="00941528"/>
    <w:rsid w:val="00943520"/>
    <w:rsid w:val="00943EDF"/>
    <w:rsid w:val="0094475D"/>
    <w:rsid w:val="00945AD3"/>
    <w:rsid w:val="00946866"/>
    <w:rsid w:val="00947733"/>
    <w:rsid w:val="00950395"/>
    <w:rsid w:val="009508D9"/>
    <w:rsid w:val="00950B72"/>
    <w:rsid w:val="00950CC4"/>
    <w:rsid w:val="00951B74"/>
    <w:rsid w:val="0095365D"/>
    <w:rsid w:val="00953D66"/>
    <w:rsid w:val="00954235"/>
    <w:rsid w:val="00954470"/>
    <w:rsid w:val="00954471"/>
    <w:rsid w:val="00954845"/>
    <w:rsid w:val="009559E4"/>
    <w:rsid w:val="00955B9E"/>
    <w:rsid w:val="009563BB"/>
    <w:rsid w:val="009576E4"/>
    <w:rsid w:val="00957E37"/>
    <w:rsid w:val="00957FC4"/>
    <w:rsid w:val="009603D0"/>
    <w:rsid w:val="00960BF0"/>
    <w:rsid w:val="0096153B"/>
    <w:rsid w:val="0096486F"/>
    <w:rsid w:val="00965AF2"/>
    <w:rsid w:val="00966D00"/>
    <w:rsid w:val="009716F2"/>
    <w:rsid w:val="00972F22"/>
    <w:rsid w:val="00975C25"/>
    <w:rsid w:val="00975C85"/>
    <w:rsid w:val="009766A1"/>
    <w:rsid w:val="00976C98"/>
    <w:rsid w:val="009814DD"/>
    <w:rsid w:val="00981872"/>
    <w:rsid w:val="00983D5F"/>
    <w:rsid w:val="00985AB3"/>
    <w:rsid w:val="00985DD2"/>
    <w:rsid w:val="0098660E"/>
    <w:rsid w:val="00986BBD"/>
    <w:rsid w:val="009874E6"/>
    <w:rsid w:val="00987987"/>
    <w:rsid w:val="00991EC1"/>
    <w:rsid w:val="009921AC"/>
    <w:rsid w:val="00995616"/>
    <w:rsid w:val="00996593"/>
    <w:rsid w:val="009969D7"/>
    <w:rsid w:val="00997118"/>
    <w:rsid w:val="009974CC"/>
    <w:rsid w:val="00997739"/>
    <w:rsid w:val="009978D4"/>
    <w:rsid w:val="00997EF3"/>
    <w:rsid w:val="00997F9E"/>
    <w:rsid w:val="009A031F"/>
    <w:rsid w:val="009A19F3"/>
    <w:rsid w:val="009A1F5D"/>
    <w:rsid w:val="009A1FF0"/>
    <w:rsid w:val="009A2085"/>
    <w:rsid w:val="009A3696"/>
    <w:rsid w:val="009A4775"/>
    <w:rsid w:val="009A47E3"/>
    <w:rsid w:val="009A55CF"/>
    <w:rsid w:val="009A67C9"/>
    <w:rsid w:val="009A6BC1"/>
    <w:rsid w:val="009A6D05"/>
    <w:rsid w:val="009A7820"/>
    <w:rsid w:val="009A7F14"/>
    <w:rsid w:val="009B04AF"/>
    <w:rsid w:val="009B0755"/>
    <w:rsid w:val="009B20AD"/>
    <w:rsid w:val="009B2D74"/>
    <w:rsid w:val="009B31E6"/>
    <w:rsid w:val="009B4A71"/>
    <w:rsid w:val="009B4BFB"/>
    <w:rsid w:val="009B4C6F"/>
    <w:rsid w:val="009B563C"/>
    <w:rsid w:val="009B5D6E"/>
    <w:rsid w:val="009B6791"/>
    <w:rsid w:val="009B764C"/>
    <w:rsid w:val="009B7955"/>
    <w:rsid w:val="009B7B83"/>
    <w:rsid w:val="009C09FE"/>
    <w:rsid w:val="009C2B2F"/>
    <w:rsid w:val="009C4E2C"/>
    <w:rsid w:val="009C5A25"/>
    <w:rsid w:val="009C6033"/>
    <w:rsid w:val="009C6D75"/>
    <w:rsid w:val="009C76E3"/>
    <w:rsid w:val="009D0026"/>
    <w:rsid w:val="009D209A"/>
    <w:rsid w:val="009D3683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6BE7"/>
    <w:rsid w:val="009D7551"/>
    <w:rsid w:val="009D788B"/>
    <w:rsid w:val="009E0162"/>
    <w:rsid w:val="009E1083"/>
    <w:rsid w:val="009E2221"/>
    <w:rsid w:val="009E2A58"/>
    <w:rsid w:val="009E3156"/>
    <w:rsid w:val="009E52D7"/>
    <w:rsid w:val="009E682C"/>
    <w:rsid w:val="009E7131"/>
    <w:rsid w:val="009E781A"/>
    <w:rsid w:val="009F7A1C"/>
    <w:rsid w:val="00A000CA"/>
    <w:rsid w:val="00A00639"/>
    <w:rsid w:val="00A0221A"/>
    <w:rsid w:val="00A0394D"/>
    <w:rsid w:val="00A04837"/>
    <w:rsid w:val="00A064CC"/>
    <w:rsid w:val="00A104FC"/>
    <w:rsid w:val="00A124D9"/>
    <w:rsid w:val="00A129F3"/>
    <w:rsid w:val="00A137F7"/>
    <w:rsid w:val="00A13982"/>
    <w:rsid w:val="00A13B42"/>
    <w:rsid w:val="00A142FF"/>
    <w:rsid w:val="00A147DB"/>
    <w:rsid w:val="00A14DE7"/>
    <w:rsid w:val="00A15A25"/>
    <w:rsid w:val="00A15B7C"/>
    <w:rsid w:val="00A160AD"/>
    <w:rsid w:val="00A161A9"/>
    <w:rsid w:val="00A1669E"/>
    <w:rsid w:val="00A16D17"/>
    <w:rsid w:val="00A16EFD"/>
    <w:rsid w:val="00A20BC5"/>
    <w:rsid w:val="00A21054"/>
    <w:rsid w:val="00A21497"/>
    <w:rsid w:val="00A22750"/>
    <w:rsid w:val="00A231DE"/>
    <w:rsid w:val="00A24DA0"/>
    <w:rsid w:val="00A25B0F"/>
    <w:rsid w:val="00A26209"/>
    <w:rsid w:val="00A2713E"/>
    <w:rsid w:val="00A271B5"/>
    <w:rsid w:val="00A276D8"/>
    <w:rsid w:val="00A27CEB"/>
    <w:rsid w:val="00A3041C"/>
    <w:rsid w:val="00A3172A"/>
    <w:rsid w:val="00A34F03"/>
    <w:rsid w:val="00A374B1"/>
    <w:rsid w:val="00A400D9"/>
    <w:rsid w:val="00A413F7"/>
    <w:rsid w:val="00A41973"/>
    <w:rsid w:val="00A420CE"/>
    <w:rsid w:val="00A42774"/>
    <w:rsid w:val="00A43410"/>
    <w:rsid w:val="00A43DB9"/>
    <w:rsid w:val="00A44630"/>
    <w:rsid w:val="00A44E07"/>
    <w:rsid w:val="00A45128"/>
    <w:rsid w:val="00A4517E"/>
    <w:rsid w:val="00A502E5"/>
    <w:rsid w:val="00A5076A"/>
    <w:rsid w:val="00A51B13"/>
    <w:rsid w:val="00A51DC1"/>
    <w:rsid w:val="00A52030"/>
    <w:rsid w:val="00A521F4"/>
    <w:rsid w:val="00A5313B"/>
    <w:rsid w:val="00A53B08"/>
    <w:rsid w:val="00A544A4"/>
    <w:rsid w:val="00A54563"/>
    <w:rsid w:val="00A547C5"/>
    <w:rsid w:val="00A604A4"/>
    <w:rsid w:val="00A60894"/>
    <w:rsid w:val="00A6165A"/>
    <w:rsid w:val="00A627E3"/>
    <w:rsid w:val="00A6296B"/>
    <w:rsid w:val="00A62BF9"/>
    <w:rsid w:val="00A63363"/>
    <w:rsid w:val="00A644C5"/>
    <w:rsid w:val="00A654CA"/>
    <w:rsid w:val="00A675BA"/>
    <w:rsid w:val="00A67864"/>
    <w:rsid w:val="00A67EC1"/>
    <w:rsid w:val="00A70962"/>
    <w:rsid w:val="00A70B4A"/>
    <w:rsid w:val="00A71977"/>
    <w:rsid w:val="00A71B9D"/>
    <w:rsid w:val="00A72622"/>
    <w:rsid w:val="00A72AB9"/>
    <w:rsid w:val="00A72CD4"/>
    <w:rsid w:val="00A73240"/>
    <w:rsid w:val="00A7325E"/>
    <w:rsid w:val="00A7345B"/>
    <w:rsid w:val="00A7352E"/>
    <w:rsid w:val="00A7426B"/>
    <w:rsid w:val="00A76613"/>
    <w:rsid w:val="00A77DC2"/>
    <w:rsid w:val="00A82F5A"/>
    <w:rsid w:val="00A83E10"/>
    <w:rsid w:val="00A84468"/>
    <w:rsid w:val="00A854A3"/>
    <w:rsid w:val="00A861D2"/>
    <w:rsid w:val="00A8649F"/>
    <w:rsid w:val="00A90165"/>
    <w:rsid w:val="00A90C4D"/>
    <w:rsid w:val="00A90F20"/>
    <w:rsid w:val="00A9185E"/>
    <w:rsid w:val="00A91DBE"/>
    <w:rsid w:val="00A938F3"/>
    <w:rsid w:val="00A948E9"/>
    <w:rsid w:val="00A950DB"/>
    <w:rsid w:val="00A95D14"/>
    <w:rsid w:val="00A95E94"/>
    <w:rsid w:val="00A95F76"/>
    <w:rsid w:val="00A978EA"/>
    <w:rsid w:val="00A97CE2"/>
    <w:rsid w:val="00AA04B6"/>
    <w:rsid w:val="00AA0729"/>
    <w:rsid w:val="00AA282C"/>
    <w:rsid w:val="00AA2C91"/>
    <w:rsid w:val="00AA3F50"/>
    <w:rsid w:val="00AA42D6"/>
    <w:rsid w:val="00AA42EB"/>
    <w:rsid w:val="00AA4B9B"/>
    <w:rsid w:val="00AA7979"/>
    <w:rsid w:val="00AB1B38"/>
    <w:rsid w:val="00AB2E25"/>
    <w:rsid w:val="00AB33B7"/>
    <w:rsid w:val="00AB3936"/>
    <w:rsid w:val="00AB3C59"/>
    <w:rsid w:val="00AB4418"/>
    <w:rsid w:val="00AB4E95"/>
    <w:rsid w:val="00AB5E04"/>
    <w:rsid w:val="00AB6D2A"/>
    <w:rsid w:val="00AB717C"/>
    <w:rsid w:val="00AB72BA"/>
    <w:rsid w:val="00AB7AC9"/>
    <w:rsid w:val="00AC0073"/>
    <w:rsid w:val="00AC0FC8"/>
    <w:rsid w:val="00AC12E6"/>
    <w:rsid w:val="00AC18C7"/>
    <w:rsid w:val="00AC22CF"/>
    <w:rsid w:val="00AC3986"/>
    <w:rsid w:val="00AC66D2"/>
    <w:rsid w:val="00AD1582"/>
    <w:rsid w:val="00AD272E"/>
    <w:rsid w:val="00AD2999"/>
    <w:rsid w:val="00AD370F"/>
    <w:rsid w:val="00AD3812"/>
    <w:rsid w:val="00AD4377"/>
    <w:rsid w:val="00AD4F26"/>
    <w:rsid w:val="00AD5BB6"/>
    <w:rsid w:val="00AD6880"/>
    <w:rsid w:val="00AD736B"/>
    <w:rsid w:val="00AE068C"/>
    <w:rsid w:val="00AE0D89"/>
    <w:rsid w:val="00AE1C32"/>
    <w:rsid w:val="00AE2082"/>
    <w:rsid w:val="00AE27A6"/>
    <w:rsid w:val="00AE2ABD"/>
    <w:rsid w:val="00AE2D48"/>
    <w:rsid w:val="00AE3F60"/>
    <w:rsid w:val="00AE553B"/>
    <w:rsid w:val="00AE5E67"/>
    <w:rsid w:val="00AE67F8"/>
    <w:rsid w:val="00AE779F"/>
    <w:rsid w:val="00AF015F"/>
    <w:rsid w:val="00AF09F9"/>
    <w:rsid w:val="00AF162A"/>
    <w:rsid w:val="00AF3096"/>
    <w:rsid w:val="00AF4665"/>
    <w:rsid w:val="00AF5E0B"/>
    <w:rsid w:val="00AF6349"/>
    <w:rsid w:val="00AF6524"/>
    <w:rsid w:val="00AF6C57"/>
    <w:rsid w:val="00AF6EFE"/>
    <w:rsid w:val="00AF7CC6"/>
    <w:rsid w:val="00B01809"/>
    <w:rsid w:val="00B01E6B"/>
    <w:rsid w:val="00B0283E"/>
    <w:rsid w:val="00B02BDD"/>
    <w:rsid w:val="00B03021"/>
    <w:rsid w:val="00B033F4"/>
    <w:rsid w:val="00B04FEC"/>
    <w:rsid w:val="00B0688B"/>
    <w:rsid w:val="00B06DB1"/>
    <w:rsid w:val="00B06E0C"/>
    <w:rsid w:val="00B10786"/>
    <w:rsid w:val="00B10909"/>
    <w:rsid w:val="00B10F10"/>
    <w:rsid w:val="00B11331"/>
    <w:rsid w:val="00B117F6"/>
    <w:rsid w:val="00B12201"/>
    <w:rsid w:val="00B14433"/>
    <w:rsid w:val="00B16CE4"/>
    <w:rsid w:val="00B16D1D"/>
    <w:rsid w:val="00B16E69"/>
    <w:rsid w:val="00B20494"/>
    <w:rsid w:val="00B2066F"/>
    <w:rsid w:val="00B226CD"/>
    <w:rsid w:val="00B2336A"/>
    <w:rsid w:val="00B234AD"/>
    <w:rsid w:val="00B2594D"/>
    <w:rsid w:val="00B2778E"/>
    <w:rsid w:val="00B3257C"/>
    <w:rsid w:val="00B33398"/>
    <w:rsid w:val="00B33DDD"/>
    <w:rsid w:val="00B36132"/>
    <w:rsid w:val="00B3617A"/>
    <w:rsid w:val="00B36214"/>
    <w:rsid w:val="00B36E89"/>
    <w:rsid w:val="00B4062C"/>
    <w:rsid w:val="00B411E4"/>
    <w:rsid w:val="00B42576"/>
    <w:rsid w:val="00B446BF"/>
    <w:rsid w:val="00B44ADE"/>
    <w:rsid w:val="00B453A5"/>
    <w:rsid w:val="00B4597A"/>
    <w:rsid w:val="00B45A8F"/>
    <w:rsid w:val="00B50AB7"/>
    <w:rsid w:val="00B50EDD"/>
    <w:rsid w:val="00B531DA"/>
    <w:rsid w:val="00B55B9F"/>
    <w:rsid w:val="00B570D1"/>
    <w:rsid w:val="00B57E11"/>
    <w:rsid w:val="00B57ECB"/>
    <w:rsid w:val="00B57FB7"/>
    <w:rsid w:val="00B600A7"/>
    <w:rsid w:val="00B600FC"/>
    <w:rsid w:val="00B60473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3E3"/>
    <w:rsid w:val="00B6354C"/>
    <w:rsid w:val="00B635C0"/>
    <w:rsid w:val="00B639AE"/>
    <w:rsid w:val="00B63BC5"/>
    <w:rsid w:val="00B64FE9"/>
    <w:rsid w:val="00B66ADA"/>
    <w:rsid w:val="00B67E26"/>
    <w:rsid w:val="00B70A77"/>
    <w:rsid w:val="00B70FEA"/>
    <w:rsid w:val="00B7208B"/>
    <w:rsid w:val="00B72B19"/>
    <w:rsid w:val="00B7305B"/>
    <w:rsid w:val="00B73F50"/>
    <w:rsid w:val="00B73F56"/>
    <w:rsid w:val="00B7423F"/>
    <w:rsid w:val="00B744FD"/>
    <w:rsid w:val="00B74770"/>
    <w:rsid w:val="00B750B3"/>
    <w:rsid w:val="00B7692B"/>
    <w:rsid w:val="00B772A4"/>
    <w:rsid w:val="00B80B06"/>
    <w:rsid w:val="00B817CC"/>
    <w:rsid w:val="00B82E10"/>
    <w:rsid w:val="00B831BA"/>
    <w:rsid w:val="00B851E2"/>
    <w:rsid w:val="00B85C21"/>
    <w:rsid w:val="00B85F7C"/>
    <w:rsid w:val="00B85F87"/>
    <w:rsid w:val="00B86C71"/>
    <w:rsid w:val="00B87925"/>
    <w:rsid w:val="00B87AC9"/>
    <w:rsid w:val="00B87C77"/>
    <w:rsid w:val="00B92516"/>
    <w:rsid w:val="00B94BD5"/>
    <w:rsid w:val="00B95E56"/>
    <w:rsid w:val="00BA05AF"/>
    <w:rsid w:val="00BA05CB"/>
    <w:rsid w:val="00BA1244"/>
    <w:rsid w:val="00BA1CE0"/>
    <w:rsid w:val="00BA20BF"/>
    <w:rsid w:val="00BA3DCF"/>
    <w:rsid w:val="00BA72B1"/>
    <w:rsid w:val="00BA7DC0"/>
    <w:rsid w:val="00BA7DFB"/>
    <w:rsid w:val="00BB0D2B"/>
    <w:rsid w:val="00BB1F54"/>
    <w:rsid w:val="00BB3C65"/>
    <w:rsid w:val="00BB47D6"/>
    <w:rsid w:val="00BB4BB2"/>
    <w:rsid w:val="00BC0290"/>
    <w:rsid w:val="00BC1675"/>
    <w:rsid w:val="00BC1AA8"/>
    <w:rsid w:val="00BC2F5D"/>
    <w:rsid w:val="00BC3558"/>
    <w:rsid w:val="00BC41DA"/>
    <w:rsid w:val="00BC427A"/>
    <w:rsid w:val="00BC4D62"/>
    <w:rsid w:val="00BC53BD"/>
    <w:rsid w:val="00BC5673"/>
    <w:rsid w:val="00BC5D13"/>
    <w:rsid w:val="00BC62BA"/>
    <w:rsid w:val="00BC6D48"/>
    <w:rsid w:val="00BC7770"/>
    <w:rsid w:val="00BD0705"/>
    <w:rsid w:val="00BD1F1D"/>
    <w:rsid w:val="00BD2328"/>
    <w:rsid w:val="00BD275A"/>
    <w:rsid w:val="00BD2D08"/>
    <w:rsid w:val="00BD2DA1"/>
    <w:rsid w:val="00BD4497"/>
    <w:rsid w:val="00BD46C6"/>
    <w:rsid w:val="00BD4F67"/>
    <w:rsid w:val="00BD5B10"/>
    <w:rsid w:val="00BD62C1"/>
    <w:rsid w:val="00BD6F03"/>
    <w:rsid w:val="00BD713D"/>
    <w:rsid w:val="00BD79F2"/>
    <w:rsid w:val="00BE052F"/>
    <w:rsid w:val="00BE0F84"/>
    <w:rsid w:val="00BE1B70"/>
    <w:rsid w:val="00BE269D"/>
    <w:rsid w:val="00BE26EE"/>
    <w:rsid w:val="00BE2C7E"/>
    <w:rsid w:val="00BE3EBD"/>
    <w:rsid w:val="00BE4D50"/>
    <w:rsid w:val="00BE5580"/>
    <w:rsid w:val="00BE5779"/>
    <w:rsid w:val="00BE681E"/>
    <w:rsid w:val="00BF011D"/>
    <w:rsid w:val="00BF0E04"/>
    <w:rsid w:val="00BF0F38"/>
    <w:rsid w:val="00BF14F4"/>
    <w:rsid w:val="00BF15FE"/>
    <w:rsid w:val="00BF1D74"/>
    <w:rsid w:val="00BF234A"/>
    <w:rsid w:val="00BF28A9"/>
    <w:rsid w:val="00BF2C8B"/>
    <w:rsid w:val="00BF332E"/>
    <w:rsid w:val="00BF3780"/>
    <w:rsid w:val="00BF3E41"/>
    <w:rsid w:val="00BF4F5B"/>
    <w:rsid w:val="00BF54EF"/>
    <w:rsid w:val="00BF7AFA"/>
    <w:rsid w:val="00C00EC9"/>
    <w:rsid w:val="00C013B4"/>
    <w:rsid w:val="00C016BD"/>
    <w:rsid w:val="00C01B45"/>
    <w:rsid w:val="00C02059"/>
    <w:rsid w:val="00C0250F"/>
    <w:rsid w:val="00C02639"/>
    <w:rsid w:val="00C02A7D"/>
    <w:rsid w:val="00C03391"/>
    <w:rsid w:val="00C046B1"/>
    <w:rsid w:val="00C049EB"/>
    <w:rsid w:val="00C0692C"/>
    <w:rsid w:val="00C070B3"/>
    <w:rsid w:val="00C077F1"/>
    <w:rsid w:val="00C07FB5"/>
    <w:rsid w:val="00C1044F"/>
    <w:rsid w:val="00C10A05"/>
    <w:rsid w:val="00C10BA4"/>
    <w:rsid w:val="00C10C88"/>
    <w:rsid w:val="00C12EDB"/>
    <w:rsid w:val="00C13086"/>
    <w:rsid w:val="00C166F9"/>
    <w:rsid w:val="00C179F7"/>
    <w:rsid w:val="00C17A37"/>
    <w:rsid w:val="00C200F7"/>
    <w:rsid w:val="00C209DF"/>
    <w:rsid w:val="00C21058"/>
    <w:rsid w:val="00C21104"/>
    <w:rsid w:val="00C217BA"/>
    <w:rsid w:val="00C21ABF"/>
    <w:rsid w:val="00C229EC"/>
    <w:rsid w:val="00C22F96"/>
    <w:rsid w:val="00C24351"/>
    <w:rsid w:val="00C25E2E"/>
    <w:rsid w:val="00C25F02"/>
    <w:rsid w:val="00C268CF"/>
    <w:rsid w:val="00C26D09"/>
    <w:rsid w:val="00C2764E"/>
    <w:rsid w:val="00C305AE"/>
    <w:rsid w:val="00C307A8"/>
    <w:rsid w:val="00C30E83"/>
    <w:rsid w:val="00C334F9"/>
    <w:rsid w:val="00C3468B"/>
    <w:rsid w:val="00C34A2C"/>
    <w:rsid w:val="00C359BC"/>
    <w:rsid w:val="00C35BF2"/>
    <w:rsid w:val="00C35F99"/>
    <w:rsid w:val="00C37044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76FD"/>
    <w:rsid w:val="00C50A28"/>
    <w:rsid w:val="00C51B7C"/>
    <w:rsid w:val="00C51C29"/>
    <w:rsid w:val="00C52A81"/>
    <w:rsid w:val="00C5433E"/>
    <w:rsid w:val="00C54C3D"/>
    <w:rsid w:val="00C55103"/>
    <w:rsid w:val="00C553B5"/>
    <w:rsid w:val="00C60EE9"/>
    <w:rsid w:val="00C62F85"/>
    <w:rsid w:val="00C63C71"/>
    <w:rsid w:val="00C6435B"/>
    <w:rsid w:val="00C64827"/>
    <w:rsid w:val="00C649B2"/>
    <w:rsid w:val="00C65179"/>
    <w:rsid w:val="00C65929"/>
    <w:rsid w:val="00C67698"/>
    <w:rsid w:val="00C701B3"/>
    <w:rsid w:val="00C706A5"/>
    <w:rsid w:val="00C70A4B"/>
    <w:rsid w:val="00C71138"/>
    <w:rsid w:val="00C72080"/>
    <w:rsid w:val="00C72318"/>
    <w:rsid w:val="00C72E31"/>
    <w:rsid w:val="00C73AF1"/>
    <w:rsid w:val="00C73C35"/>
    <w:rsid w:val="00C744C3"/>
    <w:rsid w:val="00C7506F"/>
    <w:rsid w:val="00C76249"/>
    <w:rsid w:val="00C77FF2"/>
    <w:rsid w:val="00C80E65"/>
    <w:rsid w:val="00C814E3"/>
    <w:rsid w:val="00C823BD"/>
    <w:rsid w:val="00C82FA2"/>
    <w:rsid w:val="00C85227"/>
    <w:rsid w:val="00C85D85"/>
    <w:rsid w:val="00C85F79"/>
    <w:rsid w:val="00C87EFC"/>
    <w:rsid w:val="00C91677"/>
    <w:rsid w:val="00C929CE"/>
    <w:rsid w:val="00C93EAA"/>
    <w:rsid w:val="00C93FD8"/>
    <w:rsid w:val="00C94A80"/>
    <w:rsid w:val="00C94E38"/>
    <w:rsid w:val="00C94F63"/>
    <w:rsid w:val="00C95A6B"/>
    <w:rsid w:val="00C95C1F"/>
    <w:rsid w:val="00C968CC"/>
    <w:rsid w:val="00C96B1D"/>
    <w:rsid w:val="00C976F1"/>
    <w:rsid w:val="00C97B9F"/>
    <w:rsid w:val="00CA482A"/>
    <w:rsid w:val="00CA49CC"/>
    <w:rsid w:val="00CA5870"/>
    <w:rsid w:val="00CA6364"/>
    <w:rsid w:val="00CA6989"/>
    <w:rsid w:val="00CA6E3A"/>
    <w:rsid w:val="00CA6F5A"/>
    <w:rsid w:val="00CA6F70"/>
    <w:rsid w:val="00CA71DA"/>
    <w:rsid w:val="00CA7EF6"/>
    <w:rsid w:val="00CB00C5"/>
    <w:rsid w:val="00CB09C6"/>
    <w:rsid w:val="00CB1696"/>
    <w:rsid w:val="00CB2019"/>
    <w:rsid w:val="00CB2C1A"/>
    <w:rsid w:val="00CB3616"/>
    <w:rsid w:val="00CB3C08"/>
    <w:rsid w:val="00CB3CA9"/>
    <w:rsid w:val="00CB45B8"/>
    <w:rsid w:val="00CB53F3"/>
    <w:rsid w:val="00CB592A"/>
    <w:rsid w:val="00CB6356"/>
    <w:rsid w:val="00CB6AA0"/>
    <w:rsid w:val="00CB76EA"/>
    <w:rsid w:val="00CC30D7"/>
    <w:rsid w:val="00CC3DB6"/>
    <w:rsid w:val="00CC4490"/>
    <w:rsid w:val="00CC5917"/>
    <w:rsid w:val="00CC665B"/>
    <w:rsid w:val="00CC77E4"/>
    <w:rsid w:val="00CD00FA"/>
    <w:rsid w:val="00CD1559"/>
    <w:rsid w:val="00CD1E97"/>
    <w:rsid w:val="00CD1F91"/>
    <w:rsid w:val="00CD259B"/>
    <w:rsid w:val="00CD3A9A"/>
    <w:rsid w:val="00CD3C0D"/>
    <w:rsid w:val="00CD4181"/>
    <w:rsid w:val="00CD4585"/>
    <w:rsid w:val="00CD7B38"/>
    <w:rsid w:val="00CE05B0"/>
    <w:rsid w:val="00CE0A3F"/>
    <w:rsid w:val="00CE24DD"/>
    <w:rsid w:val="00CE25B4"/>
    <w:rsid w:val="00CE27F5"/>
    <w:rsid w:val="00CE2B11"/>
    <w:rsid w:val="00CE4D13"/>
    <w:rsid w:val="00CE5396"/>
    <w:rsid w:val="00CE555C"/>
    <w:rsid w:val="00CE6C38"/>
    <w:rsid w:val="00CE7872"/>
    <w:rsid w:val="00CF0163"/>
    <w:rsid w:val="00CF09A5"/>
    <w:rsid w:val="00CF10DF"/>
    <w:rsid w:val="00CF3082"/>
    <w:rsid w:val="00CF3268"/>
    <w:rsid w:val="00CF3541"/>
    <w:rsid w:val="00CF38B5"/>
    <w:rsid w:val="00CF490A"/>
    <w:rsid w:val="00CF5E47"/>
    <w:rsid w:val="00CF6BB4"/>
    <w:rsid w:val="00CF6E6C"/>
    <w:rsid w:val="00CF6E70"/>
    <w:rsid w:val="00CF7444"/>
    <w:rsid w:val="00D002B7"/>
    <w:rsid w:val="00D00FB0"/>
    <w:rsid w:val="00D035C0"/>
    <w:rsid w:val="00D039D9"/>
    <w:rsid w:val="00D039E6"/>
    <w:rsid w:val="00D03E2E"/>
    <w:rsid w:val="00D04545"/>
    <w:rsid w:val="00D04DAB"/>
    <w:rsid w:val="00D05527"/>
    <w:rsid w:val="00D05A1E"/>
    <w:rsid w:val="00D05E8E"/>
    <w:rsid w:val="00D063DF"/>
    <w:rsid w:val="00D0784E"/>
    <w:rsid w:val="00D1034E"/>
    <w:rsid w:val="00D1059C"/>
    <w:rsid w:val="00D10EF1"/>
    <w:rsid w:val="00D1103E"/>
    <w:rsid w:val="00D1110F"/>
    <w:rsid w:val="00D113DE"/>
    <w:rsid w:val="00D11897"/>
    <w:rsid w:val="00D11FA6"/>
    <w:rsid w:val="00D12F92"/>
    <w:rsid w:val="00D13322"/>
    <w:rsid w:val="00D138F5"/>
    <w:rsid w:val="00D139C9"/>
    <w:rsid w:val="00D13A57"/>
    <w:rsid w:val="00D13B8F"/>
    <w:rsid w:val="00D13E89"/>
    <w:rsid w:val="00D141C7"/>
    <w:rsid w:val="00D16D05"/>
    <w:rsid w:val="00D17130"/>
    <w:rsid w:val="00D17758"/>
    <w:rsid w:val="00D20556"/>
    <w:rsid w:val="00D21428"/>
    <w:rsid w:val="00D22459"/>
    <w:rsid w:val="00D22CE6"/>
    <w:rsid w:val="00D2326A"/>
    <w:rsid w:val="00D23E6D"/>
    <w:rsid w:val="00D23F6C"/>
    <w:rsid w:val="00D243B7"/>
    <w:rsid w:val="00D24C8C"/>
    <w:rsid w:val="00D25B22"/>
    <w:rsid w:val="00D268A1"/>
    <w:rsid w:val="00D26D39"/>
    <w:rsid w:val="00D302B4"/>
    <w:rsid w:val="00D31987"/>
    <w:rsid w:val="00D319FE"/>
    <w:rsid w:val="00D323D1"/>
    <w:rsid w:val="00D33B2C"/>
    <w:rsid w:val="00D33BC0"/>
    <w:rsid w:val="00D33DDC"/>
    <w:rsid w:val="00D34415"/>
    <w:rsid w:val="00D35989"/>
    <w:rsid w:val="00D35B9B"/>
    <w:rsid w:val="00D35EAD"/>
    <w:rsid w:val="00D37DFB"/>
    <w:rsid w:val="00D40078"/>
    <w:rsid w:val="00D4022D"/>
    <w:rsid w:val="00D414F5"/>
    <w:rsid w:val="00D41F51"/>
    <w:rsid w:val="00D454E7"/>
    <w:rsid w:val="00D45527"/>
    <w:rsid w:val="00D46097"/>
    <w:rsid w:val="00D46521"/>
    <w:rsid w:val="00D53275"/>
    <w:rsid w:val="00D54358"/>
    <w:rsid w:val="00D54562"/>
    <w:rsid w:val="00D553C6"/>
    <w:rsid w:val="00D5577E"/>
    <w:rsid w:val="00D55F1F"/>
    <w:rsid w:val="00D5614A"/>
    <w:rsid w:val="00D563AD"/>
    <w:rsid w:val="00D5679E"/>
    <w:rsid w:val="00D567AA"/>
    <w:rsid w:val="00D57F34"/>
    <w:rsid w:val="00D604DA"/>
    <w:rsid w:val="00D62952"/>
    <w:rsid w:val="00D62B1A"/>
    <w:rsid w:val="00D6316F"/>
    <w:rsid w:val="00D63E9A"/>
    <w:rsid w:val="00D641F8"/>
    <w:rsid w:val="00D64A9F"/>
    <w:rsid w:val="00D66AE3"/>
    <w:rsid w:val="00D67390"/>
    <w:rsid w:val="00D673AA"/>
    <w:rsid w:val="00D713A0"/>
    <w:rsid w:val="00D7152A"/>
    <w:rsid w:val="00D720AD"/>
    <w:rsid w:val="00D7233D"/>
    <w:rsid w:val="00D724DC"/>
    <w:rsid w:val="00D741FC"/>
    <w:rsid w:val="00D7524D"/>
    <w:rsid w:val="00D75C4F"/>
    <w:rsid w:val="00D7636E"/>
    <w:rsid w:val="00D76CA5"/>
    <w:rsid w:val="00D76ED3"/>
    <w:rsid w:val="00D77DC1"/>
    <w:rsid w:val="00D77E85"/>
    <w:rsid w:val="00D77F27"/>
    <w:rsid w:val="00D80A2B"/>
    <w:rsid w:val="00D80D6A"/>
    <w:rsid w:val="00D83DDB"/>
    <w:rsid w:val="00D84084"/>
    <w:rsid w:val="00D8421B"/>
    <w:rsid w:val="00D85054"/>
    <w:rsid w:val="00D851B0"/>
    <w:rsid w:val="00D90594"/>
    <w:rsid w:val="00D90AA2"/>
    <w:rsid w:val="00D9112C"/>
    <w:rsid w:val="00D92B4D"/>
    <w:rsid w:val="00D93334"/>
    <w:rsid w:val="00D93A63"/>
    <w:rsid w:val="00D93D3C"/>
    <w:rsid w:val="00D93D73"/>
    <w:rsid w:val="00D93EB1"/>
    <w:rsid w:val="00D9452B"/>
    <w:rsid w:val="00D94ADC"/>
    <w:rsid w:val="00D96AB7"/>
    <w:rsid w:val="00D977C8"/>
    <w:rsid w:val="00DA244B"/>
    <w:rsid w:val="00DA3198"/>
    <w:rsid w:val="00DA380F"/>
    <w:rsid w:val="00DA3867"/>
    <w:rsid w:val="00DA3E9A"/>
    <w:rsid w:val="00DA65F6"/>
    <w:rsid w:val="00DA6F31"/>
    <w:rsid w:val="00DA706E"/>
    <w:rsid w:val="00DA7137"/>
    <w:rsid w:val="00DA7D1B"/>
    <w:rsid w:val="00DB03ED"/>
    <w:rsid w:val="00DB06E9"/>
    <w:rsid w:val="00DB0E7C"/>
    <w:rsid w:val="00DB181D"/>
    <w:rsid w:val="00DB1B17"/>
    <w:rsid w:val="00DB1EDB"/>
    <w:rsid w:val="00DB210F"/>
    <w:rsid w:val="00DB220A"/>
    <w:rsid w:val="00DB2DBE"/>
    <w:rsid w:val="00DB32DE"/>
    <w:rsid w:val="00DB49B6"/>
    <w:rsid w:val="00DB5B40"/>
    <w:rsid w:val="00DB6DA6"/>
    <w:rsid w:val="00DC1302"/>
    <w:rsid w:val="00DC13E1"/>
    <w:rsid w:val="00DC1E47"/>
    <w:rsid w:val="00DC2397"/>
    <w:rsid w:val="00DC3545"/>
    <w:rsid w:val="00DC364B"/>
    <w:rsid w:val="00DC4B35"/>
    <w:rsid w:val="00DC4FBE"/>
    <w:rsid w:val="00DC5A31"/>
    <w:rsid w:val="00DC676B"/>
    <w:rsid w:val="00DD2648"/>
    <w:rsid w:val="00DD2A1E"/>
    <w:rsid w:val="00DD6FD9"/>
    <w:rsid w:val="00DD79E3"/>
    <w:rsid w:val="00DE048F"/>
    <w:rsid w:val="00DE1206"/>
    <w:rsid w:val="00DE215D"/>
    <w:rsid w:val="00DE3C99"/>
    <w:rsid w:val="00DE491D"/>
    <w:rsid w:val="00DE552A"/>
    <w:rsid w:val="00DE5A78"/>
    <w:rsid w:val="00DE5D94"/>
    <w:rsid w:val="00DE7FFC"/>
    <w:rsid w:val="00DF0119"/>
    <w:rsid w:val="00DF171F"/>
    <w:rsid w:val="00DF1AB3"/>
    <w:rsid w:val="00DF1AB5"/>
    <w:rsid w:val="00DF221E"/>
    <w:rsid w:val="00DF369E"/>
    <w:rsid w:val="00DF62C2"/>
    <w:rsid w:val="00DF62E2"/>
    <w:rsid w:val="00E0008D"/>
    <w:rsid w:val="00E009EE"/>
    <w:rsid w:val="00E00A82"/>
    <w:rsid w:val="00E00CDF"/>
    <w:rsid w:val="00E0120D"/>
    <w:rsid w:val="00E01521"/>
    <w:rsid w:val="00E016C4"/>
    <w:rsid w:val="00E0246A"/>
    <w:rsid w:val="00E02A34"/>
    <w:rsid w:val="00E030B1"/>
    <w:rsid w:val="00E03768"/>
    <w:rsid w:val="00E03B67"/>
    <w:rsid w:val="00E040F3"/>
    <w:rsid w:val="00E0420B"/>
    <w:rsid w:val="00E042F5"/>
    <w:rsid w:val="00E07170"/>
    <w:rsid w:val="00E0719F"/>
    <w:rsid w:val="00E07465"/>
    <w:rsid w:val="00E11853"/>
    <w:rsid w:val="00E11BB7"/>
    <w:rsid w:val="00E11D10"/>
    <w:rsid w:val="00E11EBD"/>
    <w:rsid w:val="00E1447C"/>
    <w:rsid w:val="00E1484A"/>
    <w:rsid w:val="00E14DE9"/>
    <w:rsid w:val="00E163A1"/>
    <w:rsid w:val="00E16DF8"/>
    <w:rsid w:val="00E16EEC"/>
    <w:rsid w:val="00E1715A"/>
    <w:rsid w:val="00E204D1"/>
    <w:rsid w:val="00E2206C"/>
    <w:rsid w:val="00E2269E"/>
    <w:rsid w:val="00E234D4"/>
    <w:rsid w:val="00E25030"/>
    <w:rsid w:val="00E265E4"/>
    <w:rsid w:val="00E27CA7"/>
    <w:rsid w:val="00E3029E"/>
    <w:rsid w:val="00E30F1C"/>
    <w:rsid w:val="00E32127"/>
    <w:rsid w:val="00E3351C"/>
    <w:rsid w:val="00E33A89"/>
    <w:rsid w:val="00E3427F"/>
    <w:rsid w:val="00E34506"/>
    <w:rsid w:val="00E345E9"/>
    <w:rsid w:val="00E36F48"/>
    <w:rsid w:val="00E40EFD"/>
    <w:rsid w:val="00E41784"/>
    <w:rsid w:val="00E41E05"/>
    <w:rsid w:val="00E41E0C"/>
    <w:rsid w:val="00E42A8D"/>
    <w:rsid w:val="00E44128"/>
    <w:rsid w:val="00E442A1"/>
    <w:rsid w:val="00E443E4"/>
    <w:rsid w:val="00E45315"/>
    <w:rsid w:val="00E45773"/>
    <w:rsid w:val="00E461FA"/>
    <w:rsid w:val="00E477A6"/>
    <w:rsid w:val="00E47D6F"/>
    <w:rsid w:val="00E50D58"/>
    <w:rsid w:val="00E5131F"/>
    <w:rsid w:val="00E5224B"/>
    <w:rsid w:val="00E531E7"/>
    <w:rsid w:val="00E53AD3"/>
    <w:rsid w:val="00E543BB"/>
    <w:rsid w:val="00E555EA"/>
    <w:rsid w:val="00E556A6"/>
    <w:rsid w:val="00E55C95"/>
    <w:rsid w:val="00E55FB3"/>
    <w:rsid w:val="00E56009"/>
    <w:rsid w:val="00E56675"/>
    <w:rsid w:val="00E571CC"/>
    <w:rsid w:val="00E57400"/>
    <w:rsid w:val="00E60F25"/>
    <w:rsid w:val="00E619E4"/>
    <w:rsid w:val="00E61B27"/>
    <w:rsid w:val="00E627F6"/>
    <w:rsid w:val="00E62E41"/>
    <w:rsid w:val="00E638BD"/>
    <w:rsid w:val="00E640FA"/>
    <w:rsid w:val="00E6458A"/>
    <w:rsid w:val="00E66872"/>
    <w:rsid w:val="00E67510"/>
    <w:rsid w:val="00E67EE4"/>
    <w:rsid w:val="00E7052B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794"/>
    <w:rsid w:val="00E74ADC"/>
    <w:rsid w:val="00E7611D"/>
    <w:rsid w:val="00E7678D"/>
    <w:rsid w:val="00E772C0"/>
    <w:rsid w:val="00E8457A"/>
    <w:rsid w:val="00E85462"/>
    <w:rsid w:val="00E85929"/>
    <w:rsid w:val="00E865C9"/>
    <w:rsid w:val="00E870DB"/>
    <w:rsid w:val="00E87D24"/>
    <w:rsid w:val="00E905BD"/>
    <w:rsid w:val="00E9062C"/>
    <w:rsid w:val="00E90BFC"/>
    <w:rsid w:val="00E92BE9"/>
    <w:rsid w:val="00E92F9F"/>
    <w:rsid w:val="00E94716"/>
    <w:rsid w:val="00E9473C"/>
    <w:rsid w:val="00E94AC2"/>
    <w:rsid w:val="00E95525"/>
    <w:rsid w:val="00E959E8"/>
    <w:rsid w:val="00E96060"/>
    <w:rsid w:val="00E96E14"/>
    <w:rsid w:val="00E9702D"/>
    <w:rsid w:val="00E974FA"/>
    <w:rsid w:val="00E97A41"/>
    <w:rsid w:val="00EA0137"/>
    <w:rsid w:val="00EA1D6D"/>
    <w:rsid w:val="00EA1EEC"/>
    <w:rsid w:val="00EA2018"/>
    <w:rsid w:val="00EA205A"/>
    <w:rsid w:val="00EA3825"/>
    <w:rsid w:val="00EA3C3C"/>
    <w:rsid w:val="00EA4C22"/>
    <w:rsid w:val="00EA5580"/>
    <w:rsid w:val="00EA57D0"/>
    <w:rsid w:val="00EA7737"/>
    <w:rsid w:val="00EA79FB"/>
    <w:rsid w:val="00EB078A"/>
    <w:rsid w:val="00EB0D9D"/>
    <w:rsid w:val="00EB1F10"/>
    <w:rsid w:val="00EB284E"/>
    <w:rsid w:val="00EB2A0A"/>
    <w:rsid w:val="00EB2FF9"/>
    <w:rsid w:val="00EB35F3"/>
    <w:rsid w:val="00EB409B"/>
    <w:rsid w:val="00EB41C4"/>
    <w:rsid w:val="00EB4313"/>
    <w:rsid w:val="00EB5488"/>
    <w:rsid w:val="00EB54B3"/>
    <w:rsid w:val="00EB5745"/>
    <w:rsid w:val="00EB5E7C"/>
    <w:rsid w:val="00EB61C0"/>
    <w:rsid w:val="00EB676E"/>
    <w:rsid w:val="00EB68B6"/>
    <w:rsid w:val="00EB6BE8"/>
    <w:rsid w:val="00EB6C77"/>
    <w:rsid w:val="00EB752B"/>
    <w:rsid w:val="00EC04CA"/>
    <w:rsid w:val="00EC0C5E"/>
    <w:rsid w:val="00EC1D43"/>
    <w:rsid w:val="00EC42FA"/>
    <w:rsid w:val="00EC5534"/>
    <w:rsid w:val="00EC578A"/>
    <w:rsid w:val="00EC6555"/>
    <w:rsid w:val="00EC6F5C"/>
    <w:rsid w:val="00EC7546"/>
    <w:rsid w:val="00EC75B2"/>
    <w:rsid w:val="00EC7956"/>
    <w:rsid w:val="00ED0791"/>
    <w:rsid w:val="00ED0ED5"/>
    <w:rsid w:val="00ED2CEA"/>
    <w:rsid w:val="00ED2D83"/>
    <w:rsid w:val="00ED3373"/>
    <w:rsid w:val="00ED602D"/>
    <w:rsid w:val="00ED6E53"/>
    <w:rsid w:val="00ED7023"/>
    <w:rsid w:val="00ED71A4"/>
    <w:rsid w:val="00EE0397"/>
    <w:rsid w:val="00EE0655"/>
    <w:rsid w:val="00EE1923"/>
    <w:rsid w:val="00EE3490"/>
    <w:rsid w:val="00EE571A"/>
    <w:rsid w:val="00EE7131"/>
    <w:rsid w:val="00EE7955"/>
    <w:rsid w:val="00EF0475"/>
    <w:rsid w:val="00EF136E"/>
    <w:rsid w:val="00EF1E54"/>
    <w:rsid w:val="00EF24E6"/>
    <w:rsid w:val="00EF2C03"/>
    <w:rsid w:val="00EF2FA6"/>
    <w:rsid w:val="00EF2FFA"/>
    <w:rsid w:val="00EF3BCC"/>
    <w:rsid w:val="00EF4D2C"/>
    <w:rsid w:val="00EF5A96"/>
    <w:rsid w:val="00EF772F"/>
    <w:rsid w:val="00F04758"/>
    <w:rsid w:val="00F05015"/>
    <w:rsid w:val="00F06A6A"/>
    <w:rsid w:val="00F06B39"/>
    <w:rsid w:val="00F06F28"/>
    <w:rsid w:val="00F07166"/>
    <w:rsid w:val="00F078CD"/>
    <w:rsid w:val="00F10829"/>
    <w:rsid w:val="00F109BA"/>
    <w:rsid w:val="00F11462"/>
    <w:rsid w:val="00F119B5"/>
    <w:rsid w:val="00F12B69"/>
    <w:rsid w:val="00F16BDC"/>
    <w:rsid w:val="00F17B9D"/>
    <w:rsid w:val="00F201E7"/>
    <w:rsid w:val="00F20644"/>
    <w:rsid w:val="00F20E5B"/>
    <w:rsid w:val="00F21FD0"/>
    <w:rsid w:val="00F2296F"/>
    <w:rsid w:val="00F23039"/>
    <w:rsid w:val="00F24882"/>
    <w:rsid w:val="00F24E95"/>
    <w:rsid w:val="00F27A8A"/>
    <w:rsid w:val="00F33CBB"/>
    <w:rsid w:val="00F35575"/>
    <w:rsid w:val="00F3570E"/>
    <w:rsid w:val="00F35DBC"/>
    <w:rsid w:val="00F3620D"/>
    <w:rsid w:val="00F372EB"/>
    <w:rsid w:val="00F37379"/>
    <w:rsid w:val="00F37422"/>
    <w:rsid w:val="00F406EF"/>
    <w:rsid w:val="00F409B1"/>
    <w:rsid w:val="00F40FCE"/>
    <w:rsid w:val="00F40FEE"/>
    <w:rsid w:val="00F41B9B"/>
    <w:rsid w:val="00F430E6"/>
    <w:rsid w:val="00F44BD0"/>
    <w:rsid w:val="00F44CD1"/>
    <w:rsid w:val="00F4574D"/>
    <w:rsid w:val="00F45C72"/>
    <w:rsid w:val="00F45E1C"/>
    <w:rsid w:val="00F469DA"/>
    <w:rsid w:val="00F477FE"/>
    <w:rsid w:val="00F50003"/>
    <w:rsid w:val="00F50CB9"/>
    <w:rsid w:val="00F52F0C"/>
    <w:rsid w:val="00F53CD4"/>
    <w:rsid w:val="00F5423D"/>
    <w:rsid w:val="00F556FF"/>
    <w:rsid w:val="00F56124"/>
    <w:rsid w:val="00F566D3"/>
    <w:rsid w:val="00F5750F"/>
    <w:rsid w:val="00F57895"/>
    <w:rsid w:val="00F6021D"/>
    <w:rsid w:val="00F60885"/>
    <w:rsid w:val="00F60DDE"/>
    <w:rsid w:val="00F61D79"/>
    <w:rsid w:val="00F625E1"/>
    <w:rsid w:val="00F6278E"/>
    <w:rsid w:val="00F628B0"/>
    <w:rsid w:val="00F62B6E"/>
    <w:rsid w:val="00F65398"/>
    <w:rsid w:val="00F654BE"/>
    <w:rsid w:val="00F656E6"/>
    <w:rsid w:val="00F65FAF"/>
    <w:rsid w:val="00F663A6"/>
    <w:rsid w:val="00F66680"/>
    <w:rsid w:val="00F66E42"/>
    <w:rsid w:val="00F671C6"/>
    <w:rsid w:val="00F70F2A"/>
    <w:rsid w:val="00F70FE5"/>
    <w:rsid w:val="00F71ED3"/>
    <w:rsid w:val="00F727CB"/>
    <w:rsid w:val="00F733C9"/>
    <w:rsid w:val="00F752D4"/>
    <w:rsid w:val="00F766B2"/>
    <w:rsid w:val="00F76B9D"/>
    <w:rsid w:val="00F80F35"/>
    <w:rsid w:val="00F811D5"/>
    <w:rsid w:val="00F81337"/>
    <w:rsid w:val="00F81E59"/>
    <w:rsid w:val="00F82FA0"/>
    <w:rsid w:val="00F8335D"/>
    <w:rsid w:val="00F83AD4"/>
    <w:rsid w:val="00F83EC5"/>
    <w:rsid w:val="00F8477B"/>
    <w:rsid w:val="00F86A23"/>
    <w:rsid w:val="00F86EAC"/>
    <w:rsid w:val="00F86FF5"/>
    <w:rsid w:val="00F90C09"/>
    <w:rsid w:val="00F90E31"/>
    <w:rsid w:val="00F93158"/>
    <w:rsid w:val="00F9424E"/>
    <w:rsid w:val="00F95AB9"/>
    <w:rsid w:val="00F960F0"/>
    <w:rsid w:val="00F96227"/>
    <w:rsid w:val="00FA00D7"/>
    <w:rsid w:val="00FA110B"/>
    <w:rsid w:val="00FA12E0"/>
    <w:rsid w:val="00FA1489"/>
    <w:rsid w:val="00FA174F"/>
    <w:rsid w:val="00FA1EC3"/>
    <w:rsid w:val="00FA28B5"/>
    <w:rsid w:val="00FA2D27"/>
    <w:rsid w:val="00FA2E00"/>
    <w:rsid w:val="00FA2E08"/>
    <w:rsid w:val="00FA3097"/>
    <w:rsid w:val="00FA338A"/>
    <w:rsid w:val="00FA33E5"/>
    <w:rsid w:val="00FA37C6"/>
    <w:rsid w:val="00FA3D42"/>
    <w:rsid w:val="00FA52FF"/>
    <w:rsid w:val="00FA5F0F"/>
    <w:rsid w:val="00FA5F3D"/>
    <w:rsid w:val="00FB3249"/>
    <w:rsid w:val="00FB444E"/>
    <w:rsid w:val="00FB45CC"/>
    <w:rsid w:val="00FB52FD"/>
    <w:rsid w:val="00FB5856"/>
    <w:rsid w:val="00FB5EC3"/>
    <w:rsid w:val="00FB6069"/>
    <w:rsid w:val="00FB60D3"/>
    <w:rsid w:val="00FB6658"/>
    <w:rsid w:val="00FB6CFF"/>
    <w:rsid w:val="00FB7CD3"/>
    <w:rsid w:val="00FC12D6"/>
    <w:rsid w:val="00FC1B5B"/>
    <w:rsid w:val="00FC2160"/>
    <w:rsid w:val="00FC2218"/>
    <w:rsid w:val="00FC2BA0"/>
    <w:rsid w:val="00FC336F"/>
    <w:rsid w:val="00FC370A"/>
    <w:rsid w:val="00FC4BB0"/>
    <w:rsid w:val="00FC4E57"/>
    <w:rsid w:val="00FC7126"/>
    <w:rsid w:val="00FC7143"/>
    <w:rsid w:val="00FC7C7F"/>
    <w:rsid w:val="00FD118E"/>
    <w:rsid w:val="00FD2441"/>
    <w:rsid w:val="00FD3616"/>
    <w:rsid w:val="00FD3A4D"/>
    <w:rsid w:val="00FD44AB"/>
    <w:rsid w:val="00FD4A4B"/>
    <w:rsid w:val="00FD511B"/>
    <w:rsid w:val="00FD5C41"/>
    <w:rsid w:val="00FD5E2D"/>
    <w:rsid w:val="00FD7AD8"/>
    <w:rsid w:val="00FD7BFC"/>
    <w:rsid w:val="00FD7C67"/>
    <w:rsid w:val="00FD7CAB"/>
    <w:rsid w:val="00FE0E04"/>
    <w:rsid w:val="00FE0FCA"/>
    <w:rsid w:val="00FE12F6"/>
    <w:rsid w:val="00FE1AEA"/>
    <w:rsid w:val="00FE20AE"/>
    <w:rsid w:val="00FE3CBE"/>
    <w:rsid w:val="00FE416E"/>
    <w:rsid w:val="00FE4BDD"/>
    <w:rsid w:val="00FE5443"/>
    <w:rsid w:val="00FE639A"/>
    <w:rsid w:val="00FE6B1B"/>
    <w:rsid w:val="00FF1F1D"/>
    <w:rsid w:val="00FF2FF6"/>
    <w:rsid w:val="00FF31FB"/>
    <w:rsid w:val="00FF34FD"/>
    <w:rsid w:val="00FF392F"/>
    <w:rsid w:val="00FF44FD"/>
    <w:rsid w:val="00FF53E4"/>
    <w:rsid w:val="00FF5A3D"/>
    <w:rsid w:val="00FF662E"/>
    <w:rsid w:val="00FF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Conjoncture\resultatseECM(trim1-08-trim2-2016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Conjoncture\resultatseECM(trim1-08-trim2-2016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Conjoncture\resultatseECM(trim1-08-trim2-2016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Conjoncture\resultatseECM(trim1-08-trim2-2016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Conjoncture\resultatseECM(trim1-08-trim2-2016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Conjoncture\resultatseECM(trim1-08-trim2-2016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Evolution de l'Indice de Confiance des Ménages</a:t>
            </a:r>
            <a:endParaRPr lang="fr-FR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'graphe fr'!$A$17</c:f>
              <c:strCache>
                <c:ptCount val="1"/>
                <c:pt idx="0">
                  <c:v>ICM</c:v>
                </c:pt>
              </c:strCache>
            </c:strRef>
          </c:tx>
          <c:dLbls>
            <c:dLbl>
              <c:idx val="30"/>
              <c:layout/>
              <c:showVal val="1"/>
            </c:dLbl>
            <c:dLbl>
              <c:idx val="33"/>
              <c:layout>
                <c:manualLayout>
                  <c:x val="-1.4999640035427211E-3"/>
                  <c:y val="-3.444738343049856E-3"/>
                </c:manualLayout>
              </c:layout>
              <c:showVal val="1"/>
            </c:dLbl>
            <c:dLbl>
              <c:idx val="34"/>
              <c:layout>
                <c:manualLayout>
                  <c:x val="1.4884116521369339E-2"/>
                  <c:y val="-4.8614487117160949E-3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700"/>
                </a:pPr>
                <a:endParaRPr lang="fr-FR"/>
              </a:p>
            </c:txPr>
          </c:dLbls>
          <c:cat>
            <c:strRef>
              <c:f>'graphe fr'!$B$8:$AJ$8</c:f>
              <c:strCache>
                <c:ptCount val="3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</c:strCache>
            </c:strRef>
          </c:cat>
          <c:val>
            <c:numRef>
              <c:f>'graphe fr'!$B$17:$AJ$17</c:f>
              <c:numCache>
                <c:formatCode>#,##0.0</c:formatCode>
                <c:ptCount val="35"/>
                <c:pt idx="0">
                  <c:v>85.866502294191648</c:v>
                </c:pt>
                <c:pt idx="1">
                  <c:v>77.678707955853</c:v>
                </c:pt>
                <c:pt idx="2">
                  <c:v>75.552480635756339</c:v>
                </c:pt>
                <c:pt idx="3">
                  <c:v>80.13688403490444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80.136086093619099</c:v>
                </c:pt>
                <c:pt idx="9">
                  <c:v>78.833388330574152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78.406406130604736</c:v>
                </c:pt>
                <c:pt idx="13">
                  <c:v>85.789532632532527</c:v>
                </c:pt>
                <c:pt idx="14">
                  <c:v>86.506225251482533</c:v>
                </c:pt>
                <c:pt idx="15">
                  <c:v>84.477214694877162</c:v>
                </c:pt>
                <c:pt idx="16">
                  <c:v>82.88047854282145</c:v>
                </c:pt>
                <c:pt idx="17">
                  <c:v>80.673652783725359</c:v>
                </c:pt>
                <c:pt idx="18">
                  <c:v>77.553867036569287</c:v>
                </c:pt>
                <c:pt idx="19">
                  <c:v>78.403353681349643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74.014553099961674</c:v>
                </c:pt>
                <c:pt idx="26">
                  <c:v>73.148145370690258</c:v>
                </c:pt>
                <c:pt idx="27">
                  <c:v>71.58346000365367</c:v>
                </c:pt>
                <c:pt idx="28">
                  <c:v>73.659282965035374</c:v>
                </c:pt>
                <c:pt idx="29">
                  <c:v>76.126311562996065</c:v>
                </c:pt>
                <c:pt idx="30">
                  <c:v>76.315005733685908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73.803880150053644</c:v>
                </c:pt>
              </c:numCache>
            </c:numRef>
          </c:val>
        </c:ser>
        <c:axId val="87465984"/>
        <c:axId val="87671552"/>
      </c:barChart>
      <c:catAx>
        <c:axId val="87465984"/>
        <c:scaling>
          <c:orientation val="minMax"/>
        </c:scaling>
        <c:axPos val="b"/>
        <c:tickLblPos val="nextTo"/>
        <c:crossAx val="87671552"/>
        <c:crosses val="autoZero"/>
        <c:auto val="1"/>
        <c:lblAlgn val="ctr"/>
        <c:lblOffset val="100"/>
      </c:catAx>
      <c:valAx>
        <c:axId val="87671552"/>
        <c:scaling>
          <c:orientation val="minMax"/>
        </c:scaling>
        <c:axPos val="l"/>
        <c:numFmt formatCode="#,##0" sourceLinked="0"/>
        <c:tickLblPos val="nextTo"/>
        <c:crossAx val="8746598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fr-FR" sz="1400" b="1" i="0" baseline="0"/>
              <a:t>Perception de l'évolution passée et future du niveau de vie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 fr'!$A$10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 fr'!$B$8:$AJ$8</c:f>
              <c:strCache>
                <c:ptCount val="3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</c:strCache>
            </c:strRef>
          </c:cat>
          <c:val>
            <c:numRef>
              <c:f>'graphe fr'!$B$10:$AJ$10</c:f>
              <c:numCache>
                <c:formatCode>#,##0.0</c:formatCode>
                <c:ptCount val="35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-31.141291421499737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-25.723634629572999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-37.236760344983416</c:v>
                </c:pt>
                <c:pt idx="12">
                  <c:v>-26.050959167650049</c:v>
                </c:pt>
                <c:pt idx="13">
                  <c:v>-16.961438303130876</c:v>
                </c:pt>
                <c:pt idx="14">
                  <c:v>-13.439142519852018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-28.088708351168666</c:v>
                </c:pt>
                <c:pt idx="20">
                  <c:v>-29.212341127418195</c:v>
                </c:pt>
                <c:pt idx="21">
                  <c:v>-23.102864483982078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-17.38759050677562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 formatCode="###0.0">
                  <c:v>-22.864633579953779</c:v>
                </c:pt>
                <c:pt idx="33" formatCode="###0.0">
                  <c:v>-15.196177330129153</c:v>
                </c:pt>
                <c:pt idx="34" formatCode="0.0">
                  <c:v>-17.372021059071617</c:v>
                </c:pt>
              </c:numCache>
            </c:numRef>
          </c:val>
        </c:ser>
        <c:ser>
          <c:idx val="1"/>
          <c:order val="1"/>
          <c:tx>
            <c:strRef>
              <c:f>'graphe fr'!$A$11</c:f>
              <c:strCache>
                <c:ptCount val="1"/>
                <c:pt idx="0">
                  <c:v>Evolution future du niveau de vie</c:v>
                </c:pt>
              </c:strCache>
            </c:strRef>
          </c:tx>
          <c:cat>
            <c:strRef>
              <c:f>'graphe fr'!$B$8:$AJ$8</c:f>
              <c:strCache>
                <c:ptCount val="3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</c:strCache>
            </c:strRef>
          </c:cat>
          <c:val>
            <c:numRef>
              <c:f>'graphe fr'!$B$11:$AJ$11</c:f>
              <c:numCache>
                <c:formatCode>#,##0.0</c:formatCode>
                <c:ptCount val="35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8.4334302751112922E-2</c:v>
                </c:pt>
                <c:pt idx="7">
                  <c:v>2.1853913991610052</c:v>
                </c:pt>
                <c:pt idx="8">
                  <c:v>0.39154986438085659</c:v>
                </c:pt>
                <c:pt idx="9">
                  <c:v>2.7314646872285109</c:v>
                </c:pt>
                <c:pt idx="10">
                  <c:v>0.19418325799955108</c:v>
                </c:pt>
                <c:pt idx="11">
                  <c:v>-11.371112777150765</c:v>
                </c:pt>
                <c:pt idx="12">
                  <c:v>-1.8875512037963251</c:v>
                </c:pt>
                <c:pt idx="13">
                  <c:v>18.132139936578795</c:v>
                </c:pt>
                <c:pt idx="14">
                  <c:v>11.870106120928295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-4.2068608448306462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-11.389732068783612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-12.67242933641776</c:v>
                </c:pt>
                <c:pt idx="28">
                  <c:v>-8.8537661336825266</c:v>
                </c:pt>
                <c:pt idx="29">
                  <c:v>-7.2727206831161828</c:v>
                </c:pt>
                <c:pt idx="30">
                  <c:v>-7.7131091840762114</c:v>
                </c:pt>
                <c:pt idx="31">
                  <c:v>-8.0828133778612727</c:v>
                </c:pt>
                <c:pt idx="32" formatCode="###0.0">
                  <c:v>-14.22824639578895</c:v>
                </c:pt>
                <c:pt idx="33" formatCode="###0.0">
                  <c:v>-7.5906192549525784</c:v>
                </c:pt>
                <c:pt idx="34" formatCode="0.0">
                  <c:v>-7.0591296227720894</c:v>
                </c:pt>
              </c:numCache>
            </c:numRef>
          </c:val>
        </c:ser>
        <c:marker val="1"/>
        <c:axId val="103810176"/>
        <c:axId val="103847040"/>
      </c:lineChart>
      <c:catAx>
        <c:axId val="103810176"/>
        <c:scaling>
          <c:orientation val="minMax"/>
        </c:scaling>
        <c:axPos val="t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03847040"/>
        <c:crosses val="max"/>
        <c:auto val="1"/>
        <c:lblAlgn val="ctr"/>
        <c:lblOffset val="100"/>
      </c:catAx>
      <c:valAx>
        <c:axId val="103847040"/>
        <c:scaling>
          <c:orientation val="minMax"/>
        </c:scaling>
        <c:axPos val="l"/>
        <c:majorGridlines/>
        <c:numFmt formatCode="#,##0" sourceLinked="0"/>
        <c:majorTickMark val="in"/>
        <c:tickLblPos val="nextTo"/>
        <c:spPr>
          <a:ln w="9525">
            <a:noFill/>
          </a:ln>
        </c:spPr>
        <c:crossAx val="10381017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Pr>
        <a:bodyPr/>
        <a:lstStyle/>
        <a:p>
          <a:pPr>
            <a:defRPr sz="1400"/>
          </a:pPr>
          <a:endParaRPr lang="fr-FR"/>
        </a:p>
      </c:txPr>
    </c:title>
    <c:plotArea>
      <c:layout/>
      <c:lineChart>
        <c:grouping val="standard"/>
        <c:ser>
          <c:idx val="0"/>
          <c:order val="0"/>
          <c:tx>
            <c:strRef>
              <c:f>'graphe fr'!$A$9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'graphe fr'!$B$8:$AJ$8</c:f>
              <c:strCache>
                <c:ptCount val="3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</c:strCache>
            </c:strRef>
          </c:cat>
          <c:val>
            <c:numRef>
              <c:f>'graphe fr'!$B$9:$AJ$9</c:f>
              <c:numCache>
                <c:formatCode>#,##0.0</c:formatCode>
                <c:ptCount val="35"/>
                <c:pt idx="0">
                  <c:v>-52.095692279179225</c:v>
                </c:pt>
                <c:pt idx="1">
                  <c:v>-56.60129766929326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-57.930600458568449</c:v>
                </c:pt>
                <c:pt idx="7">
                  <c:v>-57.517749523976491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-52.335316844022479</c:v>
                </c:pt>
                <c:pt idx="12">
                  <c:v>-52.408437207990346</c:v>
                </c:pt>
                <c:pt idx="13">
                  <c:v>-45.982278486233447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-66.49396988110928</c:v>
                </c:pt>
                <c:pt idx="26">
                  <c:v>-68.825577821249837</c:v>
                </c:pt>
                <c:pt idx="27">
                  <c:v>-68.019160185663324</c:v>
                </c:pt>
                <c:pt idx="28">
                  <c:v>-65.155740215393578</c:v>
                </c:pt>
                <c:pt idx="29">
                  <c:v>-67.056481822589561</c:v>
                </c:pt>
                <c:pt idx="30">
                  <c:v>-66.189276460398091</c:v>
                </c:pt>
                <c:pt idx="31">
                  <c:v>-64.100777949741698</c:v>
                </c:pt>
                <c:pt idx="32" formatCode="###0.0">
                  <c:v>-67.734442836360898</c:v>
                </c:pt>
                <c:pt idx="33" formatCode="###0.0">
                  <c:v>-68.976178952187624</c:v>
                </c:pt>
                <c:pt idx="34" formatCode="0.0">
                  <c:v>-70.661209769606245</c:v>
                </c:pt>
              </c:numCache>
            </c:numRef>
          </c:val>
        </c:ser>
        <c:marker val="1"/>
        <c:axId val="116257536"/>
        <c:axId val="116277248"/>
      </c:lineChart>
      <c:catAx>
        <c:axId val="116257536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16277248"/>
        <c:crosses val="autoZero"/>
        <c:auto val="1"/>
        <c:lblAlgn val="ctr"/>
        <c:lblOffset val="100"/>
      </c:catAx>
      <c:valAx>
        <c:axId val="116277248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16257536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200"/>
            </a:pPr>
            <a:r>
              <a:rPr lang="en-US" sz="1200" b="1" i="0" baseline="0"/>
              <a:t>Perceptions par les ménages de l'opportunité d'achat des biens durables</a:t>
            </a:r>
            <a:r>
              <a:rPr lang="fr-FR" sz="1200" b="1" i="0" baseline="0"/>
              <a:t> </a:t>
            </a:r>
            <a:endParaRPr lang="fr-FR" sz="12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 fr'!$A$12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'graphe fr'!$B$8:$AJ$8</c:f>
              <c:strCache>
                <c:ptCount val="3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</c:strCache>
            </c:strRef>
          </c:cat>
          <c:val>
            <c:numRef>
              <c:f>'graphe fr'!$B$12:$AJ$12</c:f>
              <c:numCache>
                <c:formatCode>#,##0.0</c:formatCode>
                <c:ptCount val="35"/>
                <c:pt idx="0">
                  <c:v>-30.018449770831779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-41.765350509033958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-34.756506471721551</c:v>
                </c:pt>
                <c:pt idx="9">
                  <c:v>-37.532519098271877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-39.860076277616734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-37.388587169100468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-28.348240299081688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-37.509325471422436</c:v>
                </c:pt>
                <c:pt idx="32" formatCode="###0.0">
                  <c:v>-40.239810197161113</c:v>
                </c:pt>
                <c:pt idx="33" formatCode="###0.0">
                  <c:v>-34.794169125290885</c:v>
                </c:pt>
                <c:pt idx="34" formatCode="0.0">
                  <c:v>-40.511458517814845</c:v>
                </c:pt>
              </c:numCache>
            </c:numRef>
          </c:val>
        </c:ser>
        <c:marker val="1"/>
        <c:axId val="117369856"/>
        <c:axId val="87175552"/>
      </c:lineChart>
      <c:catAx>
        <c:axId val="117369856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87175552"/>
        <c:crosses val="autoZero"/>
        <c:auto val="1"/>
        <c:lblAlgn val="ctr"/>
        <c:lblOffset val="100"/>
      </c:catAx>
      <c:valAx>
        <c:axId val="87175552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17369856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fr-FR" sz="1400" b="1" i="0" baseline="0"/>
              <a:t>Perceptions  par les ménages de leurs situations financières</a:t>
            </a:r>
            <a:endParaRPr lang="fr-FR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 fr'!$A$13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 fr'!$B$8:$AJ$8</c:f>
              <c:strCache>
                <c:ptCount val="3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</c:strCache>
            </c:strRef>
          </c:cat>
          <c:val>
            <c:numRef>
              <c:f>'graphe fr'!$B$13:$AJ$13</c:f>
              <c:numCache>
                <c:formatCode>#,##0.0</c:formatCode>
                <c:ptCount val="35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-28.062624892496306</c:v>
                </c:pt>
                <c:pt idx="12">
                  <c:v>-30.645498931903724</c:v>
                </c:pt>
                <c:pt idx="13">
                  <c:v>-27.09254988944431</c:v>
                </c:pt>
                <c:pt idx="14">
                  <c:v>-24.28899054728441</c:v>
                </c:pt>
                <c:pt idx="15">
                  <c:v>-25.669712181349723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-30.846093343724192</c:v>
                </c:pt>
                <c:pt idx="19">
                  <c:v>-29.42696669186126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-29.484131282651212</c:v>
                </c:pt>
                <c:pt idx="23">
                  <c:v>-29.485585569479948</c:v>
                </c:pt>
                <c:pt idx="24">
                  <c:v>-31.290770339915039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-30.637429411694058</c:v>
                </c:pt>
                <c:pt idx="28">
                  <c:v>-32.404955656558201</c:v>
                </c:pt>
                <c:pt idx="29">
                  <c:v>-27.991516068681911</c:v>
                </c:pt>
                <c:pt idx="30">
                  <c:v>-25.071467645625653</c:v>
                </c:pt>
                <c:pt idx="31">
                  <c:v>-25.699936983325863</c:v>
                </c:pt>
                <c:pt idx="32" formatCode="###0.0">
                  <c:v>-27.23268621238141</c:v>
                </c:pt>
                <c:pt idx="33" formatCode="###0.0">
                  <c:v>-22.997618165471859</c:v>
                </c:pt>
                <c:pt idx="34" formatCode="0.0">
                  <c:v>-25.745867881695627</c:v>
                </c:pt>
              </c:numCache>
            </c:numRef>
          </c:val>
        </c:ser>
        <c:ser>
          <c:idx val="1"/>
          <c:order val="1"/>
          <c:tx>
            <c:strRef>
              <c:f>'graphe fr'!$A$14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cat>
            <c:strRef>
              <c:f>'graphe fr'!$B$8:$AJ$8</c:f>
              <c:strCache>
                <c:ptCount val="3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</c:strCache>
            </c:strRef>
          </c:cat>
          <c:val>
            <c:numRef>
              <c:f>'graphe fr'!$B$14:$AJ$14</c:f>
              <c:numCache>
                <c:formatCode>#,##0.0</c:formatCode>
                <c:ptCount val="35"/>
                <c:pt idx="0">
                  <c:v>-11.760493904860514</c:v>
                </c:pt>
                <c:pt idx="1">
                  <c:v>-11.376439540974179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-18.438210074457352</c:v>
                </c:pt>
                <c:pt idx="5">
                  <c:v>-13.353492384896768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-9.8004349690184096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-21.891965579068511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-29.150994705705727</c:v>
                </c:pt>
                <c:pt idx="28">
                  <c:v>-26.965288381475759</c:v>
                </c:pt>
                <c:pt idx="29">
                  <c:v>-20.216971341645095</c:v>
                </c:pt>
                <c:pt idx="30">
                  <c:v>-20.789363149769269</c:v>
                </c:pt>
                <c:pt idx="31">
                  <c:v>-18.50333400384844</c:v>
                </c:pt>
                <c:pt idx="32" formatCode="###0.0">
                  <c:v>-27.398022856415214</c:v>
                </c:pt>
                <c:pt idx="33" formatCode="###0.0">
                  <c:v>-22.820131487915329</c:v>
                </c:pt>
                <c:pt idx="34" formatCode="0.0">
                  <c:v>-26.987361336961179</c:v>
                </c:pt>
              </c:numCache>
            </c:numRef>
          </c:val>
        </c:ser>
        <c:ser>
          <c:idx val="2"/>
          <c:order val="2"/>
          <c:tx>
            <c:strRef>
              <c:f>'graphe fr'!$A$15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cat>
            <c:strRef>
              <c:f>'graphe fr'!$B$8:$AJ$8</c:f>
              <c:strCache>
                <c:ptCount val="3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</c:strCache>
            </c:strRef>
          </c:cat>
          <c:val>
            <c:numRef>
              <c:f>'graphe fr'!$B$15:$AJ$15</c:f>
              <c:numCache>
                <c:formatCode>#,##0.0</c:formatCode>
                <c:ptCount val="35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26.705941849103176</c:v>
                </c:pt>
                <c:pt idx="4">
                  <c:v>26.769154239001917</c:v>
                </c:pt>
                <c:pt idx="5">
                  <c:v>21.986954089697061</c:v>
                </c:pt>
                <c:pt idx="6">
                  <c:v>17.532817766676505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11.776375704730496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11.230833640450323</c:v>
                </c:pt>
                <c:pt idx="17">
                  <c:v>11.136340416980383</c:v>
                </c:pt>
                <c:pt idx="18">
                  <c:v>7.6658451594012931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-1.7003971659207207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-3.9139038482871591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 formatCode="###0.0">
                  <c:v>1.2373351928093996</c:v>
                </c:pt>
                <c:pt idx="33" formatCode="###0.0">
                  <c:v>2.2988859177154</c:v>
                </c:pt>
                <c:pt idx="34" formatCode="0.0">
                  <c:v>4.9642092382991612</c:v>
                </c:pt>
              </c:numCache>
            </c:numRef>
          </c:val>
        </c:ser>
        <c:marker val="1"/>
        <c:axId val="87192704"/>
        <c:axId val="87194240"/>
      </c:lineChart>
      <c:catAx>
        <c:axId val="87192704"/>
        <c:scaling>
          <c:orientation val="minMax"/>
        </c:scaling>
        <c:axPos val="t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87194240"/>
        <c:crosses val="max"/>
        <c:auto val="1"/>
        <c:lblAlgn val="ctr"/>
        <c:lblOffset val="100"/>
      </c:catAx>
      <c:valAx>
        <c:axId val="8719424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87192704"/>
        <c:crossesAt val="1"/>
        <c:crossBetween val="between"/>
      </c:valAx>
    </c:plotArea>
    <c:legend>
      <c:legendPos val="b"/>
      <c:layout>
        <c:manualLayout>
          <c:xMode val="edge"/>
          <c:yMode val="edge"/>
          <c:x val="0.29600255156283295"/>
          <c:y val="0.75039459211814274"/>
          <c:w val="0.51218371252392092"/>
          <c:h val="0.2224376469581556"/>
        </c:manualLayout>
      </c:layout>
      <c:txPr>
        <a:bodyPr/>
        <a:lstStyle/>
        <a:p>
          <a:pPr>
            <a:defRPr sz="900"/>
          </a:pPr>
          <a:endParaRPr lang="fr-FR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00"/>
            </a:pPr>
            <a:r>
              <a:rPr lang="fr-FR" sz="1200" b="1" i="0" baseline="0"/>
              <a:t>Perception des évolutions passée et future des prix des produits alimentaires</a:t>
            </a:r>
            <a:endParaRPr lang="fr-FR" sz="1200"/>
          </a:p>
        </c:rich>
      </c:tx>
      <c:layout>
        <c:manualLayout>
          <c:xMode val="edge"/>
          <c:yMode val="edge"/>
          <c:x val="0.12986201378082754"/>
          <c:y val="3.8095238095238099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'graphe fr'!$A$19</c:f>
              <c:strCache>
                <c:ptCount val="1"/>
                <c:pt idx="0">
                  <c:v>Evolution  future des prix des produits alimentaires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 fr'!$B$8:$AJ$8</c:f>
              <c:strCache>
                <c:ptCount val="3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</c:strCache>
            </c:strRef>
          </c:cat>
          <c:val>
            <c:numRef>
              <c:f>'graphe fr'!$B$19:$AJ$19</c:f>
              <c:numCache>
                <c:formatCode>#,##0.0</c:formatCode>
                <c:ptCount val="35"/>
                <c:pt idx="0">
                  <c:v>-74.061389031284818</c:v>
                </c:pt>
                <c:pt idx="1">
                  <c:v>-77.716574651610401</c:v>
                </c:pt>
                <c:pt idx="2">
                  <c:v>-78.940542419693813</c:v>
                </c:pt>
                <c:pt idx="3">
                  <c:v>-49.653420650313507</c:v>
                </c:pt>
                <c:pt idx="4">
                  <c:v>-34.869529990694446</c:v>
                </c:pt>
                <c:pt idx="5">
                  <c:v>-33.523065681383343</c:v>
                </c:pt>
                <c:pt idx="6">
                  <c:v>-50.919242344766445</c:v>
                </c:pt>
                <c:pt idx="7">
                  <c:v>-47.871947864454555</c:v>
                </c:pt>
                <c:pt idx="8">
                  <c:v>-46.515022811525839</c:v>
                </c:pt>
                <c:pt idx="9">
                  <c:v>-56.832932011427943</c:v>
                </c:pt>
                <c:pt idx="10">
                  <c:v>-62.176731306136936</c:v>
                </c:pt>
                <c:pt idx="11">
                  <c:v>-70.131788082404114</c:v>
                </c:pt>
                <c:pt idx="12">
                  <c:v>-73.412747182583814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-72.965887012434933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-73.578371466433822</c:v>
                </c:pt>
                <c:pt idx="19">
                  <c:v>-70.049698245525676</c:v>
                </c:pt>
                <c:pt idx="20">
                  <c:v>-76.096296687300679</c:v>
                </c:pt>
                <c:pt idx="21">
                  <c:v>-73.375476646911508</c:v>
                </c:pt>
                <c:pt idx="22">
                  <c:v>-76.007455926126042</c:v>
                </c:pt>
                <c:pt idx="23">
                  <c:v>-76.048555842624438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-76.898841721729724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 formatCode="0.0">
                  <c:v>-78.028883772600324</c:v>
                </c:pt>
              </c:numCache>
            </c:numRef>
          </c:val>
        </c:ser>
        <c:ser>
          <c:idx val="1"/>
          <c:order val="1"/>
          <c:tx>
            <c:strRef>
              <c:f>'graphe fr'!$A$20</c:f>
              <c:strCache>
                <c:ptCount val="1"/>
                <c:pt idx="0">
                  <c:v>Evolution  passée des prix des produits alimentaires</c:v>
                </c:pt>
              </c:strCache>
            </c:strRef>
          </c:tx>
          <c:cat>
            <c:strRef>
              <c:f>'graphe fr'!$B$8:$AJ$8</c:f>
              <c:strCache>
                <c:ptCount val="3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</c:strCache>
            </c:strRef>
          </c:cat>
          <c:val>
            <c:numRef>
              <c:f>'graphe fr'!$B$20:$AJ$20</c:f>
              <c:numCache>
                <c:formatCode>#,##0.0</c:formatCode>
                <c:ptCount val="35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-83.278098478101398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-90.96780216249347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-89.924388392525984</c:v>
                </c:pt>
                <c:pt idx="15">
                  <c:v>-92.495216554147788</c:v>
                </c:pt>
                <c:pt idx="16">
                  <c:v>-91.625316584481723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-91.630328830979579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-84.135715875789003</c:v>
                </c:pt>
                <c:pt idx="26">
                  <c:v>-81.763249669623789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-84.284507159523699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-87.871778057968072</c:v>
                </c:pt>
                <c:pt idx="34" formatCode="0.0">
                  <c:v>-87.672521775530853</c:v>
                </c:pt>
              </c:numCache>
            </c:numRef>
          </c:val>
        </c:ser>
        <c:marker val="1"/>
        <c:axId val="87305216"/>
        <c:axId val="87307008"/>
      </c:lineChart>
      <c:catAx>
        <c:axId val="8730521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87307008"/>
        <c:crosses val="autoZero"/>
        <c:auto val="1"/>
        <c:lblAlgn val="ctr"/>
        <c:lblOffset val="100"/>
      </c:catAx>
      <c:valAx>
        <c:axId val="8730700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8730521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4FB35-2582-4DC7-B89A-9E8C678E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1329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8627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user</cp:lastModifiedBy>
  <cp:revision>3</cp:revision>
  <cp:lastPrinted>2016-08-10T11:54:00Z</cp:lastPrinted>
  <dcterms:created xsi:type="dcterms:W3CDTF">2016-11-19T17:33:00Z</dcterms:created>
  <dcterms:modified xsi:type="dcterms:W3CDTF">2016-11-19T17:35:00Z</dcterms:modified>
</cp:coreProperties>
</file>