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6F" w:rsidRDefault="003916BC" w:rsidP="00C02E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</w:t>
      </w: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333E03" w:rsidRDefault="00333E03" w:rsidP="00333E0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3916B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</w:t>
      </w:r>
    </w:p>
    <w:p w:rsidR="001D69C5" w:rsidRPr="00754D0C" w:rsidRDefault="001D69C5" w:rsidP="001D69C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F043B0" w:rsidRDefault="009B7BDC" w:rsidP="00F043B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</w:p>
    <w:p w:rsidR="009B7BDC" w:rsidRPr="002C4E32" w:rsidRDefault="009B7BDC" w:rsidP="0048671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</w:t>
      </w:r>
      <w:r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TROISIEME</w:t>
      </w:r>
      <w:r w:rsidRPr="002C4E32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 TRIMESTRE DE L’ANNEE </w:t>
      </w:r>
      <w:r w:rsidR="00F52909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</w:t>
      </w:r>
      <w:r w:rsidR="00486714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6</w:t>
      </w:r>
    </w:p>
    <w:p w:rsidR="009B7BD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365E1C" w:rsidRPr="00754D0C" w:rsidRDefault="00365E1C" w:rsidP="00365E1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DA6A9A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>Principaux indicateurs</w:t>
      </w:r>
    </w:p>
    <w:p w:rsid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1D69C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Entre le troisième trimestre de l’année 2015 et la même période de 2016, l’économie marocaine a perdu 125.000 emplois, 66.000 dans le secteur de l’"agriculture, forêt et pêche", 44.000 dans l’"industrie y compris l'artisanat" et 15.000 dans les "services"</w:t>
      </w:r>
      <w:bookmarkStart w:id="0" w:name="_GoBack"/>
      <w:bookmarkEnd w:id="0"/>
      <w:r w:rsidRPr="001D69C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Le secteur des BTP a, en revanche, créé 52.000 emplois. </w:t>
      </w:r>
    </w:p>
    <w:p w:rsidR="001D69C5" w:rsidRP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1D69C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Au total, 70.000 emplois ont été perdus en milieu rural et 3.000 en milieu urbain, correspondant à une perte nette d’emplois de 73.000 au niveau national. Le taux d’emploi a ainsi reculé de 0,9 point, passant de 43,1% à 42,2% au niveau national. </w:t>
      </w:r>
    </w:p>
    <w:p w:rsidR="001D69C5" w:rsidRP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1D69C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Dans ces conditions, et avec un recul du volume du chômage (-5,3%) plus important que celui de l’emploi (-0,7%), le taux de chômage a baissé de 10,1% à 9,6% au niveau national et de 15,1% à 14,3% en milieu urbain, restant stable  à 4,3% en milieu rural.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En volume, il a baissé de 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6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4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personnes,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59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.000 en milieu urbain et 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5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en milieu rural, portant l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’effectif 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global du chômage à 1.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142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.000 personnes au niveau national</w:t>
      </w:r>
      <w:r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. </w:t>
      </w:r>
      <w:r w:rsidRPr="00333E03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 xml:space="preserve"> </w:t>
      </w:r>
    </w:p>
    <w:p w:rsidR="001D69C5" w:rsidRP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1D69C5" w:rsidRPr="001D69C5" w:rsidRDefault="001D69C5" w:rsidP="001D69C5">
      <w:pPr>
        <w:autoSpaceDE w:val="0"/>
        <w:autoSpaceDN w:val="0"/>
        <w:bidi w:val="0"/>
        <w:adjustRightInd w:val="0"/>
        <w:spacing w:after="60" w:line="276" w:lineRule="auto"/>
        <w:ind w:left="357"/>
        <w:jc w:val="both"/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</w:pPr>
      <w:r w:rsidRPr="001D69C5">
        <w:rPr>
          <w:rFonts w:ascii="Book Antiqua" w:hAnsi="Book Antiqua" w:cs="Times New Roman"/>
          <w:b/>
          <w:bCs/>
          <w:noProof w:val="0"/>
          <w:color w:val="0070C0"/>
          <w:sz w:val="27"/>
          <w:szCs w:val="27"/>
        </w:rPr>
        <w:t>De son côté, le taux de sous-emploi est passé de 11,3% à 11,5% au niveau national, de 10,2% à 10,5% en milieu urbain et de 12,3% à 12,5% en milieu rural.</w:t>
      </w:r>
    </w:p>
    <w:p w:rsidR="00402C0A" w:rsidRDefault="00402C0A" w:rsidP="00402C0A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</w:p>
    <w:p w:rsidR="001D69C5" w:rsidRDefault="001D69C5" w:rsidP="001D6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</w:p>
    <w:p w:rsidR="001D69C5" w:rsidRDefault="001D69C5" w:rsidP="001D6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</w:p>
    <w:p w:rsidR="009F49C5" w:rsidRPr="00F24677" w:rsidRDefault="00443063" w:rsidP="00402C0A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lastRenderedPageBreak/>
        <w:t>Principales c</w:t>
      </w:r>
      <w:r w:rsidR="001D056F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 xml:space="preserve">aractéristiques </w:t>
      </w:r>
      <w:r w:rsidR="009B7BDC" w:rsidRPr="00F24677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t>du marché du travail</w:t>
      </w:r>
    </w:p>
    <w:p w:rsidR="00F24677" w:rsidRPr="00F24677" w:rsidRDefault="00F24677" w:rsidP="00F24677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F24677" w:rsidRPr="00CA615A" w:rsidRDefault="00F24677" w:rsidP="00F24677">
      <w:pPr>
        <w:bidi w:val="0"/>
        <w:spacing w:line="220" w:lineRule="exact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 w:rsidRPr="00CA615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Légère baisse 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0941F7" w:rsidRPr="00CA615A" w:rsidRDefault="000941F7" w:rsidP="000067C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>Avec 11.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855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personnes, la population active âgée de 15 ans et plus a 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diminué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entre les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troisièmes</w:t>
      </w:r>
      <w:r w:rsidR="00E77DE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trimestres de 201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5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201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, de 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-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-1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). La population en âge d’activité s’est accrue, quant à elle,  de 1,5%. Ainsi, le taux d’activité est passé, entre les deux périodes, de 4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9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6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%, enregistrant une diminution de 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point.</w:t>
      </w:r>
    </w:p>
    <w:p w:rsidR="000941F7" w:rsidRPr="00CA615A" w:rsidRDefault="000941F7" w:rsidP="000941F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941F7" w:rsidRPr="00CA615A" w:rsidRDefault="000941F7" w:rsidP="0054799F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En matière d’emploi, </w:t>
      </w:r>
      <w:r w:rsidR="0054799F">
        <w:rPr>
          <w:rFonts w:ascii="Book Antiqua" w:hAnsi="Book Antiqua" w:cs="Times New Roman"/>
          <w:noProof w:val="0"/>
          <w:sz w:val="26"/>
          <w:szCs w:val="26"/>
        </w:rPr>
        <w:t>30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ont été créés au cours de la période, </w:t>
      </w:r>
      <w:r w:rsidR="0054799F">
        <w:rPr>
          <w:rFonts w:ascii="Book Antiqua" w:hAnsi="Book Antiqua" w:cs="Times New Roman"/>
          <w:noProof w:val="0"/>
          <w:sz w:val="26"/>
          <w:szCs w:val="26"/>
        </w:rPr>
        <w:t xml:space="preserve">exclusivement en milieu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 L’emploi non rémunéré, composé d’environ 98% d’aides familiales, a en revanche enregistré une baisse de </w:t>
      </w:r>
      <w:r w:rsidR="0054799F">
        <w:rPr>
          <w:rFonts w:ascii="Book Antiqua" w:hAnsi="Book Antiqua" w:cs="Times New Roman"/>
          <w:noProof w:val="0"/>
          <w:sz w:val="26"/>
          <w:szCs w:val="26"/>
        </w:rPr>
        <w:t>103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postes, </w:t>
      </w:r>
      <w:r w:rsidR="0054799F">
        <w:rPr>
          <w:rFonts w:ascii="Book Antiqua" w:hAnsi="Book Antiqua" w:cs="Times New Roman"/>
          <w:noProof w:val="0"/>
          <w:sz w:val="26"/>
          <w:szCs w:val="26"/>
        </w:rPr>
        <w:t>100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rurales et </w:t>
      </w:r>
      <w:r w:rsidR="00F46A28" w:rsidRPr="00CA615A">
        <w:rPr>
          <w:rFonts w:ascii="Book Antiqua" w:hAnsi="Book Antiqua" w:cs="Times New Roman"/>
          <w:noProof w:val="0"/>
          <w:sz w:val="26"/>
          <w:szCs w:val="26"/>
        </w:rPr>
        <w:t>3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.000 en zones urbaines</w:t>
      </w:r>
      <w:r w:rsidRPr="0054799F">
        <w:rPr>
          <w:rFonts w:ascii="Book Antiqua" w:hAnsi="Book Antiqua" w:cs="Times New Roman"/>
          <w:b/>
          <w:bCs/>
          <w:noProof w:val="0"/>
          <w:color w:val="000000" w:themeColor="text1"/>
          <w:sz w:val="26"/>
          <w:szCs w:val="26"/>
        </w:rPr>
        <w:t xml:space="preserve">. </w:t>
      </w:r>
    </w:p>
    <w:p w:rsidR="009B7BDC" w:rsidRPr="000941F7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754D0C" w:rsidRDefault="009B7BDC" w:rsidP="0054799F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les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trimestres de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54799F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54799F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6E0314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 w:rsidRPr="006E0314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2810" cy="2892425"/>
            <wp:effectExtent l="19050" t="0" r="27940" b="317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0941F7" w:rsidRPr="00DA6A9A" w:rsidRDefault="00F46A28" w:rsidP="009B0FC9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Au total, avec la 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perte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emplois en milieu urbain et 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70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en milieu rural, l’économie marocaine a 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 xml:space="preserve">connu la 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perte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 xml:space="preserve"> nette de 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73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postes d’emploi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Le volume global de l’emploi est ainsi passé, entre les deux périodes, de 10.</w:t>
      </w:r>
      <w:r w:rsidR="006E0314" w:rsidRPr="00DA6A9A">
        <w:rPr>
          <w:rFonts w:ascii="Book Antiqua" w:hAnsi="Book Antiqua" w:cs="Times New Roman"/>
          <w:noProof w:val="0"/>
          <w:sz w:val="26"/>
          <w:szCs w:val="26"/>
        </w:rPr>
        <w:t>786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713.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000 personnes. Le taux d’emploi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9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 au niveau national, passant de 4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1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%, de 0,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7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 en milieu urbain et de 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1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1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 en milieu rural, passant respectivement de 3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3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3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6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et de 5</w:t>
      </w:r>
      <w:r w:rsidR="00D726D5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</w:p>
    <w:p w:rsidR="007F67B1" w:rsidRDefault="007F67B1" w:rsidP="00D0055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lastRenderedPageBreak/>
        <w:t xml:space="preserve">Perte </w:t>
      </w:r>
      <w:r w:rsidR="00FE2FDA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d’emploi dans l’ensemble des secteurs à </w:t>
      </w:r>
      <w:r w:rsidR="006D3A5A" w:rsidRPr="00DA6A9A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l’exception de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 BTP</w:t>
      </w:r>
    </w:p>
    <w:p w:rsidR="009B7BDC" w:rsidRDefault="006D3A5A" w:rsidP="007F67B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DA6A9A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104C01" w:rsidRPr="00104C01" w:rsidRDefault="00104C01" w:rsidP="00104C01">
      <w:pPr>
        <w:bidi w:val="0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011D3D" w:rsidP="003B6BD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A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vec 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>un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 recul 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7F67B1">
        <w:rPr>
          <w:rFonts w:ascii="Book Antiqua" w:hAnsi="Book Antiqua" w:cs="Times New Roman"/>
          <w:noProof w:val="0"/>
          <w:sz w:val="26"/>
          <w:szCs w:val="26"/>
        </w:rPr>
        <w:t>1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>,6%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>,</w:t>
      </w:r>
      <w:r w:rsidR="007F67B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104C01" w:rsidRPr="00DA6A9A">
        <w:rPr>
          <w:rFonts w:ascii="Book Antiqua" w:hAnsi="Book Antiqua" w:cs="Times New Roman"/>
          <w:noProof w:val="0"/>
          <w:sz w:val="26"/>
          <w:szCs w:val="26"/>
        </w:rPr>
        <w:t>volume d’emploi</w:t>
      </w:r>
      <w:r w:rsidR="007F67B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66F24">
        <w:rPr>
          <w:rFonts w:ascii="Book Antiqua" w:hAnsi="Book Antiqua" w:cs="Times New Roman"/>
          <w:noProof w:val="0"/>
          <w:sz w:val="26"/>
          <w:szCs w:val="26"/>
        </w:rPr>
        <w:t xml:space="preserve">dans le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secteur </w:t>
      </w:r>
      <w:r w:rsidR="007F67B1" w:rsidRPr="0020642E">
        <w:rPr>
          <w:rFonts w:ascii="Book Antiqua" w:hAnsi="Book Antiqua" w:cs="Times New Roman"/>
          <w:noProof w:val="0"/>
          <w:sz w:val="26"/>
          <w:szCs w:val="26"/>
        </w:rPr>
        <w:t>de l’"agriculture, forêt et pêche"</w:t>
      </w:r>
      <w:r w:rsidR="007F67B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a baissé </w:t>
      </w:r>
      <w:r w:rsidR="00104C01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>66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.000 postes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u niveau national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3B6BD1">
        <w:rPr>
          <w:rFonts w:ascii="Book Antiqua" w:hAnsi="Book Antiqua" w:cs="Times New Roman"/>
          <w:noProof w:val="0"/>
          <w:sz w:val="26"/>
          <w:szCs w:val="26"/>
        </w:rPr>
        <w:t xml:space="preserve">enregistrant 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la même tendance baissière amorcée il y a deux ans </w:t>
      </w:r>
      <w:r w:rsidR="00BF75D5">
        <w:rPr>
          <w:rFonts w:ascii="Book Antiqua" w:hAnsi="Book Antiqua" w:cs="Times New Roman"/>
          <w:noProof w:val="0"/>
          <w:sz w:val="26"/>
          <w:szCs w:val="26"/>
        </w:rPr>
        <w:t xml:space="preserve">avec une perte de 75.000 postes en 2014 et 27.000 en 2015 et ce, 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juste </w:t>
      </w:r>
      <w:r w:rsidR="00BF75D5">
        <w:rPr>
          <w:rFonts w:ascii="Book Antiqua" w:hAnsi="Book Antiqua" w:cs="Times New Roman"/>
          <w:noProof w:val="0"/>
          <w:sz w:val="26"/>
          <w:szCs w:val="26"/>
        </w:rPr>
        <w:t>après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B6BD1">
        <w:rPr>
          <w:rFonts w:ascii="Book Antiqua" w:hAnsi="Book Antiqua" w:cs="Times New Roman"/>
          <w:noProof w:val="0"/>
          <w:sz w:val="26"/>
          <w:szCs w:val="26"/>
        </w:rPr>
        <w:t>l</w:t>
      </w:r>
      <w:r w:rsidR="00BF75D5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 w:rsidR="00BF75D5">
        <w:rPr>
          <w:rFonts w:ascii="Book Antiqua" w:hAnsi="Book Antiqua" w:cs="Times New Roman"/>
          <w:noProof w:val="0"/>
          <w:sz w:val="26"/>
          <w:szCs w:val="26"/>
        </w:rPr>
        <w:t>exceptionnelle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F75D5">
        <w:rPr>
          <w:rFonts w:ascii="Book Antiqua" w:hAnsi="Book Antiqua" w:cs="Times New Roman"/>
          <w:noProof w:val="0"/>
          <w:sz w:val="26"/>
          <w:szCs w:val="26"/>
        </w:rPr>
        <w:t>de 156.000 en 2013.</w:t>
      </w:r>
      <w:r w:rsidR="00D808D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D808D0" w:rsidRDefault="00D808D0" w:rsidP="00D808D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3B6BD1" w:rsidRPr="00DA6A9A" w:rsidRDefault="003B6BD1" w:rsidP="003B6BD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De son côté, </w:t>
      </w: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 secteur de l’"industrie" qui comprend aussi l’artisanat a </w:t>
      </w:r>
      <w:r>
        <w:rPr>
          <w:rFonts w:ascii="Book Antiqua" w:hAnsi="Book Antiqua" w:cs="Times New Roman"/>
          <w:noProof w:val="0"/>
          <w:sz w:val="26"/>
          <w:szCs w:val="26"/>
        </w:rPr>
        <w:t>perdu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44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postes d’emploi, ce qui correspond à une </w:t>
      </w:r>
      <w:r>
        <w:rPr>
          <w:rFonts w:ascii="Book Antiqua" w:hAnsi="Book Antiqua" w:cs="Times New Roman"/>
          <w:noProof w:val="0"/>
          <w:sz w:val="26"/>
          <w:szCs w:val="26"/>
        </w:rPr>
        <w:t>baisse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secteur, contre une création de 34.000 postes </w:t>
      </w:r>
      <w:r>
        <w:rPr>
          <w:rFonts w:ascii="Book Antiqua" w:hAnsi="Book Antiqua" w:cs="Times New Roman"/>
          <w:noProof w:val="0"/>
          <w:sz w:val="26"/>
          <w:szCs w:val="26"/>
        </w:rPr>
        <w:t>en 2014 et 16.000 en 2015. 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es postes d’emploi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détruits </w:t>
      </w:r>
      <w:r w:rsidR="009B5D75">
        <w:rPr>
          <w:rFonts w:ascii="Book Antiqua" w:hAnsi="Book Antiqua" w:cs="Times New Roman"/>
          <w:noProof w:val="0"/>
          <w:sz w:val="26"/>
          <w:szCs w:val="26"/>
        </w:rPr>
        <w:t xml:space="preserve">par ce secteur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sont principalement le fait de la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perte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>
        <w:rPr>
          <w:rFonts w:ascii="Book Antiqua" w:hAnsi="Book Antiqua" w:cs="Times New Roman"/>
          <w:noProof w:val="0"/>
          <w:sz w:val="26"/>
          <w:szCs w:val="26"/>
        </w:rPr>
        <w:t>33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emplois par la branche d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u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"</w:t>
      </w:r>
      <w:r w:rsidRPr="003B6BD1">
        <w:rPr>
          <w:rFonts w:ascii="Book Antiqua" w:hAnsi="Book Antiqua" w:cs="Times New Roman"/>
          <w:noProof w:val="0"/>
          <w:sz w:val="26"/>
          <w:szCs w:val="26"/>
        </w:rPr>
        <w:t>Te</w:t>
      </w:r>
      <w:r>
        <w:rPr>
          <w:rFonts w:ascii="Book Antiqua" w:hAnsi="Book Antiqua" w:cs="Times New Roman"/>
          <w:noProof w:val="0"/>
          <w:sz w:val="26"/>
          <w:szCs w:val="26"/>
        </w:rPr>
        <w:t>xtile bonneterie et habillement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".</w:t>
      </w:r>
    </w:p>
    <w:p w:rsidR="003B6BD1" w:rsidRDefault="003B6BD1" w:rsidP="00D808D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D0055D" w:rsidRPr="00DA6A9A" w:rsidRDefault="00B65171" w:rsidP="0015033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secteur des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"</w:t>
      </w:r>
      <w:r w:rsidRPr="00D0055D">
        <w:rPr>
          <w:rFonts w:ascii="Book Antiqua" w:hAnsi="Book Antiqua" w:cs="Times New Roman"/>
          <w:noProof w:val="0"/>
          <w:sz w:val="26"/>
          <w:szCs w:val="26"/>
        </w:rPr>
        <w:t>services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"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84CA1">
        <w:rPr>
          <w:rFonts w:ascii="Book Antiqua" w:hAnsi="Book Antiqua" w:cs="Times New Roman"/>
          <w:noProof w:val="0"/>
          <w:sz w:val="26"/>
          <w:szCs w:val="26"/>
        </w:rPr>
        <w:t xml:space="preserve">qui représentait le principal pourvoyeur d’emploi au cours des quinze dernières années avec en moyenne 102.000 emplois durant les années 2000-2012 et 50.000 </w:t>
      </w:r>
      <w:r w:rsidR="001149F3">
        <w:rPr>
          <w:rFonts w:ascii="Book Antiqua" w:hAnsi="Book Antiqua" w:cs="Times New Roman"/>
          <w:noProof w:val="0"/>
          <w:sz w:val="26"/>
          <w:szCs w:val="26"/>
        </w:rPr>
        <w:t>au cours des trois dernières années</w:t>
      </w:r>
      <w:r w:rsidR="00A84CA1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>a perdu 15</w:t>
      </w:r>
      <w:r w:rsidR="00D808D0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 xml:space="preserve">emplois cette année, </w:t>
      </w:r>
      <w:r w:rsidR="00D0055D" w:rsidRPr="00DA6A9A">
        <w:rPr>
          <w:rFonts w:ascii="Book Antiqua" w:hAnsi="Book Antiqua" w:cs="Times New Roman"/>
          <w:noProof w:val="0"/>
          <w:sz w:val="26"/>
          <w:szCs w:val="26"/>
        </w:rPr>
        <w:t xml:space="preserve">ce qui correspond à une 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 xml:space="preserve">baisse </w:t>
      </w:r>
      <w:r w:rsidR="00D0055D" w:rsidRPr="00DA6A9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>0</w:t>
      </w:r>
      <w:r w:rsidR="00D0055D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D0055D">
        <w:rPr>
          <w:rFonts w:ascii="Book Antiqua" w:hAnsi="Book Antiqua" w:cs="Times New Roman"/>
          <w:noProof w:val="0"/>
          <w:sz w:val="26"/>
          <w:szCs w:val="26"/>
        </w:rPr>
        <w:t>4</w:t>
      </w:r>
      <w:r w:rsidR="00D0055D" w:rsidRPr="00DA6A9A">
        <w:rPr>
          <w:rFonts w:ascii="Book Antiqua" w:hAnsi="Book Antiqua" w:cs="Times New Roman"/>
          <w:noProof w:val="0"/>
          <w:sz w:val="26"/>
          <w:szCs w:val="26"/>
        </w:rPr>
        <w:t>% du volume d’emploi du secteur</w:t>
      </w:r>
      <w:r w:rsidR="00150331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D808D0" w:rsidRPr="00DA6A9A" w:rsidRDefault="00D808D0" w:rsidP="00D0055D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DA6A9A" w:rsidRDefault="00061F04" w:rsidP="0015033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revanche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 le secteur des BTP</w:t>
      </w:r>
      <w:r w:rsidR="00791326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7F67B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après </w:t>
      </w:r>
      <w:r w:rsidR="0044517B" w:rsidRPr="00DA6A9A">
        <w:rPr>
          <w:rFonts w:ascii="Book Antiqua" w:hAnsi="Book Antiqua" w:cs="Times New Roman"/>
          <w:noProof w:val="0"/>
          <w:sz w:val="26"/>
          <w:szCs w:val="26"/>
        </w:rPr>
        <w:t xml:space="preserve">avoir perdu en moyenne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annuelle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33.000 postes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d’emploi </w:t>
      </w:r>
      <w:r w:rsidR="0044517B" w:rsidRPr="00DA6A9A">
        <w:rPr>
          <w:rFonts w:ascii="Book Antiqua" w:hAnsi="Book Antiqua" w:cs="Times New Roman"/>
          <w:noProof w:val="0"/>
          <w:sz w:val="26"/>
          <w:szCs w:val="26"/>
        </w:rPr>
        <w:t xml:space="preserve">au cours des </w:t>
      </w:r>
      <w:r w:rsidR="006D3A5A" w:rsidRPr="00DA6A9A">
        <w:rPr>
          <w:rFonts w:ascii="Book Antiqua" w:hAnsi="Book Antiqua" w:cs="Times New Roman"/>
          <w:noProof w:val="0"/>
          <w:sz w:val="26"/>
          <w:szCs w:val="26"/>
        </w:rPr>
        <w:t>années 2011-2013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, a connu une reprise </w:t>
      </w:r>
      <w:r w:rsidR="00C520A7">
        <w:rPr>
          <w:rFonts w:ascii="Book Antiqua" w:hAnsi="Book Antiqua" w:cs="Times New Roman"/>
          <w:noProof w:val="0"/>
          <w:sz w:val="26"/>
          <w:szCs w:val="26"/>
        </w:rPr>
        <w:t xml:space="preserve">durant les années </w:t>
      </w:r>
      <w:r>
        <w:rPr>
          <w:rFonts w:ascii="Book Antiqua" w:hAnsi="Book Antiqua" w:cs="Times New Roman"/>
          <w:noProof w:val="0"/>
          <w:sz w:val="26"/>
          <w:szCs w:val="26"/>
        </w:rPr>
        <w:t>2014</w:t>
      </w:r>
      <w:r w:rsidR="00C520A7">
        <w:rPr>
          <w:rFonts w:ascii="Book Antiqua" w:hAnsi="Book Antiqua" w:cs="Times New Roman"/>
          <w:noProof w:val="0"/>
          <w:sz w:val="26"/>
          <w:szCs w:val="26"/>
        </w:rPr>
        <w:t>-2015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avec une création annuelle </w:t>
      </w:r>
      <w:r w:rsidR="00150331">
        <w:rPr>
          <w:rFonts w:ascii="Book Antiqua" w:hAnsi="Book Antiqua" w:cs="Times New Roman"/>
          <w:noProof w:val="0"/>
          <w:sz w:val="26"/>
          <w:szCs w:val="26"/>
        </w:rPr>
        <w:t xml:space="preserve">moyenne </w:t>
      </w:r>
      <w:r>
        <w:rPr>
          <w:rFonts w:ascii="Book Antiqua" w:hAnsi="Book Antiqua" w:cs="Times New Roman"/>
          <w:noProof w:val="0"/>
          <w:sz w:val="26"/>
          <w:szCs w:val="26"/>
        </w:rPr>
        <w:t>d’environ 34.000 emplois</w:t>
      </w:r>
      <w:r w:rsidR="00C520A7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suivi </w:t>
      </w:r>
      <w:r w:rsidR="00C520A7">
        <w:rPr>
          <w:rFonts w:ascii="Book Antiqua" w:hAnsi="Book Antiqua" w:cs="Times New Roman"/>
          <w:noProof w:val="0"/>
          <w:sz w:val="26"/>
          <w:szCs w:val="26"/>
        </w:rPr>
        <w:t>de 52</w:t>
      </w:r>
      <w:r w:rsidR="00C520A7" w:rsidRPr="00DA6A9A">
        <w:rPr>
          <w:rFonts w:ascii="Book Antiqua" w:hAnsi="Book Antiqua" w:cs="Times New Roman"/>
          <w:noProof w:val="0"/>
          <w:sz w:val="26"/>
          <w:szCs w:val="26"/>
        </w:rPr>
        <w:t>.000 emplois</w:t>
      </w:r>
      <w:r w:rsidR="00C520A7">
        <w:rPr>
          <w:rFonts w:ascii="Book Antiqua" w:hAnsi="Book Antiqua" w:cs="Times New Roman"/>
          <w:noProof w:val="0"/>
          <w:sz w:val="26"/>
          <w:szCs w:val="26"/>
        </w:rPr>
        <w:t xml:space="preserve"> ce</w:t>
      </w:r>
      <w:r>
        <w:rPr>
          <w:rFonts w:ascii="Book Antiqua" w:hAnsi="Book Antiqua" w:cs="Times New Roman"/>
          <w:noProof w:val="0"/>
          <w:sz w:val="26"/>
          <w:szCs w:val="26"/>
        </w:rPr>
        <w:t>tte année</w:t>
      </w:r>
      <w:r w:rsidR="0058541B" w:rsidRPr="00DA6A9A">
        <w:rPr>
          <w:rFonts w:ascii="Book Antiqua" w:hAnsi="Book Antiqua" w:cs="Times New Roman"/>
          <w:noProof w:val="0"/>
          <w:sz w:val="26"/>
          <w:szCs w:val="26"/>
        </w:rPr>
        <w:t xml:space="preserve">, ce qui </w:t>
      </w:r>
      <w:r w:rsidR="00053261" w:rsidRPr="00DA6A9A">
        <w:rPr>
          <w:rFonts w:ascii="Book Antiqua" w:hAnsi="Book Antiqua" w:cs="Times New Roman"/>
          <w:noProof w:val="0"/>
          <w:sz w:val="26"/>
          <w:szCs w:val="26"/>
        </w:rPr>
        <w:t xml:space="preserve">correspond à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une hausse de </w:t>
      </w:r>
      <w:r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 du volume d’emploi du secteur.</w:t>
      </w: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732456" w:rsidRPr="00C9721C" w:rsidRDefault="009B7BDC" w:rsidP="009F1C4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Figure 2. Créations nettes d’emploi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7F67B1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7F67B1">
        <w:rPr>
          <w:rFonts w:ascii="Book Antiqua" w:hAnsi="Book Antiqua"/>
        </w:rPr>
        <w:drawing>
          <wp:inline distT="0" distB="0" distL="0" distR="0">
            <wp:extent cx="5961996" cy="2088107"/>
            <wp:effectExtent l="19050" t="0" r="19704" b="7393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7BDC" w:rsidRPr="00DA6A9A" w:rsidRDefault="009B7BDC" w:rsidP="0015033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Par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>ailleurs, en milieu urbain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753FD">
        <w:rPr>
          <w:rFonts w:ascii="Book Antiqua" w:hAnsi="Book Antiqua" w:cs="Times New Roman" w:hint="cs"/>
          <w:noProof w:val="0"/>
          <w:sz w:val="26"/>
          <w:szCs w:val="26"/>
        </w:rPr>
        <w:t>le</w:t>
      </w:r>
      <w:r w:rsidR="0040713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>secteur de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s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 xml:space="preserve">BTP 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créé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 2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7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postes d’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emploi, </w:t>
      </w:r>
      <w:r w:rsidR="00556844">
        <w:rPr>
          <w:rFonts w:ascii="Book Antiqua" w:hAnsi="Book Antiqua" w:cs="Times New Roman"/>
          <w:noProof w:val="0"/>
          <w:sz w:val="26"/>
          <w:szCs w:val="26"/>
        </w:rPr>
        <w:t xml:space="preserve">ce qui 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correspond à une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hausse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4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9</w:t>
      </w:r>
      <w:r w:rsidR="007753FD" w:rsidRPr="00DA6A9A">
        <w:rPr>
          <w:rFonts w:ascii="Book Antiqua" w:hAnsi="Book Antiqua" w:cs="Times New Roman"/>
          <w:noProof w:val="0"/>
          <w:sz w:val="26"/>
          <w:szCs w:val="26"/>
        </w:rPr>
        <w:t>% du volume d’emploi du secteur</w:t>
      </w:r>
      <w:r w:rsidR="00887BFD"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  <w:r w:rsidR="00556844">
        <w:rPr>
          <w:rFonts w:ascii="Book Antiqua" w:hAnsi="Book Antiqua" w:cs="Times New Roman"/>
          <w:noProof w:val="0"/>
          <w:sz w:val="26"/>
          <w:szCs w:val="26"/>
        </w:rPr>
        <w:t>alors que d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ans les autres secteurs</w:t>
      </w:r>
      <w:r w:rsidR="002F6965">
        <w:rPr>
          <w:rFonts w:ascii="Book Antiqua" w:hAnsi="Book Antiqua" w:cs="Times New Roman"/>
          <w:noProof w:val="0"/>
          <w:sz w:val="26"/>
          <w:szCs w:val="26"/>
        </w:rPr>
        <w:t>,</w:t>
      </w:r>
      <w:r w:rsidR="00407137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volume d’emploi </w:t>
      </w:r>
      <w:r w:rsidR="009D1F8E">
        <w:rPr>
          <w:rFonts w:ascii="Book Antiqua" w:hAnsi="Book Antiqua" w:cs="Times New Roman"/>
          <w:noProof w:val="0"/>
          <w:sz w:val="26"/>
          <w:szCs w:val="26"/>
        </w:rPr>
        <w:t xml:space="preserve">a plutôt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>baissé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9B7BDC" w:rsidRPr="00DA6A9A" w:rsidRDefault="009D1F8E" w:rsidP="0015033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Il 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 xml:space="preserve">s’est rétréci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>14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.000 postes dans le secteur de</w:t>
      </w:r>
      <w:r w:rsidR="000F2A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A3EA9" w:rsidRPr="00DA6A9A">
        <w:rPr>
          <w:rFonts w:ascii="Book Antiqua" w:hAnsi="Book Antiqua" w:cs="Times New Roman"/>
          <w:noProof w:val="0"/>
          <w:sz w:val="26"/>
          <w:szCs w:val="26"/>
        </w:rPr>
        <w:t>l’"industrie y compris l'artisanat"</w:t>
      </w:r>
      <w:r w:rsidR="000F2AC1" w:rsidRPr="00DA6A9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>-1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secteur); </w:t>
      </w:r>
    </w:p>
    <w:p w:rsidR="009C6C3B" w:rsidRPr="00DA6A9A" w:rsidRDefault="00BA3EA9" w:rsidP="00BA3EA9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13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.000 emplois dans celui de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"services" 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>
        <w:rPr>
          <w:rFonts w:ascii="Book Antiqua" w:hAnsi="Book Antiqua" w:cs="Times New Roman"/>
          <w:noProof w:val="0"/>
          <w:sz w:val="26"/>
          <w:szCs w:val="26"/>
        </w:rPr>
        <w:t>-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>
        <w:rPr>
          <w:rFonts w:ascii="Book Antiqua" w:hAnsi="Book Antiqua" w:cs="Times New Roman"/>
          <w:noProof w:val="0"/>
          <w:sz w:val="26"/>
          <w:szCs w:val="26"/>
        </w:rPr>
        <w:t>4</w:t>
      </w:r>
      <w:r w:rsidR="009C6C3B" w:rsidRPr="00DA6A9A">
        <w:rPr>
          <w:rFonts w:ascii="Book Antiqua" w:hAnsi="Book Antiqua" w:cs="Times New Roman"/>
          <w:noProof w:val="0"/>
          <w:sz w:val="26"/>
          <w:szCs w:val="26"/>
        </w:rPr>
        <w:t>%); </w:t>
      </w:r>
    </w:p>
    <w:p w:rsidR="009B7BDC" w:rsidRPr="00DA6A9A" w:rsidRDefault="009C6C3B" w:rsidP="007C196B">
      <w:pPr>
        <w:numPr>
          <w:ilvl w:val="0"/>
          <w:numId w:val="6"/>
        </w:numPr>
        <w:autoSpaceDE w:val="0"/>
        <w:autoSpaceDN w:val="0"/>
        <w:bidi w:val="0"/>
        <w:adjustRightInd w:val="0"/>
        <w:spacing w:before="100" w:beforeAutospacing="1" w:after="100" w:afterAutospacing="1"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emplois dans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A3EA9" w:rsidRPr="00DA6A9A">
        <w:rPr>
          <w:rFonts w:ascii="Book Antiqua" w:hAnsi="Book Antiqua" w:cs="Times New Roman"/>
          <w:noProof w:val="0"/>
          <w:sz w:val="26"/>
          <w:szCs w:val="26"/>
        </w:rPr>
        <w:t xml:space="preserve">l’"agriculture, forêt et pêche"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>-1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BA3EA9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136051" w:rsidRPr="00DA6A9A" w:rsidRDefault="009B7BDC" w:rsidP="004865A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55DD5">
        <w:rPr>
          <w:rFonts w:ascii="Book Antiqua" w:hAnsi="Book Antiqua" w:cs="Times New Roman"/>
          <w:noProof w:val="0"/>
          <w:sz w:val="26"/>
          <w:szCs w:val="26"/>
        </w:rPr>
        <w:t xml:space="preserve">En milieu rural, </w:t>
      </w:r>
      <w:r w:rsidR="00136051" w:rsidRPr="00455DD5">
        <w:rPr>
          <w:rFonts w:ascii="Book Antiqua" w:hAnsi="Book Antiqua" w:cs="Times New Roman"/>
          <w:noProof w:val="0"/>
          <w:sz w:val="26"/>
          <w:szCs w:val="26"/>
        </w:rPr>
        <w:t>comme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 xml:space="preserve"> en milieu urbain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, avec une </w:t>
      </w:r>
      <w:r w:rsidR="00C23080">
        <w:rPr>
          <w:rFonts w:ascii="Book Antiqua" w:hAnsi="Book Antiqua" w:cs="Times New Roman"/>
          <w:noProof w:val="0"/>
          <w:sz w:val="26"/>
          <w:szCs w:val="26"/>
        </w:rPr>
        <w:t>hausse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C23080">
        <w:rPr>
          <w:rFonts w:ascii="Book Antiqua" w:hAnsi="Book Antiqua" w:cs="Times New Roman"/>
          <w:noProof w:val="0"/>
          <w:sz w:val="26"/>
          <w:szCs w:val="26"/>
        </w:rPr>
        <w:t>5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>,</w:t>
      </w:r>
      <w:r w:rsidR="00C23080">
        <w:rPr>
          <w:rFonts w:ascii="Book Antiqua" w:hAnsi="Book Antiqua" w:cs="Times New Roman"/>
          <w:noProof w:val="0"/>
          <w:sz w:val="26"/>
          <w:szCs w:val="26"/>
        </w:rPr>
        <w:t>8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%, le volume d’emploi dans le secteur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de</w:t>
      </w:r>
      <w:r w:rsidR="004865A5">
        <w:rPr>
          <w:rFonts w:ascii="Book Antiqua" w:hAnsi="Book Antiqua" w:cs="Times New Roman"/>
          <w:noProof w:val="0"/>
          <w:sz w:val="26"/>
          <w:szCs w:val="26"/>
        </w:rPr>
        <w:t xml:space="preserve">s BTP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C23080">
        <w:rPr>
          <w:rFonts w:ascii="Book Antiqua" w:hAnsi="Book Antiqua" w:cs="Times New Roman"/>
          <w:noProof w:val="0"/>
          <w:sz w:val="26"/>
          <w:szCs w:val="26"/>
        </w:rPr>
        <w:t xml:space="preserve">augmenté 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25.000 emplois</w:t>
      </w:r>
      <w:r w:rsidR="00887BFD" w:rsidRPr="00887BFD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455DD5">
        <w:rPr>
          <w:rFonts w:ascii="Book Antiqua" w:hAnsi="Book Antiqua" w:cs="Times New Roman"/>
          <w:noProof w:val="0"/>
          <w:sz w:val="26"/>
          <w:szCs w:val="26"/>
        </w:rPr>
        <w:t xml:space="preserve">En revanche, </w:t>
      </w:r>
      <w:r w:rsidR="00335229">
        <w:rPr>
          <w:rFonts w:ascii="Book Antiqua" w:hAnsi="Book Antiqua" w:cs="Times New Roman"/>
          <w:noProof w:val="0"/>
          <w:sz w:val="26"/>
          <w:szCs w:val="26"/>
        </w:rPr>
        <w:t xml:space="preserve">au niveau de tous les autres 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secteurs</w:t>
      </w:r>
      <w:r w:rsidR="00335229">
        <w:rPr>
          <w:rFonts w:ascii="Book Antiqua" w:hAnsi="Book Antiqua" w:cs="Times New Roman"/>
          <w:noProof w:val="0"/>
          <w:sz w:val="26"/>
          <w:szCs w:val="26"/>
        </w:rPr>
        <w:t xml:space="preserve">, l’emploi a connu un </w:t>
      </w:r>
      <w:r w:rsidR="00C23080">
        <w:rPr>
          <w:rFonts w:ascii="Book Antiqua" w:hAnsi="Book Antiqua" w:cs="Times New Roman"/>
          <w:noProof w:val="0"/>
          <w:sz w:val="26"/>
          <w:szCs w:val="26"/>
        </w:rPr>
        <w:t>recul</w:t>
      </w:r>
      <w:r w:rsidR="00136051" w:rsidRPr="00887BFD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136051" w:rsidRPr="00DA6A9A" w:rsidRDefault="00AE2160" w:rsidP="004865A5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63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postes dans le secteur </w:t>
      </w:r>
      <w:r w:rsidR="004865A5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865A5" w:rsidRPr="00887BFD">
        <w:rPr>
          <w:rFonts w:ascii="Book Antiqua" w:hAnsi="Book Antiqua" w:cs="Times New Roman"/>
          <w:noProof w:val="0"/>
          <w:sz w:val="26"/>
          <w:szCs w:val="26"/>
        </w:rPr>
        <w:t xml:space="preserve">l’"agriculture, forêt et pêche" 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>
        <w:rPr>
          <w:rFonts w:ascii="Book Antiqua" w:hAnsi="Book Antiqua" w:cs="Times New Roman"/>
          <w:noProof w:val="0"/>
          <w:sz w:val="26"/>
          <w:szCs w:val="26"/>
        </w:rPr>
        <w:t>-1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6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secteur); </w:t>
      </w:r>
    </w:p>
    <w:p w:rsidR="00136051" w:rsidRPr="00DA6A9A" w:rsidRDefault="00AE2160" w:rsidP="00AE2160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30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.000 emplois dans celui de l’"industrie y compris l'artisanat" (</w:t>
      </w:r>
      <w:r>
        <w:rPr>
          <w:rFonts w:ascii="Book Antiqua" w:hAnsi="Book Antiqua" w:cs="Times New Roman"/>
          <w:noProof w:val="0"/>
          <w:sz w:val="26"/>
          <w:szCs w:val="26"/>
        </w:rPr>
        <w:t>-11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>
        <w:rPr>
          <w:rFonts w:ascii="Book Antiqua" w:hAnsi="Book Antiqua" w:cs="Times New Roman"/>
          <w:noProof w:val="0"/>
          <w:sz w:val="26"/>
          <w:szCs w:val="26"/>
        </w:rPr>
        <w:t>8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%); </w:t>
      </w:r>
    </w:p>
    <w:p w:rsidR="00136051" w:rsidRDefault="00AE2160" w:rsidP="004865A5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2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emplois dans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="004865A5" w:rsidRPr="00DA6A9A">
        <w:rPr>
          <w:rFonts w:ascii="Book Antiqua" w:hAnsi="Book Antiqua" w:cs="Times New Roman"/>
          <w:noProof w:val="0"/>
          <w:sz w:val="26"/>
          <w:szCs w:val="26"/>
        </w:rPr>
        <w:t xml:space="preserve">"services" 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>
        <w:rPr>
          <w:rFonts w:ascii="Book Antiqua" w:hAnsi="Book Antiqua" w:cs="Times New Roman"/>
          <w:noProof w:val="0"/>
          <w:sz w:val="26"/>
          <w:szCs w:val="26"/>
        </w:rPr>
        <w:t>-0,3</w:t>
      </w:r>
      <w:r w:rsidR="00136051" w:rsidRPr="00DA6A9A">
        <w:rPr>
          <w:rFonts w:ascii="Book Antiqua" w:hAnsi="Book Antiqua" w:cs="Times New Roman"/>
          <w:noProof w:val="0"/>
          <w:sz w:val="26"/>
          <w:szCs w:val="26"/>
        </w:rPr>
        <w:t>%).</w:t>
      </w:r>
    </w:p>
    <w:p w:rsidR="00246FAD" w:rsidRPr="00EF439F" w:rsidRDefault="00246FAD" w:rsidP="00246FAD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DA6A9A" w:rsidRDefault="007D3350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Niveau et p</w:t>
      </w:r>
      <w:r w:rsidR="009B7BDC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 xml:space="preserve">rincipales caractéristiques du chômage 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0C3F2F" w:rsidRPr="00DA6A9A" w:rsidRDefault="000C3F2F" w:rsidP="0062111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Avec une </w:t>
      </w:r>
      <w:r w:rsidR="00245679">
        <w:rPr>
          <w:rFonts w:ascii="Book Antiqua" w:hAnsi="Book Antiqua" w:cs="Times New Roman"/>
          <w:noProof w:val="0"/>
          <w:sz w:val="26"/>
          <w:szCs w:val="26"/>
        </w:rPr>
        <w:t>baisse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="00245679">
        <w:rPr>
          <w:rFonts w:ascii="Book Antiqua" w:hAnsi="Book Antiqua" w:cs="Times New Roman"/>
          <w:noProof w:val="0"/>
          <w:sz w:val="26"/>
          <w:szCs w:val="26"/>
        </w:rPr>
        <w:t>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personnes,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245679">
        <w:rPr>
          <w:rFonts w:ascii="Book Antiqua" w:hAnsi="Book Antiqua" w:cs="Times New Roman"/>
          <w:noProof w:val="0"/>
          <w:sz w:val="26"/>
          <w:szCs w:val="26"/>
        </w:rPr>
        <w:t>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en milieu urbain et </w:t>
      </w:r>
      <w:r w:rsidR="00245679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en milieu rural, la population active en chômage est passée, entre le </w:t>
      </w:r>
      <w:r w:rsidR="00E5417B" w:rsidRPr="00DA6A9A">
        <w:rPr>
          <w:rFonts w:ascii="Book Antiqua" w:hAnsi="Book Antiqua" w:cs="Times New Roman"/>
          <w:noProof w:val="0"/>
          <w:sz w:val="26"/>
          <w:szCs w:val="26"/>
        </w:rPr>
        <w:t>troisième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trimestre de l’année 201</w:t>
      </w:r>
      <w:r w:rsidR="007363FB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et celui de 201</w:t>
      </w:r>
      <w:r w:rsidR="007363FB">
        <w:rPr>
          <w:rFonts w:ascii="Book Antiqua" w:hAnsi="Book Antiqua" w:cs="Times New Roman"/>
          <w:noProof w:val="0"/>
          <w:sz w:val="26"/>
          <w:szCs w:val="26"/>
        </w:rPr>
        <w:t>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 de 1.</w:t>
      </w:r>
      <w:r w:rsidR="007363FB">
        <w:rPr>
          <w:rFonts w:ascii="Book Antiqua" w:hAnsi="Book Antiqua" w:cs="Times New Roman"/>
          <w:noProof w:val="0"/>
          <w:sz w:val="26"/>
          <w:szCs w:val="26"/>
        </w:rPr>
        <w:t>206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7363FB">
        <w:rPr>
          <w:rFonts w:ascii="Book Antiqua" w:hAnsi="Book Antiqua" w:cs="Times New Roman"/>
          <w:noProof w:val="0"/>
          <w:sz w:val="26"/>
          <w:szCs w:val="26"/>
        </w:rPr>
        <w:t>142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.000 chômeurs, enregistrant une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baisse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1A100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au niveau national.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>Entre les deux périodes, l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e taux de chômage est ainsi passé de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10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9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au niveau national, de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15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3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% en milieu urbain et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 xml:space="preserve">a stagné à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,3% en milieu  rural.</w:t>
      </w:r>
    </w:p>
    <w:p w:rsidR="000C3F2F" w:rsidRPr="00DA6A9A" w:rsidRDefault="000C3F2F" w:rsidP="000B0787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baisses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les plus importantes du taux de chômage ont été relevées parmi 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les personnes ayant un diplôme (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-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1,</w:t>
      </w:r>
      <w:r w:rsidR="00621116">
        <w:rPr>
          <w:rFonts w:ascii="Book Antiqua" w:hAnsi="Book Antiqua" w:cs="Times New Roman"/>
          <w:noProof w:val="0"/>
          <w:sz w:val="26"/>
          <w:szCs w:val="26"/>
        </w:rPr>
        <w:t>1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les jeunes âgés de 25 à 34 ans (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>-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>0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>,8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371790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 xml:space="preserve">Le taux de chômage des </w:t>
      </w:r>
      <w:r w:rsidR="000B0787" w:rsidRPr="00DA6A9A">
        <w:rPr>
          <w:rFonts w:ascii="Book Antiqua" w:hAnsi="Book Antiqua" w:cs="Times New Roman"/>
          <w:noProof w:val="0"/>
          <w:sz w:val="26"/>
          <w:szCs w:val="26"/>
        </w:rPr>
        <w:t xml:space="preserve">jeunes âgés de 15 à 24 ans 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 xml:space="preserve">a en revanche connu la hausse la plus importante </w:t>
      </w:r>
      <w:r w:rsidR="000B0787" w:rsidRPr="00DA6A9A">
        <w:rPr>
          <w:rFonts w:ascii="Book Antiqua" w:hAnsi="Book Antiqua" w:cs="Times New Roman"/>
          <w:noProof w:val="0"/>
          <w:sz w:val="26"/>
          <w:szCs w:val="26"/>
        </w:rPr>
        <w:t>(+0,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>4</w:t>
      </w:r>
      <w:r w:rsidR="000B078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0B0787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4F377E" w:rsidRPr="001F0CD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1F0CDE" w:rsidRDefault="009B7BDC" w:rsidP="00E5417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Figure 3 : Evolution du taux de chômage au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x</w:t>
      </w:r>
      <w:r w:rsidR="00EC6093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troisièmes</w:t>
      </w:r>
      <w:r w:rsidR="00EC6093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trimestre</w:t>
      </w:r>
      <w:r w:rsidR="00E5417B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milieu de résidence (en %).</w:t>
      </w: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1A1000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 w:rsidRPr="001A1000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654125" cy="1801504"/>
            <wp:effectExtent l="19050" t="0" r="22775" b="8246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58D2" w:rsidRDefault="002658D2" w:rsidP="002658D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A3669C" w:rsidRDefault="000C3F2F" w:rsidP="00C9721C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Le chômage demeure en particulier élevé parmi les diplômés et les jeunes âgés de 15 à 24 ans. C’est ainsi qu’au </w:t>
      </w:r>
      <w:r w:rsidR="001D0B3C" w:rsidRPr="00DA6A9A">
        <w:rPr>
          <w:rFonts w:ascii="Book Antiqua" w:hAnsi="Book Antiqua" w:cs="Times New Roman"/>
          <w:noProof w:val="0"/>
          <w:sz w:val="26"/>
          <w:szCs w:val="26"/>
        </w:rPr>
        <w:t xml:space="preserve">troisième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trimestre </w:t>
      </w:r>
      <w:r w:rsidR="00DE6DAC" w:rsidRPr="00DA6A9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201</w:t>
      </w:r>
      <w:r w:rsidR="00C9721C">
        <w:rPr>
          <w:rFonts w:ascii="Book Antiqua" w:hAnsi="Book Antiqua" w:cs="Times New Roman"/>
          <w:noProof w:val="0"/>
          <w:sz w:val="26"/>
          <w:szCs w:val="26"/>
        </w:rPr>
        <w:t>6</w:t>
      </w:r>
      <w:r w:rsidR="00A3669C">
        <w:rPr>
          <w:rFonts w:ascii="Book Antiqua" w:hAnsi="Book Antiqua" w:cs="Times New Roman"/>
          <w:noProof w:val="0"/>
          <w:sz w:val="26"/>
          <w:szCs w:val="26"/>
        </w:rPr>
        <w:t> :</w:t>
      </w:r>
    </w:p>
    <w:p w:rsidR="00FD478A" w:rsidRPr="00FD478A" w:rsidRDefault="00FD478A" w:rsidP="00FD478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3669C" w:rsidRDefault="00A3669C" w:rsidP="003E0AB3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Times New Roman"/>
          <w:sz w:val="26"/>
          <w:szCs w:val="26"/>
          <w:lang w:val="fr-FR"/>
        </w:rPr>
      </w:pPr>
      <w:r w:rsidRPr="00FD478A">
        <w:rPr>
          <w:rFonts w:ascii="Book Antiqua" w:hAnsi="Book Antiqua" w:cs="Times New Roman"/>
          <w:sz w:val="26"/>
          <w:szCs w:val="26"/>
          <w:lang w:val="fr-FR"/>
        </w:rPr>
        <w:t>L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e taux de chômage </w:t>
      </w:r>
      <w:r w:rsidR="007416B0" w:rsidRPr="00FD478A">
        <w:rPr>
          <w:rFonts w:ascii="Book Antiqua" w:hAnsi="Book Antiqua" w:cs="Times New Roman"/>
          <w:sz w:val="26"/>
          <w:szCs w:val="26"/>
          <w:lang w:val="fr-FR"/>
        </w:rPr>
        <w:t xml:space="preserve">s’est établi à </w:t>
      </w:r>
      <w:r w:rsidR="00C9721C">
        <w:rPr>
          <w:rFonts w:ascii="Book Antiqua" w:hAnsi="Book Antiqua" w:cs="Times New Roman"/>
          <w:sz w:val="26"/>
          <w:szCs w:val="26"/>
          <w:lang w:val="fr-FR"/>
        </w:rPr>
        <w:t>3</w:t>
      </w:r>
      <w:r w:rsidR="002C0E45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C9721C">
        <w:rPr>
          <w:rFonts w:ascii="Book Antiqua" w:hAnsi="Book Antiqua" w:cs="Times New Roman"/>
          <w:sz w:val="26"/>
          <w:szCs w:val="26"/>
          <w:lang w:val="fr-FR"/>
        </w:rPr>
        <w:t>8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personnes sans diplôme, </w:t>
      </w:r>
      <w:r w:rsidR="007416B0" w:rsidRPr="00FD478A">
        <w:rPr>
          <w:rFonts w:ascii="Book Antiqua" w:hAnsi="Book Antiqua" w:cs="Times New Roman"/>
          <w:sz w:val="26"/>
          <w:szCs w:val="26"/>
          <w:lang w:val="fr-FR"/>
        </w:rPr>
        <w:t xml:space="preserve">à 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1</w:t>
      </w:r>
      <w:r w:rsidR="00F933AC" w:rsidRPr="00E2690E">
        <w:rPr>
          <w:rFonts w:ascii="Book Antiqua" w:hAnsi="Book Antiqua" w:cs="Times New Roman"/>
          <w:sz w:val="26"/>
          <w:szCs w:val="26"/>
          <w:lang w:val="fr-FR"/>
        </w:rPr>
        <w:t>4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,</w:t>
      </w:r>
      <w:r w:rsidR="00E2690E" w:rsidRPr="00E2690E">
        <w:rPr>
          <w:rFonts w:ascii="Book Antiqua" w:hAnsi="Book Antiqua" w:cs="Times New Roman"/>
          <w:sz w:val="26"/>
          <w:szCs w:val="26"/>
          <w:lang w:val="fr-FR"/>
        </w:rPr>
        <w:t>7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%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parmi </w:t>
      </w:r>
      <w:r w:rsidR="005C4D04" w:rsidRPr="00FD478A">
        <w:rPr>
          <w:rFonts w:ascii="Book Antiqua" w:hAnsi="Book Antiqua" w:cs="Times New Roman"/>
          <w:sz w:val="26"/>
          <w:szCs w:val="26"/>
          <w:lang w:val="fr-FR"/>
        </w:rPr>
        <w:t xml:space="preserve">les </w:t>
      </w:r>
      <w:r w:rsidR="00FD478A" w:rsidRPr="00FD478A">
        <w:rPr>
          <w:rFonts w:ascii="Book Antiqua" w:hAnsi="Book Antiqua" w:cs="Times New Roman"/>
          <w:sz w:val="26"/>
          <w:szCs w:val="26"/>
          <w:lang w:val="fr-FR"/>
        </w:rPr>
        <w:t>détenteurs</w:t>
      </w:r>
      <w:r w:rsidR="005C4D04" w:rsidRPr="00FD478A">
        <w:rPr>
          <w:rFonts w:ascii="Book Antiqua" w:hAnsi="Book Antiqua" w:cs="Times New Roman"/>
          <w:sz w:val="26"/>
          <w:szCs w:val="26"/>
          <w:lang w:val="fr-FR"/>
        </w:rPr>
        <w:t xml:space="preserve"> d’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un diplôme de niveau moyen</w:t>
      </w:r>
      <w:r w:rsidR="000C3F2F" w:rsidRPr="00DA6A9A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2"/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au niveau desquels il a 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 xml:space="preserve">enregistré </w:t>
      </w:r>
      <w:r w:rsidR="00D86972" w:rsidRPr="00E2690E">
        <w:rPr>
          <w:rFonts w:ascii="Book Antiqua" w:hAnsi="Book Antiqua" w:cs="Times New Roman"/>
          <w:sz w:val="26"/>
          <w:szCs w:val="26"/>
          <w:lang w:val="fr-FR"/>
        </w:rPr>
        <w:t>2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2</w:t>
      </w:r>
      <w:r w:rsidR="006D2076" w:rsidRPr="00E2690E">
        <w:rPr>
          <w:rFonts w:ascii="Book Antiqua" w:hAnsi="Book Antiqua" w:cs="Times New Roman"/>
          <w:sz w:val="26"/>
          <w:szCs w:val="26"/>
          <w:lang w:val="fr-FR"/>
        </w:rPr>
        <w:t>,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7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%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parmi les actifs ayant un </w:t>
      </w:r>
      <w:r w:rsidR="003E0AB3">
        <w:rPr>
          <w:rFonts w:ascii="Book Antiqua" w:hAnsi="Book Antiqua" w:cs="Times New Roman"/>
          <w:sz w:val="26"/>
          <w:szCs w:val="26"/>
          <w:lang w:val="fr-FR"/>
        </w:rPr>
        <w:t>diplôme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de qualification professionnelle, et 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2</w:t>
      </w:r>
      <w:r w:rsidR="00E2690E" w:rsidRPr="00E2690E">
        <w:rPr>
          <w:rFonts w:ascii="Book Antiqua" w:hAnsi="Book Antiqua" w:cs="Times New Roman"/>
          <w:sz w:val="26"/>
          <w:szCs w:val="26"/>
          <w:lang w:val="fr-FR"/>
        </w:rPr>
        <w:t>2</w:t>
      </w:r>
      <w:r w:rsidR="00F933AC" w:rsidRPr="00E2690E">
        <w:rPr>
          <w:rFonts w:ascii="Book Antiqua" w:hAnsi="Book Antiqua" w:cs="Times New Roman"/>
          <w:sz w:val="26"/>
          <w:szCs w:val="26"/>
          <w:lang w:val="fr-FR"/>
        </w:rPr>
        <w:t>,</w:t>
      </w:r>
      <w:r w:rsidR="00E2690E" w:rsidRPr="00E2690E">
        <w:rPr>
          <w:rFonts w:ascii="Book Antiqua" w:hAnsi="Book Antiqua" w:cs="Times New Roman"/>
          <w:sz w:val="26"/>
          <w:szCs w:val="26"/>
          <w:lang w:val="fr-FR"/>
        </w:rPr>
        <w:t>3</w:t>
      </w:r>
      <w:r w:rsidR="000C3F2F" w:rsidRPr="00E2690E">
        <w:rPr>
          <w:rFonts w:ascii="Book Antiqua" w:hAnsi="Book Antiqua" w:cs="Times New Roman"/>
          <w:sz w:val="26"/>
          <w:szCs w:val="26"/>
          <w:lang w:val="fr-FR"/>
        </w:rPr>
        <w:t>%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parmi les </w:t>
      </w:r>
      <w:r w:rsidR="00FD478A" w:rsidRPr="00FD478A">
        <w:rPr>
          <w:rFonts w:ascii="Book Antiqua" w:hAnsi="Book Antiqua" w:cs="Times New Roman"/>
          <w:sz w:val="26"/>
          <w:szCs w:val="26"/>
          <w:lang w:val="fr-FR"/>
        </w:rPr>
        <w:t>détenteurs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d’un diplôme de niveau supérieur</w:t>
      </w:r>
      <w:r w:rsidR="000C3F2F" w:rsidRPr="00DA6A9A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3"/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 avec en particulier un taux de 2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7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,3% </w:t>
      </w:r>
      <w:r w:rsidR="00DE6DAC" w:rsidRPr="00FD478A">
        <w:rPr>
          <w:rFonts w:ascii="Book Antiqua" w:hAnsi="Book Antiqua" w:cs="Times New Roman"/>
          <w:sz w:val="26"/>
          <w:szCs w:val="26"/>
          <w:lang w:val="fr-FR"/>
        </w:rPr>
        <w:t>au niveau d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es lauréats des facultés. </w:t>
      </w:r>
    </w:p>
    <w:p w:rsidR="000C3F2F" w:rsidRPr="00FD478A" w:rsidRDefault="00A3669C" w:rsidP="00553EAF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Times New Roman"/>
          <w:sz w:val="26"/>
          <w:szCs w:val="26"/>
          <w:lang w:val="fr-FR"/>
        </w:rPr>
      </w:pPr>
      <w:r w:rsidRPr="00FD478A">
        <w:rPr>
          <w:rFonts w:ascii="Book Antiqua" w:hAnsi="Book Antiqua" w:cs="Times New Roman"/>
          <w:sz w:val="26"/>
          <w:szCs w:val="26"/>
          <w:lang w:val="fr-FR"/>
        </w:rPr>
        <w:t xml:space="preserve">Il était de 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2</w:t>
      </w:r>
      <w:r w:rsidR="001D0B3C" w:rsidRPr="00FD478A">
        <w:rPr>
          <w:rFonts w:ascii="Book Antiqua" w:hAnsi="Book Antiqua" w:cs="Times New Roman"/>
          <w:sz w:val="26"/>
          <w:szCs w:val="26"/>
          <w:lang w:val="fr-FR"/>
        </w:rPr>
        <w:t>1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8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jeunes âgés de 15 à 24 </w:t>
      </w:r>
      <w:r w:rsidR="00553EAF">
        <w:rPr>
          <w:rFonts w:ascii="Book Antiqua" w:hAnsi="Book Antiqua" w:cs="Times New Roman"/>
          <w:sz w:val="26"/>
          <w:szCs w:val="26"/>
          <w:lang w:val="fr-FR"/>
        </w:rPr>
        <w:t xml:space="preserve">ans 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et </w:t>
      </w:r>
      <w:r w:rsidRPr="00FD478A">
        <w:rPr>
          <w:rFonts w:ascii="Book Antiqua" w:hAnsi="Book Antiqua" w:cs="Times New Roman"/>
          <w:sz w:val="26"/>
          <w:szCs w:val="26"/>
          <w:lang w:val="fr-FR"/>
        </w:rPr>
        <w:t xml:space="preserve">de 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40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8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 xml:space="preserve">% parmi les citadins d’entre eux, contre 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9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,</w:t>
      </w:r>
      <w:r w:rsidR="00DC339F">
        <w:rPr>
          <w:rFonts w:ascii="Book Antiqua" w:hAnsi="Book Antiqua" w:cs="Times New Roman"/>
          <w:sz w:val="26"/>
          <w:szCs w:val="26"/>
          <w:lang w:val="fr-FR"/>
        </w:rPr>
        <w:t>6</w:t>
      </w:r>
      <w:r w:rsidR="000C3F2F" w:rsidRPr="00FD478A">
        <w:rPr>
          <w:rFonts w:ascii="Book Antiqua" w:hAnsi="Book Antiqua" w:cs="Times New Roman"/>
          <w:sz w:val="26"/>
          <w:szCs w:val="26"/>
          <w:lang w:val="fr-FR"/>
        </w:rPr>
        <w:t>% pour l’ensemble des personnes âgées de 15 ans et plus.</w:t>
      </w:r>
    </w:p>
    <w:p w:rsidR="009B7BDC" w:rsidRDefault="009B7BDC" w:rsidP="00561BB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Taux de chômage 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au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x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troisième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1F0CDE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="00561BB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>de 201</w:t>
      </w:r>
      <w:r w:rsidR="00561BBC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="00F83B8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7416B0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561BBC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selon le diplôme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6F3794" w:rsidRDefault="00DC339F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DC339F"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71672" cy="2156346"/>
            <wp:effectExtent l="19050" t="0" r="10028" b="0"/>
            <wp:docPr id="5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7BDC" w:rsidRPr="00DA6A9A" w:rsidRDefault="00B40C98" w:rsidP="00B40C98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Par ailleurs, l’enquête révèle que : </w:t>
      </w:r>
    </w:p>
    <w:p w:rsidR="009B7BDC" w:rsidRPr="00DA6A9A" w:rsidRDefault="008C428E" w:rsidP="00FE6F38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 huit chômeurs sur dix (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79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D84D9C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sont citadins</w:t>
      </w:r>
      <w:r w:rsidR="0094567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45675">
        <w:rPr>
          <w:rFonts w:ascii="Book Antiqua" w:hAnsi="Book Antiqua" w:cs="Times New Roman"/>
          <w:noProof w:val="0"/>
          <w:sz w:val="27"/>
          <w:szCs w:val="27"/>
        </w:rPr>
        <w:t>(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7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5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,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2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%pour les </w:t>
      </w:r>
      <w:r w:rsidR="00945675"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>8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7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>,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8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pour les </w:t>
      </w:r>
      <w:r w:rsidR="00945675"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="00945675"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9B7BDC" w:rsidRPr="00DA6A9A" w:rsidRDefault="00260506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B43912" w:rsidRPr="00DA6A9A">
        <w:rPr>
          <w:rFonts w:ascii="Book Antiqua" w:hAnsi="Book Antiqua" w:cs="Times New Roman"/>
          <w:noProof w:val="0"/>
          <w:sz w:val="26"/>
          <w:szCs w:val="26"/>
        </w:rPr>
        <w:t>des deux tiers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 (6</w:t>
      </w:r>
      <w:r w:rsidR="00974FAC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B43912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sont âgés de 15 à 29 ans</w:t>
      </w:r>
      <w:r w:rsidR="0094567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45675">
        <w:rPr>
          <w:rFonts w:ascii="Book Antiqua" w:hAnsi="Book Antiqua" w:cs="Times New Roman"/>
          <w:noProof w:val="0"/>
          <w:sz w:val="27"/>
          <w:szCs w:val="27"/>
        </w:rPr>
        <w:t>(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65,7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%</w:t>
      </w:r>
      <w:r w:rsidR="001D69C5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 </w:t>
      </w:r>
      <w:r w:rsidR="00945675"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61,8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="00945675"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9B7BDC" w:rsidRPr="00DA6A9A" w:rsidRDefault="00B43912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plus d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u</w:t>
      </w:r>
      <w:r w:rsidR="00561BB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74FAC">
        <w:rPr>
          <w:rFonts w:ascii="Book Antiqua" w:hAnsi="Book Antiqua" w:cs="Times New Roman"/>
          <w:noProof w:val="0"/>
          <w:sz w:val="26"/>
          <w:szCs w:val="26"/>
        </w:rPr>
        <w:t xml:space="preserve">tiers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(</w:t>
      </w:r>
      <w:r w:rsidR="00974FAC">
        <w:rPr>
          <w:rFonts w:ascii="Book Antiqua" w:hAnsi="Book Antiqua" w:cs="Times New Roman"/>
          <w:noProof w:val="0"/>
          <w:sz w:val="26"/>
          <w:szCs w:val="26"/>
        </w:rPr>
        <w:t>33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182B14" w:rsidRPr="00DA6A9A">
        <w:rPr>
          <w:rFonts w:ascii="Book Antiqua" w:hAnsi="Book Antiqua" w:cs="Times New Roman"/>
          <w:noProof w:val="0"/>
          <w:sz w:val="26"/>
          <w:szCs w:val="26"/>
        </w:rPr>
        <w:t xml:space="preserve">détiennent un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diplôm</w:t>
      </w:r>
      <w:r w:rsidR="00182B14" w:rsidRPr="00DA6A9A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 niveau supérieur</w:t>
      </w:r>
      <w:r w:rsidR="0094567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45675">
        <w:rPr>
          <w:rFonts w:ascii="Book Antiqua" w:hAnsi="Book Antiqua" w:cs="Times New Roman"/>
          <w:noProof w:val="0"/>
          <w:sz w:val="27"/>
          <w:szCs w:val="27"/>
        </w:rPr>
        <w:t>(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25,5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52,4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="00945675"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</w:p>
    <w:p w:rsidR="009B7BDC" w:rsidRPr="00DA6A9A" w:rsidRDefault="00B43912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plus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de la moitié (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260506" w:rsidRPr="00DA6A9A">
        <w:rPr>
          <w:rFonts w:ascii="Book Antiqua" w:hAnsi="Book Antiqua" w:cs="Times New Roman"/>
          <w:noProof w:val="0"/>
          <w:sz w:val="26"/>
          <w:szCs w:val="26"/>
        </w:rPr>
        <w:t>4</w:t>
      </w:r>
      <w:r w:rsidR="00974FAC">
        <w:rPr>
          <w:rFonts w:ascii="Book Antiqua" w:hAnsi="Book Antiqua" w:cs="Times New Roman"/>
          <w:noProof w:val="0"/>
          <w:sz w:val="26"/>
          <w:szCs w:val="26"/>
        </w:rPr>
        <w:t>,3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%) sont </w:t>
      </w:r>
      <w:r w:rsidR="00150331"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primo-demandeurs d’emploi</w:t>
      </w:r>
      <w:r w:rsidR="00FE6F3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45675">
        <w:rPr>
          <w:rFonts w:ascii="Book Antiqua" w:hAnsi="Book Antiqua" w:cs="Times New Roman"/>
          <w:noProof w:val="0"/>
          <w:sz w:val="27"/>
          <w:szCs w:val="27"/>
        </w:rPr>
        <w:t>(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48,4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67,6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="00945675"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 xml:space="preserve"> ; </w:t>
      </w:r>
    </w:p>
    <w:p w:rsidR="009B7BDC" w:rsidRPr="00DA6A9A" w:rsidRDefault="00260506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A6A9A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es deux tiers (6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6</w:t>
      </w:r>
      <w:r w:rsidR="00974FAC">
        <w:rPr>
          <w:rFonts w:ascii="Book Antiqua" w:hAnsi="Book Antiqua" w:cs="Times New Roman"/>
          <w:noProof w:val="0"/>
          <w:sz w:val="26"/>
          <w:szCs w:val="26"/>
        </w:rPr>
        <w:t>,1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%) chôment depuis une année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 xml:space="preserve"> ou plus</w:t>
      </w:r>
      <w:r w:rsidR="0094567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45675">
        <w:rPr>
          <w:rFonts w:ascii="Book Antiqua" w:hAnsi="Book Antiqua" w:cs="Times New Roman"/>
          <w:noProof w:val="0"/>
          <w:sz w:val="27"/>
          <w:szCs w:val="27"/>
        </w:rPr>
        <w:t>(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62</w:t>
      </w:r>
      <w:r w:rsidR="00945675"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%</w:t>
      </w:r>
      <w:r w:rsidR="001D69C5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 </w:t>
      </w:r>
      <w:r w:rsidR="00945675"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945675"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 w:rsidR="00945675"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75,3</w:t>
      </w:r>
      <w:r w:rsidR="00945675"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 w:rsidR="00945675"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="00945675"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="009B7BDC" w:rsidRPr="00DA6A9A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9B7BDC" w:rsidRPr="0010723B" w:rsidRDefault="00945675" w:rsidP="0010723B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10723B">
        <w:rPr>
          <w:rFonts w:ascii="Book Antiqua" w:hAnsi="Book Antiqua" w:cs="Times New Roman"/>
          <w:noProof w:val="0"/>
          <w:sz w:val="27"/>
          <w:szCs w:val="27"/>
        </w:rPr>
        <w:t>et environ un sur trois (29,3%) se sont retrouvés au chômage suite au licenciement (2</w:t>
      </w:r>
      <w:r w:rsidR="0010723B" w:rsidRPr="0010723B">
        <w:rPr>
          <w:rFonts w:ascii="Book Antiqua" w:hAnsi="Book Antiqua" w:cs="Times New Roman"/>
          <w:noProof w:val="0"/>
          <w:sz w:val="27"/>
          <w:szCs w:val="27"/>
        </w:rPr>
        <w:t>4</w:t>
      </w:r>
      <w:r w:rsidRPr="0010723B">
        <w:rPr>
          <w:rFonts w:ascii="Book Antiqua" w:hAnsi="Book Antiqua" w:cs="Times New Roman"/>
          <w:noProof w:val="0"/>
          <w:sz w:val="27"/>
          <w:szCs w:val="27"/>
        </w:rPr>
        <w:t>,</w:t>
      </w:r>
      <w:r w:rsidR="0010723B" w:rsidRPr="0010723B">
        <w:rPr>
          <w:rFonts w:ascii="Book Antiqua" w:hAnsi="Book Antiqua" w:cs="Times New Roman"/>
          <w:noProof w:val="0"/>
          <w:sz w:val="27"/>
          <w:szCs w:val="27"/>
        </w:rPr>
        <w:t>3</w:t>
      </w:r>
      <w:r w:rsidRPr="0010723B">
        <w:rPr>
          <w:rFonts w:ascii="Book Antiqua" w:hAnsi="Book Antiqua" w:cs="Times New Roman"/>
          <w:noProof w:val="0"/>
          <w:sz w:val="27"/>
          <w:szCs w:val="27"/>
        </w:rPr>
        <w:t>%) ou à l’arrêt de l’activité de l’établissement employeur (5%).</w:t>
      </w:r>
    </w:p>
    <w:p w:rsidR="002658D2" w:rsidRPr="002658D2" w:rsidRDefault="002658D2" w:rsidP="002658D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6D689B" w:rsidRPr="00324D85" w:rsidRDefault="006D689B" w:rsidP="00DB4F6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46540F" w:rsidRDefault="0046540F" w:rsidP="00083DF9">
      <w:pPr>
        <w:bidi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D’un autre côté, il convient</w:t>
      </w:r>
      <w:r w:rsidR="00561BB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de noter que la population active en chômage intègre également les personnes découragées par la recherche active d’emploi. Au troisième trimestre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201</w:t>
      </w:r>
      <w:r w:rsidR="000C0A3F">
        <w:rPr>
          <w:rFonts w:ascii="Book Antiqua" w:hAnsi="Book Antiqua" w:cs="Times New Roman"/>
          <w:noProof w:val="0"/>
          <w:sz w:val="26"/>
          <w:szCs w:val="26"/>
        </w:rPr>
        <w:t>6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, leur effectif a atteint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63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.000 personnes, ce qui correspond à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5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5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% du volume global du chômage</w:t>
      </w:r>
      <w:r w:rsidR="00DE6DAC" w:rsidRPr="00A80F1F">
        <w:rPr>
          <w:rFonts w:ascii="Book Antiqua" w:hAnsi="Book Antiqua" w:cs="Times New Roman"/>
          <w:noProof w:val="0"/>
          <w:sz w:val="26"/>
          <w:szCs w:val="26"/>
        </w:rPr>
        <w:t xml:space="preserve">, contre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6</w:t>
      </w:r>
      <w:r w:rsidR="00DE6DA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6</w:t>
      </w:r>
      <w:r w:rsidR="00DE6DAC" w:rsidRPr="00A80F1F">
        <w:rPr>
          <w:rFonts w:ascii="Book Antiqua" w:hAnsi="Book Antiqua" w:cs="Times New Roman"/>
          <w:noProof w:val="0"/>
          <w:sz w:val="26"/>
          <w:szCs w:val="26"/>
        </w:rPr>
        <w:t>% une année auparavant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Ils sont à 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8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3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4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% citadins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50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,1% des jeunes âgés de 15 à 29 ans, </w:t>
      </w:r>
      <w:r w:rsidR="00991146" w:rsidRPr="00A80F1F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58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7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>% masculins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 xml:space="preserve"> et à 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81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083DF9">
        <w:rPr>
          <w:rFonts w:ascii="Book Antiqua" w:hAnsi="Book Antiqua" w:cs="Times New Roman"/>
          <w:noProof w:val="0"/>
          <w:sz w:val="26"/>
          <w:szCs w:val="26"/>
        </w:rPr>
        <w:t>5</w:t>
      </w:r>
      <w:r w:rsidR="00D837A7" w:rsidRPr="00A80F1F">
        <w:rPr>
          <w:rFonts w:ascii="Book Antiqua" w:hAnsi="Book Antiqua" w:cs="Times New Roman"/>
          <w:noProof w:val="0"/>
          <w:sz w:val="26"/>
          <w:szCs w:val="26"/>
        </w:rPr>
        <w:t>% diplômés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 </w:t>
      </w:r>
    </w:p>
    <w:p w:rsidR="002658D2" w:rsidRPr="002658D2" w:rsidRDefault="002658D2" w:rsidP="002658D2">
      <w:pPr>
        <w:bidi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2658D2" w:rsidRPr="002658D2" w:rsidRDefault="002658D2" w:rsidP="001F0CD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632FC8" w:rsidRPr="000C0A3F" w:rsidRDefault="00632FC8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0"/>
          <w:szCs w:val="10"/>
        </w:rPr>
      </w:pPr>
    </w:p>
    <w:p w:rsidR="009B7BDC" w:rsidRPr="00DA6A9A" w:rsidRDefault="007D3350" w:rsidP="00632FC8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Niveau et p</w:t>
      </w:r>
      <w:r w:rsidR="00B04CDD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 xml:space="preserve">rincipales caractéristiques </w:t>
      </w:r>
      <w:r w:rsidR="009B7BDC" w:rsidRPr="00DA6A9A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du sous emploi</w:t>
      </w:r>
    </w:p>
    <w:p w:rsidR="001F0CDE" w:rsidRPr="001F0CDE" w:rsidRDefault="001F0CDE" w:rsidP="001F0CDE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8"/>
          <w:szCs w:val="8"/>
        </w:rPr>
      </w:pPr>
    </w:p>
    <w:p w:rsidR="002658D2" w:rsidRPr="002658D2" w:rsidRDefault="002658D2" w:rsidP="00DA6A9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80F1F" w:rsidRDefault="00105F5B" w:rsidP="007818E7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e volume des actifs occupés en situation de sous emploi a augmenté, entre les deux périodes, de </w:t>
      </w:r>
      <w:r w:rsidR="0024749E" w:rsidRPr="00A80F1F">
        <w:rPr>
          <w:rFonts w:ascii="Book Antiqua" w:hAnsi="Book Antiqua" w:cs="Times New Roman"/>
          <w:noProof w:val="0"/>
          <w:sz w:val="26"/>
          <w:szCs w:val="26"/>
        </w:rPr>
        <w:t>1.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214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7818E7">
        <w:rPr>
          <w:rFonts w:ascii="Book Antiqua" w:hAnsi="Book Antiqua" w:cs="Times New Roman"/>
          <w:noProof w:val="0"/>
          <w:sz w:val="26"/>
          <w:szCs w:val="26"/>
        </w:rPr>
        <w:t>234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personnes</w:t>
      </w:r>
      <w:r w:rsidR="00804DAA" w:rsidRPr="00A80F1F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549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568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personnes dans les villes et de 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665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7818E7">
        <w:rPr>
          <w:rFonts w:ascii="Book Antiqua" w:hAnsi="Book Antiqua" w:cs="Times New Roman"/>
          <w:noProof w:val="0"/>
          <w:sz w:val="26"/>
          <w:szCs w:val="26"/>
        </w:rPr>
        <w:t>666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.000 dans les campagnes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9B7BDC" w:rsidRDefault="00105F5B" w:rsidP="007818E7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A80F1F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e taux de sous emploi est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passé de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1,</w:t>
      </w:r>
      <w:r w:rsidR="007818E7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 xml:space="preserve">au niveau national, 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 xml:space="preserve">% dans les villes et de </w:t>
      </w:r>
      <w:r w:rsidR="0024749E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D32161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526EC4" w:rsidRPr="00A80F1F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7818E7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A80F1F">
        <w:rPr>
          <w:rFonts w:ascii="Book Antiqua" w:hAnsi="Book Antiqua" w:cs="Times New Roman"/>
          <w:noProof w:val="0"/>
          <w:sz w:val="26"/>
          <w:szCs w:val="26"/>
        </w:rPr>
        <w:t>% dans les campagnes.</w:t>
      </w:r>
    </w:p>
    <w:p w:rsidR="00A80F1F" w:rsidRPr="00A80F1F" w:rsidRDefault="00A80F1F" w:rsidP="00A80F1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4F377E" w:rsidRDefault="003E0955" w:rsidP="00CD1E6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Au </w:t>
      </w:r>
      <w:r w:rsidRPr="00CD1E69">
        <w:rPr>
          <w:rFonts w:ascii="Book Antiqua" w:hAnsi="Book Antiqua" w:cs="Times New Roman"/>
          <w:noProof w:val="0"/>
          <w:sz w:val="26"/>
          <w:szCs w:val="26"/>
        </w:rPr>
        <w:t>niveau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national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le taux de sous emploi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des hommes</w:t>
      </w:r>
      <w:r w:rsidR="00561BB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(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3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3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%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 xml:space="preserve">) 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représent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environ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 le double de celui </w:t>
      </w:r>
      <w:r w:rsidR="007A54E5">
        <w:rPr>
          <w:rFonts w:ascii="Book Antiqua" w:hAnsi="Book Antiqua" w:cs="Times New Roman"/>
          <w:noProof w:val="0"/>
          <w:sz w:val="26"/>
          <w:szCs w:val="26"/>
        </w:rPr>
        <w:t>d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>es femmes (6,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5</w:t>
      </w:r>
      <w:r w:rsidR="007A54E5" w:rsidRPr="00A80F1F">
        <w:rPr>
          <w:rFonts w:ascii="Book Antiqua" w:hAnsi="Book Antiqua" w:cs="Times New Roman"/>
          <w:noProof w:val="0"/>
          <w:sz w:val="26"/>
          <w:szCs w:val="26"/>
        </w:rPr>
        <w:t xml:space="preserve">%). 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Par milieu de résidence, s</w:t>
      </w:r>
      <w:r w:rsidR="00AD79F9">
        <w:rPr>
          <w:rFonts w:ascii="Book Antiqua" w:hAnsi="Book Antiqua" w:cs="Times New Roman"/>
          <w:noProof w:val="0"/>
          <w:sz w:val="26"/>
          <w:szCs w:val="26"/>
        </w:rPr>
        <w:t xml:space="preserve">i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milieu urbain, ce </w:t>
      </w:r>
      <w:r w:rsidRPr="00A80F1F">
        <w:rPr>
          <w:rFonts w:ascii="Book Antiqua" w:hAnsi="Book Antiqua" w:cs="Times New Roman"/>
          <w:noProof w:val="0"/>
          <w:sz w:val="26"/>
          <w:szCs w:val="26"/>
        </w:rPr>
        <w:t xml:space="preserve"> taux 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(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10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,5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>) est presque égal à celui des femmes (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10,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8</w:t>
      </w:r>
      <w:r w:rsidR="008E7CB8">
        <w:rPr>
          <w:rFonts w:ascii="Book Antiqua" w:hAnsi="Book Antiqua" w:cs="Times New Roman"/>
          <w:noProof w:val="0"/>
          <w:sz w:val="26"/>
          <w:szCs w:val="26"/>
        </w:rPr>
        <w:t>%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), en milieu rural</w:t>
      </w:r>
      <w:r w:rsidR="00AC14CA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 xml:space="preserve">il est 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plus de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 xml:space="preserve"> quatre fois plus important, soit respectivement 16,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8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% et 4,</w:t>
      </w:r>
      <w:r w:rsidR="00CD1E69">
        <w:rPr>
          <w:rFonts w:ascii="Book Antiqua" w:hAnsi="Book Antiqua" w:cs="Times New Roman"/>
          <w:noProof w:val="0"/>
          <w:sz w:val="26"/>
          <w:szCs w:val="26"/>
        </w:rPr>
        <w:t>1</w:t>
      </w:r>
      <w:r w:rsidR="00A80F1F" w:rsidRPr="00A80F1F">
        <w:rPr>
          <w:rFonts w:ascii="Book Antiqua" w:hAnsi="Book Antiqua" w:cs="Times New Roman"/>
          <w:noProof w:val="0"/>
          <w:sz w:val="26"/>
          <w:szCs w:val="26"/>
        </w:rPr>
        <w:t>%</w:t>
      </w:r>
      <w:r w:rsidR="00AC14C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3E0955" w:rsidRPr="003E0955" w:rsidRDefault="003E0955" w:rsidP="003E095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AD79F9" w:rsidRPr="00DA6A9A" w:rsidRDefault="00AD79F9" w:rsidP="00AD79F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A80F1F" w:rsidRDefault="009B7BDC" w:rsidP="00526EC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Figure 5 : Evolution du taux de sous-emploi au</w:t>
      </w:r>
      <w:r w:rsidR="00526EC4"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x troisièmes </w:t>
      </w: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trimestre</w:t>
      </w:r>
      <w:r w:rsidR="00526EC4"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A80F1F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milieu de résidence (en %). </w:t>
      </w:r>
    </w:p>
    <w:p w:rsidR="009B7BDC" w:rsidRPr="00AF73D4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  <w:sz w:val="8"/>
          <w:szCs w:val="8"/>
        </w:rPr>
      </w:pPr>
    </w:p>
    <w:p w:rsidR="009B7BDC" w:rsidRDefault="000B0723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 w:rsidRPr="000B0723">
        <w:rPr>
          <w:rFonts w:ascii="Book Antiqua" w:hAnsi="Book Antiqua"/>
        </w:rPr>
        <w:drawing>
          <wp:inline distT="0" distB="0" distL="0" distR="0">
            <wp:extent cx="4574843" cy="2108579"/>
            <wp:effectExtent l="19050" t="0" r="16207" b="5971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151B" w:rsidRDefault="007A2D64" w:rsidP="0015033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lastRenderedPageBreak/>
        <w:t xml:space="preserve">Par ailleurs, ce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phénomène</w:t>
      </w:r>
      <w:r w:rsidR="00561BB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est plus répandu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, aussi bien en milieu urbain qu’en milieu rural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, au niveau des secteurs des BTP et de 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l’"agriculture, forêt et pêche"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 où il affecte respectivement </w:t>
      </w:r>
      <w:r w:rsidR="00CE7038">
        <w:rPr>
          <w:rFonts w:ascii="Book Antiqua" w:hAnsi="Book Antiqua" w:cs="Times New Roman"/>
          <w:noProof w:val="0"/>
          <w:sz w:val="26"/>
          <w:szCs w:val="26"/>
        </w:rPr>
        <w:t>18</w:t>
      </w:r>
      <w:r w:rsidR="00CF0D64" w:rsidRPr="00A80F1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1</w:t>
      </w:r>
      <w:r w:rsidR="00CE7038">
        <w:rPr>
          <w:rFonts w:ascii="Book Antiqua" w:hAnsi="Book Antiqua" w:cs="Times New Roman"/>
          <w:noProof w:val="0"/>
          <w:sz w:val="26"/>
          <w:szCs w:val="26"/>
        </w:rPr>
        <w:t>2</w:t>
      </w:r>
      <w:r w:rsidR="002418DA" w:rsidRPr="00A80F1F">
        <w:rPr>
          <w:rFonts w:ascii="Book Antiqua" w:hAnsi="Book Antiqua" w:cs="Times New Roman"/>
          <w:noProof w:val="0"/>
          <w:sz w:val="26"/>
          <w:szCs w:val="26"/>
        </w:rPr>
        <w:t>,</w:t>
      </w:r>
      <w:r w:rsidR="00CE7038">
        <w:rPr>
          <w:rFonts w:ascii="Book Antiqua" w:hAnsi="Book Antiqua" w:cs="Times New Roman"/>
          <w:noProof w:val="0"/>
          <w:sz w:val="26"/>
          <w:szCs w:val="26"/>
        </w:rPr>
        <w:t>3</w:t>
      </w:r>
      <w:r w:rsidR="002418DA">
        <w:rPr>
          <w:rFonts w:ascii="Book Antiqua" w:hAnsi="Book Antiqua" w:cs="Times New Roman"/>
          <w:noProof w:val="0"/>
          <w:sz w:val="26"/>
          <w:szCs w:val="26"/>
        </w:rPr>
        <w:t>% des actifs occupés</w:t>
      </w:r>
      <w:r w:rsidR="00150331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CF0D64" w:rsidRPr="00A80F1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A80F1F" w:rsidRPr="00A80F1F" w:rsidRDefault="00A80F1F" w:rsidP="00A80F1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0B0723" w:rsidRDefault="000B0723" w:rsidP="000B072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80F1F" w:rsidRDefault="00A80F1F" w:rsidP="000B0723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Figure 6 : Evolution du taux de sous-emploi aux troisièmes trimestre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s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secteur d’activité économique (en%)</w:t>
      </w:r>
    </w:p>
    <w:p w:rsidR="00AF73D4" w:rsidRPr="00AF73D4" w:rsidRDefault="00AF73D4" w:rsidP="00AF73D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A80F1F" w:rsidRPr="00A1104E" w:rsidRDefault="00A80F1F" w:rsidP="00A80F1F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8"/>
          <w:szCs w:val="8"/>
        </w:rPr>
      </w:pPr>
    </w:p>
    <w:p w:rsidR="00A80F1F" w:rsidRDefault="00FE6F38" w:rsidP="00A80F1F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  <w:r w:rsidRPr="00FE6F38">
        <w:rPr>
          <w:rFonts w:ascii="Garamond" w:hAnsi="Garamond" w:cs="Times New Roman"/>
          <w:b/>
          <w:bCs/>
          <w:color w:val="0070C0"/>
          <w:sz w:val="26"/>
          <w:szCs w:val="26"/>
          <w:rtl/>
        </w:rPr>
        <w:drawing>
          <wp:inline distT="0" distB="0" distL="0" distR="0">
            <wp:extent cx="5254056" cy="1937982"/>
            <wp:effectExtent l="19050" t="0" r="22794" b="5118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5675" w:rsidRDefault="00945675" w:rsidP="001D69C5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noProof w:val="0"/>
          <w:sz w:val="27"/>
          <w:szCs w:val="27"/>
          <w:rtl/>
        </w:rPr>
      </w:pPr>
      <w:r>
        <w:rPr>
          <w:rFonts w:ascii="Book Antiqua" w:hAnsi="Book Antiqua" w:cs="Times New Roman"/>
          <w:noProof w:val="0"/>
          <w:sz w:val="27"/>
          <w:szCs w:val="27"/>
        </w:rPr>
        <w:t>D’un autre côté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 xml:space="preserve">, il ressort des données de l’enquête que </w:t>
      </w:r>
      <w:r w:rsidR="001D69C5">
        <w:rPr>
          <w:rFonts w:ascii="Book Antiqua" w:hAnsi="Book Antiqua" w:cs="Times New Roman"/>
          <w:noProof w:val="0"/>
          <w:sz w:val="27"/>
          <w:szCs w:val="27"/>
        </w:rPr>
        <w:t xml:space="preserve">parmi les </w:t>
      </w:r>
      <w:r w:rsidR="001D69C5" w:rsidRPr="00A80F1F">
        <w:rPr>
          <w:rFonts w:ascii="Book Antiqua" w:hAnsi="Book Antiqua" w:cs="Times New Roman"/>
          <w:noProof w:val="0"/>
          <w:sz w:val="26"/>
          <w:szCs w:val="26"/>
        </w:rPr>
        <w:t>actifs occupés en situation de sous emploi</w:t>
      </w:r>
      <w:r w:rsidR="001D69C5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 xml:space="preserve">:  </w:t>
      </w:r>
    </w:p>
    <w:p w:rsidR="00945675" w:rsidRPr="00AA4CB8" w:rsidRDefault="00945675" w:rsidP="00FE6F38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8</w:t>
      </w:r>
      <w:r w:rsidR="00FE6F38">
        <w:rPr>
          <w:rFonts w:ascii="Book Antiqua" w:hAnsi="Book Antiqua" w:cs="Times New Roman"/>
          <w:noProof w:val="0"/>
          <w:sz w:val="27"/>
          <w:szCs w:val="27"/>
        </w:rPr>
        <w:t>5</w:t>
      </w:r>
      <w:r>
        <w:rPr>
          <w:rFonts w:ascii="Book Antiqua" w:hAnsi="Book Antiqua" w:cs="Times New Roman"/>
          <w:noProof w:val="0"/>
          <w:sz w:val="27"/>
          <w:szCs w:val="27"/>
        </w:rPr>
        <w:t>% sont de sexe masculin ;</w:t>
      </w:r>
    </w:p>
    <w:p w:rsidR="00945675" w:rsidRDefault="00945675" w:rsidP="00FE6F38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AA4CB8">
        <w:rPr>
          <w:rFonts w:ascii="Book Antiqua" w:hAnsi="Book Antiqua" w:cs="Times New Roman"/>
          <w:noProof w:val="0"/>
          <w:sz w:val="27"/>
          <w:szCs w:val="27"/>
        </w:rPr>
        <w:t>4</w:t>
      </w:r>
      <w:r>
        <w:rPr>
          <w:rFonts w:ascii="Book Antiqua" w:hAnsi="Book Antiqua" w:cs="Times New Roman"/>
          <w:noProof w:val="0"/>
          <w:sz w:val="27"/>
          <w:szCs w:val="27"/>
        </w:rPr>
        <w:t>2,3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 disposent d’un diplôme et 9</w:t>
      </w:r>
      <w:r>
        <w:rPr>
          <w:rFonts w:ascii="Book Antiqua" w:hAnsi="Book Antiqua" w:cs="Times New Roman"/>
          <w:noProof w:val="0"/>
          <w:sz w:val="27"/>
          <w:szCs w:val="27"/>
        </w:rPr>
        <w:t>,</w:t>
      </w:r>
      <w:r w:rsidR="00FE6F38">
        <w:rPr>
          <w:rFonts w:ascii="Book Antiqua" w:hAnsi="Book Antiqua" w:cs="Times New Roman"/>
          <w:noProof w:val="0"/>
          <w:sz w:val="27"/>
          <w:szCs w:val="27"/>
        </w:rPr>
        <w:t>3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détiennent un diplôme de niveau supérieur ;</w:t>
      </w:r>
    </w:p>
    <w:p w:rsidR="00945675" w:rsidRPr="00AA4CB8" w:rsidRDefault="00945675" w:rsidP="00FE6F38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AA4CB8">
        <w:rPr>
          <w:rFonts w:ascii="Book Antiqua" w:hAnsi="Book Antiqua" w:cs="Times New Roman"/>
          <w:noProof w:val="0"/>
          <w:sz w:val="27"/>
          <w:szCs w:val="27"/>
        </w:rPr>
        <w:t>5</w:t>
      </w:r>
      <w:r w:rsidR="00FE6F38">
        <w:rPr>
          <w:rFonts w:ascii="Book Antiqua" w:hAnsi="Book Antiqua" w:cs="Times New Roman"/>
          <w:noProof w:val="0"/>
          <w:sz w:val="27"/>
          <w:szCs w:val="27"/>
        </w:rPr>
        <w:t>4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 résident en milieu rural </w:t>
      </w:r>
      <w:r>
        <w:rPr>
          <w:rFonts w:ascii="Book Antiqua" w:hAnsi="Book Antiqua" w:cs="Times New Roman"/>
          <w:noProof w:val="0"/>
          <w:sz w:val="27"/>
          <w:szCs w:val="27"/>
        </w:rPr>
        <w:t>(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56,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4</w:t>
      </w:r>
      <w:r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%pour les 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3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9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,</w:t>
      </w:r>
      <w:r w:rsidR="00FE6F38">
        <w:rPr>
          <w:rFonts w:ascii="Book Antiqua" w:hAnsi="Book Antiqua" w:cs="Times New Roman"/>
          <w:noProof w:val="0"/>
          <w:color w:val="C00000"/>
          <w:sz w:val="27"/>
          <w:szCs w:val="27"/>
        </w:rPr>
        <w:t>8</w:t>
      </w:r>
      <w:r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pour les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;</w:t>
      </w:r>
    </w:p>
    <w:p w:rsidR="00945675" w:rsidRDefault="00945675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près de sept sur dix (</w:t>
      </w:r>
      <w:r w:rsidR="00FE6F38">
        <w:rPr>
          <w:rFonts w:ascii="Book Antiqua" w:hAnsi="Book Antiqua" w:cs="Times New Roman"/>
          <w:noProof w:val="0"/>
          <w:sz w:val="27"/>
          <w:szCs w:val="27"/>
        </w:rPr>
        <w:t>69,1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)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des sous employés pâtissent d’un sous emploi lié à l’insuffisance du revenu du travail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ou à l’inadéquation entre la formation et l’emploi</w:t>
      </w:r>
      <w:r w:rsidRPr="00AA4CB8">
        <w:rPr>
          <w:rStyle w:val="Appelnotedebasdep"/>
          <w:rFonts w:ascii="Book Antiqua" w:hAnsi="Book Antiqua" w:cs="Times New Roman"/>
          <w:noProof w:val="0"/>
          <w:sz w:val="27"/>
          <w:szCs w:val="27"/>
        </w:rPr>
        <w:footnoteReference w:id="4"/>
      </w:r>
      <w:r w:rsidRPr="00AA4CB8">
        <w:rPr>
          <w:rFonts w:ascii="Book Antiqua" w:hAnsi="Book Antiqua" w:cs="Times New Roman"/>
          <w:noProof w:val="0"/>
          <w:sz w:val="27"/>
          <w:szCs w:val="27"/>
        </w:rPr>
        <w:t> </w:t>
      </w:r>
      <w:r>
        <w:rPr>
          <w:rFonts w:ascii="Book Antiqua" w:hAnsi="Book Antiqua" w:cs="Times New Roman"/>
          <w:noProof w:val="0"/>
          <w:sz w:val="27"/>
          <w:szCs w:val="27"/>
        </w:rPr>
        <w:t>(</w:t>
      </w:r>
      <w:r w:rsidR="00FE6F38">
        <w:rPr>
          <w:rFonts w:ascii="Book Antiqua" w:hAnsi="Book Antiqua" w:cs="Times New Roman"/>
          <w:noProof w:val="0"/>
          <w:color w:val="0070C0"/>
          <w:sz w:val="27"/>
          <w:szCs w:val="27"/>
        </w:rPr>
        <w:t>69,7</w:t>
      </w:r>
      <w:r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%</w:t>
      </w:r>
      <w:r w:rsidR="001D69C5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 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167332">
        <w:rPr>
          <w:rFonts w:ascii="Book Antiqua" w:hAnsi="Book Antiqua" w:cs="Times New Roman"/>
          <w:noProof w:val="0"/>
          <w:color w:val="C00000"/>
          <w:sz w:val="27"/>
          <w:szCs w:val="27"/>
        </w:rPr>
        <w:t>65,5</w:t>
      </w:r>
      <w:r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Pr="00907D79">
        <w:rPr>
          <w:rFonts w:ascii="Book Antiqua" w:hAnsi="Book Antiqua" w:cs="Times New Roman"/>
          <w:noProof w:val="0"/>
          <w:sz w:val="27"/>
          <w:szCs w:val="27"/>
        </w:rPr>
        <w:t>;</w:t>
      </w:r>
    </w:p>
    <w:p w:rsidR="00945675" w:rsidRPr="00AA4CB8" w:rsidRDefault="00945675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AA4CB8">
        <w:rPr>
          <w:rFonts w:ascii="Book Antiqua" w:hAnsi="Book Antiqua" w:cs="Times New Roman"/>
          <w:noProof w:val="0"/>
          <w:sz w:val="27"/>
          <w:szCs w:val="27"/>
        </w:rPr>
        <w:t>environ quatre sur dix (</w:t>
      </w:r>
      <w:r w:rsidR="00167332">
        <w:rPr>
          <w:rFonts w:ascii="Book Antiqua" w:hAnsi="Book Antiqua" w:cs="Times New Roman"/>
          <w:noProof w:val="0"/>
          <w:sz w:val="27"/>
          <w:szCs w:val="27"/>
        </w:rPr>
        <w:t>40,2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)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sont des jeunes âgés de 15 à 29 ans </w:t>
      </w:r>
      <w:r>
        <w:rPr>
          <w:rFonts w:ascii="Book Antiqua" w:hAnsi="Book Antiqua" w:cs="Times New Roman"/>
          <w:noProof w:val="0"/>
          <w:sz w:val="27"/>
          <w:szCs w:val="27"/>
        </w:rPr>
        <w:t>(</w:t>
      </w:r>
      <w:r w:rsidR="00167332">
        <w:rPr>
          <w:rFonts w:ascii="Book Antiqua" w:hAnsi="Book Antiqua" w:cs="Times New Roman"/>
          <w:noProof w:val="0"/>
          <w:color w:val="0070C0"/>
          <w:sz w:val="27"/>
          <w:szCs w:val="27"/>
        </w:rPr>
        <w:t>41,7</w:t>
      </w:r>
      <w:r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>%</w:t>
      </w:r>
      <w:r w:rsidR="001D69C5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 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="00167332">
        <w:rPr>
          <w:rFonts w:ascii="Book Antiqua" w:hAnsi="Book Antiqua" w:cs="Times New Roman"/>
          <w:noProof w:val="0"/>
          <w:color w:val="C00000"/>
          <w:sz w:val="27"/>
          <w:szCs w:val="27"/>
        </w:rPr>
        <w:t>31,7</w:t>
      </w:r>
      <w:r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;</w:t>
      </w:r>
    </w:p>
    <w:p w:rsidR="00945675" w:rsidRPr="00AA4CB8" w:rsidRDefault="00945675" w:rsidP="001D69C5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AA4CB8">
        <w:rPr>
          <w:rFonts w:ascii="Book Antiqua" w:hAnsi="Book Antiqua" w:cs="Times New Roman"/>
          <w:noProof w:val="0"/>
          <w:sz w:val="27"/>
          <w:szCs w:val="27"/>
        </w:rPr>
        <w:t>et environ huit sur dix (8</w:t>
      </w:r>
      <w:r>
        <w:rPr>
          <w:rFonts w:ascii="Book Antiqua" w:hAnsi="Book Antiqua" w:cs="Times New Roman"/>
          <w:noProof w:val="0"/>
          <w:sz w:val="27"/>
          <w:szCs w:val="27"/>
        </w:rPr>
        <w:t>1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,</w:t>
      </w:r>
      <w:r>
        <w:rPr>
          <w:rFonts w:ascii="Book Antiqua" w:hAnsi="Book Antiqua" w:cs="Times New Roman"/>
          <w:noProof w:val="0"/>
          <w:sz w:val="27"/>
          <w:szCs w:val="27"/>
        </w:rPr>
        <w:t>6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%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) 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exercent un emploi rémunéré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 (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82</w:t>
      </w:r>
      <w:r w:rsidR="00167332">
        <w:rPr>
          <w:rFonts w:ascii="Book Antiqua" w:hAnsi="Book Antiqua" w:cs="Times New Roman"/>
          <w:noProof w:val="0"/>
          <w:color w:val="0070C0"/>
          <w:sz w:val="27"/>
          <w:szCs w:val="27"/>
        </w:rPr>
        <w:t>,7</w:t>
      </w:r>
      <w:r w:rsidRPr="000B5A3C">
        <w:rPr>
          <w:rFonts w:ascii="Book Antiqua" w:hAnsi="Book Antiqua" w:cs="Times New Roman"/>
          <w:noProof w:val="0"/>
          <w:color w:val="0070C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color w:val="0070C0"/>
          <w:sz w:val="27"/>
          <w:szCs w:val="27"/>
        </w:rPr>
        <w:t>hommes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 w:rsidRPr="000B5A3C">
        <w:rPr>
          <w:rFonts w:ascii="Book Antiqua" w:hAnsi="Book Antiqua" w:cs="Times New Roman"/>
          <w:noProof w:val="0"/>
          <w:sz w:val="27"/>
          <w:szCs w:val="27"/>
        </w:rPr>
        <w:t>contre</w:t>
      </w:r>
      <w:r>
        <w:rPr>
          <w:rFonts w:ascii="Book Antiqua" w:hAnsi="Book Antiqua" w:cs="Times New Roman"/>
          <w:noProof w:val="0"/>
          <w:color w:val="FF0000"/>
          <w:sz w:val="27"/>
          <w:szCs w:val="27"/>
        </w:rPr>
        <w:t xml:space="preserve">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7</w:t>
      </w:r>
      <w:r w:rsidR="00167332">
        <w:rPr>
          <w:rFonts w:ascii="Book Antiqua" w:hAnsi="Book Antiqua" w:cs="Times New Roman"/>
          <w:noProof w:val="0"/>
          <w:color w:val="C00000"/>
          <w:sz w:val="27"/>
          <w:szCs w:val="27"/>
        </w:rPr>
        <w:t>7</w:t>
      </w:r>
      <w:r w:rsidRPr="00955162">
        <w:rPr>
          <w:rFonts w:ascii="Book Antiqua" w:hAnsi="Book Antiqua" w:cs="Times New Roman"/>
          <w:noProof w:val="0"/>
          <w:color w:val="C00000"/>
          <w:sz w:val="27"/>
          <w:szCs w:val="27"/>
        </w:rPr>
        <w:t>,</w:t>
      </w:r>
      <w:r w:rsidR="00167332">
        <w:rPr>
          <w:rFonts w:ascii="Book Antiqua" w:hAnsi="Book Antiqua" w:cs="Times New Roman"/>
          <w:noProof w:val="0"/>
          <w:color w:val="C00000"/>
          <w:sz w:val="27"/>
          <w:szCs w:val="27"/>
        </w:rPr>
        <w:t>5</w:t>
      </w:r>
      <w:r w:rsidRPr="000B5A3C">
        <w:rPr>
          <w:rFonts w:ascii="Book Antiqua" w:hAnsi="Book Antiqua" w:cs="Times New Roman"/>
          <w:noProof w:val="0"/>
          <w:color w:val="C00000"/>
          <w:sz w:val="27"/>
          <w:szCs w:val="27"/>
        </w:rPr>
        <w:t xml:space="preserve">% </w:t>
      </w:r>
      <w:r>
        <w:rPr>
          <w:rFonts w:ascii="Book Antiqua" w:hAnsi="Book Antiqua" w:cs="Times New Roman"/>
          <w:noProof w:val="0"/>
          <w:color w:val="C00000"/>
          <w:sz w:val="27"/>
          <w:szCs w:val="27"/>
        </w:rPr>
        <w:t>femmes</w:t>
      </w:r>
      <w:r w:rsidRPr="00C217DB">
        <w:rPr>
          <w:rFonts w:ascii="Book Antiqua" w:hAnsi="Book Antiqua" w:cs="Times New Roman"/>
          <w:noProof w:val="0"/>
          <w:sz w:val="27"/>
          <w:szCs w:val="27"/>
        </w:rPr>
        <w:t>)</w:t>
      </w:r>
      <w:r w:rsidRPr="00AA4CB8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B75A29" w:rsidRPr="00945675" w:rsidRDefault="00B75A29" w:rsidP="00B75A29"/>
    <w:p w:rsidR="00B75A29" w:rsidRDefault="00B75A29" w:rsidP="00B75A29"/>
    <w:p w:rsidR="00B75A29" w:rsidRDefault="00B75A29" w:rsidP="00B75A29"/>
    <w:p w:rsidR="00B75A29" w:rsidRPr="00B20A2A" w:rsidRDefault="00B75A29" w:rsidP="00B75A29"/>
    <w:p w:rsidR="00B75A29" w:rsidRDefault="00B75A29" w:rsidP="00B75A29"/>
    <w:p w:rsidR="00B75A29" w:rsidRDefault="00B75A29" w:rsidP="00B75A29"/>
    <w:p w:rsidR="009B7BDC" w:rsidRPr="00754D0C" w:rsidRDefault="009B7BDC" w:rsidP="009B7BDC">
      <w:pPr>
        <w:pStyle w:val="Titre1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Times New Roman"/>
          <w:color w:val="0070C0"/>
          <w:sz w:val="24"/>
          <w:szCs w:val="24"/>
        </w:rPr>
        <w:lastRenderedPageBreak/>
        <w:t>I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ndicateurs trimestriels d'activité, d’emploi et de chômage par milieu de résidence </w:t>
      </w:r>
      <w:r w:rsidRPr="00754D0C">
        <w:rPr>
          <w:rFonts w:ascii="Book Antiqua" w:hAnsi="Book Antiqua" w:cs="Times New Roman"/>
          <w:color w:val="0070C0"/>
          <w:sz w:val="24"/>
          <w:szCs w:val="24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 w:cs="Times New Roman"/>
          <w:sz w:val="18"/>
          <w:szCs w:val="18"/>
        </w:rPr>
      </w:pPr>
      <w:r w:rsidRPr="000C77C1">
        <w:rPr>
          <w:rFonts w:ascii="Book Antiqua" w:hAnsi="Book Antiqua" w:cs="Times New Roman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9B7BDC" w:rsidRPr="00D8334D" w:rsidTr="001702E4">
        <w:trPr>
          <w:jc w:val="center"/>
        </w:trPr>
        <w:tc>
          <w:tcPr>
            <w:tcW w:w="4348" w:type="dxa"/>
            <w:vMerge w:val="restart"/>
            <w:vAlign w:val="center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9B7BDC" w:rsidRPr="00E10ACC" w:rsidRDefault="009B7BDC" w:rsidP="00E56412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Book Antiqua" w:hAnsi="Book Antiqua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</w:rPr>
              <w:t>3</w:t>
            </w: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  <w:vertAlign w:val="superscript"/>
              </w:rPr>
              <w:t>ème</w:t>
            </w:r>
            <w:r w:rsidRPr="00E10ACC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trimestre 201</w:t>
            </w:r>
            <w:r w:rsidR="00E56412">
              <w:rPr>
                <w:rFonts w:ascii="Book Antiqua" w:hAnsi="Book Antiqua"/>
                <w:b/>
                <w:spacing w:val="-2"/>
                <w:sz w:val="18"/>
                <w:szCs w:val="18"/>
              </w:rPr>
              <w:t>5</w:t>
            </w:r>
          </w:p>
        </w:tc>
        <w:tc>
          <w:tcPr>
            <w:tcW w:w="3369" w:type="dxa"/>
            <w:gridSpan w:val="3"/>
          </w:tcPr>
          <w:p w:rsidR="009B7BDC" w:rsidRPr="00E10ACC" w:rsidRDefault="009B7BDC" w:rsidP="00E56412">
            <w:pPr>
              <w:tabs>
                <w:tab w:val="left" w:pos="-720"/>
              </w:tabs>
              <w:suppressAutoHyphens/>
              <w:bidi w:val="0"/>
              <w:jc w:val="center"/>
              <w:rPr>
                <w:rFonts w:ascii="Book Antiqua" w:hAnsi="Book Antiqua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</w:rPr>
              <w:t>3</w:t>
            </w:r>
            <w:r w:rsidRPr="00E10ACC">
              <w:rPr>
                <w:rFonts w:ascii="Book Antiqua" w:hAnsi="Book Antiqua" w:cs="Times New Roman"/>
                <w:b/>
                <w:bCs/>
                <w:noProof w:val="0"/>
                <w:sz w:val="18"/>
                <w:szCs w:val="18"/>
                <w:vertAlign w:val="superscript"/>
              </w:rPr>
              <w:t>ème</w:t>
            </w:r>
            <w:r w:rsidRPr="00E10ACC">
              <w:rPr>
                <w:rFonts w:ascii="Book Antiqua" w:hAnsi="Book Antiqua"/>
                <w:b/>
                <w:spacing w:val="-2"/>
                <w:sz w:val="18"/>
                <w:szCs w:val="18"/>
              </w:rPr>
              <w:t xml:space="preserve"> trimestre </w:t>
            </w:r>
            <w:r w:rsidR="00087A04" w:rsidRPr="00E10ACC">
              <w:rPr>
                <w:rFonts w:ascii="Book Antiqua" w:hAnsi="Book Antiqua"/>
                <w:bCs/>
                <w:spacing w:val="-2"/>
                <w:sz w:val="18"/>
                <w:szCs w:val="18"/>
                <w:rtl/>
              </w:rPr>
              <w:t>201</w:t>
            </w:r>
            <w:r w:rsidR="00E56412">
              <w:rPr>
                <w:rFonts w:ascii="Book Antiqua" w:hAnsi="Book Antiqua"/>
                <w:bCs/>
                <w:spacing w:val="-2"/>
                <w:sz w:val="18"/>
                <w:szCs w:val="18"/>
              </w:rPr>
              <w:t>6</w:t>
            </w:r>
          </w:p>
        </w:tc>
      </w:tr>
      <w:tr w:rsidR="009B7BDC" w:rsidRPr="00D8334D" w:rsidTr="001702E4">
        <w:trPr>
          <w:trHeight w:val="235"/>
          <w:jc w:val="center"/>
        </w:trPr>
        <w:tc>
          <w:tcPr>
            <w:tcW w:w="4348" w:type="dxa"/>
            <w:vMerge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952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National</w:t>
            </w:r>
          </w:p>
        </w:tc>
        <w:tc>
          <w:tcPr>
            <w:tcW w:w="1124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Urbain</w:t>
            </w:r>
          </w:p>
        </w:tc>
        <w:tc>
          <w:tcPr>
            <w:tcW w:w="1122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  <w:lang w:val="en-GB"/>
              </w:rPr>
              <w:t>Rural</w:t>
            </w:r>
          </w:p>
        </w:tc>
        <w:tc>
          <w:tcPr>
            <w:tcW w:w="1123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  <w:sz w:val="18"/>
                <w:szCs w:val="18"/>
              </w:rPr>
              <w:t>National</w:t>
            </w:r>
          </w:p>
        </w:tc>
      </w:tr>
      <w:tr w:rsidR="009B7BDC" w:rsidRPr="00D8334D" w:rsidTr="001702E4">
        <w:trPr>
          <w:trHeight w:val="170"/>
          <w:jc w:val="center"/>
        </w:trPr>
        <w:tc>
          <w:tcPr>
            <w:tcW w:w="4348" w:type="dxa"/>
          </w:tcPr>
          <w:p w:rsidR="009B7BDC" w:rsidRPr="00E10ACC" w:rsidRDefault="009B7BDC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9B7BDC" w:rsidRPr="00D8334D" w:rsidRDefault="009B7BDC" w:rsidP="001702E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6.358</w:t>
            </w:r>
          </w:p>
        </w:tc>
        <w:tc>
          <w:tcPr>
            <w:tcW w:w="952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5.633</w:t>
            </w:r>
          </w:p>
        </w:tc>
        <w:tc>
          <w:tcPr>
            <w:tcW w:w="1123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11.992</w:t>
            </w:r>
          </w:p>
        </w:tc>
        <w:tc>
          <w:tcPr>
            <w:tcW w:w="1124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6.296</w:t>
            </w:r>
          </w:p>
        </w:tc>
        <w:tc>
          <w:tcPr>
            <w:tcW w:w="1122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5.559</w:t>
            </w:r>
          </w:p>
        </w:tc>
        <w:tc>
          <w:tcPr>
            <w:tcW w:w="1123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11.855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22,1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33,7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27,5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21,2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33,2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26,9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41,6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58,0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47,9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40,4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56,8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46,7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67,2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79,5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72,0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66,0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78,2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70,7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17,7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37,8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25,5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16,5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36,7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24,3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21,9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43,5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31,6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21,1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41,5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29,8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59,0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65,9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61,8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56,8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64,8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60,1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56,4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69,7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61,1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55,8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68,8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60,4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34,6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59,0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43,2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33,4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58,7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42,1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35,6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60,1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48,2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34,8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59,6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47,3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46,5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51,4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47,6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44,9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49,2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46,0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- </w:t>
            </w:r>
            <w:r w:rsidRPr="00E10ACC">
              <w:rPr>
                <w:rFonts w:ascii="Book Antiqua" w:hAnsi="Book Antiqua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</w:t>
            </w:r>
            <w:r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396</w:t>
            </w:r>
          </w:p>
        </w:tc>
        <w:tc>
          <w:tcPr>
            <w:tcW w:w="952" w:type="dxa"/>
            <w:vAlign w:val="center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5</w:t>
            </w:r>
            <w:r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390</w:t>
            </w:r>
          </w:p>
        </w:tc>
        <w:tc>
          <w:tcPr>
            <w:tcW w:w="1123" w:type="dxa"/>
            <w:vAlign w:val="center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10</w:t>
            </w:r>
            <w:r>
              <w:rPr>
                <w:rFonts w:ascii="Garamond" w:hAnsi="Garamond"/>
                <w:b/>
                <w:bCs/>
                <w:color w:val="000000"/>
              </w:rPr>
              <w:t>.</w:t>
            </w:r>
            <w:r w:rsidRPr="00E10ACC">
              <w:rPr>
                <w:rFonts w:ascii="Garamond" w:hAnsi="Garamond"/>
                <w:b/>
                <w:bCs/>
                <w:color w:val="000000"/>
                <w:rtl/>
              </w:rPr>
              <w:t>786</w:t>
            </w:r>
          </w:p>
        </w:tc>
        <w:tc>
          <w:tcPr>
            <w:tcW w:w="1124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5.393</w:t>
            </w:r>
          </w:p>
        </w:tc>
        <w:tc>
          <w:tcPr>
            <w:tcW w:w="1122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5.320</w:t>
            </w:r>
          </w:p>
        </w:tc>
        <w:tc>
          <w:tcPr>
            <w:tcW w:w="1123" w:type="dxa"/>
            <w:vAlign w:val="center"/>
          </w:tcPr>
          <w:p w:rsidR="00E56412" w:rsidRPr="006B728A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10.713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35,3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55,5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43,1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34,6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54,4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42,2</w:t>
            </w:r>
          </w:p>
        </w:tc>
      </w:tr>
      <w:tr w:rsidR="00E56412" w:rsidRPr="00D8334D" w:rsidTr="006B728A">
        <w:trPr>
          <w:trHeight w:val="586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96,7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60,9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78,8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96,8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62,3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79,7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68,0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41,4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57,7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68,2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42,5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58,2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32,0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58,6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42,3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31,8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57,5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41,8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Book Antiqua" w:hAnsi="Book Antiqua"/>
                <w:b/>
                <w:spacing w:val="-2"/>
                <w:sz w:val="20"/>
                <w:szCs w:val="20"/>
              </w:rPr>
            </w:pPr>
            <w:r w:rsidRPr="00E10ACC">
              <w:rPr>
                <w:rFonts w:ascii="Book Antiqua" w:hAnsi="Book Antiqua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E56412" w:rsidRDefault="00E56412" w:rsidP="00FE6F38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549</w:t>
            </w:r>
          </w:p>
        </w:tc>
        <w:tc>
          <w:tcPr>
            <w:tcW w:w="952" w:type="dxa"/>
            <w:vAlign w:val="center"/>
          </w:tcPr>
          <w:p w:rsidR="00E56412" w:rsidRDefault="00E56412" w:rsidP="00FE6F38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665</w:t>
            </w:r>
          </w:p>
        </w:tc>
        <w:tc>
          <w:tcPr>
            <w:tcW w:w="1123" w:type="dxa"/>
            <w:vAlign w:val="center"/>
          </w:tcPr>
          <w:p w:rsidR="00E56412" w:rsidRDefault="00E56412" w:rsidP="00FE6F38">
            <w:pPr>
              <w:bidi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1</w:t>
            </w:r>
            <w:r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  <w:rtl/>
              </w:rPr>
              <w:t>214</w:t>
            </w:r>
          </w:p>
        </w:tc>
        <w:tc>
          <w:tcPr>
            <w:tcW w:w="1124" w:type="dxa"/>
            <w:vAlign w:val="center"/>
          </w:tcPr>
          <w:p w:rsidR="00E56412" w:rsidRPr="0062649B" w:rsidRDefault="00E56412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568</w:t>
            </w:r>
          </w:p>
        </w:tc>
        <w:tc>
          <w:tcPr>
            <w:tcW w:w="1122" w:type="dxa"/>
            <w:vAlign w:val="center"/>
          </w:tcPr>
          <w:p w:rsidR="00E56412" w:rsidRPr="0062649B" w:rsidRDefault="0062649B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666</w:t>
            </w:r>
          </w:p>
        </w:tc>
        <w:tc>
          <w:tcPr>
            <w:tcW w:w="1123" w:type="dxa"/>
            <w:vAlign w:val="center"/>
          </w:tcPr>
          <w:p w:rsidR="00E56412" w:rsidRPr="0062649B" w:rsidRDefault="006B728A" w:rsidP="0062649B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1.</w:t>
            </w:r>
            <w:r w:rsidR="0062649B" w:rsidRPr="0062649B">
              <w:rPr>
                <w:rFonts w:ascii="Garamond" w:hAnsi="Garamond"/>
                <w:b/>
                <w:bCs/>
                <w:color w:val="000000"/>
              </w:rPr>
              <w:t>234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E56412" w:rsidRDefault="00E56412" w:rsidP="00FE6F38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10,2</w:t>
            </w:r>
          </w:p>
        </w:tc>
        <w:tc>
          <w:tcPr>
            <w:tcW w:w="952" w:type="dxa"/>
            <w:vAlign w:val="center"/>
          </w:tcPr>
          <w:p w:rsidR="00E56412" w:rsidRDefault="00E56412" w:rsidP="00FE6F38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12,3</w:t>
            </w:r>
          </w:p>
        </w:tc>
        <w:tc>
          <w:tcPr>
            <w:tcW w:w="1123" w:type="dxa"/>
            <w:vAlign w:val="center"/>
          </w:tcPr>
          <w:p w:rsidR="00E56412" w:rsidRDefault="00E56412" w:rsidP="00FE6F38">
            <w:pPr>
              <w:jc w:val="center"/>
              <w:rPr>
                <w:color w:val="000000"/>
              </w:rPr>
            </w:pPr>
            <w:r>
              <w:rPr>
                <w:color w:val="000000"/>
                <w:rtl/>
              </w:rPr>
              <w:t>11,3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10,5</w:t>
            </w:r>
          </w:p>
        </w:tc>
        <w:tc>
          <w:tcPr>
            <w:tcW w:w="1122" w:type="dxa"/>
            <w:vAlign w:val="center"/>
          </w:tcPr>
          <w:p w:rsidR="00E56412" w:rsidRPr="006B728A" w:rsidRDefault="007417C8" w:rsidP="007417C8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12,5</w:t>
            </w:r>
          </w:p>
        </w:tc>
        <w:tc>
          <w:tcPr>
            <w:tcW w:w="1123" w:type="dxa"/>
            <w:vAlign w:val="center"/>
          </w:tcPr>
          <w:p w:rsidR="00E56412" w:rsidRPr="006B728A" w:rsidRDefault="007417C8" w:rsidP="006B728A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11,5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bottom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  <w:tc>
          <w:tcPr>
            <w:tcW w:w="952" w:type="dxa"/>
            <w:vAlign w:val="bottom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  <w:tc>
          <w:tcPr>
            <w:tcW w:w="1123" w:type="dxa"/>
            <w:vAlign w:val="bottom"/>
          </w:tcPr>
          <w:p w:rsidR="00E56412" w:rsidRPr="00E10ACC" w:rsidRDefault="00E56412" w:rsidP="00FE6F38">
            <w:pPr>
              <w:bidi w:val="0"/>
              <w:jc w:val="center"/>
              <w:rPr>
                <w:rFonts w:ascii="Garamond" w:hAnsi="Garamond" w:cs="Arial"/>
              </w:rPr>
            </w:pPr>
            <w:r w:rsidRPr="00E10ACC">
              <w:rPr>
                <w:rFonts w:ascii="Garamond" w:hAnsi="Garamond" w:cs="Arial"/>
              </w:rPr>
              <w:t> 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E56412" w:rsidRPr="00D8334D" w:rsidTr="006B728A">
        <w:trPr>
          <w:trHeight w:val="268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E56412" w:rsidRPr="0062649B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962</w:t>
            </w:r>
          </w:p>
        </w:tc>
        <w:tc>
          <w:tcPr>
            <w:tcW w:w="952" w:type="dxa"/>
            <w:vAlign w:val="center"/>
          </w:tcPr>
          <w:p w:rsidR="00E56412" w:rsidRPr="0062649B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244</w:t>
            </w:r>
          </w:p>
        </w:tc>
        <w:tc>
          <w:tcPr>
            <w:tcW w:w="1123" w:type="dxa"/>
            <w:vAlign w:val="center"/>
          </w:tcPr>
          <w:p w:rsidR="00E56412" w:rsidRPr="0062649B" w:rsidRDefault="00E56412" w:rsidP="00FE6F38">
            <w:pPr>
              <w:bidi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1</w:t>
            </w:r>
            <w:r w:rsidRPr="0062649B">
              <w:rPr>
                <w:rFonts w:ascii="Garamond" w:hAnsi="Garamond"/>
                <w:b/>
                <w:bCs/>
                <w:color w:val="000000"/>
              </w:rPr>
              <w:t>.</w:t>
            </w: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206</w:t>
            </w:r>
          </w:p>
        </w:tc>
        <w:tc>
          <w:tcPr>
            <w:tcW w:w="1124" w:type="dxa"/>
            <w:vAlign w:val="center"/>
          </w:tcPr>
          <w:p w:rsidR="00E56412" w:rsidRPr="0062649B" w:rsidRDefault="00E56412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903</w:t>
            </w:r>
          </w:p>
        </w:tc>
        <w:tc>
          <w:tcPr>
            <w:tcW w:w="1122" w:type="dxa"/>
            <w:vAlign w:val="center"/>
          </w:tcPr>
          <w:p w:rsidR="00E56412" w:rsidRPr="0062649B" w:rsidRDefault="00E56412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239</w:t>
            </w:r>
          </w:p>
        </w:tc>
        <w:tc>
          <w:tcPr>
            <w:tcW w:w="1123" w:type="dxa"/>
            <w:vAlign w:val="center"/>
          </w:tcPr>
          <w:p w:rsidR="00E56412" w:rsidRPr="0062649B" w:rsidRDefault="006B728A" w:rsidP="006B728A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1.142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- Taux de féminisation de la population </w:t>
            </w:r>
          </w:p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33,9</w:t>
            </w:r>
          </w:p>
        </w:tc>
        <w:tc>
          <w:tcPr>
            <w:tcW w:w="952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16,9</w:t>
            </w:r>
          </w:p>
        </w:tc>
        <w:tc>
          <w:tcPr>
            <w:tcW w:w="1123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30,5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33,9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17,8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30,6</w:t>
            </w:r>
          </w:p>
        </w:tc>
      </w:tr>
      <w:tr w:rsidR="00E56412" w:rsidRPr="00D8334D" w:rsidTr="006B728A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15,1</w:t>
            </w:r>
          </w:p>
        </w:tc>
        <w:tc>
          <w:tcPr>
            <w:tcW w:w="952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4,3</w:t>
            </w:r>
          </w:p>
        </w:tc>
        <w:tc>
          <w:tcPr>
            <w:tcW w:w="1123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10,1</w:t>
            </w:r>
          </w:p>
        </w:tc>
        <w:tc>
          <w:tcPr>
            <w:tcW w:w="1124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14,3</w:t>
            </w:r>
          </w:p>
        </w:tc>
        <w:tc>
          <w:tcPr>
            <w:tcW w:w="1122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4,3</w:t>
            </w:r>
          </w:p>
        </w:tc>
        <w:tc>
          <w:tcPr>
            <w:tcW w:w="1123" w:type="dxa"/>
            <w:vAlign w:val="center"/>
          </w:tcPr>
          <w:p w:rsidR="00E56412" w:rsidRPr="006B728A" w:rsidRDefault="00E56412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9,6</w:t>
            </w:r>
          </w:p>
        </w:tc>
      </w:tr>
      <w:tr w:rsidR="00E56412" w:rsidRPr="00D8334D" w:rsidTr="001702E4">
        <w:trPr>
          <w:trHeight w:val="284"/>
          <w:jc w:val="center"/>
        </w:trPr>
        <w:tc>
          <w:tcPr>
            <w:tcW w:w="4348" w:type="dxa"/>
          </w:tcPr>
          <w:p w:rsidR="00E56412" w:rsidRPr="00E10ACC" w:rsidRDefault="00E56412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52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E56412" w:rsidRPr="00E10ACC" w:rsidRDefault="00E56412" w:rsidP="00FE6F3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4" w:type="dxa"/>
            <w:vAlign w:val="center"/>
          </w:tcPr>
          <w:p w:rsidR="00E56412" w:rsidRPr="00E10ACC" w:rsidRDefault="00E56412" w:rsidP="001702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2" w:type="dxa"/>
            <w:vAlign w:val="center"/>
          </w:tcPr>
          <w:p w:rsidR="00E56412" w:rsidRPr="00E10ACC" w:rsidRDefault="00E56412" w:rsidP="001702E4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23" w:type="dxa"/>
            <w:vAlign w:val="center"/>
          </w:tcPr>
          <w:p w:rsidR="00E56412" w:rsidRPr="00E10ACC" w:rsidRDefault="00E56412" w:rsidP="001702E4">
            <w:pPr>
              <w:jc w:val="center"/>
              <w:rPr>
                <w:rFonts w:ascii="Garamond" w:hAnsi="Garamond"/>
              </w:rPr>
            </w:pP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12,8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5,4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9,6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12,0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5,3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9,1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23,3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2,2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11,1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22,9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11,0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39,3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10,4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21,4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40,8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9,5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21,8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22,6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3,7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14,5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21,3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5,4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13,8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7,6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2,6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5,6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6,4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2,4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4,8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4,1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1,8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3,0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5,2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1,3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3,3</w:t>
            </w:r>
          </w:p>
        </w:tc>
      </w:tr>
      <w:tr w:rsidR="006B728A" w:rsidRPr="00D8334D" w:rsidTr="006B728A">
        <w:trPr>
          <w:trHeight w:val="261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 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6,9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4,0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6,4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2,2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3,8</w:t>
            </w:r>
          </w:p>
        </w:tc>
      </w:tr>
      <w:tr w:rsidR="006B728A" w:rsidRPr="00D8334D" w:rsidTr="006B728A">
        <w:trPr>
          <w:trHeight w:val="284"/>
          <w:jc w:val="center"/>
        </w:trPr>
        <w:tc>
          <w:tcPr>
            <w:tcW w:w="4348" w:type="dxa"/>
          </w:tcPr>
          <w:p w:rsidR="006B728A" w:rsidRPr="00E10ACC" w:rsidRDefault="006B728A" w:rsidP="001702E4">
            <w:pPr>
              <w:tabs>
                <w:tab w:val="left" w:pos="-720"/>
              </w:tabs>
              <w:suppressAutoHyphens/>
              <w:jc w:val="right"/>
              <w:rPr>
                <w:rFonts w:ascii="Book Antiqua" w:hAnsi="Book Antiqua" w:cs="Times New Roman"/>
                <w:b/>
                <w:spacing w:val="-2"/>
              </w:rPr>
            </w:pPr>
            <w:r w:rsidRPr="00E10ACC">
              <w:rPr>
                <w:rFonts w:ascii="Book Antiqua" w:hAnsi="Book Antiqua" w:cs="Times New Roman"/>
                <w:b/>
                <w:spacing w:val="-2"/>
              </w:rPr>
              <w:t xml:space="preserve">      Ayant un diplôme</w:t>
            </w:r>
            <w:r w:rsidRPr="00E10ACC">
              <w:rPr>
                <w:rStyle w:val="Appelnotedebasdep"/>
                <w:rFonts w:ascii="Book Antiqua" w:hAnsi="Book Antiqua" w:cs="Times New Roman"/>
                <w:b/>
                <w:spacing w:val="-2"/>
              </w:rPr>
              <w:footnoteReference w:id="5"/>
            </w:r>
          </w:p>
        </w:tc>
        <w:tc>
          <w:tcPr>
            <w:tcW w:w="849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20,4</w:t>
            </w:r>
          </w:p>
        </w:tc>
        <w:tc>
          <w:tcPr>
            <w:tcW w:w="952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11,7</w:t>
            </w:r>
          </w:p>
        </w:tc>
        <w:tc>
          <w:tcPr>
            <w:tcW w:w="1123" w:type="dxa"/>
            <w:vAlign w:val="bottom"/>
          </w:tcPr>
          <w:p w:rsidR="006B728A" w:rsidRPr="00E10ACC" w:rsidRDefault="006B728A" w:rsidP="00FE6F38">
            <w:pPr>
              <w:jc w:val="center"/>
              <w:rPr>
                <w:rFonts w:ascii="Garamond" w:hAnsi="Garamond"/>
                <w:color w:val="000000"/>
              </w:rPr>
            </w:pPr>
            <w:r w:rsidRPr="00E10ACC">
              <w:rPr>
                <w:rFonts w:ascii="Garamond" w:hAnsi="Garamond"/>
                <w:color w:val="000000"/>
                <w:rtl/>
              </w:rPr>
              <w:t>18,4</w:t>
            </w:r>
          </w:p>
        </w:tc>
        <w:tc>
          <w:tcPr>
            <w:tcW w:w="1124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19,4</w:t>
            </w:r>
          </w:p>
        </w:tc>
        <w:tc>
          <w:tcPr>
            <w:tcW w:w="1122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11,0</w:t>
            </w:r>
          </w:p>
        </w:tc>
        <w:tc>
          <w:tcPr>
            <w:tcW w:w="1123" w:type="dxa"/>
            <w:vAlign w:val="center"/>
          </w:tcPr>
          <w:p w:rsidR="006B728A" w:rsidRPr="006B728A" w:rsidRDefault="006B728A" w:rsidP="006B728A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17,3</w:t>
            </w:r>
          </w:p>
        </w:tc>
      </w:tr>
    </w:tbl>
    <w:p w:rsidR="009B7BDC" w:rsidRPr="00E10ACC" w:rsidRDefault="000C77C1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RPr="00E10ACC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4C7" w:rsidRDefault="000C14C7" w:rsidP="009B7BDC">
      <w:r>
        <w:separator/>
      </w:r>
    </w:p>
  </w:endnote>
  <w:endnote w:type="continuationSeparator" w:id="1">
    <w:p w:rsidR="000C14C7" w:rsidRDefault="000C14C7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38" w:rsidRDefault="00596488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FE6F38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FE6F38" w:rsidRDefault="00FE6F3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F38" w:rsidRDefault="00596488">
    <w:pPr>
      <w:pStyle w:val="Pieddepage"/>
      <w:jc w:val="center"/>
    </w:pPr>
    <w:fldSimple w:instr=" PAGE   \* MERGEFORMAT ">
      <w:r w:rsidR="003916BC">
        <w:rPr>
          <w:rtl/>
        </w:rPr>
        <w:t>1</w:t>
      </w:r>
    </w:fldSimple>
  </w:p>
  <w:p w:rsidR="00FE6F38" w:rsidRDefault="00FE6F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4C7" w:rsidRDefault="000C14C7" w:rsidP="009B7BDC">
      <w:r>
        <w:separator/>
      </w:r>
    </w:p>
  </w:footnote>
  <w:footnote w:type="continuationSeparator" w:id="1">
    <w:p w:rsidR="000C14C7" w:rsidRDefault="000C14C7" w:rsidP="009B7BDC">
      <w:r>
        <w:continuationSeparator/>
      </w:r>
    </w:p>
  </w:footnote>
  <w:footnote w:id="2">
    <w:p w:rsidR="00FE6F38" w:rsidRPr="00AA1B50" w:rsidRDefault="00FE6F38" w:rsidP="000C3F2F">
      <w:pPr>
        <w:pStyle w:val="Notedebasdepage"/>
        <w:rPr>
          <w:rFonts w:ascii="Book Antiqua" w:hAnsi="Book Antiqua"/>
          <w:spacing w:val="-2"/>
          <w:sz w:val="16"/>
          <w:szCs w:val="16"/>
          <w:lang w:eastAsia="en-US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 xml:space="preserve">iveau moyen regroupent les certificats de l'enseignement primaire, ceux du secondaire collégial et les  </w:t>
      </w:r>
    </w:p>
    <w:p w:rsidR="00FE6F38" w:rsidRPr="00AA1B50" w:rsidRDefault="00FE6F38" w:rsidP="000C3F2F">
      <w:pPr>
        <w:pStyle w:val="Notedebasdepage"/>
        <w:rPr>
          <w:sz w:val="16"/>
          <w:szCs w:val="16"/>
        </w:rPr>
      </w:pP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diplômes de qualification ou de spécialisation professionnelle.</w:t>
      </w:r>
    </w:p>
  </w:footnote>
  <w:footnote w:id="3">
    <w:p w:rsidR="00FE6F38" w:rsidRPr="00AA1B50" w:rsidRDefault="00FE6F38" w:rsidP="000C3F2F">
      <w:pPr>
        <w:pStyle w:val="Notedebasdepage"/>
        <w:rPr>
          <w:sz w:val="16"/>
          <w:szCs w:val="16"/>
        </w:rPr>
      </w:pPr>
      <w:r w:rsidRPr="00AA1B50">
        <w:rPr>
          <w:rStyle w:val="Appelnotedebasdep"/>
          <w:sz w:val="16"/>
          <w:szCs w:val="16"/>
        </w:rPr>
        <w:footnoteRef/>
      </w:r>
      <w:r w:rsidRPr="00AA1B50">
        <w:rPr>
          <w:rFonts w:ascii="Book Antiqua" w:hAnsi="Book Antiqua"/>
          <w:sz w:val="16"/>
          <w:szCs w:val="16"/>
        </w:rPr>
        <w:t>Les diplômes de n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iveau</w:t>
      </w:r>
      <w:r w:rsidRPr="00AA1B50">
        <w:rPr>
          <w:rFonts w:ascii="Book Antiqua" w:hAnsi="Book Antiqua"/>
          <w:sz w:val="16"/>
          <w:szCs w:val="16"/>
        </w:rPr>
        <w:t xml:space="preserve"> supérieur </w:t>
      </w:r>
      <w:r w:rsidRPr="00AA1B50">
        <w:rPr>
          <w:rFonts w:ascii="Book Antiqua" w:hAnsi="Book Antiqua"/>
          <w:spacing w:val="-2"/>
          <w:sz w:val="16"/>
          <w:szCs w:val="16"/>
          <w:lang w:eastAsia="en-US"/>
        </w:rPr>
        <w:t>regroupent les b</w:t>
      </w:r>
      <w:r w:rsidRPr="00AA1B50">
        <w:rPr>
          <w:rFonts w:ascii="Book Antiqua" w:hAnsi="Book Antiqua"/>
          <w:sz w:val="16"/>
          <w:szCs w:val="16"/>
        </w:rPr>
        <w:t>accalauréats, les diplômes de techniciens ou de techniciens   spécialisés et les diplômes d'enseignement supérieur (facultés, grandes écoles et instituts).</w:t>
      </w:r>
    </w:p>
  </w:footnote>
  <w:footnote w:id="4">
    <w:p w:rsidR="00FE6F38" w:rsidRPr="00006F8E" w:rsidRDefault="00FE6F38" w:rsidP="00945675">
      <w:pPr>
        <w:pStyle w:val="Notedebasdepage"/>
        <w:rPr>
          <w:rFonts w:ascii="Book Antiqua" w:hAnsi="Book Antiqua"/>
          <w:sz w:val="18"/>
          <w:szCs w:val="18"/>
        </w:rPr>
      </w:pP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footnoteRef/>
      </w: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 xml:space="preserve"> </w:t>
      </w:r>
      <w:r w:rsidRPr="00006F8E">
        <w:rPr>
          <w:rFonts w:ascii="Book Antiqua" w:hAnsi="Book Antiqua"/>
          <w:sz w:val="18"/>
          <w:szCs w:val="18"/>
        </w:rPr>
        <w:t>Le sous emploi est constitué d’une composante lié</w:t>
      </w:r>
      <w:r w:rsidR="00150331">
        <w:rPr>
          <w:rFonts w:ascii="Book Antiqua" w:hAnsi="Book Antiqua"/>
          <w:sz w:val="18"/>
          <w:szCs w:val="18"/>
        </w:rPr>
        <w:t>e</w:t>
      </w:r>
      <w:r w:rsidRPr="00006F8E">
        <w:rPr>
          <w:rFonts w:ascii="Book Antiqua" w:hAnsi="Book Antiqua"/>
          <w:sz w:val="18"/>
          <w:szCs w:val="18"/>
        </w:rPr>
        <w:t xml:space="preserve"> au nombre d’heures travaillées et d’une autre liée aux autres formes d’emploi</w:t>
      </w:r>
      <w:r w:rsidR="00150331">
        <w:rPr>
          <w:rFonts w:ascii="Book Antiqua" w:hAnsi="Book Antiqua"/>
          <w:sz w:val="18"/>
          <w:szCs w:val="18"/>
        </w:rPr>
        <w:t>s</w:t>
      </w:r>
      <w:r w:rsidRPr="00006F8E">
        <w:rPr>
          <w:rFonts w:ascii="Book Antiqua" w:hAnsi="Book Antiqua"/>
          <w:sz w:val="18"/>
          <w:szCs w:val="18"/>
        </w:rPr>
        <w:t xml:space="preserve"> inadéquats notamment, l’insuffisance du revenu du travail et l’inadéquation entre la formation et l’emploi.</w:t>
      </w:r>
    </w:p>
  </w:footnote>
  <w:footnote w:id="5">
    <w:p w:rsidR="00FE6F38" w:rsidRPr="00E10ACC" w:rsidRDefault="00FE6F38" w:rsidP="000C77C1">
      <w:pPr>
        <w:pStyle w:val="Notedebasdepage"/>
        <w:rPr>
          <w:rFonts w:ascii="Book Antiqua" w:hAnsi="Book Antiqua"/>
          <w:sz w:val="18"/>
          <w:szCs w:val="18"/>
        </w:rPr>
      </w:pPr>
      <w:r w:rsidRPr="00E10ACC">
        <w:rPr>
          <w:rStyle w:val="Appelnotedebasdep"/>
          <w:rFonts w:ascii="Book Antiqua" w:hAnsi="Book Antiqua"/>
        </w:rPr>
        <w:footnoteRef/>
      </w:r>
      <w:r w:rsidRPr="00E10ACC">
        <w:rPr>
          <w:rFonts w:ascii="Book Antiqua" w:hAnsi="Book Antiqua"/>
          <w:sz w:val="18"/>
          <w:szCs w:val="18"/>
        </w:rPr>
        <w:t xml:space="preserve">Il s’agit de tous les diplômes, aussi bien ceux de l’enseignement général que </w:t>
      </w:r>
      <w:r>
        <w:rPr>
          <w:rFonts w:ascii="Book Antiqua" w:hAnsi="Book Antiqua"/>
          <w:sz w:val="18"/>
          <w:szCs w:val="18"/>
        </w:rPr>
        <w:t xml:space="preserve">ceux </w:t>
      </w:r>
      <w:r w:rsidRPr="00E10ACC">
        <w:rPr>
          <w:rFonts w:ascii="Book Antiqua" w:hAnsi="Book Antiqua"/>
          <w:sz w:val="18"/>
          <w:szCs w:val="18"/>
        </w:rPr>
        <w:t>de la formation professionnelle.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20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10"/>
  </w:num>
  <w:num w:numId="18">
    <w:abstractNumId w:val="14"/>
  </w:num>
  <w:num w:numId="19">
    <w:abstractNumId w:val="16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67CA"/>
    <w:rsid w:val="00011D3D"/>
    <w:rsid w:val="00014CF6"/>
    <w:rsid w:val="000202F5"/>
    <w:rsid w:val="00031FF6"/>
    <w:rsid w:val="0003474C"/>
    <w:rsid w:val="00041421"/>
    <w:rsid w:val="00041CFC"/>
    <w:rsid w:val="00045ADB"/>
    <w:rsid w:val="00051B7D"/>
    <w:rsid w:val="00053261"/>
    <w:rsid w:val="000535DC"/>
    <w:rsid w:val="00061F04"/>
    <w:rsid w:val="00072D21"/>
    <w:rsid w:val="00080969"/>
    <w:rsid w:val="00083DF9"/>
    <w:rsid w:val="00087A04"/>
    <w:rsid w:val="000900D2"/>
    <w:rsid w:val="00093F6E"/>
    <w:rsid w:val="000941F7"/>
    <w:rsid w:val="000B020E"/>
    <w:rsid w:val="000B0723"/>
    <w:rsid w:val="000B0787"/>
    <w:rsid w:val="000B11D7"/>
    <w:rsid w:val="000B22E0"/>
    <w:rsid w:val="000C0A3F"/>
    <w:rsid w:val="000C14C7"/>
    <w:rsid w:val="000C1515"/>
    <w:rsid w:val="000C3F2F"/>
    <w:rsid w:val="000C67DE"/>
    <w:rsid w:val="000C77C1"/>
    <w:rsid w:val="000D1994"/>
    <w:rsid w:val="000D2029"/>
    <w:rsid w:val="000D32D4"/>
    <w:rsid w:val="000D3D51"/>
    <w:rsid w:val="000D620D"/>
    <w:rsid w:val="000F06FA"/>
    <w:rsid w:val="000F2AC1"/>
    <w:rsid w:val="000F5277"/>
    <w:rsid w:val="00100B48"/>
    <w:rsid w:val="00104C01"/>
    <w:rsid w:val="00105F5B"/>
    <w:rsid w:val="00106903"/>
    <w:rsid w:val="0010723B"/>
    <w:rsid w:val="001079B3"/>
    <w:rsid w:val="001149F3"/>
    <w:rsid w:val="00121E86"/>
    <w:rsid w:val="00130230"/>
    <w:rsid w:val="00136051"/>
    <w:rsid w:val="00141451"/>
    <w:rsid w:val="00145712"/>
    <w:rsid w:val="00145F6F"/>
    <w:rsid w:val="001473F7"/>
    <w:rsid w:val="00150331"/>
    <w:rsid w:val="0015532D"/>
    <w:rsid w:val="00155475"/>
    <w:rsid w:val="001642D5"/>
    <w:rsid w:val="00166584"/>
    <w:rsid w:val="00167332"/>
    <w:rsid w:val="001702E4"/>
    <w:rsid w:val="00182B14"/>
    <w:rsid w:val="00191D38"/>
    <w:rsid w:val="00192C7A"/>
    <w:rsid w:val="00193E74"/>
    <w:rsid w:val="00197DD9"/>
    <w:rsid w:val="001A1000"/>
    <w:rsid w:val="001A5213"/>
    <w:rsid w:val="001A57B8"/>
    <w:rsid w:val="001A79E3"/>
    <w:rsid w:val="001C3191"/>
    <w:rsid w:val="001C369C"/>
    <w:rsid w:val="001C477B"/>
    <w:rsid w:val="001D056F"/>
    <w:rsid w:val="001D0B3C"/>
    <w:rsid w:val="001D6147"/>
    <w:rsid w:val="001D6423"/>
    <w:rsid w:val="001D69C5"/>
    <w:rsid w:val="001E3468"/>
    <w:rsid w:val="001E5A43"/>
    <w:rsid w:val="001F0CDE"/>
    <w:rsid w:val="00200153"/>
    <w:rsid w:val="00200DD0"/>
    <w:rsid w:val="00201055"/>
    <w:rsid w:val="00203B9A"/>
    <w:rsid w:val="00204404"/>
    <w:rsid w:val="00205B08"/>
    <w:rsid w:val="0020642E"/>
    <w:rsid w:val="00207BA8"/>
    <w:rsid w:val="002335AD"/>
    <w:rsid w:val="002418DA"/>
    <w:rsid w:val="00244488"/>
    <w:rsid w:val="00245679"/>
    <w:rsid w:val="00246FAD"/>
    <w:rsid w:val="0024749E"/>
    <w:rsid w:val="00253C9D"/>
    <w:rsid w:val="00260506"/>
    <w:rsid w:val="002658D2"/>
    <w:rsid w:val="00280727"/>
    <w:rsid w:val="00291E1C"/>
    <w:rsid w:val="002927C0"/>
    <w:rsid w:val="0029702A"/>
    <w:rsid w:val="00297F0C"/>
    <w:rsid w:val="002A705A"/>
    <w:rsid w:val="002B7327"/>
    <w:rsid w:val="002C0306"/>
    <w:rsid w:val="002C0E45"/>
    <w:rsid w:val="002D215C"/>
    <w:rsid w:val="002E3D9E"/>
    <w:rsid w:val="002F2041"/>
    <w:rsid w:val="002F6965"/>
    <w:rsid w:val="00303C6A"/>
    <w:rsid w:val="00303D9A"/>
    <w:rsid w:val="00307067"/>
    <w:rsid w:val="0030747B"/>
    <w:rsid w:val="00311472"/>
    <w:rsid w:val="003147DC"/>
    <w:rsid w:val="003234EF"/>
    <w:rsid w:val="003243C6"/>
    <w:rsid w:val="00324D85"/>
    <w:rsid w:val="003327AC"/>
    <w:rsid w:val="00332FCB"/>
    <w:rsid w:val="003339D0"/>
    <w:rsid w:val="00333E03"/>
    <w:rsid w:val="00335229"/>
    <w:rsid w:val="003406FA"/>
    <w:rsid w:val="00346C90"/>
    <w:rsid w:val="0035285B"/>
    <w:rsid w:val="00354F8F"/>
    <w:rsid w:val="0035750D"/>
    <w:rsid w:val="00365E1C"/>
    <w:rsid w:val="00366F24"/>
    <w:rsid w:val="00370945"/>
    <w:rsid w:val="00371790"/>
    <w:rsid w:val="00377111"/>
    <w:rsid w:val="0038352E"/>
    <w:rsid w:val="00387079"/>
    <w:rsid w:val="003916BC"/>
    <w:rsid w:val="00392DE5"/>
    <w:rsid w:val="003A41F5"/>
    <w:rsid w:val="003B2C21"/>
    <w:rsid w:val="003B532C"/>
    <w:rsid w:val="003B6BD1"/>
    <w:rsid w:val="003D46ED"/>
    <w:rsid w:val="003E021C"/>
    <w:rsid w:val="003E0955"/>
    <w:rsid w:val="003E0AB3"/>
    <w:rsid w:val="003E663D"/>
    <w:rsid w:val="00402C0A"/>
    <w:rsid w:val="00407137"/>
    <w:rsid w:val="00411874"/>
    <w:rsid w:val="0042300F"/>
    <w:rsid w:val="00443063"/>
    <w:rsid w:val="004438FD"/>
    <w:rsid w:val="0044517B"/>
    <w:rsid w:val="00455DCB"/>
    <w:rsid w:val="00455DD5"/>
    <w:rsid w:val="00457E00"/>
    <w:rsid w:val="004624DA"/>
    <w:rsid w:val="00463923"/>
    <w:rsid w:val="0046540F"/>
    <w:rsid w:val="0047003F"/>
    <w:rsid w:val="004714A7"/>
    <w:rsid w:val="00475616"/>
    <w:rsid w:val="00480436"/>
    <w:rsid w:val="004818EB"/>
    <w:rsid w:val="00482CD8"/>
    <w:rsid w:val="004865A5"/>
    <w:rsid w:val="00486714"/>
    <w:rsid w:val="00486A69"/>
    <w:rsid w:val="004949BA"/>
    <w:rsid w:val="004A1C93"/>
    <w:rsid w:val="004A3499"/>
    <w:rsid w:val="004A3846"/>
    <w:rsid w:val="004A6B2B"/>
    <w:rsid w:val="004D5F28"/>
    <w:rsid w:val="004E591D"/>
    <w:rsid w:val="004F377E"/>
    <w:rsid w:val="004F7EDC"/>
    <w:rsid w:val="005049E1"/>
    <w:rsid w:val="0051011B"/>
    <w:rsid w:val="005107C6"/>
    <w:rsid w:val="005146C1"/>
    <w:rsid w:val="00516A0D"/>
    <w:rsid w:val="00526EC4"/>
    <w:rsid w:val="005271FB"/>
    <w:rsid w:val="00532C03"/>
    <w:rsid w:val="00535072"/>
    <w:rsid w:val="0054799F"/>
    <w:rsid w:val="00553EAF"/>
    <w:rsid w:val="00556660"/>
    <w:rsid w:val="00556844"/>
    <w:rsid w:val="005575CD"/>
    <w:rsid w:val="00560D4E"/>
    <w:rsid w:val="00561BBC"/>
    <w:rsid w:val="00567C6D"/>
    <w:rsid w:val="005757FC"/>
    <w:rsid w:val="0058541B"/>
    <w:rsid w:val="00587F1E"/>
    <w:rsid w:val="00592218"/>
    <w:rsid w:val="005963A3"/>
    <w:rsid w:val="00596488"/>
    <w:rsid w:val="0059727A"/>
    <w:rsid w:val="005B4074"/>
    <w:rsid w:val="005C004D"/>
    <w:rsid w:val="005C4A2E"/>
    <w:rsid w:val="005C4D04"/>
    <w:rsid w:val="005D2D4F"/>
    <w:rsid w:val="005D3E76"/>
    <w:rsid w:val="005D3FBE"/>
    <w:rsid w:val="005F745D"/>
    <w:rsid w:val="006022C1"/>
    <w:rsid w:val="00607EFC"/>
    <w:rsid w:val="0061151B"/>
    <w:rsid w:val="006158A0"/>
    <w:rsid w:val="00617A07"/>
    <w:rsid w:val="00621116"/>
    <w:rsid w:val="0062483C"/>
    <w:rsid w:val="0062649B"/>
    <w:rsid w:val="00632FC8"/>
    <w:rsid w:val="00633B4C"/>
    <w:rsid w:val="00634C97"/>
    <w:rsid w:val="006369B4"/>
    <w:rsid w:val="0064010A"/>
    <w:rsid w:val="0065328B"/>
    <w:rsid w:val="0066326E"/>
    <w:rsid w:val="006656EC"/>
    <w:rsid w:val="00665ACB"/>
    <w:rsid w:val="0066661D"/>
    <w:rsid w:val="00672098"/>
    <w:rsid w:val="00672B4E"/>
    <w:rsid w:val="0067620B"/>
    <w:rsid w:val="00676FA5"/>
    <w:rsid w:val="00680F7F"/>
    <w:rsid w:val="00681EB8"/>
    <w:rsid w:val="00692D50"/>
    <w:rsid w:val="00694C10"/>
    <w:rsid w:val="006A0743"/>
    <w:rsid w:val="006A2722"/>
    <w:rsid w:val="006B076E"/>
    <w:rsid w:val="006B2DCD"/>
    <w:rsid w:val="006B54BC"/>
    <w:rsid w:val="006B728A"/>
    <w:rsid w:val="006C41C1"/>
    <w:rsid w:val="006D2076"/>
    <w:rsid w:val="006D2DA8"/>
    <w:rsid w:val="006D3A5A"/>
    <w:rsid w:val="006D3CA9"/>
    <w:rsid w:val="006D689B"/>
    <w:rsid w:val="006E0314"/>
    <w:rsid w:val="006E2D69"/>
    <w:rsid w:val="006F3794"/>
    <w:rsid w:val="007031F3"/>
    <w:rsid w:val="00711D60"/>
    <w:rsid w:val="00713ABE"/>
    <w:rsid w:val="00716A57"/>
    <w:rsid w:val="00725405"/>
    <w:rsid w:val="007277B9"/>
    <w:rsid w:val="00732456"/>
    <w:rsid w:val="007363FB"/>
    <w:rsid w:val="00740F5B"/>
    <w:rsid w:val="007416B0"/>
    <w:rsid w:val="007417C8"/>
    <w:rsid w:val="00752217"/>
    <w:rsid w:val="00760EE0"/>
    <w:rsid w:val="00764681"/>
    <w:rsid w:val="007753FD"/>
    <w:rsid w:val="00776830"/>
    <w:rsid w:val="007818E7"/>
    <w:rsid w:val="00782432"/>
    <w:rsid w:val="00791326"/>
    <w:rsid w:val="00791E7E"/>
    <w:rsid w:val="007A2D64"/>
    <w:rsid w:val="007A54E5"/>
    <w:rsid w:val="007A6A56"/>
    <w:rsid w:val="007B126F"/>
    <w:rsid w:val="007B758E"/>
    <w:rsid w:val="007C196B"/>
    <w:rsid w:val="007C30FE"/>
    <w:rsid w:val="007C37A3"/>
    <w:rsid w:val="007D3350"/>
    <w:rsid w:val="007D5A6D"/>
    <w:rsid w:val="007F16AC"/>
    <w:rsid w:val="007F67B1"/>
    <w:rsid w:val="008003D8"/>
    <w:rsid w:val="00804DAA"/>
    <w:rsid w:val="008226F6"/>
    <w:rsid w:val="00824645"/>
    <w:rsid w:val="00840CB8"/>
    <w:rsid w:val="0084327E"/>
    <w:rsid w:val="008475C9"/>
    <w:rsid w:val="00854E8C"/>
    <w:rsid w:val="00855EAB"/>
    <w:rsid w:val="00863346"/>
    <w:rsid w:val="00866FDE"/>
    <w:rsid w:val="00872CCC"/>
    <w:rsid w:val="00873FB9"/>
    <w:rsid w:val="00887BFD"/>
    <w:rsid w:val="00892C5F"/>
    <w:rsid w:val="00893381"/>
    <w:rsid w:val="008964E5"/>
    <w:rsid w:val="008A1B54"/>
    <w:rsid w:val="008B0CB8"/>
    <w:rsid w:val="008B2A79"/>
    <w:rsid w:val="008B3AF1"/>
    <w:rsid w:val="008C0C61"/>
    <w:rsid w:val="008C2987"/>
    <w:rsid w:val="008C428E"/>
    <w:rsid w:val="008C44D7"/>
    <w:rsid w:val="008D2488"/>
    <w:rsid w:val="008D32FF"/>
    <w:rsid w:val="008D455D"/>
    <w:rsid w:val="008D5AF7"/>
    <w:rsid w:val="008D6077"/>
    <w:rsid w:val="008D6162"/>
    <w:rsid w:val="008E0569"/>
    <w:rsid w:val="008E7CB8"/>
    <w:rsid w:val="00902A5B"/>
    <w:rsid w:val="00906579"/>
    <w:rsid w:val="00915E14"/>
    <w:rsid w:val="00923A85"/>
    <w:rsid w:val="00924CEE"/>
    <w:rsid w:val="00925EC2"/>
    <w:rsid w:val="00934160"/>
    <w:rsid w:val="0093445A"/>
    <w:rsid w:val="00935004"/>
    <w:rsid w:val="00936FF7"/>
    <w:rsid w:val="00945675"/>
    <w:rsid w:val="0094638B"/>
    <w:rsid w:val="00947677"/>
    <w:rsid w:val="00952068"/>
    <w:rsid w:val="009539AD"/>
    <w:rsid w:val="00957B36"/>
    <w:rsid w:val="00960C43"/>
    <w:rsid w:val="00961BF9"/>
    <w:rsid w:val="00974FAC"/>
    <w:rsid w:val="00975662"/>
    <w:rsid w:val="00976A52"/>
    <w:rsid w:val="00981804"/>
    <w:rsid w:val="00991146"/>
    <w:rsid w:val="009B0FC9"/>
    <w:rsid w:val="009B1B4B"/>
    <w:rsid w:val="009B30F8"/>
    <w:rsid w:val="009B5D75"/>
    <w:rsid w:val="009B71F3"/>
    <w:rsid w:val="009B7BDC"/>
    <w:rsid w:val="009C2C7D"/>
    <w:rsid w:val="009C2E76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58FE"/>
    <w:rsid w:val="009F5BFE"/>
    <w:rsid w:val="00A0113F"/>
    <w:rsid w:val="00A0226B"/>
    <w:rsid w:val="00A02809"/>
    <w:rsid w:val="00A06968"/>
    <w:rsid w:val="00A239B8"/>
    <w:rsid w:val="00A307B4"/>
    <w:rsid w:val="00A31234"/>
    <w:rsid w:val="00A3669C"/>
    <w:rsid w:val="00A50E6D"/>
    <w:rsid w:val="00A54037"/>
    <w:rsid w:val="00A55B76"/>
    <w:rsid w:val="00A57935"/>
    <w:rsid w:val="00A57BAB"/>
    <w:rsid w:val="00A6451A"/>
    <w:rsid w:val="00A65800"/>
    <w:rsid w:val="00A80F1F"/>
    <w:rsid w:val="00A84394"/>
    <w:rsid w:val="00A84CA1"/>
    <w:rsid w:val="00A878E6"/>
    <w:rsid w:val="00A879BC"/>
    <w:rsid w:val="00A937D3"/>
    <w:rsid w:val="00A94292"/>
    <w:rsid w:val="00AB0075"/>
    <w:rsid w:val="00AB33E6"/>
    <w:rsid w:val="00AB4C6C"/>
    <w:rsid w:val="00AC0F7F"/>
    <w:rsid w:val="00AC14CA"/>
    <w:rsid w:val="00AC2330"/>
    <w:rsid w:val="00AC712C"/>
    <w:rsid w:val="00AD08C6"/>
    <w:rsid w:val="00AD2408"/>
    <w:rsid w:val="00AD535D"/>
    <w:rsid w:val="00AD578E"/>
    <w:rsid w:val="00AD79F9"/>
    <w:rsid w:val="00AE04B1"/>
    <w:rsid w:val="00AE2160"/>
    <w:rsid w:val="00AE2E62"/>
    <w:rsid w:val="00AE7C2B"/>
    <w:rsid w:val="00AF3DB7"/>
    <w:rsid w:val="00AF6AE6"/>
    <w:rsid w:val="00AF73D4"/>
    <w:rsid w:val="00B014CA"/>
    <w:rsid w:val="00B04CDD"/>
    <w:rsid w:val="00B0628E"/>
    <w:rsid w:val="00B20553"/>
    <w:rsid w:val="00B20A2A"/>
    <w:rsid w:val="00B24851"/>
    <w:rsid w:val="00B2485D"/>
    <w:rsid w:val="00B26924"/>
    <w:rsid w:val="00B27800"/>
    <w:rsid w:val="00B30B07"/>
    <w:rsid w:val="00B33A95"/>
    <w:rsid w:val="00B40C98"/>
    <w:rsid w:val="00B43912"/>
    <w:rsid w:val="00B46596"/>
    <w:rsid w:val="00B53AF8"/>
    <w:rsid w:val="00B6404D"/>
    <w:rsid w:val="00B65171"/>
    <w:rsid w:val="00B678F1"/>
    <w:rsid w:val="00B73CFD"/>
    <w:rsid w:val="00B75A29"/>
    <w:rsid w:val="00B76473"/>
    <w:rsid w:val="00B83965"/>
    <w:rsid w:val="00B87D64"/>
    <w:rsid w:val="00B96570"/>
    <w:rsid w:val="00B974F9"/>
    <w:rsid w:val="00BA20F0"/>
    <w:rsid w:val="00BA3EA9"/>
    <w:rsid w:val="00BA4E21"/>
    <w:rsid w:val="00BA59DF"/>
    <w:rsid w:val="00BB07CD"/>
    <w:rsid w:val="00BC39F5"/>
    <w:rsid w:val="00BC7ECE"/>
    <w:rsid w:val="00BD0F4F"/>
    <w:rsid w:val="00BD760A"/>
    <w:rsid w:val="00BF2BCE"/>
    <w:rsid w:val="00BF365E"/>
    <w:rsid w:val="00BF5242"/>
    <w:rsid w:val="00BF59F4"/>
    <w:rsid w:val="00BF75D5"/>
    <w:rsid w:val="00C01D64"/>
    <w:rsid w:val="00C02E6F"/>
    <w:rsid w:val="00C04EB8"/>
    <w:rsid w:val="00C05871"/>
    <w:rsid w:val="00C20340"/>
    <w:rsid w:val="00C23080"/>
    <w:rsid w:val="00C24553"/>
    <w:rsid w:val="00C24CED"/>
    <w:rsid w:val="00C2526E"/>
    <w:rsid w:val="00C32F4C"/>
    <w:rsid w:val="00C340BE"/>
    <w:rsid w:val="00C412DC"/>
    <w:rsid w:val="00C508D9"/>
    <w:rsid w:val="00C520A7"/>
    <w:rsid w:val="00C52E95"/>
    <w:rsid w:val="00C534A2"/>
    <w:rsid w:val="00C56D59"/>
    <w:rsid w:val="00C63ABB"/>
    <w:rsid w:val="00C64164"/>
    <w:rsid w:val="00C6785E"/>
    <w:rsid w:val="00C71F01"/>
    <w:rsid w:val="00C72658"/>
    <w:rsid w:val="00C81DFD"/>
    <w:rsid w:val="00C85F15"/>
    <w:rsid w:val="00C9556F"/>
    <w:rsid w:val="00C9721C"/>
    <w:rsid w:val="00CA1B1C"/>
    <w:rsid w:val="00CA615A"/>
    <w:rsid w:val="00CA7DEB"/>
    <w:rsid w:val="00CB16CC"/>
    <w:rsid w:val="00CB42CC"/>
    <w:rsid w:val="00CB72B9"/>
    <w:rsid w:val="00CD1E69"/>
    <w:rsid w:val="00CE004D"/>
    <w:rsid w:val="00CE0586"/>
    <w:rsid w:val="00CE16AF"/>
    <w:rsid w:val="00CE7038"/>
    <w:rsid w:val="00CF0D64"/>
    <w:rsid w:val="00CF16AB"/>
    <w:rsid w:val="00D0055D"/>
    <w:rsid w:val="00D1318D"/>
    <w:rsid w:val="00D14C18"/>
    <w:rsid w:val="00D1642D"/>
    <w:rsid w:val="00D17614"/>
    <w:rsid w:val="00D21548"/>
    <w:rsid w:val="00D22359"/>
    <w:rsid w:val="00D26A55"/>
    <w:rsid w:val="00D32161"/>
    <w:rsid w:val="00D349A6"/>
    <w:rsid w:val="00D41F27"/>
    <w:rsid w:val="00D44710"/>
    <w:rsid w:val="00D45EF9"/>
    <w:rsid w:val="00D57840"/>
    <w:rsid w:val="00D609E1"/>
    <w:rsid w:val="00D61357"/>
    <w:rsid w:val="00D6770D"/>
    <w:rsid w:val="00D702F1"/>
    <w:rsid w:val="00D726D5"/>
    <w:rsid w:val="00D74D73"/>
    <w:rsid w:val="00D75E66"/>
    <w:rsid w:val="00D808D0"/>
    <w:rsid w:val="00D837A7"/>
    <w:rsid w:val="00D84D9C"/>
    <w:rsid w:val="00D850B6"/>
    <w:rsid w:val="00D86869"/>
    <w:rsid w:val="00D86972"/>
    <w:rsid w:val="00DA6A9A"/>
    <w:rsid w:val="00DB4F6D"/>
    <w:rsid w:val="00DB5026"/>
    <w:rsid w:val="00DB55EC"/>
    <w:rsid w:val="00DB64E6"/>
    <w:rsid w:val="00DB6B54"/>
    <w:rsid w:val="00DC339F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780D"/>
    <w:rsid w:val="00E02692"/>
    <w:rsid w:val="00E03282"/>
    <w:rsid w:val="00E0682C"/>
    <w:rsid w:val="00E10ACC"/>
    <w:rsid w:val="00E207B2"/>
    <w:rsid w:val="00E24B56"/>
    <w:rsid w:val="00E2690E"/>
    <w:rsid w:val="00E31771"/>
    <w:rsid w:val="00E32B68"/>
    <w:rsid w:val="00E5283D"/>
    <w:rsid w:val="00E5417B"/>
    <w:rsid w:val="00E54FD7"/>
    <w:rsid w:val="00E56412"/>
    <w:rsid w:val="00E56FD0"/>
    <w:rsid w:val="00E71773"/>
    <w:rsid w:val="00E77DE9"/>
    <w:rsid w:val="00E84086"/>
    <w:rsid w:val="00EA0115"/>
    <w:rsid w:val="00EA1C1B"/>
    <w:rsid w:val="00EA65BF"/>
    <w:rsid w:val="00EB0F6E"/>
    <w:rsid w:val="00EB48C5"/>
    <w:rsid w:val="00EB5B54"/>
    <w:rsid w:val="00EC49A3"/>
    <w:rsid w:val="00EC5169"/>
    <w:rsid w:val="00EC6093"/>
    <w:rsid w:val="00ED4A11"/>
    <w:rsid w:val="00ED5807"/>
    <w:rsid w:val="00ED6F17"/>
    <w:rsid w:val="00ED7017"/>
    <w:rsid w:val="00ED7C0C"/>
    <w:rsid w:val="00EE0858"/>
    <w:rsid w:val="00EF439F"/>
    <w:rsid w:val="00F043B0"/>
    <w:rsid w:val="00F07620"/>
    <w:rsid w:val="00F15554"/>
    <w:rsid w:val="00F24677"/>
    <w:rsid w:val="00F26674"/>
    <w:rsid w:val="00F27146"/>
    <w:rsid w:val="00F3162B"/>
    <w:rsid w:val="00F36F1A"/>
    <w:rsid w:val="00F427D1"/>
    <w:rsid w:val="00F441BF"/>
    <w:rsid w:val="00F46A28"/>
    <w:rsid w:val="00F52909"/>
    <w:rsid w:val="00F55849"/>
    <w:rsid w:val="00F6141E"/>
    <w:rsid w:val="00F74A53"/>
    <w:rsid w:val="00F75AF5"/>
    <w:rsid w:val="00F83AF7"/>
    <w:rsid w:val="00F83B82"/>
    <w:rsid w:val="00F90B74"/>
    <w:rsid w:val="00F933AC"/>
    <w:rsid w:val="00F94AE8"/>
    <w:rsid w:val="00FA0856"/>
    <w:rsid w:val="00FA4487"/>
    <w:rsid w:val="00FA663C"/>
    <w:rsid w:val="00FB00DD"/>
    <w:rsid w:val="00FB065E"/>
    <w:rsid w:val="00FD25BA"/>
    <w:rsid w:val="00FD363F"/>
    <w:rsid w:val="00FD478A"/>
    <w:rsid w:val="00FD5ACC"/>
    <w:rsid w:val="00FE2FDA"/>
    <w:rsid w:val="00FE30FC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3%202016\traitement%201\Fichiers%20relatifs%20au%20troisi&#233;me%20trimestre%202016\Grafiques%20des%20notes%20emploi%20__jamal%20-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0</c:v>
                </c:pt>
                <c:pt idx="1">
                  <c:v>30000</c:v>
                </c:pt>
                <c:pt idx="2">
                  <c:v>30000</c:v>
                </c:pt>
              </c:numCache>
            </c:numRef>
          </c:val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0</c:formatCode>
                <c:ptCount val="3"/>
                <c:pt idx="0">
                  <c:v>-3000</c:v>
                </c:pt>
                <c:pt idx="1">
                  <c:v>-100000</c:v>
                </c:pt>
                <c:pt idx="2">
                  <c:v>-103000</c:v>
                </c:pt>
              </c:numCache>
            </c:numRef>
          </c:val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howVal val="1"/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-3000</c:v>
                </c:pt>
                <c:pt idx="1">
                  <c:v>-70000</c:v>
                </c:pt>
                <c:pt idx="2">
                  <c:v>-73000</c:v>
                </c:pt>
              </c:numCache>
            </c:numRef>
          </c:val>
        </c:ser>
        <c:gapWidth val="190"/>
        <c:overlap val="-10"/>
        <c:axId val="63847040"/>
        <c:axId val="98410880"/>
      </c:barChart>
      <c:catAx>
        <c:axId val="63847040"/>
        <c:scaling>
          <c:orientation val="minMax"/>
        </c:scaling>
        <c:axPos val="b"/>
        <c:tickLblPos val="low"/>
        <c:crossAx val="98410880"/>
        <c:crosses val="autoZero"/>
        <c:auto val="1"/>
        <c:lblAlgn val="ctr"/>
        <c:lblOffset val="100"/>
      </c:catAx>
      <c:valAx>
        <c:axId val="98410880"/>
        <c:scaling>
          <c:orientation val="minMax"/>
        </c:scaling>
        <c:delete val="1"/>
        <c:axPos val="l"/>
        <c:numFmt formatCode="General" sourceLinked="1"/>
        <c:tickLblPos val="nextTo"/>
        <c:crossAx val="63847040"/>
        <c:crosses val="autoZero"/>
        <c:crossBetween val="between"/>
        <c:majorUnit val="50000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077"/>
          <c:h val="0.62701443569554172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-3000</c:v>
                </c:pt>
                <c:pt idx="1">
                  <c:v>-14000</c:v>
                </c:pt>
                <c:pt idx="2">
                  <c:v>27000</c:v>
                </c:pt>
                <c:pt idx="3">
                  <c:v>-13000</c:v>
                </c:pt>
              </c:numCache>
            </c:numRef>
          </c:val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</c:dLbl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-63000</c:v>
                </c:pt>
                <c:pt idx="1">
                  <c:v>-30000</c:v>
                </c:pt>
                <c:pt idx="2">
                  <c:v>25000</c:v>
                </c:pt>
                <c:pt idx="3">
                  <c:v>-2000</c:v>
                </c:pt>
              </c:numCache>
            </c:numRef>
          </c:val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howVal val="1"/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-66000</c:v>
                </c:pt>
                <c:pt idx="1">
                  <c:v>-44000</c:v>
                </c:pt>
                <c:pt idx="2">
                  <c:v>52000</c:v>
                </c:pt>
                <c:pt idx="3">
                  <c:v>-15000</c:v>
                </c:pt>
              </c:numCache>
            </c:numRef>
          </c:val>
        </c:ser>
        <c:gapWidth val="70"/>
        <c:overlap val="-10"/>
        <c:axId val="135076480"/>
        <c:axId val="135086464"/>
      </c:barChart>
      <c:catAx>
        <c:axId val="135076480"/>
        <c:scaling>
          <c:orientation val="minMax"/>
        </c:scaling>
        <c:axPos val="b"/>
        <c:tickLblPos val="low"/>
        <c:crossAx val="135086464"/>
        <c:crosses val="autoZero"/>
        <c:auto val="1"/>
        <c:lblAlgn val="ctr"/>
        <c:lblOffset val="100"/>
      </c:catAx>
      <c:valAx>
        <c:axId val="135086464"/>
        <c:scaling>
          <c:orientation val="minMax"/>
        </c:scaling>
        <c:delete val="1"/>
        <c:axPos val="l"/>
        <c:numFmt formatCode="General" sourceLinked="1"/>
        <c:tickLblPos val="nextTo"/>
        <c:crossAx val="13507648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T_chômage!$B$3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3.6111111111111212E-2"/>
                  <c:y val="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2.7777777777778078E-2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8.3333333333333367E-3"/>
                  <c:y val="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388888888888899E-2"/>
                  <c:y val="3.7037037037037056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T_chômage!$C$3:$G$3</c:f>
              <c:numCache>
                <c:formatCode>0.0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14.5</c:v>
                </c:pt>
                <c:pt idx="3">
                  <c:v>15.1</c:v>
                </c:pt>
                <c:pt idx="4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T_chômage!$B$4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4.1666666666666664E-2"/>
                </c:manualLayout>
              </c:layout>
              <c:showVal val="1"/>
            </c:dLbl>
            <c:dLbl>
              <c:idx val="1"/>
              <c:layout>
                <c:manualLayout>
                  <c:x val="-8.3333333333333367E-3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1.1111111111111125E-2"/>
                  <c:y val="3.2407407407407655E-2"/>
                </c:manualLayout>
              </c:layout>
              <c:showVal val="1"/>
            </c:dLbl>
            <c:dLbl>
              <c:idx val="3"/>
              <c:layout>
                <c:manualLayout>
                  <c:x val="-2.7777777777778126E-3"/>
                  <c:y val="4.1666666666666761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T_chômage!$C$4:$G$4</c:f>
              <c:numCache>
                <c:formatCode>0.0</c:formatCode>
                <c:ptCount val="5"/>
                <c:pt idx="0">
                  <c:v>4.2</c:v>
                </c:pt>
                <c:pt idx="1">
                  <c:v>3.7</c:v>
                </c:pt>
                <c:pt idx="2">
                  <c:v>4.0999999999999996</c:v>
                </c:pt>
                <c:pt idx="3">
                  <c:v>4.3</c:v>
                </c:pt>
                <c:pt idx="4">
                  <c:v>4.3</c:v>
                </c:pt>
              </c:numCache>
            </c:numRef>
          </c:val>
        </c:ser>
        <c:ser>
          <c:idx val="2"/>
          <c:order val="2"/>
          <c:tx>
            <c:strRef>
              <c:f>T_chômage!$B$5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-1.1111111111111125E-2"/>
                  <c:y val="6.0185185185185085E-2"/>
                </c:manualLayout>
              </c:layout>
              <c:showVal val="1"/>
            </c:dLbl>
            <c:dLbl>
              <c:idx val="1"/>
              <c:layout>
                <c:manualLayout>
                  <c:x val="-5.5555555555555558E-3"/>
                  <c:y val="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8.3333333333333367E-3"/>
                  <c:y val="4.1666666666666713E-2"/>
                </c:manualLayout>
              </c:layout>
              <c:showVal val="1"/>
            </c:dLbl>
            <c:dLbl>
              <c:idx val="3"/>
              <c:layout>
                <c:manualLayout>
                  <c:x val="-1.388888888888899E-2"/>
                  <c:y val="4.1666666666666664E-2"/>
                </c:manualLayout>
              </c:layout>
              <c:showVal val="1"/>
            </c:dLbl>
            <c:showVal val="1"/>
          </c:dLbls>
          <c:cat>
            <c:numRef>
              <c:f>T_chômage!$C$2:$G$2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T_chômage!$C$5:$G$5</c:f>
              <c:numCache>
                <c:formatCode>0.0</c:formatCode>
                <c:ptCount val="5"/>
                <c:pt idx="0">
                  <c:v>9.4</c:v>
                </c:pt>
                <c:pt idx="1">
                  <c:v>9.1</c:v>
                </c:pt>
                <c:pt idx="2">
                  <c:v>9.6</c:v>
                </c:pt>
                <c:pt idx="3">
                  <c:v>10.1</c:v>
                </c:pt>
                <c:pt idx="4">
                  <c:v>9.6</c:v>
                </c:pt>
              </c:numCache>
            </c:numRef>
          </c:val>
        </c:ser>
        <c:marker val="1"/>
        <c:axId val="135104768"/>
        <c:axId val="135127040"/>
      </c:lineChart>
      <c:catAx>
        <c:axId val="135104768"/>
        <c:scaling>
          <c:orientation val="minMax"/>
        </c:scaling>
        <c:axPos val="b"/>
        <c:numFmt formatCode="General" sourceLinked="1"/>
        <c:tickLblPos val="nextTo"/>
        <c:crossAx val="135127040"/>
        <c:crosses val="autoZero"/>
        <c:auto val="1"/>
        <c:lblAlgn val="ctr"/>
        <c:lblOffset val="100"/>
      </c:catAx>
      <c:valAx>
        <c:axId val="135127040"/>
        <c:scaling>
          <c:orientation val="minMax"/>
        </c:scaling>
        <c:delete val="1"/>
        <c:axPos val="l"/>
        <c:numFmt formatCode="0.0" sourceLinked="1"/>
        <c:tickLblPos val="nextTo"/>
        <c:crossAx val="13510476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47337871435439766"/>
          <c:y val="4.3835608873155622E-2"/>
          <c:w val="0.48893683885085393"/>
          <c:h val="0.70130450630059493"/>
        </c:manualLayout>
      </c:layout>
      <c:bar3DChart>
        <c:barDir val="bar"/>
        <c:grouping val="clustered"/>
        <c:ser>
          <c:idx val="0"/>
          <c:order val="0"/>
          <c:tx>
            <c:strRef>
              <c:f>T_chômage__dip!$C$1</c:f>
              <c:strCache>
                <c:ptCount val="1"/>
                <c:pt idx="0">
                  <c:v>2015</c:v>
                </c:pt>
              </c:strCache>
            </c:strRef>
          </c:tx>
          <c:dLbls>
            <c:dLbl>
              <c:idx val="6"/>
              <c:layout>
                <c:manualLayout>
                  <c:x val="-4.2526047203912424E-3"/>
                  <c:y val="-1.0264305876315142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T_chômage__dip!$C$2:$C$10</c:f>
              <c:numCache>
                <c:formatCode>#,##0.0</c:formatCode>
                <c:ptCount val="9"/>
                <c:pt idx="0">
                  <c:v>15.467741489698581</c:v>
                </c:pt>
                <c:pt idx="1">
                  <c:v>16.40472988315015</c:v>
                </c:pt>
                <c:pt idx="2">
                  <c:v>26.315654249936767</c:v>
                </c:pt>
                <c:pt idx="3">
                  <c:v>7.8426800602458835</c:v>
                </c:pt>
                <c:pt idx="4">
                  <c:v>22.179413746023872</c:v>
                </c:pt>
                <c:pt idx="5">
                  <c:v>22.528121947622569</c:v>
                </c:pt>
                <c:pt idx="6">
                  <c:v>22.6</c:v>
                </c:pt>
                <c:pt idx="7">
                  <c:v>4.3059100451553887</c:v>
                </c:pt>
                <c:pt idx="8">
                  <c:v>10.057608332719026</c:v>
                </c:pt>
              </c:numCache>
            </c:numRef>
          </c:val>
        </c:ser>
        <c:ser>
          <c:idx val="1"/>
          <c:order val="1"/>
          <c:tx>
            <c:strRef>
              <c:f>T_chômage__dip!$D$1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0"/>
                  <c:y val="-4.3835608873155629E-3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1.0264305876315142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3150682661946684E-2"/>
                </c:manualLayout>
              </c:layout>
              <c:showVal val="1"/>
            </c:dLbl>
            <c:dLbl>
              <c:idx val="3"/>
              <c:layout>
                <c:manualLayout>
                  <c:x val="-3.6322358356387545E-3"/>
                  <c:y val="-1.3150682661946684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0264305876315142E-2"/>
                </c:manualLayout>
              </c:layout>
              <c:showVal val="1"/>
            </c:dLbl>
            <c:dLbl>
              <c:idx val="6"/>
              <c:layout>
                <c:manualLayout>
                  <c:x val="-1.7010418881564959E-2"/>
                  <c:y val="-3.079291762894542E-2"/>
                </c:manualLayout>
              </c:layout>
              <c:showVal val="1"/>
            </c:dLbl>
            <c:dLbl>
              <c:idx val="7"/>
              <c:layout>
                <c:manualLayout>
                  <c:x val="-1.8161179178193836E-3"/>
                  <c:y val="-1.7534243549262255E-2"/>
                </c:manualLayout>
              </c:layout>
              <c:showVal val="1"/>
            </c:dLbl>
            <c:dLbl>
              <c:idx val="8"/>
              <c:layout>
                <c:manualLayout>
                  <c:x val="-1.8161179178193836E-3"/>
                  <c:y val="-1.3150682661946684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T_chômage__dip!$D$2:$D$10</c:f>
              <c:numCache>
                <c:formatCode>#,##0.0</c:formatCode>
                <c:ptCount val="9"/>
                <c:pt idx="0">
                  <c:v>13.418163473240213</c:v>
                </c:pt>
                <c:pt idx="1">
                  <c:v>16.672184288571611</c:v>
                </c:pt>
                <c:pt idx="2">
                  <c:v>27.262579825154251</c:v>
                </c:pt>
                <c:pt idx="3">
                  <c:v>8.2978638313917763</c:v>
                </c:pt>
                <c:pt idx="4">
                  <c:v>24.111868786447875</c:v>
                </c:pt>
                <c:pt idx="5">
                  <c:v>22.695642911334275</c:v>
                </c:pt>
                <c:pt idx="6">
                  <c:v>22.414689632759139</c:v>
                </c:pt>
                <c:pt idx="7">
                  <c:v>3.7673696074782241</c:v>
                </c:pt>
                <c:pt idx="8">
                  <c:v>9.6327735230894831</c:v>
                </c:pt>
              </c:numCache>
            </c:numRef>
          </c:val>
        </c:ser>
        <c:dLbls>
          <c:showVal val="1"/>
        </c:dLbls>
        <c:gapWidth val="75"/>
        <c:shape val="box"/>
        <c:axId val="135169152"/>
        <c:axId val="135170688"/>
        <c:axId val="0"/>
      </c:bar3DChart>
      <c:catAx>
        <c:axId val="13516915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35170688"/>
        <c:crosses val="autoZero"/>
        <c:auto val="1"/>
        <c:lblAlgn val="ctr"/>
        <c:lblOffset val="100"/>
      </c:catAx>
      <c:valAx>
        <c:axId val="135170688"/>
        <c:scaling>
          <c:orientation val="minMax"/>
        </c:scaling>
        <c:axPos val="b"/>
        <c:numFmt formatCode="#,##0.0" sourceLinked="1"/>
        <c:majorTickMark val="none"/>
        <c:tickLblPos val="nextTo"/>
        <c:crossAx val="13516915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3.7037037037037056E-2"/>
          <c:w val="0.93888888888889133"/>
          <c:h val="0.68453740157480314"/>
        </c:manualLayout>
      </c:layout>
      <c:lineChart>
        <c:grouping val="standard"/>
        <c:ser>
          <c:idx val="0"/>
          <c:order val="0"/>
          <c:tx>
            <c:strRef>
              <c:f>T_sous_emploi_milieu!$B$3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6.4814814814815186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4.1666302128900552E-2"/>
                </c:manualLayout>
              </c:layout>
              <c:showVal val="1"/>
            </c:dLbl>
            <c:dLbl>
              <c:idx val="2"/>
              <c:layout>
                <c:manualLayout>
                  <c:x val="-2.2222222222222251E-2"/>
                  <c:y val="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3.0555555555555582E-2"/>
                  <c:y val="6.944444444444450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2.777777777777803E-2"/>
                </c:manualLayout>
              </c:layout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T_sous_emploi_milieu!$C$3:$G$3</c:f>
              <c:numCache>
                <c:formatCode>#,##0.0</c:formatCode>
                <c:ptCount val="5"/>
                <c:pt idx="0">
                  <c:v>8.4</c:v>
                </c:pt>
                <c:pt idx="1">
                  <c:v>8.6</c:v>
                </c:pt>
                <c:pt idx="2">
                  <c:v>9.6</c:v>
                </c:pt>
                <c:pt idx="3">
                  <c:v>10.200000000000001</c:v>
                </c:pt>
                <c:pt idx="4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T_sous_emploi_milieu!$B$4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-5.0925925925925923E-2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6666666666666701E-2"/>
                  <c:y val="-4.1666666666666664E-2"/>
                </c:manualLayout>
              </c:layout>
              <c:showVal val="1"/>
            </c:dLbl>
            <c:dLbl>
              <c:idx val="4"/>
              <c:layout>
                <c:manualLayout>
                  <c:x val="-8.3333333333333367E-3"/>
                  <c:y val="-2.777777777777803E-2"/>
                </c:manualLayout>
              </c:layout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T_sous_emploi_milieu!$C$4:$G$4</c:f>
              <c:numCache>
                <c:formatCode>#,##0.0</c:formatCode>
                <c:ptCount val="5"/>
                <c:pt idx="0">
                  <c:v>9.6</c:v>
                </c:pt>
                <c:pt idx="1">
                  <c:v>10.3</c:v>
                </c:pt>
                <c:pt idx="2">
                  <c:v>11.6</c:v>
                </c:pt>
                <c:pt idx="3">
                  <c:v>12.3</c:v>
                </c:pt>
                <c:pt idx="4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T_sous_emploi_milieu!$B$5</c:f>
              <c:strCache>
                <c:ptCount val="1"/>
                <c:pt idx="0">
                  <c:v>National</c:v>
                </c:pt>
              </c:strCache>
            </c:strRef>
          </c:tx>
          <c:dLbls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T_sous_emploi_milieu!$C$5:$G$5</c:f>
              <c:numCache>
                <c:formatCode>#,##0.0</c:formatCode>
                <c:ptCount val="5"/>
                <c:pt idx="0">
                  <c:v>9</c:v>
                </c:pt>
                <c:pt idx="1">
                  <c:v>9.4</c:v>
                </c:pt>
                <c:pt idx="2">
                  <c:v>10.6</c:v>
                </c:pt>
                <c:pt idx="3">
                  <c:v>11.3</c:v>
                </c:pt>
                <c:pt idx="4">
                  <c:v>11.5</c:v>
                </c:pt>
              </c:numCache>
            </c:numRef>
          </c:val>
        </c:ser>
        <c:marker val="1"/>
        <c:axId val="135201536"/>
        <c:axId val="135203072"/>
      </c:lineChart>
      <c:catAx>
        <c:axId val="135201536"/>
        <c:scaling>
          <c:orientation val="minMax"/>
        </c:scaling>
        <c:axPos val="b"/>
        <c:numFmt formatCode="General" sourceLinked="1"/>
        <c:tickLblPos val="nextTo"/>
        <c:crossAx val="135203072"/>
        <c:crosses val="autoZero"/>
        <c:auto val="1"/>
        <c:lblAlgn val="ctr"/>
        <c:lblOffset val="100"/>
      </c:catAx>
      <c:valAx>
        <c:axId val="135203072"/>
        <c:scaling>
          <c:orientation val="minMax"/>
          <c:min val="4"/>
        </c:scaling>
        <c:delete val="1"/>
        <c:axPos val="l"/>
        <c:numFmt formatCode="#,##0.0" sourceLinked="1"/>
        <c:tickLblPos val="nextTo"/>
        <c:crossAx val="135201536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105263594128387E-2"/>
          <c:y val="7.39884393063584E-2"/>
          <c:w val="0.9421052511614697"/>
          <c:h val="0.62592325418915185"/>
        </c:manualLayout>
      </c:layout>
      <c:lineChart>
        <c:grouping val="standard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1"/>
              <c:layout>
                <c:manualLayout>
                  <c:x val="-7.2507566668899622E-3"/>
                  <c:y val="-1.3872832369942238E-2"/>
                </c:manualLayout>
              </c:layout>
              <c:showVal val="1"/>
            </c:dLbl>
            <c:dLbl>
              <c:idx val="2"/>
              <c:layout>
                <c:manualLayout>
                  <c:x val="-1.5789476955962903E-2"/>
                  <c:y val="-3.6994219653179415E-2"/>
                </c:manualLayout>
              </c:layout>
              <c:showVal val="1"/>
            </c:dLbl>
            <c:dLbl>
              <c:idx val="3"/>
              <c:layout>
                <c:manualLayout>
                  <c:x val="-1.8421056448623421E-2"/>
                  <c:y val="-3.6994219653179373E-2"/>
                </c:manualLayout>
              </c:layout>
              <c:showVal val="1"/>
            </c:dLbl>
            <c:dLbl>
              <c:idx val="4"/>
              <c:layout>
                <c:manualLayout>
                  <c:x val="-2.6315794926604751E-2"/>
                  <c:y val="-3.6994219653179373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8.8000000000000007</c:v>
                </c:pt>
                <c:pt idx="1">
                  <c:v>9.9</c:v>
                </c:pt>
                <c:pt idx="2">
                  <c:v>10.7</c:v>
                </c:pt>
                <c:pt idx="3">
                  <c:v>11.2</c:v>
                </c:pt>
                <c:pt idx="4">
                  <c:v>12.1</c:v>
                </c:pt>
              </c:numCache>
            </c:numRef>
          </c:val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822E-2"/>
                  <c:y val="3.6994219653179415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6994219653179415E-2"/>
                </c:manualLayout>
              </c:layout>
              <c:showVal val="1"/>
            </c:dLbl>
            <c:dLbl>
              <c:idx val="2"/>
              <c:layout>
                <c:manualLayout>
                  <c:x val="-7.8947384779814497E-3"/>
                  <c:y val="3.236994219653179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77456647398844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7.3</c:v>
                </c:pt>
                <c:pt idx="1">
                  <c:v>7</c:v>
                </c:pt>
                <c:pt idx="2">
                  <c:v>8.2000000000000011</c:v>
                </c:pt>
                <c:pt idx="3">
                  <c:v>8.8000000000000007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1E-2"/>
                  <c:y val="3.6994219653179415E-2"/>
                </c:manualLayout>
              </c:layout>
              <c:showVal val="1"/>
            </c:dLbl>
            <c:dLbl>
              <c:idx val="1"/>
              <c:layout>
                <c:manualLayout>
                  <c:x val="-1.3157897463302421E-2"/>
                  <c:y val="3.6994219653179415E-2"/>
                </c:manualLayout>
              </c:layout>
              <c:showVal val="1"/>
            </c:dLbl>
            <c:dLbl>
              <c:idx val="2"/>
              <c:layout>
                <c:manualLayout>
                  <c:x val="-2.6315794926604842E-3"/>
                  <c:y val="2.3121387283236993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121387283236993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17.100000000000001</c:v>
                </c:pt>
                <c:pt idx="1">
                  <c:v>15.1</c:v>
                </c:pt>
                <c:pt idx="2">
                  <c:v>17.2</c:v>
                </c:pt>
                <c:pt idx="3">
                  <c:v>17.7</c:v>
                </c:pt>
                <c:pt idx="4">
                  <c:v>18</c:v>
                </c:pt>
              </c:numCache>
            </c:numRef>
          </c:val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1"/>
              <c:layout>
                <c:manualLayout>
                  <c:x val="2.4169188889633206E-3"/>
                  <c:y val="1.84971098265896E-2"/>
                </c:manualLayout>
              </c:layout>
              <c:showVal val="1"/>
            </c:dLbl>
            <c:dLbl>
              <c:idx val="4"/>
              <c:layout>
                <c:manualLayout>
                  <c:x val="-1.3157897463302421E-2"/>
                  <c:y val="-1.3872832369942224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7.8</c:v>
                </c:pt>
                <c:pt idx="1">
                  <c:v>8.5</c:v>
                </c:pt>
                <c:pt idx="2">
                  <c:v>9.3000000000000007</c:v>
                </c:pt>
                <c:pt idx="3">
                  <c:v>10.6</c:v>
                </c:pt>
                <c:pt idx="4">
                  <c:v>10.8</c:v>
                </c:pt>
              </c:numCache>
            </c:numRef>
          </c:val>
        </c:ser>
        <c:marker val="1"/>
        <c:axId val="135255552"/>
        <c:axId val="135257088"/>
      </c:lineChart>
      <c:catAx>
        <c:axId val="135255552"/>
        <c:scaling>
          <c:orientation val="minMax"/>
        </c:scaling>
        <c:axPos val="b"/>
        <c:numFmt formatCode="General" sourceLinked="1"/>
        <c:tickLblPos val="nextTo"/>
        <c:crossAx val="135257088"/>
        <c:crosses val="autoZero"/>
        <c:auto val="1"/>
        <c:lblAlgn val="ctr"/>
        <c:lblOffset val="100"/>
      </c:catAx>
      <c:valAx>
        <c:axId val="135257088"/>
        <c:scaling>
          <c:orientation val="minMax"/>
        </c:scaling>
        <c:delete val="1"/>
        <c:axPos val="l"/>
        <c:numFmt formatCode="#,##0.0" sourceLinked="1"/>
        <c:tickLblPos val="nextTo"/>
        <c:crossAx val="135255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524689497028592"/>
          <c:y val="0.86190325813139701"/>
          <c:w val="0.64950621005942866"/>
          <c:h val="0.1118839081064736"/>
        </c:manualLayout>
      </c:layout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6B38B-2992-4545-8BE6-327C1BC3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1910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2016-11-02T17:13:00Z</cp:lastPrinted>
  <dcterms:created xsi:type="dcterms:W3CDTF">2016-11-03T11:57:00Z</dcterms:created>
  <dcterms:modified xsi:type="dcterms:W3CDTF">2016-11-03T11:57:00Z</dcterms:modified>
</cp:coreProperties>
</file>