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52535A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36736693" r:id="rId8"/>
        </w:pic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639"/>
      </w:tblGrid>
      <w:tr w:rsidR="00453FB2" w:rsidRPr="00627A37" w:rsidTr="0095406B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34D8" w:rsidRPr="00FB1934" w:rsidRDefault="00F434D8" w:rsidP="00F434D8">
            <w:pPr>
              <w:pStyle w:val="Titre"/>
              <w:spacing w:line="312" w:lineRule="auto"/>
              <w:rPr>
                <w:shadow/>
                <w:color w:val="FF9900"/>
                <w:sz w:val="28"/>
                <w:lang w:bidi="ar-MA"/>
              </w:rPr>
            </w:pPr>
            <w:r w:rsidRPr="00FB1934">
              <w:rPr>
                <w:shadow/>
                <w:color w:val="FF9900"/>
                <w:sz w:val="28"/>
                <w:lang w:bidi="ar-MA"/>
              </w:rPr>
              <w:t>Note d’information sur la situation économique</w:t>
            </w:r>
          </w:p>
          <w:p w:rsidR="00F434D8" w:rsidRDefault="005D139A" w:rsidP="0004751D">
            <w:pPr>
              <w:pStyle w:val="Titre"/>
              <w:spacing w:line="312" w:lineRule="auto"/>
              <w:rPr>
                <w:shadow/>
                <w:color w:val="FF9900"/>
                <w:sz w:val="28"/>
                <w:lang w:bidi="ar-MA"/>
              </w:rPr>
            </w:pPr>
            <w:r>
              <w:rPr>
                <w:shadow/>
                <w:color w:val="FF9900"/>
                <w:sz w:val="28"/>
                <w:lang w:bidi="ar-MA"/>
              </w:rPr>
              <w:t xml:space="preserve"> </w:t>
            </w:r>
            <w:r w:rsidR="0004751D">
              <w:rPr>
                <w:shadow/>
                <w:color w:val="FF9900"/>
                <w:sz w:val="28"/>
                <w:lang w:bidi="ar-MA"/>
              </w:rPr>
              <w:t xml:space="preserve"> deuxième </w:t>
            </w:r>
            <w:r>
              <w:rPr>
                <w:shadow/>
                <w:color w:val="FF9900"/>
                <w:sz w:val="28"/>
                <w:lang w:bidi="ar-MA"/>
              </w:rPr>
              <w:t>trimestre 201</w:t>
            </w:r>
            <w:r w:rsidR="003B70DB">
              <w:rPr>
                <w:shadow/>
                <w:color w:val="FF9900"/>
                <w:sz w:val="28"/>
                <w:lang w:bidi="ar-MA"/>
              </w:rPr>
              <w:t>6</w:t>
            </w:r>
          </w:p>
          <w:p w:rsidR="00572489" w:rsidRPr="00FB1934" w:rsidRDefault="005917A6" w:rsidP="0004751D">
            <w:pPr>
              <w:pStyle w:val="Titre"/>
              <w:spacing w:line="312" w:lineRule="auto"/>
              <w:rPr>
                <w:shadow/>
                <w:color w:val="FF9900"/>
                <w:sz w:val="28"/>
                <w:lang w:bidi="ar-MA"/>
              </w:rPr>
            </w:pPr>
            <w:r>
              <w:rPr>
                <w:shadow/>
                <w:color w:val="FF9900"/>
                <w:sz w:val="28"/>
                <w:lang w:bidi="ar-MA"/>
              </w:rPr>
              <w:t xml:space="preserve">      </w:t>
            </w:r>
          </w:p>
          <w:p w:rsidR="0095406B" w:rsidRDefault="0095406B" w:rsidP="00B462B3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71B74" w:rsidRPr="00AF56A1" w:rsidRDefault="00911090" w:rsidP="00152E9E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F56A1">
              <w:rPr>
                <w:sz w:val="26"/>
                <w:szCs w:val="26"/>
              </w:rPr>
              <w:t>L’arrêté d</w:t>
            </w:r>
            <w:r>
              <w:rPr>
                <w:sz w:val="26"/>
                <w:szCs w:val="26"/>
              </w:rPr>
              <w:t xml:space="preserve">es comptes nationaux du </w:t>
            </w:r>
            <w:r w:rsidR="0004751D">
              <w:rPr>
                <w:sz w:val="26"/>
                <w:szCs w:val="26"/>
              </w:rPr>
              <w:t>deuxième</w:t>
            </w:r>
            <w:r>
              <w:rPr>
                <w:sz w:val="26"/>
                <w:szCs w:val="26"/>
              </w:rPr>
              <w:t xml:space="preserve"> trimestre 2016</w:t>
            </w:r>
            <w:r w:rsidRPr="00AF56A1">
              <w:rPr>
                <w:sz w:val="26"/>
                <w:szCs w:val="26"/>
              </w:rPr>
              <w:t xml:space="preserve"> fait res</w:t>
            </w:r>
            <w:r>
              <w:rPr>
                <w:sz w:val="26"/>
                <w:szCs w:val="26"/>
              </w:rPr>
              <w:t>sortir une</w:t>
            </w:r>
            <w:r w:rsidR="0004751D">
              <w:rPr>
                <w:sz w:val="26"/>
                <w:szCs w:val="26"/>
              </w:rPr>
              <w:t xml:space="preserve"> forte</w:t>
            </w:r>
            <w:r>
              <w:rPr>
                <w:sz w:val="26"/>
                <w:szCs w:val="26"/>
              </w:rPr>
              <w:t xml:space="preserve"> baisse du rythme de </w:t>
            </w:r>
            <w:r w:rsidRPr="00AF56A1">
              <w:rPr>
                <w:sz w:val="26"/>
                <w:szCs w:val="26"/>
              </w:rPr>
              <w:t>croissance de l’éc</w:t>
            </w:r>
            <w:r>
              <w:rPr>
                <w:sz w:val="26"/>
                <w:szCs w:val="26"/>
              </w:rPr>
              <w:t>onomie nationale, se situant à</w:t>
            </w:r>
            <w:r w:rsidR="00457DE2">
              <w:rPr>
                <w:sz w:val="26"/>
                <w:szCs w:val="26"/>
              </w:rPr>
              <w:t xml:space="preserve"> 0,5</w:t>
            </w:r>
            <w:r>
              <w:rPr>
                <w:sz w:val="26"/>
                <w:szCs w:val="26"/>
              </w:rPr>
              <w:t xml:space="preserve">% au lieu de </w:t>
            </w:r>
            <w:r w:rsidR="00457DE2">
              <w:rPr>
                <w:sz w:val="26"/>
                <w:szCs w:val="26"/>
              </w:rPr>
              <w:t>4,2</w:t>
            </w:r>
            <w:r w:rsidRPr="00AF56A1">
              <w:rPr>
                <w:sz w:val="26"/>
                <w:szCs w:val="26"/>
              </w:rPr>
              <w:t>% durant</w:t>
            </w:r>
            <w:r>
              <w:rPr>
                <w:sz w:val="26"/>
                <w:szCs w:val="26"/>
              </w:rPr>
              <w:t xml:space="preserve"> la même période de l’année 2015</w:t>
            </w:r>
            <w:r w:rsidRPr="00AF56A1">
              <w:rPr>
                <w:sz w:val="26"/>
                <w:szCs w:val="26"/>
              </w:rPr>
              <w:t xml:space="preserve">. Cette </w:t>
            </w:r>
            <w:r>
              <w:rPr>
                <w:sz w:val="26"/>
                <w:szCs w:val="26"/>
              </w:rPr>
              <w:t>évolution est le résultat d’une</w:t>
            </w:r>
            <w:r w:rsidRPr="00AF56A1">
              <w:rPr>
                <w:sz w:val="26"/>
                <w:szCs w:val="26"/>
              </w:rPr>
              <w:t xml:space="preserve"> baisse de l’activité agricole </w:t>
            </w:r>
            <w:r w:rsidR="0064731F">
              <w:rPr>
                <w:sz w:val="26"/>
                <w:szCs w:val="26"/>
              </w:rPr>
              <w:t>et d’un</w:t>
            </w:r>
            <w:r w:rsidR="00152E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accroissement </w:t>
            </w:r>
            <w:r w:rsidR="00152E9E">
              <w:rPr>
                <w:sz w:val="26"/>
                <w:szCs w:val="26"/>
              </w:rPr>
              <w:t xml:space="preserve">modéré </w:t>
            </w:r>
            <w:r w:rsidR="00457DE2">
              <w:rPr>
                <w:sz w:val="26"/>
                <w:szCs w:val="26"/>
              </w:rPr>
              <w:t>des activités non agricoles.</w:t>
            </w:r>
            <w:r w:rsidR="00F71B74">
              <w:rPr>
                <w:sz w:val="26"/>
                <w:szCs w:val="26"/>
              </w:rPr>
              <w:t xml:space="preserve"> </w:t>
            </w:r>
            <w:r w:rsidR="00504680">
              <w:rPr>
                <w:sz w:val="26"/>
                <w:szCs w:val="26"/>
              </w:rPr>
              <w:t xml:space="preserve">Le </w:t>
            </w:r>
            <w:r w:rsidR="00504680" w:rsidRPr="00AF56A1">
              <w:rPr>
                <w:sz w:val="26"/>
                <w:szCs w:val="26"/>
              </w:rPr>
              <w:t>niveau général des prix</w:t>
            </w:r>
            <w:r w:rsidR="00504680">
              <w:rPr>
                <w:sz w:val="26"/>
                <w:szCs w:val="26"/>
              </w:rPr>
              <w:t xml:space="preserve"> a connu un ralentissement de son rythme d</w:t>
            </w:r>
            <w:r w:rsidR="00C179AA">
              <w:rPr>
                <w:sz w:val="26"/>
                <w:szCs w:val="26"/>
              </w:rPr>
              <w:t xml:space="preserve">e </w:t>
            </w:r>
            <w:r w:rsidR="00504680">
              <w:rPr>
                <w:sz w:val="26"/>
                <w:szCs w:val="26"/>
              </w:rPr>
              <w:t>croiss</w:t>
            </w:r>
            <w:r w:rsidR="00C179AA">
              <w:rPr>
                <w:sz w:val="26"/>
                <w:szCs w:val="26"/>
              </w:rPr>
              <w:t xml:space="preserve">ance, </w:t>
            </w:r>
            <w:r w:rsidR="00504680">
              <w:rPr>
                <w:sz w:val="26"/>
                <w:szCs w:val="26"/>
              </w:rPr>
              <w:t>alors que l</w:t>
            </w:r>
            <w:r w:rsidR="00F71B74">
              <w:rPr>
                <w:sz w:val="26"/>
                <w:szCs w:val="26"/>
              </w:rPr>
              <w:t>e be</w:t>
            </w:r>
            <w:r w:rsidR="00F71B74" w:rsidRPr="00AF56A1">
              <w:rPr>
                <w:sz w:val="26"/>
                <w:szCs w:val="26"/>
              </w:rPr>
              <w:t>soin de financement de l’économie</w:t>
            </w:r>
            <w:r w:rsidR="00F71B74">
              <w:rPr>
                <w:sz w:val="26"/>
                <w:szCs w:val="26"/>
              </w:rPr>
              <w:t xml:space="preserve"> a enregistré </w:t>
            </w:r>
            <w:r w:rsidR="00F71B74" w:rsidRPr="00AF56A1">
              <w:rPr>
                <w:sz w:val="26"/>
                <w:szCs w:val="26"/>
              </w:rPr>
              <w:t>un</w:t>
            </w:r>
            <w:r w:rsidR="00F71B74">
              <w:rPr>
                <w:sz w:val="26"/>
                <w:szCs w:val="26"/>
              </w:rPr>
              <w:t>e</w:t>
            </w:r>
            <w:r w:rsidR="00F71B74" w:rsidRPr="00AF56A1">
              <w:rPr>
                <w:sz w:val="26"/>
                <w:szCs w:val="26"/>
              </w:rPr>
              <w:t xml:space="preserve"> </w:t>
            </w:r>
            <w:r w:rsidR="00F71B74">
              <w:rPr>
                <w:sz w:val="26"/>
                <w:szCs w:val="26"/>
              </w:rPr>
              <w:t>hausse</w:t>
            </w:r>
            <w:r w:rsidR="00504680">
              <w:rPr>
                <w:sz w:val="26"/>
                <w:szCs w:val="26"/>
              </w:rPr>
              <w:t>.</w:t>
            </w:r>
          </w:p>
          <w:p w:rsidR="008431EA" w:rsidRDefault="008431EA" w:rsidP="008431EA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8431EA" w:rsidRDefault="008431EA" w:rsidP="008431EA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911090" w:rsidRDefault="00911090" w:rsidP="00C16036">
            <w:pPr>
              <w:pStyle w:val="Titre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AF56A1">
              <w:rPr>
                <w:sz w:val="26"/>
                <w:szCs w:val="26"/>
              </w:rPr>
              <w:t>Un</w:t>
            </w:r>
            <w:r w:rsidR="00C16036">
              <w:rPr>
                <w:sz w:val="26"/>
                <w:szCs w:val="26"/>
              </w:rPr>
              <w:t>e</w:t>
            </w:r>
            <w:r w:rsidRPr="00AF56A1">
              <w:rPr>
                <w:sz w:val="26"/>
                <w:szCs w:val="26"/>
              </w:rPr>
              <w:t xml:space="preserve"> croissance économique soutenu</w:t>
            </w:r>
            <w:r w:rsidR="00C16036">
              <w:rPr>
                <w:sz w:val="26"/>
                <w:szCs w:val="26"/>
              </w:rPr>
              <w:t>e</w:t>
            </w:r>
            <w:r w:rsidRPr="00AF56A1">
              <w:rPr>
                <w:sz w:val="26"/>
                <w:szCs w:val="26"/>
              </w:rPr>
              <w:t xml:space="preserve"> par les activités </w:t>
            </w:r>
            <w:r w:rsidR="00C16036">
              <w:rPr>
                <w:sz w:val="26"/>
                <w:szCs w:val="26"/>
              </w:rPr>
              <w:t>des services</w:t>
            </w:r>
            <w:r w:rsidRPr="00AF56A1">
              <w:rPr>
                <w:sz w:val="26"/>
                <w:szCs w:val="26"/>
              </w:rPr>
              <w:t xml:space="preserve"> </w:t>
            </w:r>
          </w:p>
          <w:p w:rsidR="00911090" w:rsidRPr="0073252B" w:rsidRDefault="00911090" w:rsidP="00C16036">
            <w:pPr>
              <w:autoSpaceDE w:val="0"/>
              <w:autoSpaceDN w:val="0"/>
              <w:adjustRightInd w:val="0"/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FF6318">
              <w:rPr>
                <w:sz w:val="22"/>
                <w:szCs w:val="22"/>
              </w:rPr>
              <w:t>près la forte croissance de 1</w:t>
            </w:r>
            <w:r w:rsidR="001E14D4">
              <w:rPr>
                <w:sz w:val="22"/>
                <w:szCs w:val="22"/>
              </w:rPr>
              <w:t>4</w:t>
            </w:r>
            <w:r w:rsidRPr="00FF631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durant </w:t>
            </w:r>
            <w:r w:rsidRPr="00FF6318">
              <w:rPr>
                <w:sz w:val="22"/>
                <w:szCs w:val="22"/>
              </w:rPr>
              <w:t xml:space="preserve">le </w:t>
            </w:r>
            <w:r w:rsidR="00457DE2">
              <w:rPr>
                <w:sz w:val="22"/>
                <w:szCs w:val="22"/>
              </w:rPr>
              <w:t>deuxième</w:t>
            </w:r>
            <w:r w:rsidRPr="00FF6318">
              <w:rPr>
                <w:sz w:val="22"/>
                <w:szCs w:val="22"/>
              </w:rPr>
              <w:t xml:space="preserve"> trimestre </w:t>
            </w:r>
            <w:r w:rsidRPr="003F0600">
              <w:rPr>
                <w:sz w:val="22"/>
                <w:szCs w:val="22"/>
              </w:rPr>
              <w:t xml:space="preserve">de l’année </w:t>
            </w:r>
            <w:r w:rsidR="00A6369B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,</w:t>
            </w:r>
            <w:r w:rsidRPr="00FF6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Pr="00FF6318">
              <w:rPr>
                <w:sz w:val="22"/>
                <w:szCs w:val="22"/>
              </w:rPr>
              <w:t xml:space="preserve">a </w:t>
            </w:r>
            <w:r w:rsidRPr="00FF6318">
              <w:rPr>
                <w:b/>
                <w:bCs/>
                <w:sz w:val="22"/>
                <w:szCs w:val="22"/>
              </w:rPr>
              <w:t xml:space="preserve">valeur ajoutée du secteur primaire </w:t>
            </w:r>
            <w:r w:rsidRPr="003F0600">
              <w:rPr>
                <w:sz w:val="22"/>
                <w:szCs w:val="22"/>
              </w:rPr>
              <w:t>en volume</w:t>
            </w:r>
            <w:r>
              <w:rPr>
                <w:sz w:val="22"/>
                <w:szCs w:val="22"/>
              </w:rPr>
              <w:t>,</w:t>
            </w:r>
            <w:r w:rsidRPr="003F0600">
              <w:rPr>
                <w:sz w:val="22"/>
                <w:szCs w:val="22"/>
              </w:rPr>
              <w:t xml:space="preserve"> corrigée des variations saisonnières</w:t>
            </w:r>
            <w:r w:rsidRPr="003F060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F6318">
              <w:rPr>
                <w:sz w:val="22"/>
                <w:szCs w:val="22"/>
              </w:rPr>
              <w:t>a enregistré un</w:t>
            </w:r>
            <w:r w:rsidR="00504680">
              <w:rPr>
                <w:sz w:val="22"/>
                <w:szCs w:val="22"/>
              </w:rPr>
              <w:t>e baisse</w:t>
            </w:r>
            <w:r>
              <w:rPr>
                <w:sz w:val="22"/>
                <w:szCs w:val="22"/>
              </w:rPr>
              <w:t xml:space="preserve"> </w:t>
            </w:r>
            <w:r w:rsidRPr="00FF6318">
              <w:rPr>
                <w:sz w:val="22"/>
                <w:szCs w:val="22"/>
              </w:rPr>
              <w:t xml:space="preserve">de </w:t>
            </w:r>
            <w:r w:rsidR="00457DE2">
              <w:rPr>
                <w:sz w:val="22"/>
                <w:szCs w:val="22"/>
              </w:rPr>
              <w:t>10</w:t>
            </w:r>
            <w:r w:rsidR="001E14D4">
              <w:rPr>
                <w:sz w:val="22"/>
                <w:szCs w:val="22"/>
              </w:rPr>
              <w:t>,</w:t>
            </w:r>
            <w:r w:rsidR="00457DE2">
              <w:rPr>
                <w:sz w:val="22"/>
                <w:szCs w:val="22"/>
              </w:rPr>
              <w:t>2</w:t>
            </w:r>
            <w:r w:rsidRPr="00FF631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durant la même</w:t>
            </w:r>
            <w:r w:rsidRPr="003F0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période en </w:t>
            </w:r>
            <w:r w:rsidR="001E14D4">
              <w:rPr>
                <w:sz w:val="22"/>
                <w:szCs w:val="22"/>
              </w:rPr>
              <w:t>2016</w:t>
            </w:r>
            <w:r w:rsidRPr="00FF6318">
              <w:rPr>
                <w:sz w:val="22"/>
                <w:szCs w:val="22"/>
              </w:rPr>
              <w:t>.</w:t>
            </w:r>
            <w:r w:rsidRPr="002B1449">
              <w:rPr>
                <w:color w:val="FF0000"/>
                <w:sz w:val="22"/>
                <w:szCs w:val="22"/>
              </w:rPr>
              <w:t xml:space="preserve">  </w:t>
            </w:r>
            <w:r w:rsidRPr="0073252B">
              <w:rPr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 xml:space="preserve">tte évolution </w:t>
            </w:r>
            <w:r w:rsidRPr="0073252B">
              <w:rPr>
                <w:sz w:val="22"/>
                <w:szCs w:val="22"/>
              </w:rPr>
              <w:t xml:space="preserve">s’explique par </w:t>
            </w:r>
            <w:r w:rsidR="002819F1">
              <w:rPr>
                <w:sz w:val="22"/>
                <w:szCs w:val="22"/>
              </w:rPr>
              <w:t>la</w:t>
            </w:r>
            <w:r w:rsidRPr="0073252B">
              <w:rPr>
                <w:sz w:val="22"/>
                <w:szCs w:val="22"/>
              </w:rPr>
              <w:t xml:space="preserve"> baisse </w:t>
            </w:r>
            <w:r w:rsidR="00C16036">
              <w:rPr>
                <w:sz w:val="22"/>
                <w:szCs w:val="22"/>
              </w:rPr>
              <w:t xml:space="preserve">aussi bien </w:t>
            </w:r>
            <w:r w:rsidRPr="0073252B">
              <w:rPr>
                <w:sz w:val="22"/>
                <w:szCs w:val="22"/>
              </w:rPr>
              <w:t xml:space="preserve">de l’activité de l’agriculture de </w:t>
            </w:r>
            <w:r w:rsidR="006C3457">
              <w:rPr>
                <w:sz w:val="22"/>
                <w:szCs w:val="22"/>
              </w:rPr>
              <w:t>10,9</w:t>
            </w:r>
            <w:r w:rsidRPr="0073252B">
              <w:rPr>
                <w:sz w:val="22"/>
                <w:szCs w:val="22"/>
              </w:rPr>
              <w:t xml:space="preserve">% au lieu d’une hausse de </w:t>
            </w:r>
            <w:r w:rsidR="001E14D4">
              <w:rPr>
                <w:sz w:val="22"/>
                <w:szCs w:val="22"/>
              </w:rPr>
              <w:t>1</w:t>
            </w:r>
            <w:r w:rsidR="006C3457">
              <w:rPr>
                <w:sz w:val="22"/>
                <w:szCs w:val="22"/>
              </w:rPr>
              <w:t>4</w:t>
            </w:r>
            <w:r w:rsidRPr="0073252B">
              <w:rPr>
                <w:sz w:val="22"/>
                <w:szCs w:val="22"/>
              </w:rPr>
              <w:t>,</w:t>
            </w:r>
            <w:r w:rsidR="006C3457">
              <w:rPr>
                <w:sz w:val="22"/>
                <w:szCs w:val="22"/>
              </w:rPr>
              <w:t>7</w:t>
            </w:r>
            <w:r w:rsidRPr="0073252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une année auparavant </w:t>
            </w:r>
            <w:r w:rsidRPr="0073252B">
              <w:rPr>
                <w:sz w:val="22"/>
                <w:szCs w:val="22"/>
              </w:rPr>
              <w:t xml:space="preserve">et </w:t>
            </w:r>
            <w:r w:rsidR="00C16036">
              <w:rPr>
                <w:sz w:val="22"/>
                <w:szCs w:val="22"/>
              </w:rPr>
              <w:t>que de</w:t>
            </w:r>
            <w:r w:rsidR="002819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celle de</w:t>
            </w:r>
            <w:r w:rsidRPr="0073252B">
              <w:rPr>
                <w:sz w:val="22"/>
                <w:szCs w:val="22"/>
              </w:rPr>
              <w:t xml:space="preserve"> la pêche </w:t>
            </w:r>
            <w:r w:rsidR="006C3457">
              <w:rPr>
                <w:sz w:val="22"/>
                <w:szCs w:val="22"/>
              </w:rPr>
              <w:t>de</w:t>
            </w:r>
            <w:r w:rsidRPr="0073252B">
              <w:rPr>
                <w:sz w:val="22"/>
                <w:szCs w:val="22"/>
              </w:rPr>
              <w:t xml:space="preserve"> </w:t>
            </w:r>
            <w:r w:rsidR="006C3457">
              <w:rPr>
                <w:sz w:val="22"/>
                <w:szCs w:val="22"/>
              </w:rPr>
              <w:t>2</w:t>
            </w:r>
            <w:r w:rsidRPr="0073252B">
              <w:rPr>
                <w:sz w:val="22"/>
                <w:szCs w:val="22"/>
              </w:rPr>
              <w:t>% au lieu d</w:t>
            </w:r>
            <w:r w:rsidR="006C3457">
              <w:rPr>
                <w:sz w:val="22"/>
                <w:szCs w:val="22"/>
              </w:rPr>
              <w:t>’une hausse de</w:t>
            </w:r>
            <w:r w:rsidRPr="0073252B">
              <w:rPr>
                <w:sz w:val="22"/>
                <w:szCs w:val="22"/>
              </w:rPr>
              <w:t xml:space="preserve"> </w:t>
            </w:r>
            <w:r w:rsidR="006C3457">
              <w:rPr>
                <w:sz w:val="22"/>
                <w:szCs w:val="22"/>
              </w:rPr>
              <w:t>6</w:t>
            </w:r>
            <w:r w:rsidR="001E14D4">
              <w:rPr>
                <w:sz w:val="22"/>
                <w:szCs w:val="22"/>
              </w:rPr>
              <w:t>,</w:t>
            </w:r>
            <w:r w:rsidR="006C3457">
              <w:rPr>
                <w:sz w:val="22"/>
                <w:szCs w:val="22"/>
              </w:rPr>
              <w:t>7</w:t>
            </w:r>
            <w:r w:rsidRPr="0073252B">
              <w:rPr>
                <w:sz w:val="22"/>
                <w:szCs w:val="22"/>
              </w:rPr>
              <w:t>%.</w:t>
            </w:r>
          </w:p>
          <w:p w:rsidR="00911090" w:rsidRPr="00900B41" w:rsidRDefault="00911090" w:rsidP="0091109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7A3E4A" w:rsidRDefault="007A3E4A" w:rsidP="002A3547">
            <w:pPr>
              <w:autoSpaceDE w:val="0"/>
              <w:autoSpaceDN w:val="0"/>
              <w:adjustRightInd w:val="0"/>
              <w:jc w:val="both"/>
            </w:pPr>
            <w:r w:rsidRPr="008E08EE">
              <w:rPr>
                <w:b/>
                <w:bCs/>
              </w:rPr>
              <w:t xml:space="preserve">La valeur ajoutée du secteur secondaire, </w:t>
            </w:r>
            <w:r w:rsidR="002A3547" w:rsidRPr="00900B41">
              <w:rPr>
                <w:sz w:val="22"/>
                <w:szCs w:val="22"/>
              </w:rPr>
              <w:t>de son côté</w:t>
            </w:r>
            <w:r w:rsidRPr="008E08EE">
              <w:rPr>
                <w:b/>
                <w:bCs/>
              </w:rPr>
              <w:t>,</w:t>
            </w:r>
            <w:r w:rsidRPr="008E08EE">
              <w:t xml:space="preserve"> a réalisé </w:t>
            </w:r>
            <w:r w:rsidR="002A3547">
              <w:t xml:space="preserve">un ralentissement de son rythme de croissance passant de </w:t>
            </w:r>
            <w:r w:rsidR="002A3547" w:rsidRPr="008E08EE">
              <w:t>2,</w:t>
            </w:r>
            <w:r w:rsidR="002A3547">
              <w:t>2</w:t>
            </w:r>
            <w:r w:rsidR="002A3547" w:rsidRPr="008E08EE">
              <w:t>%</w:t>
            </w:r>
            <w:r w:rsidR="002A3547">
              <w:t xml:space="preserve"> le même trimestre de l’année </w:t>
            </w:r>
            <w:r w:rsidR="003B2DFA">
              <w:t>précédente</w:t>
            </w:r>
            <w:r w:rsidR="002A3547">
              <w:t xml:space="preserve"> à </w:t>
            </w:r>
            <w:r w:rsidR="00A37C72">
              <w:t>1</w:t>
            </w:r>
            <w:r w:rsidRPr="008E08EE">
              <w:t>,1%</w:t>
            </w:r>
            <w:r>
              <w:t>. Ceci</w:t>
            </w:r>
            <w:r w:rsidRPr="008E08EE">
              <w:t xml:space="preserve"> résulte de l’</w:t>
            </w:r>
            <w:r w:rsidR="00E4366F">
              <w:t>accroissement</w:t>
            </w:r>
            <w:r w:rsidRPr="008E08EE">
              <w:t xml:space="preserve"> des valeurs ajoutées :</w:t>
            </w:r>
          </w:p>
          <w:p w:rsidR="00E4366F" w:rsidRDefault="00E4366F" w:rsidP="00E4366F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72" w:firstLine="284"/>
              <w:jc w:val="both"/>
            </w:pPr>
            <w:r w:rsidRPr="00E4366F">
              <w:rPr>
                <w:rFonts w:eastAsia="Calibri"/>
                <w:lang w:eastAsia="en-US"/>
              </w:rPr>
              <w:t xml:space="preserve">des </w:t>
            </w:r>
            <w:r w:rsidRPr="008E08EE">
              <w:t>industries de transformation</w:t>
            </w:r>
            <w:r>
              <w:t xml:space="preserve"> de</w:t>
            </w:r>
            <w:r w:rsidRPr="008E08EE">
              <w:t xml:space="preserve"> </w:t>
            </w:r>
            <w:r>
              <w:t>1</w:t>
            </w:r>
            <w:r w:rsidRPr="008E08EE">
              <w:t xml:space="preserve">,9% au lieu de </w:t>
            </w:r>
            <w:r>
              <w:t>4</w:t>
            </w:r>
            <w:r w:rsidRPr="008E08EE">
              <w:t>%;</w:t>
            </w:r>
          </w:p>
          <w:p w:rsidR="00E4366F" w:rsidRPr="008E08EE" w:rsidRDefault="00E4366F" w:rsidP="00E4366F">
            <w:pPr>
              <w:pStyle w:val="ListParagraph1"/>
              <w:numPr>
                <w:ilvl w:val="0"/>
                <w:numId w:val="7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356" w:firstLine="0"/>
              <w:jc w:val="both"/>
              <w:rPr>
                <w:rFonts w:eastAsia="Calibri"/>
                <w:lang w:eastAsia="en-US"/>
              </w:rPr>
            </w:pPr>
            <w:r w:rsidRPr="008E08EE">
              <w:rPr>
                <w:rFonts w:eastAsia="Calibri"/>
                <w:lang w:eastAsia="en-US"/>
              </w:rPr>
              <w:t xml:space="preserve">du bâtiment et travaux publics de </w:t>
            </w:r>
            <w:r>
              <w:rPr>
                <w:rFonts w:eastAsia="Calibri"/>
                <w:lang w:eastAsia="en-US"/>
              </w:rPr>
              <w:t>0</w:t>
            </w:r>
            <w:r w:rsidRPr="008E08EE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  <w:r w:rsidRPr="008E08EE">
              <w:rPr>
                <w:rFonts w:eastAsia="Calibri"/>
                <w:lang w:eastAsia="en-US"/>
              </w:rPr>
              <w:t xml:space="preserve">% au lieu d’une baisse 0,1% ; </w:t>
            </w:r>
          </w:p>
          <w:p w:rsidR="007A3E4A" w:rsidRDefault="007A3E4A" w:rsidP="00C61956">
            <w:pPr>
              <w:pStyle w:val="ListParagraph1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lang w:eastAsia="en-US"/>
              </w:rPr>
            </w:pPr>
            <w:r w:rsidRPr="008E08EE">
              <w:rPr>
                <w:rFonts w:eastAsia="Calibri"/>
                <w:lang w:eastAsia="en-US"/>
              </w:rPr>
              <w:t>et d</w:t>
            </w:r>
            <w:r w:rsidR="00C61956">
              <w:rPr>
                <w:rFonts w:eastAsia="Calibri"/>
                <w:lang w:eastAsia="en-US"/>
              </w:rPr>
              <w:t>e</w:t>
            </w:r>
            <w:r w:rsidRPr="008E08EE">
              <w:rPr>
                <w:rFonts w:eastAsia="Calibri"/>
                <w:lang w:eastAsia="en-US"/>
              </w:rPr>
              <w:t xml:space="preserve"> </w:t>
            </w:r>
            <w:r w:rsidR="00C61956">
              <w:rPr>
                <w:rFonts w:eastAsia="Calibri"/>
                <w:lang w:eastAsia="en-US"/>
              </w:rPr>
              <w:t>la baisse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08EE">
              <w:rPr>
                <w:rFonts w:eastAsia="Calibri"/>
                <w:lang w:eastAsia="en-US"/>
              </w:rPr>
              <w:t>de celles :</w:t>
            </w:r>
          </w:p>
          <w:p w:rsidR="00C61956" w:rsidRPr="008E08EE" w:rsidRDefault="00C61956" w:rsidP="00C61956">
            <w:pPr>
              <w:pStyle w:val="ListParagraph1"/>
              <w:numPr>
                <w:ilvl w:val="0"/>
                <w:numId w:val="7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356" w:firstLine="0"/>
              <w:jc w:val="both"/>
              <w:rPr>
                <w:rFonts w:eastAsia="Calibri"/>
                <w:lang w:eastAsia="en-US"/>
              </w:rPr>
            </w:pPr>
            <w:r w:rsidRPr="008E08EE">
              <w:rPr>
                <w:rFonts w:eastAsia="Calibri"/>
                <w:lang w:eastAsia="en-US"/>
              </w:rPr>
              <w:t xml:space="preserve">de l’industrie d’extraction de </w:t>
            </w:r>
            <w:r>
              <w:rPr>
                <w:rFonts w:eastAsia="Calibri"/>
                <w:lang w:eastAsia="en-US"/>
              </w:rPr>
              <w:t>1,2</w:t>
            </w:r>
            <w:r w:rsidRPr="008E08EE">
              <w:rPr>
                <w:rFonts w:eastAsia="Calibri"/>
                <w:lang w:eastAsia="en-US"/>
              </w:rPr>
              <w:t xml:space="preserve">% au lieu </w:t>
            </w:r>
            <w:r>
              <w:rPr>
                <w:rFonts w:eastAsia="Calibri"/>
                <w:lang w:eastAsia="en-US"/>
              </w:rPr>
              <w:t>d</w:t>
            </w:r>
            <w:r w:rsidR="006F01ED">
              <w:rPr>
                <w:rFonts w:eastAsia="Calibri"/>
                <w:lang w:eastAsia="en-US"/>
              </w:rPr>
              <w:t>’une baisse d</w:t>
            </w:r>
            <w:r>
              <w:rPr>
                <w:rFonts w:eastAsia="Calibri"/>
                <w:lang w:eastAsia="en-US"/>
              </w:rPr>
              <w:t>e</w:t>
            </w:r>
            <w:r w:rsidRPr="008E08E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6</w:t>
            </w:r>
            <w:r w:rsidRPr="008E08EE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2</w:t>
            </w:r>
            <w:r w:rsidRPr="008E08EE">
              <w:rPr>
                <w:rFonts w:eastAsia="Calibri"/>
                <w:lang w:eastAsia="en-US"/>
              </w:rPr>
              <w:t>% ;</w:t>
            </w:r>
          </w:p>
          <w:p w:rsidR="007A3E4A" w:rsidRPr="008E08EE" w:rsidRDefault="007A3E4A" w:rsidP="00C16036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72" w:firstLine="284"/>
              <w:jc w:val="both"/>
            </w:pPr>
            <w:r w:rsidRPr="008E08EE">
              <w:t>de l’électricité et eau</w:t>
            </w:r>
            <w:r w:rsidR="00C16036">
              <w:t xml:space="preserve"> de</w:t>
            </w:r>
            <w:r w:rsidRPr="008E08EE">
              <w:t xml:space="preserve"> </w:t>
            </w:r>
            <w:r w:rsidR="00C61956">
              <w:t>1,8</w:t>
            </w:r>
            <w:r w:rsidRPr="008E08EE">
              <w:t>% au lieu d</w:t>
            </w:r>
            <w:r w:rsidR="00C61956">
              <w:t>’une hausse de</w:t>
            </w:r>
            <w:r w:rsidRPr="008E08EE">
              <w:t xml:space="preserve"> </w:t>
            </w:r>
            <w:r w:rsidR="00C61956">
              <w:t>4,8</w:t>
            </w:r>
            <w:r w:rsidRPr="008E08EE">
              <w:t>%</w:t>
            </w:r>
            <w:r w:rsidR="00C61956">
              <w:t>.</w:t>
            </w:r>
            <w:r w:rsidRPr="008E08EE">
              <w:t xml:space="preserve"> </w:t>
            </w:r>
          </w:p>
          <w:p w:rsidR="007A3E4A" w:rsidRDefault="007A3E4A" w:rsidP="001E14D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CD23CB" w:rsidRDefault="00CD23CB" w:rsidP="002A3547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900B41">
              <w:rPr>
                <w:b/>
                <w:bCs/>
                <w:sz w:val="22"/>
                <w:szCs w:val="22"/>
              </w:rPr>
              <w:t>La valeur ajoutée du secteur tertiaire</w:t>
            </w:r>
            <w:r w:rsidRPr="00900B41">
              <w:rPr>
                <w:sz w:val="22"/>
                <w:szCs w:val="22"/>
              </w:rPr>
              <w:t xml:space="preserve">, </w:t>
            </w:r>
            <w:r w:rsidR="002A3547" w:rsidRPr="008E08EE">
              <w:t>en revanche</w:t>
            </w:r>
            <w:r w:rsidRPr="00900B41">
              <w:rPr>
                <w:sz w:val="22"/>
                <w:szCs w:val="22"/>
              </w:rPr>
              <w:t xml:space="preserve">, a affiché une croissance de </w:t>
            </w:r>
            <w:r w:rsidR="003D0511">
              <w:rPr>
                <w:sz w:val="22"/>
                <w:szCs w:val="22"/>
              </w:rPr>
              <w:t>1,7</w:t>
            </w:r>
            <w:r w:rsidRPr="00900B41">
              <w:rPr>
                <w:sz w:val="22"/>
                <w:szCs w:val="22"/>
              </w:rPr>
              <w:t xml:space="preserve">% au lieu de </w:t>
            </w:r>
            <w:r>
              <w:rPr>
                <w:sz w:val="22"/>
                <w:szCs w:val="22"/>
              </w:rPr>
              <w:t>0,</w:t>
            </w:r>
            <w:r w:rsidR="003D0511">
              <w:rPr>
                <w:sz w:val="22"/>
                <w:szCs w:val="22"/>
              </w:rPr>
              <w:t>8</w:t>
            </w:r>
            <w:r w:rsidRPr="00900B41">
              <w:rPr>
                <w:sz w:val="22"/>
                <w:szCs w:val="22"/>
              </w:rPr>
              <w:t>% l</w:t>
            </w:r>
            <w:r>
              <w:rPr>
                <w:sz w:val="22"/>
                <w:szCs w:val="22"/>
              </w:rPr>
              <w:t>e même trimestre de l’année 2015</w:t>
            </w:r>
            <w:r w:rsidRPr="00900B4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A l’exception des </w:t>
            </w:r>
            <w:r w:rsidR="00572489">
              <w:rPr>
                <w:sz w:val="22"/>
                <w:szCs w:val="22"/>
              </w:rPr>
              <w:t xml:space="preserve">hôtels et restaurants </w:t>
            </w:r>
            <w:r>
              <w:rPr>
                <w:sz w:val="22"/>
                <w:szCs w:val="22"/>
              </w:rPr>
              <w:t xml:space="preserve">qui ont enregistré une baisse de </w:t>
            </w:r>
            <w:r w:rsidR="00572489">
              <w:rPr>
                <w:sz w:val="22"/>
                <w:szCs w:val="22"/>
              </w:rPr>
              <w:t>leur valeur ajoutée de 2</w:t>
            </w:r>
            <w:r>
              <w:rPr>
                <w:sz w:val="22"/>
                <w:szCs w:val="22"/>
              </w:rPr>
              <w:t>%, t</w:t>
            </w:r>
            <w:r w:rsidRPr="00900B41">
              <w:rPr>
                <w:sz w:val="22"/>
                <w:szCs w:val="22"/>
              </w:rPr>
              <w:t>outes les composantes d</w:t>
            </w:r>
            <w:r w:rsidR="00572489">
              <w:rPr>
                <w:sz w:val="22"/>
                <w:szCs w:val="22"/>
              </w:rPr>
              <w:t>e ce</w:t>
            </w:r>
            <w:r w:rsidRPr="00900B41">
              <w:rPr>
                <w:sz w:val="22"/>
                <w:szCs w:val="22"/>
              </w:rPr>
              <w:t xml:space="preserve"> secteur ont  dégagé des croissances positives :</w:t>
            </w:r>
          </w:p>
          <w:p w:rsidR="008D128A" w:rsidRDefault="00911090" w:rsidP="0057248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 xml:space="preserve">les postes et télécommunications </w:t>
            </w:r>
            <w:r>
              <w:rPr>
                <w:sz w:val="22"/>
                <w:szCs w:val="22"/>
              </w:rPr>
              <w:t>à</w:t>
            </w:r>
            <w:r w:rsidRPr="00900B41">
              <w:rPr>
                <w:sz w:val="22"/>
                <w:szCs w:val="22"/>
              </w:rPr>
              <w:t xml:space="preserve"> </w:t>
            </w:r>
            <w:r w:rsidR="00572489">
              <w:rPr>
                <w:sz w:val="22"/>
                <w:szCs w:val="22"/>
              </w:rPr>
              <w:t>4</w:t>
            </w:r>
            <w:r w:rsidRPr="00900B41">
              <w:rPr>
                <w:sz w:val="22"/>
                <w:szCs w:val="22"/>
              </w:rPr>
              <w:t xml:space="preserve">% au lieu de </w:t>
            </w:r>
            <w:r w:rsidR="00572489">
              <w:rPr>
                <w:sz w:val="22"/>
                <w:szCs w:val="22"/>
              </w:rPr>
              <w:t>3,2</w:t>
            </w:r>
            <w:r w:rsidRPr="00900B41">
              <w:rPr>
                <w:sz w:val="22"/>
                <w:szCs w:val="22"/>
              </w:rPr>
              <w:t>%;</w:t>
            </w:r>
            <w:r w:rsidR="008D128A">
              <w:rPr>
                <w:sz w:val="22"/>
                <w:szCs w:val="22"/>
              </w:rPr>
              <w:t xml:space="preserve"> </w:t>
            </w:r>
          </w:p>
          <w:p w:rsidR="008D128A" w:rsidRDefault="008D128A" w:rsidP="0057248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commerce à 3,</w:t>
            </w:r>
            <w:r w:rsidR="00572489">
              <w:rPr>
                <w:sz w:val="22"/>
                <w:szCs w:val="22"/>
              </w:rPr>
              <w:t>1</w:t>
            </w:r>
            <w:r w:rsidRPr="00900B41">
              <w:rPr>
                <w:sz w:val="22"/>
                <w:szCs w:val="22"/>
              </w:rPr>
              <w:t xml:space="preserve">% au lieu de </w:t>
            </w:r>
            <w:r>
              <w:rPr>
                <w:sz w:val="22"/>
                <w:szCs w:val="22"/>
              </w:rPr>
              <w:t>0,</w:t>
            </w:r>
            <w:r w:rsidR="00572489">
              <w:rPr>
                <w:sz w:val="22"/>
                <w:szCs w:val="22"/>
              </w:rPr>
              <w:t>9</w:t>
            </w:r>
            <w:r w:rsidRPr="00900B41">
              <w:rPr>
                <w:sz w:val="22"/>
                <w:szCs w:val="22"/>
              </w:rPr>
              <w:t xml:space="preserve">%; </w:t>
            </w:r>
          </w:p>
          <w:p w:rsidR="008D128A" w:rsidRPr="00900B41" w:rsidRDefault="008D128A" w:rsidP="0057248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les services rendus aux ménages et aux entr</w:t>
            </w:r>
            <w:r>
              <w:rPr>
                <w:sz w:val="22"/>
                <w:szCs w:val="22"/>
              </w:rPr>
              <w:t>eprises à 2,</w:t>
            </w:r>
            <w:r w:rsidR="00572489">
              <w:rPr>
                <w:sz w:val="22"/>
                <w:szCs w:val="22"/>
              </w:rPr>
              <w:t>3</w:t>
            </w:r>
            <w:r w:rsidRPr="00900B41">
              <w:rPr>
                <w:sz w:val="22"/>
                <w:szCs w:val="22"/>
              </w:rPr>
              <w:t xml:space="preserve">% au lieu de </w:t>
            </w:r>
            <w:r>
              <w:rPr>
                <w:sz w:val="22"/>
                <w:szCs w:val="22"/>
              </w:rPr>
              <w:t>2,</w:t>
            </w:r>
            <w:r w:rsidR="00572489">
              <w:rPr>
                <w:sz w:val="22"/>
                <w:szCs w:val="22"/>
              </w:rPr>
              <w:t>8</w:t>
            </w:r>
            <w:r w:rsidRPr="00900B41">
              <w:rPr>
                <w:sz w:val="22"/>
                <w:szCs w:val="22"/>
              </w:rPr>
              <w:t>%;</w:t>
            </w:r>
          </w:p>
          <w:p w:rsidR="008D128A" w:rsidRDefault="008D128A" w:rsidP="008D128A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services rendus par l’Administration P</w:t>
            </w:r>
            <w:r w:rsidRPr="00900B41">
              <w:rPr>
                <w:sz w:val="22"/>
                <w:szCs w:val="22"/>
              </w:rPr>
              <w:t>ublique générale et sécurité sociale</w:t>
            </w:r>
            <w:r>
              <w:rPr>
                <w:sz w:val="22"/>
                <w:szCs w:val="22"/>
              </w:rPr>
              <w:t xml:space="preserve"> à 1,7</w:t>
            </w:r>
            <w:r w:rsidRPr="00900B41">
              <w:rPr>
                <w:sz w:val="22"/>
                <w:szCs w:val="22"/>
              </w:rPr>
              <w:t xml:space="preserve">% au lieu de </w:t>
            </w:r>
            <w:r>
              <w:rPr>
                <w:sz w:val="22"/>
                <w:szCs w:val="22"/>
              </w:rPr>
              <w:t>0,6</w:t>
            </w:r>
            <w:r w:rsidRPr="00900B41">
              <w:rPr>
                <w:sz w:val="22"/>
                <w:szCs w:val="22"/>
              </w:rPr>
              <w:t xml:space="preserve">%; </w:t>
            </w:r>
          </w:p>
          <w:p w:rsidR="00572489" w:rsidRPr="00571441" w:rsidRDefault="00572489" w:rsidP="0057248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 xml:space="preserve">les  services de l’éducation, de la santé et de l’action sociale </w:t>
            </w:r>
            <w:r>
              <w:rPr>
                <w:sz w:val="22"/>
                <w:szCs w:val="22"/>
              </w:rPr>
              <w:t>à</w:t>
            </w:r>
            <w:r w:rsidRPr="00900B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0,7% au lieu de 0,5%</w:t>
            </w:r>
            <w:r w:rsidRPr="00900B41">
              <w:rPr>
                <w:sz w:val="22"/>
                <w:szCs w:val="22"/>
              </w:rPr>
              <w:t>;</w:t>
            </w:r>
          </w:p>
          <w:p w:rsidR="008D128A" w:rsidRDefault="008D128A" w:rsidP="0057248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572489">
              <w:rPr>
                <w:sz w:val="22"/>
                <w:szCs w:val="22"/>
              </w:rPr>
              <w:t xml:space="preserve">le transport à </w:t>
            </w:r>
            <w:r w:rsidR="00572489" w:rsidRPr="00572489">
              <w:rPr>
                <w:sz w:val="22"/>
                <w:szCs w:val="22"/>
              </w:rPr>
              <w:t>0</w:t>
            </w:r>
            <w:r w:rsidRPr="00572489">
              <w:rPr>
                <w:sz w:val="22"/>
                <w:szCs w:val="22"/>
              </w:rPr>
              <w:t>,3% au lieu de 1,</w:t>
            </w:r>
            <w:r w:rsidR="00572489" w:rsidRPr="00572489">
              <w:rPr>
                <w:sz w:val="22"/>
                <w:szCs w:val="22"/>
              </w:rPr>
              <w:t>9</w:t>
            </w:r>
            <w:r w:rsidR="00572489">
              <w:rPr>
                <w:sz w:val="22"/>
                <w:szCs w:val="22"/>
              </w:rPr>
              <w:t>%.</w:t>
            </w:r>
          </w:p>
          <w:p w:rsidR="00323BC1" w:rsidRDefault="00323BC1" w:rsidP="00323BC1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</w:rPr>
            </w:pPr>
          </w:p>
          <w:p w:rsidR="003F38D4" w:rsidRDefault="003F38D4" w:rsidP="006F01E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911090" w:rsidRDefault="00911090" w:rsidP="006F01E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</w:t>
            </w:r>
            <w:r w:rsidRPr="003F0600">
              <w:rPr>
                <w:sz w:val="22"/>
                <w:szCs w:val="22"/>
              </w:rPr>
              <w:t xml:space="preserve">a </w:t>
            </w:r>
            <w:r w:rsidRPr="003F0600">
              <w:rPr>
                <w:b/>
                <w:bCs/>
                <w:sz w:val="22"/>
                <w:szCs w:val="22"/>
              </w:rPr>
              <w:t>valeur ajoutée globale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réalisée par l’ensemble des activités économiques</w:t>
            </w:r>
            <w:r w:rsidRPr="003F0600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marqué</w:t>
            </w:r>
            <w:r w:rsidR="006F01ED">
              <w:rPr>
                <w:sz w:val="22"/>
                <w:szCs w:val="22"/>
              </w:rPr>
              <w:t>,</w:t>
            </w:r>
            <w:r w:rsidRPr="003F0600">
              <w:rPr>
                <w:sz w:val="22"/>
                <w:szCs w:val="22"/>
              </w:rPr>
              <w:t xml:space="preserve"> </w:t>
            </w:r>
            <w:r w:rsidR="006F01ED">
              <w:rPr>
                <w:sz w:val="22"/>
                <w:szCs w:val="22"/>
              </w:rPr>
              <w:t xml:space="preserve">ainsi, </w:t>
            </w:r>
            <w:r w:rsidRPr="003F0600">
              <w:rPr>
                <w:sz w:val="22"/>
                <w:szCs w:val="22"/>
              </w:rPr>
              <w:t xml:space="preserve">une </w:t>
            </w:r>
            <w:r w:rsidR="00F0778F">
              <w:rPr>
                <w:sz w:val="22"/>
                <w:szCs w:val="22"/>
              </w:rPr>
              <w:t>baisse</w:t>
            </w:r>
            <w:r w:rsidRPr="003F0600">
              <w:rPr>
                <w:sz w:val="22"/>
                <w:szCs w:val="22"/>
              </w:rPr>
              <w:t xml:space="preserve"> de </w:t>
            </w:r>
            <w:r w:rsidR="00BF5729">
              <w:rPr>
                <w:sz w:val="22"/>
                <w:szCs w:val="22"/>
              </w:rPr>
              <w:t>0,</w:t>
            </w:r>
            <w:r w:rsidR="00F0778F">
              <w:rPr>
                <w:sz w:val="22"/>
                <w:szCs w:val="22"/>
              </w:rPr>
              <w:t>2</w:t>
            </w:r>
            <w:r w:rsidRPr="003F0600">
              <w:rPr>
                <w:sz w:val="22"/>
                <w:szCs w:val="22"/>
              </w:rPr>
              <w:t>% au lieu d</w:t>
            </w:r>
            <w:r w:rsidR="00F0778F">
              <w:rPr>
                <w:sz w:val="22"/>
                <w:szCs w:val="22"/>
              </w:rPr>
              <w:t>’une hausse de</w:t>
            </w:r>
            <w:r w:rsidRPr="003F0600">
              <w:rPr>
                <w:sz w:val="22"/>
                <w:szCs w:val="22"/>
              </w:rPr>
              <w:t xml:space="preserve"> </w:t>
            </w:r>
            <w:r w:rsidR="00F0778F">
              <w:rPr>
                <w:sz w:val="22"/>
                <w:szCs w:val="22"/>
              </w:rPr>
              <w:t>2</w:t>
            </w:r>
            <w:r w:rsidR="00BF5729">
              <w:rPr>
                <w:sz w:val="22"/>
                <w:szCs w:val="22"/>
              </w:rPr>
              <w:t>,</w:t>
            </w:r>
            <w:r w:rsidR="00F0778F">
              <w:rPr>
                <w:sz w:val="22"/>
                <w:szCs w:val="22"/>
              </w:rPr>
              <w:t>9</w:t>
            </w:r>
            <w:r w:rsidRPr="003F0600">
              <w:rPr>
                <w:sz w:val="22"/>
                <w:szCs w:val="22"/>
              </w:rPr>
              <w:t xml:space="preserve">% le </w:t>
            </w:r>
            <w:r w:rsidR="00F0778F">
              <w:rPr>
                <w:sz w:val="22"/>
                <w:szCs w:val="22"/>
              </w:rPr>
              <w:t>deuxième</w:t>
            </w:r>
            <w:r>
              <w:rPr>
                <w:sz w:val="22"/>
                <w:szCs w:val="22"/>
              </w:rPr>
              <w:t xml:space="preserve"> </w:t>
            </w:r>
            <w:r w:rsidRPr="003F0600">
              <w:rPr>
                <w:sz w:val="22"/>
                <w:szCs w:val="22"/>
              </w:rPr>
              <w:t>trimestre</w:t>
            </w:r>
            <w:r w:rsidR="00BF5729">
              <w:rPr>
                <w:sz w:val="22"/>
                <w:szCs w:val="22"/>
              </w:rPr>
              <w:t xml:space="preserve"> de l’année 2015</w:t>
            </w:r>
            <w:r w:rsidRPr="003F0600">
              <w:rPr>
                <w:sz w:val="22"/>
                <w:szCs w:val="22"/>
              </w:rPr>
              <w:t>.</w:t>
            </w:r>
            <w:r w:rsidRPr="00576711">
              <w:rPr>
                <w:sz w:val="22"/>
                <w:szCs w:val="22"/>
              </w:rPr>
              <w:t xml:space="preserve"> </w:t>
            </w:r>
          </w:p>
          <w:p w:rsidR="00911090" w:rsidRPr="00576711" w:rsidRDefault="00911090" w:rsidP="009110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911090" w:rsidRDefault="00911090" w:rsidP="00BB243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 total, l</w:t>
            </w:r>
            <w:r w:rsidRPr="00607B45">
              <w:rPr>
                <w:sz w:val="22"/>
                <w:szCs w:val="22"/>
              </w:rPr>
              <w:t>e</w:t>
            </w:r>
            <w:r w:rsidRPr="007C1BB2">
              <w:rPr>
                <w:b/>
                <w:bCs/>
                <w:sz w:val="22"/>
                <w:szCs w:val="22"/>
              </w:rPr>
              <w:t xml:space="preserve"> Produit Intérieur Brut (PIB) </w:t>
            </w:r>
            <w:r w:rsidRPr="007C1BB2">
              <w:rPr>
                <w:sz w:val="22"/>
                <w:szCs w:val="22"/>
              </w:rPr>
              <w:t xml:space="preserve">en volume s’est accru de </w:t>
            </w:r>
            <w:r w:rsidR="00BB243F">
              <w:rPr>
                <w:sz w:val="22"/>
                <w:szCs w:val="22"/>
              </w:rPr>
              <w:t>0</w:t>
            </w:r>
            <w:r w:rsidR="00BF5729">
              <w:rPr>
                <w:sz w:val="22"/>
                <w:szCs w:val="22"/>
              </w:rPr>
              <w:t>,</w:t>
            </w:r>
            <w:r w:rsidR="00BB243F">
              <w:rPr>
                <w:sz w:val="22"/>
                <w:szCs w:val="22"/>
              </w:rPr>
              <w:t>5</w:t>
            </w:r>
            <w:r w:rsidRPr="007C1BB2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durant le </w:t>
            </w:r>
            <w:r w:rsidR="00BB243F">
              <w:rPr>
                <w:sz w:val="22"/>
                <w:szCs w:val="22"/>
              </w:rPr>
              <w:t>deuxième</w:t>
            </w:r>
            <w:r w:rsidR="00BF5729">
              <w:rPr>
                <w:sz w:val="22"/>
                <w:szCs w:val="22"/>
              </w:rPr>
              <w:t xml:space="preserve"> trimestre 2016</w:t>
            </w:r>
            <w:r>
              <w:rPr>
                <w:sz w:val="22"/>
                <w:szCs w:val="22"/>
              </w:rPr>
              <w:t xml:space="preserve"> </w:t>
            </w:r>
            <w:r w:rsidR="00BF5729">
              <w:rPr>
                <w:sz w:val="22"/>
                <w:szCs w:val="22"/>
              </w:rPr>
              <w:t>au lieu de 4,</w:t>
            </w:r>
            <w:r w:rsidR="00BB243F">
              <w:rPr>
                <w:sz w:val="22"/>
                <w:szCs w:val="22"/>
              </w:rPr>
              <w:t>2</w:t>
            </w:r>
            <w:r w:rsidRPr="007C1BB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une année auparavant, et ce compte tenu de l’augmentation des i</w:t>
            </w:r>
            <w:r w:rsidRPr="005F2A27">
              <w:rPr>
                <w:sz w:val="22"/>
                <w:szCs w:val="22"/>
              </w:rPr>
              <w:t>mpôts sur les produits nets des subvention</w:t>
            </w:r>
            <w:r>
              <w:rPr>
                <w:sz w:val="22"/>
                <w:szCs w:val="22"/>
              </w:rPr>
              <w:t xml:space="preserve">s de </w:t>
            </w:r>
            <w:r w:rsidR="00BB243F">
              <w:rPr>
                <w:sz w:val="22"/>
                <w:szCs w:val="22"/>
              </w:rPr>
              <w:t>6</w:t>
            </w:r>
            <w:r w:rsidR="00BF5729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% au lieu de</w:t>
            </w:r>
            <w:r w:rsidR="00BF5729">
              <w:rPr>
                <w:sz w:val="22"/>
                <w:szCs w:val="22"/>
              </w:rPr>
              <w:t xml:space="preserve"> 1</w:t>
            </w:r>
            <w:r w:rsidR="00BB243F">
              <w:rPr>
                <w:sz w:val="22"/>
                <w:szCs w:val="22"/>
              </w:rPr>
              <w:t>5</w:t>
            </w:r>
            <w:r w:rsidR="00BF5729">
              <w:rPr>
                <w:sz w:val="22"/>
                <w:szCs w:val="22"/>
              </w:rPr>
              <w:t>,</w:t>
            </w:r>
            <w:r w:rsidR="00BB243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%.</w:t>
            </w:r>
            <w:r w:rsidRPr="007C1BB2">
              <w:rPr>
                <w:sz w:val="22"/>
                <w:szCs w:val="22"/>
              </w:rPr>
              <w:t xml:space="preserve"> </w:t>
            </w:r>
          </w:p>
          <w:p w:rsidR="00911090" w:rsidRDefault="00911090" w:rsidP="009110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C91943" w:rsidRPr="005F3D36" w:rsidRDefault="00C91943" w:rsidP="006F01E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Aux prix courants, </w:t>
            </w:r>
            <w:r w:rsidR="006F01ED">
              <w:rPr>
                <w:sz w:val="22"/>
                <w:szCs w:val="22"/>
              </w:rPr>
              <w:t>l’accroissement du</w:t>
            </w:r>
            <w:r>
              <w:rPr>
                <w:sz w:val="22"/>
                <w:szCs w:val="22"/>
              </w:rPr>
              <w:t xml:space="preserve"> PIB s’est situé à 2,</w:t>
            </w:r>
            <w:r w:rsidR="0028642B">
              <w:rPr>
                <w:sz w:val="22"/>
                <w:szCs w:val="22"/>
              </w:rPr>
              <w:t>1</w:t>
            </w:r>
            <w:r w:rsidRPr="007C1BB2">
              <w:rPr>
                <w:sz w:val="22"/>
                <w:szCs w:val="22"/>
              </w:rPr>
              <w:t xml:space="preserve">% au lieu de </w:t>
            </w:r>
            <w:r w:rsidR="0028642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2864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%, une année auparavant. </w:t>
            </w:r>
            <w:r w:rsidR="006F01ED">
              <w:rPr>
                <w:sz w:val="22"/>
                <w:szCs w:val="22"/>
              </w:rPr>
              <w:t>De ce fait, l</w:t>
            </w:r>
            <w:r>
              <w:rPr>
                <w:sz w:val="22"/>
                <w:szCs w:val="22"/>
              </w:rPr>
              <w:t xml:space="preserve">a hausse du </w:t>
            </w:r>
            <w:r>
              <w:rPr>
                <w:b/>
                <w:bCs/>
                <w:sz w:val="22"/>
                <w:szCs w:val="22"/>
              </w:rPr>
              <w:t>niveau général des</w:t>
            </w:r>
            <w:r w:rsidRPr="0004169C">
              <w:rPr>
                <w:b/>
                <w:bCs/>
                <w:sz w:val="22"/>
                <w:szCs w:val="22"/>
              </w:rPr>
              <w:t xml:space="preserve"> prix</w:t>
            </w:r>
            <w:r w:rsidR="005F3D36">
              <w:rPr>
                <w:b/>
                <w:bCs/>
                <w:sz w:val="22"/>
                <w:szCs w:val="22"/>
              </w:rPr>
              <w:t xml:space="preserve"> </w:t>
            </w:r>
            <w:r w:rsidR="005F3D36" w:rsidRPr="005F3D36">
              <w:rPr>
                <w:sz w:val="22"/>
                <w:szCs w:val="22"/>
              </w:rPr>
              <w:t>a été</w:t>
            </w:r>
            <w:r w:rsidR="005F3D36">
              <w:rPr>
                <w:sz w:val="22"/>
                <w:szCs w:val="22"/>
              </w:rPr>
              <w:t xml:space="preserve"> de 1,</w:t>
            </w:r>
            <w:r w:rsidR="0028642B">
              <w:rPr>
                <w:sz w:val="22"/>
                <w:szCs w:val="22"/>
              </w:rPr>
              <w:t>6</w:t>
            </w:r>
            <w:r w:rsidR="005F3D36" w:rsidRPr="007C1BB2">
              <w:rPr>
                <w:sz w:val="22"/>
                <w:szCs w:val="22"/>
              </w:rPr>
              <w:t>%</w:t>
            </w:r>
            <w:r w:rsidR="005F3D36">
              <w:rPr>
                <w:sz w:val="22"/>
                <w:szCs w:val="22"/>
              </w:rPr>
              <w:t xml:space="preserve"> au lieu de </w:t>
            </w:r>
            <w:r w:rsidR="0028642B">
              <w:rPr>
                <w:sz w:val="22"/>
                <w:szCs w:val="22"/>
              </w:rPr>
              <w:t>2</w:t>
            </w:r>
            <w:r w:rsidR="005F3D36">
              <w:rPr>
                <w:sz w:val="22"/>
                <w:szCs w:val="22"/>
              </w:rPr>
              <w:t>%.</w:t>
            </w:r>
          </w:p>
          <w:p w:rsidR="00911090" w:rsidRDefault="00911090" w:rsidP="009110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911090" w:rsidRPr="00607B45" w:rsidRDefault="00911090" w:rsidP="00911090">
            <w:pPr>
              <w:shd w:val="clear" w:color="auto" w:fill="FFFFFF"/>
              <w:jc w:val="both"/>
              <w:rPr>
                <w:b/>
                <w:bCs/>
                <w:sz w:val="26"/>
                <w:szCs w:val="26"/>
              </w:rPr>
            </w:pPr>
            <w:r w:rsidRPr="00607B45">
              <w:rPr>
                <w:b/>
                <w:bCs/>
                <w:sz w:val="26"/>
                <w:szCs w:val="26"/>
              </w:rPr>
              <w:t>Les emplois du PIB</w:t>
            </w:r>
          </w:p>
          <w:p w:rsidR="00911090" w:rsidRDefault="00911090" w:rsidP="00911090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911090" w:rsidRPr="004579A3" w:rsidRDefault="00911090" w:rsidP="001F1BDB">
            <w:pPr>
              <w:shd w:val="clear" w:color="auto" w:fill="FFFFFF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Pr="004579A3">
              <w:rPr>
                <w:b/>
                <w:bCs/>
                <w:sz w:val="22"/>
                <w:szCs w:val="22"/>
              </w:rPr>
              <w:t xml:space="preserve">Une demande intérieure en </w:t>
            </w:r>
            <w:r w:rsidR="00AB4BE9">
              <w:rPr>
                <w:b/>
                <w:bCs/>
                <w:sz w:val="22"/>
                <w:szCs w:val="22"/>
              </w:rPr>
              <w:t>augmentation</w:t>
            </w:r>
          </w:p>
          <w:p w:rsidR="00911090" w:rsidRDefault="00911090" w:rsidP="0013229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0051C">
              <w:rPr>
                <w:sz w:val="22"/>
                <w:szCs w:val="22"/>
              </w:rPr>
              <w:t xml:space="preserve">La demande intérieure s’est accrue de </w:t>
            </w:r>
            <w:r w:rsidR="000854C9">
              <w:rPr>
                <w:sz w:val="22"/>
                <w:szCs w:val="22"/>
              </w:rPr>
              <w:t>2,5</w:t>
            </w:r>
            <w:r w:rsidRPr="0090051C">
              <w:rPr>
                <w:sz w:val="22"/>
                <w:szCs w:val="22"/>
              </w:rPr>
              <w:t xml:space="preserve">% au </w:t>
            </w:r>
            <w:r w:rsidR="000854C9">
              <w:rPr>
                <w:sz w:val="22"/>
                <w:szCs w:val="22"/>
              </w:rPr>
              <w:t>deuxième</w:t>
            </w:r>
            <w:r w:rsidRPr="0090051C">
              <w:rPr>
                <w:sz w:val="22"/>
                <w:szCs w:val="22"/>
              </w:rPr>
              <w:t xml:space="preserve"> trimestre 201</w:t>
            </w:r>
            <w:r w:rsidR="00AB4BE9" w:rsidRPr="0090051C">
              <w:rPr>
                <w:sz w:val="22"/>
                <w:szCs w:val="22"/>
              </w:rPr>
              <w:t>6</w:t>
            </w:r>
            <w:r w:rsidRPr="0090051C">
              <w:rPr>
                <w:sz w:val="22"/>
                <w:szCs w:val="22"/>
              </w:rPr>
              <w:t xml:space="preserve"> au lieu de </w:t>
            </w:r>
            <w:r w:rsidR="000854C9">
              <w:rPr>
                <w:sz w:val="22"/>
                <w:szCs w:val="22"/>
              </w:rPr>
              <w:t>1,5</w:t>
            </w:r>
            <w:r w:rsidRPr="0090051C">
              <w:rPr>
                <w:sz w:val="22"/>
                <w:szCs w:val="22"/>
              </w:rPr>
              <w:t>% la même période de l’année 201</w:t>
            </w:r>
            <w:r w:rsidR="00304E3D" w:rsidRPr="0090051C">
              <w:rPr>
                <w:sz w:val="22"/>
                <w:szCs w:val="22"/>
              </w:rPr>
              <w:t>5</w:t>
            </w:r>
            <w:r w:rsidRPr="0090051C">
              <w:rPr>
                <w:sz w:val="22"/>
                <w:szCs w:val="22"/>
              </w:rPr>
              <w:t xml:space="preserve">, avec une contribution à la croissance de </w:t>
            </w:r>
            <w:r w:rsidR="000854C9">
              <w:rPr>
                <w:sz w:val="22"/>
                <w:szCs w:val="22"/>
              </w:rPr>
              <w:t>2</w:t>
            </w:r>
            <w:r w:rsidRPr="0090051C">
              <w:rPr>
                <w:sz w:val="22"/>
                <w:szCs w:val="22"/>
              </w:rPr>
              <w:t>,</w:t>
            </w:r>
            <w:r w:rsidR="000854C9">
              <w:rPr>
                <w:sz w:val="22"/>
                <w:szCs w:val="22"/>
              </w:rPr>
              <w:t>7</w:t>
            </w:r>
            <w:r w:rsidRPr="0090051C">
              <w:rPr>
                <w:sz w:val="22"/>
                <w:szCs w:val="22"/>
              </w:rPr>
              <w:t xml:space="preserve"> point</w:t>
            </w:r>
            <w:r w:rsidR="00DA2BB2">
              <w:rPr>
                <w:sz w:val="22"/>
                <w:szCs w:val="22"/>
              </w:rPr>
              <w:t>s</w:t>
            </w:r>
            <w:r w:rsidRPr="0090051C">
              <w:rPr>
                <w:sz w:val="22"/>
                <w:szCs w:val="22"/>
              </w:rPr>
              <w:t xml:space="preserve"> au lieu de </w:t>
            </w:r>
            <w:r w:rsidR="000854C9">
              <w:rPr>
                <w:sz w:val="22"/>
                <w:szCs w:val="22"/>
              </w:rPr>
              <w:t>1</w:t>
            </w:r>
            <w:r w:rsidRPr="0090051C">
              <w:rPr>
                <w:sz w:val="22"/>
                <w:szCs w:val="22"/>
              </w:rPr>
              <w:t>,</w:t>
            </w:r>
            <w:r w:rsidR="000854C9">
              <w:rPr>
                <w:sz w:val="22"/>
                <w:szCs w:val="22"/>
              </w:rPr>
              <w:t>7</w:t>
            </w:r>
            <w:r w:rsidRPr="0090051C">
              <w:rPr>
                <w:sz w:val="22"/>
                <w:szCs w:val="22"/>
              </w:rPr>
              <w:t xml:space="preserve"> point</w:t>
            </w:r>
            <w:r w:rsidR="00DA2BB2">
              <w:rPr>
                <w:sz w:val="22"/>
                <w:szCs w:val="22"/>
              </w:rPr>
              <w:t>.</w:t>
            </w:r>
            <w:r w:rsidRPr="0090051C">
              <w:rPr>
                <w:sz w:val="22"/>
                <w:szCs w:val="22"/>
              </w:rPr>
              <w:t xml:space="preserve"> Dans ce cadre, les dépenses de consommation finale des ménages </w:t>
            </w:r>
            <w:r w:rsidR="005F3D36">
              <w:rPr>
                <w:sz w:val="22"/>
                <w:szCs w:val="22"/>
              </w:rPr>
              <w:t xml:space="preserve">ont connu une hausse </w:t>
            </w:r>
            <w:r w:rsidRPr="0090051C">
              <w:rPr>
                <w:sz w:val="22"/>
                <w:szCs w:val="22"/>
              </w:rPr>
              <w:t xml:space="preserve">de </w:t>
            </w:r>
            <w:r w:rsidR="0021605E">
              <w:rPr>
                <w:sz w:val="22"/>
                <w:szCs w:val="22"/>
              </w:rPr>
              <w:t>2</w:t>
            </w:r>
            <w:r w:rsidRPr="0090051C">
              <w:rPr>
                <w:sz w:val="22"/>
                <w:szCs w:val="22"/>
              </w:rPr>
              <w:t>,</w:t>
            </w:r>
            <w:r w:rsidR="000854C9">
              <w:rPr>
                <w:sz w:val="22"/>
                <w:szCs w:val="22"/>
              </w:rPr>
              <w:t>2</w:t>
            </w:r>
            <w:r w:rsidRPr="0090051C">
              <w:rPr>
                <w:sz w:val="22"/>
                <w:szCs w:val="22"/>
              </w:rPr>
              <w:t>% au lieu de</w:t>
            </w:r>
            <w:r w:rsidRPr="0090051C">
              <w:rPr>
                <w:color w:val="FF0000"/>
                <w:sz w:val="22"/>
                <w:szCs w:val="22"/>
              </w:rPr>
              <w:t xml:space="preserve"> </w:t>
            </w:r>
            <w:r w:rsidR="000854C9">
              <w:rPr>
                <w:sz w:val="22"/>
                <w:szCs w:val="22"/>
              </w:rPr>
              <w:t>1</w:t>
            </w:r>
            <w:r w:rsidRPr="0090051C">
              <w:rPr>
                <w:sz w:val="22"/>
                <w:szCs w:val="22"/>
              </w:rPr>
              <w:t>,</w:t>
            </w:r>
            <w:r w:rsidR="000854C9">
              <w:rPr>
                <w:sz w:val="22"/>
                <w:szCs w:val="22"/>
              </w:rPr>
              <w:t>8</w:t>
            </w:r>
            <w:r w:rsidRPr="0090051C">
              <w:rPr>
                <w:sz w:val="22"/>
                <w:szCs w:val="22"/>
              </w:rPr>
              <w:t>%, contribuant pour 1,</w:t>
            </w:r>
            <w:r w:rsidR="000854C9">
              <w:rPr>
                <w:sz w:val="22"/>
                <w:szCs w:val="22"/>
              </w:rPr>
              <w:t>3</w:t>
            </w:r>
            <w:r w:rsidR="0021605E">
              <w:rPr>
                <w:sz w:val="22"/>
                <w:szCs w:val="22"/>
              </w:rPr>
              <w:t xml:space="preserve"> </w:t>
            </w:r>
            <w:r w:rsidRPr="0090051C">
              <w:rPr>
                <w:sz w:val="22"/>
                <w:szCs w:val="22"/>
              </w:rPr>
              <w:t xml:space="preserve">point à la croissance au lieu de </w:t>
            </w:r>
            <w:r w:rsidR="00304E3D" w:rsidRPr="0090051C">
              <w:rPr>
                <w:sz w:val="22"/>
                <w:szCs w:val="22"/>
              </w:rPr>
              <w:t>1</w:t>
            </w:r>
            <w:r w:rsidRPr="0090051C">
              <w:rPr>
                <w:sz w:val="22"/>
                <w:szCs w:val="22"/>
              </w:rPr>
              <w:t>,</w:t>
            </w:r>
            <w:r w:rsidR="000854C9">
              <w:rPr>
                <w:sz w:val="22"/>
                <w:szCs w:val="22"/>
              </w:rPr>
              <w:t>1</w:t>
            </w:r>
            <w:r w:rsidRPr="0090051C">
              <w:rPr>
                <w:sz w:val="22"/>
                <w:szCs w:val="22"/>
              </w:rPr>
              <w:t xml:space="preserve"> point. La consommation finale des Administrations </w:t>
            </w:r>
            <w:r w:rsidR="00AB4BE9" w:rsidRPr="0090051C">
              <w:rPr>
                <w:sz w:val="22"/>
                <w:szCs w:val="22"/>
              </w:rPr>
              <w:t xml:space="preserve">Publiques, </w:t>
            </w:r>
            <w:r w:rsidR="0021605E">
              <w:rPr>
                <w:sz w:val="22"/>
                <w:szCs w:val="22"/>
              </w:rPr>
              <w:t>de son côté,</w:t>
            </w:r>
            <w:r w:rsidRPr="0090051C">
              <w:rPr>
                <w:sz w:val="22"/>
                <w:szCs w:val="22"/>
              </w:rPr>
              <w:t xml:space="preserve"> a enregistré une </w:t>
            </w:r>
            <w:r w:rsidR="0021605E">
              <w:rPr>
                <w:sz w:val="22"/>
                <w:szCs w:val="22"/>
              </w:rPr>
              <w:t>hausse</w:t>
            </w:r>
            <w:r w:rsidRPr="0090051C">
              <w:rPr>
                <w:sz w:val="22"/>
                <w:szCs w:val="22"/>
              </w:rPr>
              <w:t xml:space="preserve"> de </w:t>
            </w:r>
            <w:r w:rsidR="0021605E">
              <w:rPr>
                <w:sz w:val="22"/>
                <w:szCs w:val="22"/>
              </w:rPr>
              <w:t>0,8</w:t>
            </w:r>
            <w:r w:rsidRPr="0090051C">
              <w:rPr>
                <w:sz w:val="22"/>
                <w:szCs w:val="22"/>
              </w:rPr>
              <w:t xml:space="preserve">% au lieu </w:t>
            </w:r>
            <w:r w:rsidR="00AB4BE9" w:rsidRPr="0090051C">
              <w:rPr>
                <w:sz w:val="22"/>
                <w:szCs w:val="22"/>
              </w:rPr>
              <w:t>de</w:t>
            </w:r>
            <w:r w:rsidRPr="0090051C">
              <w:rPr>
                <w:sz w:val="22"/>
                <w:szCs w:val="22"/>
              </w:rPr>
              <w:t xml:space="preserve"> </w:t>
            </w:r>
            <w:r w:rsidR="000854C9">
              <w:rPr>
                <w:sz w:val="22"/>
                <w:szCs w:val="22"/>
              </w:rPr>
              <w:t>2</w:t>
            </w:r>
            <w:r w:rsidRPr="0090051C">
              <w:rPr>
                <w:sz w:val="22"/>
                <w:szCs w:val="22"/>
              </w:rPr>
              <w:t>,</w:t>
            </w:r>
            <w:r w:rsidR="000854C9">
              <w:rPr>
                <w:sz w:val="22"/>
                <w:szCs w:val="22"/>
              </w:rPr>
              <w:t>3</w:t>
            </w:r>
            <w:r w:rsidRPr="0090051C">
              <w:rPr>
                <w:sz w:val="22"/>
                <w:szCs w:val="22"/>
              </w:rPr>
              <w:t>%, avec une contribution</w:t>
            </w:r>
            <w:r w:rsidR="00AB4BE9" w:rsidRPr="0090051C">
              <w:rPr>
                <w:sz w:val="22"/>
                <w:szCs w:val="22"/>
              </w:rPr>
              <w:t xml:space="preserve"> </w:t>
            </w:r>
            <w:r w:rsidR="00DA2BB2">
              <w:rPr>
                <w:sz w:val="22"/>
                <w:szCs w:val="22"/>
              </w:rPr>
              <w:t xml:space="preserve">à la croissance de </w:t>
            </w:r>
            <w:r w:rsidRPr="0090051C">
              <w:rPr>
                <w:sz w:val="22"/>
                <w:szCs w:val="22"/>
              </w:rPr>
              <w:t>0,</w:t>
            </w:r>
            <w:r w:rsidR="0021605E">
              <w:rPr>
                <w:sz w:val="22"/>
                <w:szCs w:val="22"/>
              </w:rPr>
              <w:t>2</w:t>
            </w:r>
            <w:r w:rsidRPr="0090051C">
              <w:rPr>
                <w:sz w:val="22"/>
                <w:szCs w:val="22"/>
              </w:rPr>
              <w:t xml:space="preserve"> point au lieu de 0,</w:t>
            </w:r>
            <w:r w:rsidR="000854C9">
              <w:rPr>
                <w:sz w:val="22"/>
                <w:szCs w:val="22"/>
              </w:rPr>
              <w:t>5</w:t>
            </w:r>
            <w:r w:rsidRPr="0090051C">
              <w:rPr>
                <w:sz w:val="22"/>
                <w:szCs w:val="22"/>
              </w:rPr>
              <w:t xml:space="preserve"> point. L’investissement brut (formation brute de capital fixe et variations de stocks</w:t>
            </w:r>
            <w:r w:rsidR="00AB4BE9" w:rsidRPr="0090051C">
              <w:rPr>
                <w:sz w:val="22"/>
                <w:szCs w:val="22"/>
              </w:rPr>
              <w:t xml:space="preserve">) </w:t>
            </w:r>
            <w:r w:rsidRPr="0090051C">
              <w:rPr>
                <w:sz w:val="22"/>
                <w:szCs w:val="22"/>
              </w:rPr>
              <w:t xml:space="preserve">a connu une </w:t>
            </w:r>
            <w:r w:rsidR="00AB4BE9" w:rsidRPr="0090051C">
              <w:rPr>
                <w:sz w:val="22"/>
                <w:szCs w:val="22"/>
              </w:rPr>
              <w:t>hau</w:t>
            </w:r>
            <w:r w:rsidRPr="0090051C">
              <w:rPr>
                <w:sz w:val="22"/>
                <w:szCs w:val="22"/>
              </w:rPr>
              <w:t>sse de</w:t>
            </w:r>
            <w:r w:rsidR="00132293">
              <w:rPr>
                <w:sz w:val="22"/>
                <w:szCs w:val="22"/>
              </w:rPr>
              <w:t xml:space="preserve"> 3</w:t>
            </w:r>
            <w:r w:rsidR="000854C9">
              <w:rPr>
                <w:sz w:val="22"/>
                <w:szCs w:val="22"/>
              </w:rPr>
              <w:t>,</w:t>
            </w:r>
            <w:r w:rsidR="00132293">
              <w:rPr>
                <w:sz w:val="22"/>
                <w:szCs w:val="22"/>
              </w:rPr>
              <w:t>9</w:t>
            </w:r>
            <w:r w:rsidR="00810202">
              <w:rPr>
                <w:sz w:val="22"/>
                <w:szCs w:val="22"/>
              </w:rPr>
              <w:t>%</w:t>
            </w:r>
            <w:r w:rsidRPr="0090051C">
              <w:rPr>
                <w:sz w:val="22"/>
                <w:szCs w:val="22"/>
              </w:rPr>
              <w:t xml:space="preserve"> au lieu </w:t>
            </w:r>
            <w:r w:rsidR="00AB4BE9" w:rsidRPr="0090051C">
              <w:rPr>
                <w:sz w:val="22"/>
                <w:szCs w:val="22"/>
              </w:rPr>
              <w:t>d</w:t>
            </w:r>
            <w:r w:rsidRPr="0090051C">
              <w:rPr>
                <w:sz w:val="22"/>
                <w:szCs w:val="22"/>
              </w:rPr>
              <w:t xml:space="preserve">e </w:t>
            </w:r>
            <w:r w:rsidR="000854C9">
              <w:rPr>
                <w:sz w:val="22"/>
                <w:szCs w:val="22"/>
              </w:rPr>
              <w:t>0</w:t>
            </w:r>
            <w:r w:rsidR="00810202">
              <w:rPr>
                <w:sz w:val="22"/>
                <w:szCs w:val="22"/>
              </w:rPr>
              <w:t>,4</w:t>
            </w:r>
            <w:r w:rsidRPr="0090051C">
              <w:rPr>
                <w:sz w:val="22"/>
                <w:szCs w:val="22"/>
              </w:rPr>
              <w:t xml:space="preserve">% la même période de l’année passée, avec une contribution à la croissance de </w:t>
            </w:r>
            <w:r w:rsidR="00810202">
              <w:rPr>
                <w:sz w:val="22"/>
                <w:szCs w:val="22"/>
              </w:rPr>
              <w:t>1,</w:t>
            </w:r>
            <w:r w:rsidR="000854C9">
              <w:rPr>
                <w:sz w:val="22"/>
                <w:szCs w:val="22"/>
              </w:rPr>
              <w:t>2</w:t>
            </w:r>
            <w:r w:rsidR="00810202">
              <w:rPr>
                <w:sz w:val="22"/>
                <w:szCs w:val="22"/>
              </w:rPr>
              <w:t xml:space="preserve"> </w:t>
            </w:r>
            <w:r w:rsidRPr="0090051C">
              <w:rPr>
                <w:sz w:val="22"/>
                <w:szCs w:val="22"/>
              </w:rPr>
              <w:t xml:space="preserve">point au lieu </w:t>
            </w:r>
            <w:r w:rsidR="00304E3D">
              <w:rPr>
                <w:sz w:val="22"/>
                <w:szCs w:val="22"/>
              </w:rPr>
              <w:t xml:space="preserve">de </w:t>
            </w:r>
            <w:r w:rsidR="000854C9">
              <w:rPr>
                <w:sz w:val="22"/>
                <w:szCs w:val="22"/>
              </w:rPr>
              <w:t>0</w:t>
            </w:r>
            <w:r w:rsidR="00810202">
              <w:rPr>
                <w:sz w:val="22"/>
                <w:szCs w:val="22"/>
              </w:rPr>
              <w:t>,</w:t>
            </w:r>
            <w:r w:rsidR="000854C9">
              <w:rPr>
                <w:sz w:val="22"/>
                <w:szCs w:val="22"/>
              </w:rPr>
              <w:t>1</w:t>
            </w:r>
            <w:r w:rsidRPr="00AF3D85">
              <w:rPr>
                <w:sz w:val="22"/>
                <w:szCs w:val="22"/>
              </w:rPr>
              <w:t xml:space="preserve"> point.</w:t>
            </w:r>
          </w:p>
          <w:p w:rsidR="00911090" w:rsidRDefault="00911090" w:rsidP="009110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911090" w:rsidRDefault="00911090" w:rsidP="001F1BDB">
            <w:pPr>
              <w:pStyle w:val="Titre"/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4579A3">
              <w:rPr>
                <w:sz w:val="22"/>
                <w:szCs w:val="22"/>
              </w:rPr>
              <w:t xml:space="preserve">Une contribution </w:t>
            </w:r>
            <w:r w:rsidR="005506AA">
              <w:rPr>
                <w:sz w:val="22"/>
                <w:szCs w:val="22"/>
              </w:rPr>
              <w:t>néga</w:t>
            </w:r>
            <w:r w:rsidR="005506AA" w:rsidRPr="004579A3">
              <w:rPr>
                <w:sz w:val="22"/>
                <w:szCs w:val="22"/>
              </w:rPr>
              <w:t>tive</w:t>
            </w:r>
            <w:r w:rsidRPr="004579A3">
              <w:rPr>
                <w:sz w:val="22"/>
                <w:szCs w:val="22"/>
              </w:rPr>
              <w:t xml:space="preserve"> des échanges extérieurs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911090" w:rsidRDefault="006F01ED" w:rsidP="006F01ED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</w:t>
            </w:r>
            <w:r w:rsidRPr="00FC4D28">
              <w:rPr>
                <w:b w:val="0"/>
                <w:bCs w:val="0"/>
                <w:sz w:val="22"/>
                <w:szCs w:val="22"/>
              </w:rPr>
              <w:t>es échanges extérieurs de biens et services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ont dégagé une contribution </w:t>
            </w:r>
            <w:r>
              <w:rPr>
                <w:b w:val="0"/>
                <w:bCs w:val="0"/>
                <w:sz w:val="22"/>
                <w:szCs w:val="22"/>
              </w:rPr>
              <w:t>néga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tive à la croissance, se situant à </w:t>
            </w:r>
            <w:r>
              <w:rPr>
                <w:b w:val="0"/>
                <w:bCs w:val="0"/>
                <w:sz w:val="22"/>
                <w:szCs w:val="22"/>
              </w:rPr>
              <w:t>2</w:t>
            </w:r>
            <w:r w:rsidRPr="00FC4D28">
              <w:rPr>
                <w:b w:val="0"/>
                <w:bCs w:val="0"/>
                <w:sz w:val="22"/>
                <w:szCs w:val="22"/>
              </w:rPr>
              <w:t>,</w:t>
            </w:r>
            <w:r>
              <w:rPr>
                <w:b w:val="0"/>
                <w:bCs w:val="0"/>
                <w:sz w:val="22"/>
                <w:szCs w:val="22"/>
              </w:rPr>
              <w:t>2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 point</w:t>
            </w:r>
            <w:r>
              <w:rPr>
                <w:b w:val="0"/>
                <w:bCs w:val="0"/>
                <w:sz w:val="22"/>
                <w:szCs w:val="22"/>
              </w:rPr>
              <w:t>s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 au lieu d</w:t>
            </w:r>
            <w:r>
              <w:rPr>
                <w:b w:val="0"/>
                <w:bCs w:val="0"/>
                <w:sz w:val="22"/>
                <w:szCs w:val="22"/>
              </w:rPr>
              <w:t>’une contribution positive de 2,5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 point</w:t>
            </w:r>
            <w:r>
              <w:rPr>
                <w:b w:val="0"/>
                <w:bCs w:val="0"/>
                <w:sz w:val="22"/>
                <w:szCs w:val="22"/>
              </w:rPr>
              <w:t>s</w:t>
            </w:r>
            <w:r w:rsidRPr="00FC4D28">
              <w:rPr>
                <w:b w:val="0"/>
                <w:bCs w:val="0"/>
                <w:sz w:val="22"/>
                <w:szCs w:val="22"/>
              </w:rPr>
              <w:t xml:space="preserve"> le même trimestre de l’année précédente. </w:t>
            </w:r>
            <w:r w:rsidR="005F3D36">
              <w:rPr>
                <w:b w:val="0"/>
                <w:bCs w:val="0"/>
                <w:sz w:val="22"/>
                <w:szCs w:val="22"/>
              </w:rPr>
              <w:t>L</w:t>
            </w:r>
            <w:r w:rsidR="005F3D36" w:rsidRPr="00FC4D28">
              <w:rPr>
                <w:b w:val="0"/>
                <w:bCs w:val="0"/>
                <w:sz w:val="22"/>
                <w:szCs w:val="22"/>
              </w:rPr>
              <w:t xml:space="preserve">es exportations de biens et services ont affiché une hausse de </w:t>
            </w:r>
            <w:r w:rsidR="004352DF">
              <w:rPr>
                <w:b w:val="0"/>
                <w:bCs w:val="0"/>
                <w:sz w:val="22"/>
                <w:szCs w:val="22"/>
              </w:rPr>
              <w:t>4</w:t>
            </w:r>
            <w:r w:rsidR="005F3D36">
              <w:rPr>
                <w:b w:val="0"/>
                <w:bCs w:val="0"/>
                <w:sz w:val="22"/>
                <w:szCs w:val="22"/>
              </w:rPr>
              <w:t>,</w:t>
            </w:r>
            <w:r w:rsidR="004352DF">
              <w:rPr>
                <w:b w:val="0"/>
                <w:bCs w:val="0"/>
                <w:sz w:val="22"/>
                <w:szCs w:val="22"/>
              </w:rPr>
              <w:t>6</w:t>
            </w:r>
            <w:r w:rsidR="005F3D36" w:rsidRPr="00FC4D28">
              <w:rPr>
                <w:b w:val="0"/>
                <w:bCs w:val="0"/>
                <w:sz w:val="22"/>
                <w:szCs w:val="22"/>
              </w:rPr>
              <w:t>%</w:t>
            </w:r>
            <w:r w:rsidR="005F3D36">
              <w:rPr>
                <w:b w:val="0"/>
                <w:bCs w:val="0"/>
                <w:sz w:val="22"/>
                <w:szCs w:val="22"/>
              </w:rPr>
              <w:t xml:space="preserve"> durant le </w:t>
            </w:r>
            <w:r w:rsidR="004352DF">
              <w:rPr>
                <w:b w:val="0"/>
                <w:bCs w:val="0"/>
                <w:sz w:val="22"/>
                <w:szCs w:val="22"/>
              </w:rPr>
              <w:t>deuxième</w:t>
            </w:r>
            <w:r w:rsidR="005F3D36">
              <w:rPr>
                <w:b w:val="0"/>
                <w:bCs w:val="0"/>
                <w:sz w:val="22"/>
                <w:szCs w:val="22"/>
              </w:rPr>
              <w:t xml:space="preserve"> trimestre 2016</w:t>
            </w:r>
            <w:r w:rsidR="005F3D36" w:rsidRPr="00FC4D28">
              <w:rPr>
                <w:b w:val="0"/>
                <w:bCs w:val="0"/>
                <w:sz w:val="22"/>
                <w:szCs w:val="22"/>
              </w:rPr>
              <w:t xml:space="preserve"> au lieu de </w:t>
            </w:r>
            <w:r w:rsidR="004352DF">
              <w:rPr>
                <w:b w:val="0"/>
                <w:bCs w:val="0"/>
                <w:sz w:val="22"/>
                <w:szCs w:val="22"/>
              </w:rPr>
              <w:t>5</w:t>
            </w:r>
            <w:r w:rsidR="005F3D36">
              <w:rPr>
                <w:b w:val="0"/>
                <w:bCs w:val="0"/>
                <w:sz w:val="22"/>
                <w:szCs w:val="22"/>
              </w:rPr>
              <w:t>,</w:t>
            </w:r>
            <w:r w:rsidR="004352DF">
              <w:rPr>
                <w:b w:val="0"/>
                <w:bCs w:val="0"/>
                <w:sz w:val="22"/>
                <w:szCs w:val="22"/>
              </w:rPr>
              <w:t>1</w:t>
            </w:r>
            <w:r w:rsidR="005F3D36" w:rsidRPr="00FC4D28">
              <w:rPr>
                <w:b w:val="0"/>
                <w:bCs w:val="0"/>
                <w:sz w:val="22"/>
                <w:szCs w:val="22"/>
              </w:rPr>
              <w:t>%</w:t>
            </w:r>
            <w:r w:rsidR="005F3D36">
              <w:rPr>
                <w:b w:val="0"/>
                <w:bCs w:val="0"/>
                <w:sz w:val="22"/>
                <w:szCs w:val="22"/>
              </w:rPr>
              <w:t xml:space="preserve"> une année passée</w:t>
            </w:r>
            <w:r>
              <w:rPr>
                <w:b w:val="0"/>
                <w:bCs w:val="0"/>
                <w:sz w:val="22"/>
                <w:szCs w:val="22"/>
              </w:rPr>
              <w:t xml:space="preserve">, alors que </w:t>
            </w:r>
            <w:r w:rsidR="005F3D36" w:rsidRPr="00FC4D28">
              <w:rPr>
                <w:b w:val="0"/>
                <w:bCs w:val="0"/>
                <w:sz w:val="22"/>
                <w:szCs w:val="22"/>
              </w:rPr>
              <w:t xml:space="preserve">les importations ont </w:t>
            </w:r>
            <w:r>
              <w:rPr>
                <w:b w:val="0"/>
                <w:bCs w:val="0"/>
                <w:sz w:val="22"/>
                <w:szCs w:val="22"/>
              </w:rPr>
              <w:t>connu un net accroissement</w:t>
            </w:r>
            <w:r w:rsidR="005F3D36" w:rsidRPr="00FC4D28">
              <w:rPr>
                <w:b w:val="0"/>
                <w:bCs w:val="0"/>
                <w:sz w:val="22"/>
                <w:szCs w:val="22"/>
              </w:rPr>
              <w:t xml:space="preserve"> de </w:t>
            </w:r>
            <w:r w:rsidR="005F3D36">
              <w:rPr>
                <w:b w:val="0"/>
                <w:bCs w:val="0"/>
                <w:sz w:val="22"/>
                <w:szCs w:val="22"/>
              </w:rPr>
              <w:t>8,7</w:t>
            </w:r>
            <w:r w:rsidR="005F3D36" w:rsidRPr="00FC4D28">
              <w:rPr>
                <w:b w:val="0"/>
                <w:bCs w:val="0"/>
                <w:sz w:val="22"/>
                <w:szCs w:val="22"/>
              </w:rPr>
              <w:t xml:space="preserve">% au lieu d’une baisse de </w:t>
            </w:r>
            <w:r w:rsidR="004352DF">
              <w:rPr>
                <w:b w:val="0"/>
                <w:bCs w:val="0"/>
                <w:sz w:val="22"/>
                <w:szCs w:val="22"/>
              </w:rPr>
              <w:t>1</w:t>
            </w:r>
            <w:r w:rsidR="005F3D36">
              <w:rPr>
                <w:b w:val="0"/>
                <w:bCs w:val="0"/>
                <w:sz w:val="22"/>
                <w:szCs w:val="22"/>
              </w:rPr>
              <w:t>,</w:t>
            </w:r>
            <w:r w:rsidR="004352DF">
              <w:rPr>
                <w:b w:val="0"/>
                <w:bCs w:val="0"/>
                <w:sz w:val="22"/>
                <w:szCs w:val="22"/>
              </w:rPr>
              <w:t>5</w:t>
            </w:r>
            <w:r w:rsidR="005F3D36" w:rsidRPr="00FC4D28">
              <w:rPr>
                <w:b w:val="0"/>
                <w:bCs w:val="0"/>
                <w:sz w:val="22"/>
                <w:szCs w:val="22"/>
              </w:rPr>
              <w:t>%.</w:t>
            </w:r>
            <w:r w:rsidR="005F3D36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931202" w:rsidRDefault="00931202" w:rsidP="00911090">
            <w:pPr>
              <w:pStyle w:val="Titre"/>
              <w:jc w:val="both"/>
              <w:rPr>
                <w:sz w:val="26"/>
                <w:szCs w:val="26"/>
              </w:rPr>
            </w:pPr>
          </w:p>
          <w:p w:rsidR="00911090" w:rsidRPr="002E1150" w:rsidRDefault="00931202" w:rsidP="000D3117">
            <w:pPr>
              <w:pStyle w:val="Titre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64731F">
              <w:rPr>
                <w:sz w:val="22"/>
                <w:szCs w:val="22"/>
              </w:rPr>
              <w:t xml:space="preserve">Une </w:t>
            </w:r>
            <w:r w:rsidR="00D31447" w:rsidRPr="002E1150">
              <w:rPr>
                <w:sz w:val="22"/>
                <w:szCs w:val="22"/>
              </w:rPr>
              <w:t>hausse</w:t>
            </w:r>
            <w:r w:rsidR="00911090" w:rsidRPr="002E1150">
              <w:rPr>
                <w:sz w:val="22"/>
                <w:szCs w:val="22"/>
              </w:rPr>
              <w:t xml:space="preserve"> du besoin de financement de l’économie</w:t>
            </w:r>
          </w:p>
          <w:p w:rsidR="00911090" w:rsidRPr="00704775" w:rsidRDefault="006F01ED" w:rsidP="006730A2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>vec la hausse du PIB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a</w:t>
            </w:r>
            <w:r w:rsidRPr="00704775">
              <w:rPr>
                <w:b w:val="0"/>
                <w:bCs w:val="0"/>
                <w:sz w:val="22"/>
                <w:szCs w:val="22"/>
              </w:rPr>
              <w:t>ux prix courants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 xml:space="preserve">de </w:t>
            </w:r>
            <w:r w:rsidR="00981C01">
              <w:rPr>
                <w:b w:val="0"/>
                <w:bCs w:val="0"/>
                <w:sz w:val="22"/>
                <w:szCs w:val="22"/>
              </w:rPr>
              <w:t>2</w:t>
            </w:r>
            <w:r w:rsidR="00911090">
              <w:rPr>
                <w:b w:val="0"/>
                <w:bCs w:val="0"/>
                <w:sz w:val="22"/>
                <w:szCs w:val="22"/>
              </w:rPr>
              <w:t>,</w:t>
            </w:r>
            <w:r w:rsidR="00394904">
              <w:rPr>
                <w:b w:val="0"/>
                <w:bCs w:val="0"/>
                <w:sz w:val="22"/>
                <w:szCs w:val="22"/>
              </w:rPr>
              <w:t>1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 xml:space="preserve">% au lieu de </w:t>
            </w:r>
            <w:r w:rsidR="00394904">
              <w:rPr>
                <w:b w:val="0"/>
                <w:bCs w:val="0"/>
                <w:sz w:val="22"/>
                <w:szCs w:val="22"/>
              </w:rPr>
              <w:t>6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>,</w:t>
            </w:r>
            <w:r w:rsidR="00394904">
              <w:rPr>
                <w:b w:val="0"/>
                <w:bCs w:val="0"/>
                <w:sz w:val="22"/>
                <w:szCs w:val="22"/>
              </w:rPr>
              <w:t>2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 xml:space="preserve">% et l’augmentation des revenus nets reçus du reste de monde de </w:t>
            </w:r>
            <w:r w:rsidR="00394904">
              <w:rPr>
                <w:b w:val="0"/>
                <w:bCs w:val="0"/>
                <w:sz w:val="22"/>
                <w:szCs w:val="22"/>
              </w:rPr>
              <w:t>8</w:t>
            </w:r>
            <w:r w:rsidR="00981C01">
              <w:rPr>
                <w:b w:val="0"/>
                <w:bCs w:val="0"/>
                <w:sz w:val="22"/>
                <w:szCs w:val="22"/>
              </w:rPr>
              <w:t>,</w:t>
            </w:r>
            <w:r w:rsidR="00394904">
              <w:rPr>
                <w:b w:val="0"/>
                <w:bCs w:val="0"/>
                <w:sz w:val="22"/>
                <w:szCs w:val="22"/>
              </w:rPr>
              <w:t>7</w:t>
            </w:r>
            <w:r w:rsidR="00911090">
              <w:rPr>
                <w:b w:val="0"/>
                <w:bCs w:val="0"/>
                <w:sz w:val="22"/>
                <w:szCs w:val="22"/>
              </w:rPr>
              <w:t>% au lieu d</w:t>
            </w:r>
            <w:r w:rsidR="00981C01">
              <w:rPr>
                <w:b w:val="0"/>
                <w:bCs w:val="0"/>
                <w:sz w:val="22"/>
                <w:szCs w:val="22"/>
              </w:rPr>
              <w:t>’une baisse d</w:t>
            </w:r>
            <w:r w:rsidR="00911090">
              <w:rPr>
                <w:b w:val="0"/>
                <w:bCs w:val="0"/>
                <w:sz w:val="22"/>
                <w:szCs w:val="22"/>
              </w:rPr>
              <w:t xml:space="preserve">e </w:t>
            </w:r>
            <w:r w:rsidR="00394904">
              <w:rPr>
                <w:b w:val="0"/>
                <w:bCs w:val="0"/>
                <w:sz w:val="22"/>
                <w:szCs w:val="22"/>
              </w:rPr>
              <w:t>29</w:t>
            </w:r>
            <w:r w:rsidR="00981C01">
              <w:rPr>
                <w:b w:val="0"/>
                <w:bCs w:val="0"/>
                <w:sz w:val="22"/>
                <w:szCs w:val="22"/>
              </w:rPr>
              <w:t>,</w:t>
            </w:r>
            <w:r w:rsidR="00394904">
              <w:rPr>
                <w:b w:val="0"/>
                <w:bCs w:val="0"/>
                <w:sz w:val="22"/>
                <w:szCs w:val="22"/>
              </w:rPr>
              <w:t>9</w:t>
            </w:r>
            <w:r w:rsidR="00911090">
              <w:rPr>
                <w:b w:val="0"/>
                <w:bCs w:val="0"/>
                <w:sz w:val="22"/>
                <w:szCs w:val="22"/>
              </w:rPr>
              <w:t>%</w:t>
            </w:r>
            <w:r w:rsidR="00911090" w:rsidRPr="007F17CB">
              <w:rPr>
                <w:b w:val="0"/>
                <w:bCs w:val="0"/>
                <w:sz w:val="22"/>
                <w:szCs w:val="22"/>
              </w:rPr>
              <w:t>,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 xml:space="preserve"> le revenu national brut disponible a connu une progression de </w:t>
            </w:r>
            <w:r w:rsidR="00394904">
              <w:rPr>
                <w:b w:val="0"/>
                <w:bCs w:val="0"/>
                <w:sz w:val="22"/>
                <w:szCs w:val="22"/>
              </w:rPr>
              <w:t>2</w:t>
            </w:r>
            <w:r w:rsidR="00911090">
              <w:rPr>
                <w:b w:val="0"/>
                <w:bCs w:val="0"/>
                <w:sz w:val="22"/>
                <w:szCs w:val="22"/>
              </w:rPr>
              <w:t>,</w:t>
            </w:r>
            <w:r w:rsidR="00394904">
              <w:rPr>
                <w:b w:val="0"/>
                <w:bCs w:val="0"/>
                <w:sz w:val="22"/>
                <w:szCs w:val="22"/>
              </w:rPr>
              <w:t>5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>% au lieu de</w:t>
            </w:r>
            <w:r w:rsidR="0091109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394904">
              <w:rPr>
                <w:b w:val="0"/>
                <w:bCs w:val="0"/>
                <w:sz w:val="22"/>
                <w:szCs w:val="22"/>
              </w:rPr>
              <w:t>3</w:t>
            </w:r>
            <w:r w:rsidR="00981C01">
              <w:rPr>
                <w:b w:val="0"/>
                <w:bCs w:val="0"/>
                <w:sz w:val="22"/>
                <w:szCs w:val="22"/>
              </w:rPr>
              <w:t>,</w:t>
            </w:r>
            <w:r w:rsidR="00394904">
              <w:rPr>
                <w:b w:val="0"/>
                <w:bCs w:val="0"/>
                <w:sz w:val="22"/>
                <w:szCs w:val="22"/>
              </w:rPr>
              <w:t>5</w:t>
            </w:r>
            <w:r w:rsidR="00911090">
              <w:rPr>
                <w:b w:val="0"/>
                <w:bCs w:val="0"/>
                <w:sz w:val="22"/>
                <w:szCs w:val="22"/>
              </w:rPr>
              <w:t xml:space="preserve">% 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 xml:space="preserve">durant le </w:t>
            </w:r>
            <w:r w:rsidR="00394904">
              <w:rPr>
                <w:b w:val="0"/>
                <w:bCs w:val="0"/>
                <w:sz w:val="22"/>
                <w:szCs w:val="22"/>
              </w:rPr>
              <w:t>deuxième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 xml:space="preserve"> trimestre de l’année 201</w:t>
            </w:r>
            <w:r w:rsidR="00D31447">
              <w:rPr>
                <w:b w:val="0"/>
                <w:bCs w:val="0"/>
                <w:sz w:val="22"/>
                <w:szCs w:val="22"/>
              </w:rPr>
              <w:t>5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>.</w:t>
            </w:r>
          </w:p>
          <w:p w:rsidR="00911090" w:rsidRPr="00704775" w:rsidRDefault="00911090" w:rsidP="00911090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911090" w:rsidRPr="00704775" w:rsidRDefault="006730A2" w:rsidP="006730A2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La progression de la 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 xml:space="preserve">consommation finale nationale en valeur </w:t>
            </w:r>
            <w:r>
              <w:rPr>
                <w:b w:val="0"/>
                <w:bCs w:val="0"/>
                <w:sz w:val="22"/>
                <w:szCs w:val="22"/>
              </w:rPr>
              <w:t xml:space="preserve">étant 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>de</w:t>
            </w:r>
            <w:r w:rsidR="0091109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7738D7">
              <w:rPr>
                <w:b w:val="0"/>
                <w:bCs w:val="0"/>
                <w:sz w:val="22"/>
                <w:szCs w:val="22"/>
              </w:rPr>
              <w:t>3</w:t>
            </w:r>
            <w:r w:rsidR="00884C62">
              <w:rPr>
                <w:b w:val="0"/>
                <w:bCs w:val="0"/>
                <w:sz w:val="22"/>
                <w:szCs w:val="22"/>
              </w:rPr>
              <w:t>,</w:t>
            </w:r>
            <w:r w:rsidR="009A03A8">
              <w:rPr>
                <w:b w:val="0"/>
                <w:bCs w:val="0"/>
                <w:sz w:val="22"/>
                <w:szCs w:val="22"/>
              </w:rPr>
              <w:t>2</w:t>
            </w:r>
            <w:r w:rsidR="00911090">
              <w:rPr>
                <w:b w:val="0"/>
                <w:bCs w:val="0"/>
                <w:sz w:val="22"/>
                <w:szCs w:val="22"/>
              </w:rPr>
              <w:t xml:space="preserve">% </w:t>
            </w:r>
            <w:r w:rsidR="007738D7" w:rsidRPr="00704775">
              <w:rPr>
                <w:b w:val="0"/>
                <w:bCs w:val="0"/>
                <w:sz w:val="22"/>
                <w:szCs w:val="22"/>
              </w:rPr>
              <w:t xml:space="preserve">au lieu de </w:t>
            </w:r>
            <w:r w:rsidR="009A03A8">
              <w:rPr>
                <w:b w:val="0"/>
                <w:bCs w:val="0"/>
                <w:sz w:val="22"/>
                <w:szCs w:val="22"/>
              </w:rPr>
              <w:t>2,2</w:t>
            </w:r>
            <w:r w:rsidR="007738D7" w:rsidRPr="00704775">
              <w:rPr>
                <w:b w:val="0"/>
                <w:bCs w:val="0"/>
                <w:sz w:val="22"/>
                <w:szCs w:val="22"/>
              </w:rPr>
              <w:t xml:space="preserve">% </w:t>
            </w:r>
            <w:r w:rsidR="00884C62">
              <w:rPr>
                <w:b w:val="0"/>
                <w:bCs w:val="0"/>
                <w:sz w:val="22"/>
                <w:szCs w:val="22"/>
              </w:rPr>
              <w:t>enregistré</w:t>
            </w:r>
            <w:r w:rsidR="009A03A8">
              <w:rPr>
                <w:b w:val="0"/>
                <w:bCs w:val="0"/>
                <w:sz w:val="22"/>
                <w:szCs w:val="22"/>
              </w:rPr>
              <w:t>e</w:t>
            </w:r>
            <w:r w:rsidR="00884C62">
              <w:rPr>
                <w:b w:val="0"/>
                <w:bCs w:val="0"/>
                <w:sz w:val="22"/>
                <w:szCs w:val="22"/>
              </w:rPr>
              <w:t xml:space="preserve"> une année auparavant</w:t>
            </w:r>
            <w:r w:rsidR="00911090" w:rsidRPr="00704775">
              <w:rPr>
                <w:b w:val="0"/>
                <w:bCs w:val="0"/>
                <w:sz w:val="22"/>
                <w:szCs w:val="22"/>
              </w:rPr>
              <w:t xml:space="preserve">, l’épargne nationale </w:t>
            </w:r>
            <w:r w:rsidR="00884C62">
              <w:rPr>
                <w:b w:val="0"/>
                <w:bCs w:val="0"/>
                <w:sz w:val="22"/>
                <w:szCs w:val="22"/>
              </w:rPr>
              <w:t xml:space="preserve">s’est </w:t>
            </w:r>
            <w:r w:rsidR="006324FB">
              <w:rPr>
                <w:b w:val="0"/>
                <w:bCs w:val="0"/>
                <w:sz w:val="22"/>
                <w:szCs w:val="22"/>
              </w:rPr>
              <w:t>située</w:t>
            </w:r>
            <w:r w:rsidR="00884C62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ainsi </w:t>
            </w:r>
            <w:r w:rsidR="00884C62">
              <w:rPr>
                <w:b w:val="0"/>
                <w:bCs w:val="0"/>
                <w:sz w:val="22"/>
                <w:szCs w:val="22"/>
              </w:rPr>
              <w:t xml:space="preserve">à </w:t>
            </w:r>
            <w:r w:rsidR="00911090">
              <w:rPr>
                <w:b w:val="0"/>
                <w:bCs w:val="0"/>
                <w:sz w:val="22"/>
                <w:szCs w:val="22"/>
              </w:rPr>
              <w:t>2</w:t>
            </w:r>
            <w:r w:rsidR="00884C62">
              <w:rPr>
                <w:b w:val="0"/>
                <w:bCs w:val="0"/>
                <w:sz w:val="22"/>
                <w:szCs w:val="22"/>
              </w:rPr>
              <w:t>8</w:t>
            </w:r>
            <w:r w:rsidR="00911090">
              <w:rPr>
                <w:b w:val="0"/>
                <w:bCs w:val="0"/>
                <w:sz w:val="22"/>
                <w:szCs w:val="22"/>
              </w:rPr>
              <w:t>,</w:t>
            </w:r>
            <w:r w:rsidR="007738D7">
              <w:rPr>
                <w:b w:val="0"/>
                <w:bCs w:val="0"/>
                <w:sz w:val="22"/>
                <w:szCs w:val="22"/>
              </w:rPr>
              <w:t>7</w:t>
            </w:r>
            <w:r w:rsidR="00911090">
              <w:rPr>
                <w:b w:val="0"/>
                <w:bCs w:val="0"/>
                <w:sz w:val="22"/>
                <w:szCs w:val="22"/>
              </w:rPr>
              <w:t>%</w:t>
            </w:r>
            <w:r w:rsidR="00884C62">
              <w:rPr>
                <w:b w:val="0"/>
                <w:bCs w:val="0"/>
                <w:sz w:val="22"/>
                <w:szCs w:val="22"/>
              </w:rPr>
              <w:t xml:space="preserve"> du PIB</w:t>
            </w:r>
            <w:r w:rsidR="00E05BA4">
              <w:rPr>
                <w:b w:val="0"/>
                <w:bCs w:val="0"/>
                <w:sz w:val="22"/>
                <w:szCs w:val="22"/>
              </w:rPr>
              <w:t xml:space="preserve"> au lieu </w:t>
            </w:r>
            <w:r w:rsidR="007D7BF0">
              <w:rPr>
                <w:b w:val="0"/>
                <w:bCs w:val="0"/>
                <w:sz w:val="22"/>
                <w:szCs w:val="22"/>
              </w:rPr>
              <w:t>de 29,1</w:t>
            </w:r>
            <w:r w:rsidR="00181103">
              <w:rPr>
                <w:b w:val="0"/>
                <w:bCs w:val="0"/>
                <w:sz w:val="22"/>
                <w:szCs w:val="22"/>
              </w:rPr>
              <w:t>%</w:t>
            </w:r>
            <w:r w:rsidR="00884C62">
              <w:rPr>
                <w:b w:val="0"/>
                <w:bCs w:val="0"/>
                <w:sz w:val="22"/>
                <w:szCs w:val="22"/>
              </w:rPr>
              <w:t>.</w:t>
            </w:r>
          </w:p>
          <w:p w:rsidR="00911090" w:rsidRPr="00704775" w:rsidRDefault="00911090" w:rsidP="00911090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911090" w:rsidRPr="00576711" w:rsidRDefault="00911090" w:rsidP="006730A2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 w:rsidRPr="00704775">
              <w:rPr>
                <w:b w:val="0"/>
                <w:bCs w:val="0"/>
                <w:sz w:val="22"/>
                <w:szCs w:val="22"/>
              </w:rPr>
              <w:t>L’investissement brut</w:t>
            </w:r>
            <w:r w:rsidR="006730A2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04775">
              <w:rPr>
                <w:b w:val="0"/>
                <w:bCs w:val="0"/>
                <w:sz w:val="22"/>
                <w:szCs w:val="22"/>
              </w:rPr>
              <w:t>ayant représenté</w:t>
            </w:r>
            <w:r w:rsidR="006730A2">
              <w:rPr>
                <w:b w:val="0"/>
                <w:bCs w:val="0"/>
                <w:sz w:val="22"/>
                <w:szCs w:val="22"/>
              </w:rPr>
              <w:t>,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6730A2">
              <w:rPr>
                <w:b w:val="0"/>
                <w:bCs w:val="0"/>
                <w:sz w:val="22"/>
                <w:szCs w:val="22"/>
              </w:rPr>
              <w:t>de son côté,</w:t>
            </w:r>
            <w:r w:rsidR="006730A2"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84C62">
              <w:rPr>
                <w:b w:val="0"/>
                <w:bCs w:val="0"/>
                <w:sz w:val="22"/>
                <w:szCs w:val="22"/>
              </w:rPr>
              <w:t>3</w:t>
            </w:r>
            <w:r w:rsidR="000D3117">
              <w:rPr>
                <w:b w:val="0"/>
                <w:bCs w:val="0"/>
                <w:sz w:val="22"/>
                <w:szCs w:val="22"/>
              </w:rPr>
              <w:t>3,3</w:t>
            </w:r>
            <w:r w:rsidRPr="007F17CB">
              <w:rPr>
                <w:b w:val="0"/>
                <w:bCs w:val="0"/>
                <w:sz w:val="22"/>
                <w:szCs w:val="22"/>
              </w:rPr>
              <w:t>%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du PIB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84C62">
              <w:rPr>
                <w:b w:val="0"/>
                <w:bCs w:val="0"/>
                <w:sz w:val="22"/>
                <w:szCs w:val="22"/>
              </w:rPr>
              <w:t xml:space="preserve">au lieu de </w:t>
            </w:r>
            <w:r w:rsidR="000D3117">
              <w:rPr>
                <w:b w:val="0"/>
                <w:bCs w:val="0"/>
                <w:sz w:val="22"/>
                <w:szCs w:val="22"/>
              </w:rPr>
              <w:t>32</w:t>
            </w:r>
            <w:r w:rsidR="00884C62">
              <w:rPr>
                <w:b w:val="0"/>
                <w:bCs w:val="0"/>
                <w:sz w:val="22"/>
                <w:szCs w:val="22"/>
              </w:rPr>
              <w:t>%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7D105C">
              <w:rPr>
                <w:b w:val="0"/>
                <w:bCs w:val="0"/>
                <w:sz w:val="22"/>
                <w:szCs w:val="22"/>
              </w:rPr>
              <w:t xml:space="preserve">durant le </w:t>
            </w:r>
            <w:r w:rsidR="00884C62">
              <w:rPr>
                <w:b w:val="0"/>
                <w:bCs w:val="0"/>
                <w:sz w:val="22"/>
                <w:szCs w:val="22"/>
              </w:rPr>
              <w:t>même</w:t>
            </w:r>
            <w:r w:rsidR="007D105C">
              <w:rPr>
                <w:b w:val="0"/>
                <w:bCs w:val="0"/>
                <w:sz w:val="22"/>
                <w:szCs w:val="22"/>
              </w:rPr>
              <w:t xml:space="preserve"> trimestre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de l’année 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précédente, le besoin de financement de l’économie nationale </w:t>
            </w:r>
            <w:r w:rsidR="00FF7515">
              <w:rPr>
                <w:b w:val="0"/>
                <w:bCs w:val="0"/>
                <w:sz w:val="22"/>
                <w:szCs w:val="22"/>
              </w:rPr>
              <w:t xml:space="preserve">a connu une </w:t>
            </w:r>
            <w:r w:rsidR="00884C62">
              <w:rPr>
                <w:b w:val="0"/>
                <w:bCs w:val="0"/>
                <w:sz w:val="22"/>
                <w:szCs w:val="22"/>
              </w:rPr>
              <w:t>hausse</w:t>
            </w:r>
            <w:r>
              <w:rPr>
                <w:b w:val="0"/>
                <w:bCs w:val="0"/>
                <w:sz w:val="22"/>
                <w:szCs w:val="22"/>
              </w:rPr>
              <w:t xml:space="preserve">, passant de </w:t>
            </w:r>
            <w:r w:rsidR="000D3117">
              <w:rPr>
                <w:b w:val="0"/>
                <w:bCs w:val="0"/>
                <w:sz w:val="22"/>
                <w:szCs w:val="22"/>
              </w:rPr>
              <w:t>2</w:t>
            </w:r>
            <w:r w:rsidR="00FF7515">
              <w:rPr>
                <w:b w:val="0"/>
                <w:bCs w:val="0"/>
                <w:sz w:val="22"/>
                <w:szCs w:val="22"/>
              </w:rPr>
              <w:t>,</w:t>
            </w:r>
            <w:r w:rsidR="000D3117">
              <w:rPr>
                <w:b w:val="0"/>
                <w:bCs w:val="0"/>
                <w:sz w:val="22"/>
                <w:szCs w:val="22"/>
              </w:rPr>
              <w:t>9</w:t>
            </w:r>
            <w:r>
              <w:rPr>
                <w:b w:val="0"/>
                <w:bCs w:val="0"/>
                <w:sz w:val="22"/>
                <w:szCs w:val="22"/>
              </w:rPr>
              <w:t xml:space="preserve">% du PIB à </w:t>
            </w:r>
            <w:r w:rsidR="000D3117">
              <w:rPr>
                <w:b w:val="0"/>
                <w:bCs w:val="0"/>
                <w:sz w:val="22"/>
                <w:szCs w:val="22"/>
              </w:rPr>
              <w:t>4</w:t>
            </w:r>
            <w:r w:rsidR="00FF7515">
              <w:rPr>
                <w:b w:val="0"/>
                <w:bCs w:val="0"/>
                <w:sz w:val="22"/>
                <w:szCs w:val="22"/>
              </w:rPr>
              <w:t>,</w:t>
            </w:r>
            <w:r w:rsidR="000D3117">
              <w:rPr>
                <w:b w:val="0"/>
                <w:bCs w:val="0"/>
                <w:sz w:val="22"/>
                <w:szCs w:val="22"/>
              </w:rPr>
              <w:t>6</w:t>
            </w:r>
            <w:r>
              <w:rPr>
                <w:b w:val="0"/>
                <w:bCs w:val="0"/>
                <w:sz w:val="22"/>
                <w:szCs w:val="22"/>
              </w:rPr>
              <w:t xml:space="preserve">%. </w:t>
            </w:r>
          </w:p>
          <w:p w:rsidR="00911090" w:rsidRDefault="00911090" w:rsidP="00911090">
            <w:pPr>
              <w:rPr>
                <w:sz w:val="22"/>
                <w:szCs w:val="22"/>
              </w:rPr>
            </w:pPr>
          </w:p>
          <w:p w:rsidR="00911090" w:rsidRDefault="00911090" w:rsidP="00911090">
            <w:pPr>
              <w:rPr>
                <w:rFonts w:hint="cs"/>
                <w:sz w:val="22"/>
                <w:szCs w:val="22"/>
                <w:rtl/>
              </w:rPr>
            </w:pPr>
          </w:p>
          <w:p w:rsidR="001F1BDB" w:rsidRDefault="001F1BDB" w:rsidP="00911090">
            <w:pPr>
              <w:rPr>
                <w:sz w:val="22"/>
                <w:szCs w:val="22"/>
              </w:rPr>
            </w:pPr>
          </w:p>
          <w:p w:rsidR="00911090" w:rsidRDefault="00911090" w:rsidP="00911090">
            <w:pPr>
              <w:rPr>
                <w:sz w:val="22"/>
                <w:szCs w:val="22"/>
              </w:rPr>
            </w:pPr>
          </w:p>
          <w:p w:rsidR="00F434D8" w:rsidRPr="00900B41" w:rsidRDefault="00911090" w:rsidP="000D3117">
            <w:pPr>
              <w:rPr>
                <w:sz w:val="22"/>
                <w:szCs w:val="22"/>
              </w:rPr>
            </w:pPr>
            <w:r w:rsidRPr="001F1BDB">
              <w:rPr>
                <w:b/>
                <w:bCs/>
                <w:i/>
                <w:iCs/>
                <w:sz w:val="22"/>
                <w:szCs w:val="22"/>
              </w:rPr>
              <w:t xml:space="preserve">En annexe les tableaux </w:t>
            </w:r>
            <w:r w:rsidR="00323BC1" w:rsidRPr="001F1BDB">
              <w:rPr>
                <w:b/>
                <w:bCs/>
                <w:i/>
                <w:iCs/>
                <w:sz w:val="22"/>
                <w:szCs w:val="22"/>
              </w:rPr>
              <w:t>présentant</w:t>
            </w:r>
            <w:r w:rsidRPr="001F1BDB">
              <w:rPr>
                <w:b/>
                <w:bCs/>
                <w:i/>
                <w:iCs/>
                <w:sz w:val="22"/>
                <w:szCs w:val="22"/>
              </w:rPr>
              <w:t xml:space="preserve"> les résultats des comptes nationaux du </w:t>
            </w:r>
            <w:r w:rsidR="000D3117">
              <w:rPr>
                <w:b/>
                <w:bCs/>
                <w:i/>
                <w:iCs/>
                <w:sz w:val="22"/>
                <w:szCs w:val="22"/>
              </w:rPr>
              <w:t>deuxième</w:t>
            </w:r>
            <w:r w:rsidR="00670F45" w:rsidRPr="001F1BDB">
              <w:rPr>
                <w:b/>
                <w:bCs/>
                <w:i/>
                <w:iCs/>
                <w:sz w:val="22"/>
                <w:szCs w:val="22"/>
              </w:rPr>
              <w:t xml:space="preserve"> trimestre 2016</w:t>
            </w:r>
            <w:r w:rsidR="00856A05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856A05">
              <w:rPr>
                <w:sz w:val="22"/>
                <w:szCs w:val="22"/>
              </w:rPr>
              <w:t>:</w:t>
            </w: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</w:p>
          <w:p w:rsidR="00453FB2" w:rsidRPr="00627A37" w:rsidRDefault="00453FB2" w:rsidP="00F434D8">
            <w:pPr>
              <w:rPr>
                <w:rFonts w:ascii="Arial" w:hAnsi="Arial" w:cs="Arial"/>
                <w:b/>
                <w:bCs/>
              </w:rPr>
            </w:pPr>
          </w:p>
        </w:tc>
      </w:tr>
    </w:tbl>
    <w:bookmarkStart w:id="0" w:name="_MON_1441711720"/>
    <w:bookmarkStart w:id="1" w:name="_MON_1441775101"/>
    <w:bookmarkStart w:id="2" w:name="_MON_1441778557"/>
    <w:bookmarkStart w:id="3" w:name="_MON_1441799777"/>
    <w:bookmarkStart w:id="4" w:name="_MON_1442074274"/>
    <w:bookmarkStart w:id="5" w:name="_MON_1442074357"/>
    <w:bookmarkEnd w:id="0"/>
    <w:bookmarkEnd w:id="1"/>
    <w:bookmarkEnd w:id="2"/>
    <w:bookmarkEnd w:id="3"/>
    <w:bookmarkEnd w:id="4"/>
    <w:bookmarkEnd w:id="5"/>
    <w:p w:rsidR="00453FB2" w:rsidRDefault="00C322F1">
      <w:r w:rsidRPr="00CD5BCB">
        <w:object w:dxaOrig="10954" w:dyaOrig="13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611.25pt" o:ole="">
            <v:imagedata r:id="rId9" o:title=""/>
          </v:shape>
          <o:OLEObject Type="Embed" ProgID="Excel.Sheet.8" ShapeID="_x0000_i1025" DrawAspect="Content" ObjectID="_1536736692" r:id="rId10"/>
        </w:object>
      </w:r>
    </w:p>
    <w:sectPr w:rsidR="00453FB2" w:rsidSect="007A3E4A">
      <w:footerReference w:type="default" r:id="rId11"/>
      <w:pgSz w:w="12240" w:h="15840"/>
      <w:pgMar w:top="1418" w:right="1327" w:bottom="90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B70" w:rsidRDefault="00057B70" w:rsidP="00611FF6">
      <w:r>
        <w:separator/>
      </w:r>
    </w:p>
  </w:endnote>
  <w:endnote w:type="continuationSeparator" w:id="1">
    <w:p w:rsidR="00057B70" w:rsidRDefault="00057B70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52535A">
    <w:pPr>
      <w:pStyle w:val="Pieddepage"/>
      <w:jc w:val="center"/>
    </w:pPr>
    <w:fldSimple w:instr=" PAGE   \* MERGEFORMAT ">
      <w:r w:rsidR="005917A6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B70" w:rsidRDefault="00057B70" w:rsidP="00611FF6">
      <w:r>
        <w:separator/>
      </w:r>
    </w:p>
  </w:footnote>
  <w:footnote w:type="continuationSeparator" w:id="1">
    <w:p w:rsidR="00057B70" w:rsidRDefault="00057B70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7F0A"/>
    <w:rsid w:val="00044FC6"/>
    <w:rsid w:val="0004751D"/>
    <w:rsid w:val="000532E5"/>
    <w:rsid w:val="000535AB"/>
    <w:rsid w:val="0005395B"/>
    <w:rsid w:val="00053BAE"/>
    <w:rsid w:val="00057B70"/>
    <w:rsid w:val="000604C4"/>
    <w:rsid w:val="0006664F"/>
    <w:rsid w:val="0007102C"/>
    <w:rsid w:val="0007573E"/>
    <w:rsid w:val="000764F4"/>
    <w:rsid w:val="00085217"/>
    <w:rsid w:val="000854C9"/>
    <w:rsid w:val="0008668A"/>
    <w:rsid w:val="000911F6"/>
    <w:rsid w:val="00091B25"/>
    <w:rsid w:val="0009383B"/>
    <w:rsid w:val="000B0B65"/>
    <w:rsid w:val="000C09AF"/>
    <w:rsid w:val="000C23CB"/>
    <w:rsid w:val="000C4F8C"/>
    <w:rsid w:val="000D0DFC"/>
    <w:rsid w:val="000D29AB"/>
    <w:rsid w:val="000D3117"/>
    <w:rsid w:val="000D63C8"/>
    <w:rsid w:val="000E1B0A"/>
    <w:rsid w:val="000F3D3D"/>
    <w:rsid w:val="000F4FE7"/>
    <w:rsid w:val="000F75DC"/>
    <w:rsid w:val="0010418D"/>
    <w:rsid w:val="00111F64"/>
    <w:rsid w:val="00115CC3"/>
    <w:rsid w:val="00132293"/>
    <w:rsid w:val="00152E9E"/>
    <w:rsid w:val="001610B6"/>
    <w:rsid w:val="00163195"/>
    <w:rsid w:val="001652A3"/>
    <w:rsid w:val="00172297"/>
    <w:rsid w:val="001727AC"/>
    <w:rsid w:val="001776B8"/>
    <w:rsid w:val="00181103"/>
    <w:rsid w:val="0018215F"/>
    <w:rsid w:val="001940E6"/>
    <w:rsid w:val="001978BE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D36CE"/>
    <w:rsid w:val="001E14D4"/>
    <w:rsid w:val="001E282C"/>
    <w:rsid w:val="001F1BDB"/>
    <w:rsid w:val="00204F31"/>
    <w:rsid w:val="002105CD"/>
    <w:rsid w:val="002138C2"/>
    <w:rsid w:val="00214222"/>
    <w:rsid w:val="0021605E"/>
    <w:rsid w:val="0022654F"/>
    <w:rsid w:val="002333D9"/>
    <w:rsid w:val="002434D0"/>
    <w:rsid w:val="002460AB"/>
    <w:rsid w:val="00252408"/>
    <w:rsid w:val="0026107B"/>
    <w:rsid w:val="00261BD6"/>
    <w:rsid w:val="00264581"/>
    <w:rsid w:val="002649A4"/>
    <w:rsid w:val="002679E2"/>
    <w:rsid w:val="002819F1"/>
    <w:rsid w:val="0028536F"/>
    <w:rsid w:val="0028577D"/>
    <w:rsid w:val="0028642B"/>
    <w:rsid w:val="002874DC"/>
    <w:rsid w:val="00296A0C"/>
    <w:rsid w:val="002A2143"/>
    <w:rsid w:val="002A3547"/>
    <w:rsid w:val="002A42FF"/>
    <w:rsid w:val="002A5D52"/>
    <w:rsid w:val="002A628B"/>
    <w:rsid w:val="002A67AB"/>
    <w:rsid w:val="002B4871"/>
    <w:rsid w:val="002B61F1"/>
    <w:rsid w:val="002B6FC8"/>
    <w:rsid w:val="002C1ACC"/>
    <w:rsid w:val="002C271E"/>
    <w:rsid w:val="002C3FFB"/>
    <w:rsid w:val="002C60F4"/>
    <w:rsid w:val="002C702F"/>
    <w:rsid w:val="002D51DB"/>
    <w:rsid w:val="002E1150"/>
    <w:rsid w:val="002E32E7"/>
    <w:rsid w:val="002E5B65"/>
    <w:rsid w:val="002E7900"/>
    <w:rsid w:val="002F06D0"/>
    <w:rsid w:val="002F2F51"/>
    <w:rsid w:val="002F3F44"/>
    <w:rsid w:val="00304E3D"/>
    <w:rsid w:val="00310172"/>
    <w:rsid w:val="0031028E"/>
    <w:rsid w:val="00310AC3"/>
    <w:rsid w:val="00315D02"/>
    <w:rsid w:val="003175CA"/>
    <w:rsid w:val="00323BC1"/>
    <w:rsid w:val="00325671"/>
    <w:rsid w:val="00326654"/>
    <w:rsid w:val="0032680B"/>
    <w:rsid w:val="00331839"/>
    <w:rsid w:val="00331ECC"/>
    <w:rsid w:val="00333907"/>
    <w:rsid w:val="00334BA3"/>
    <w:rsid w:val="00353212"/>
    <w:rsid w:val="00354B44"/>
    <w:rsid w:val="00355B15"/>
    <w:rsid w:val="003614BB"/>
    <w:rsid w:val="00365E93"/>
    <w:rsid w:val="003725F0"/>
    <w:rsid w:val="00377E82"/>
    <w:rsid w:val="003811C4"/>
    <w:rsid w:val="00381C63"/>
    <w:rsid w:val="003844C1"/>
    <w:rsid w:val="00385F5C"/>
    <w:rsid w:val="00387214"/>
    <w:rsid w:val="00391333"/>
    <w:rsid w:val="0039250E"/>
    <w:rsid w:val="00394904"/>
    <w:rsid w:val="003A298E"/>
    <w:rsid w:val="003A72BC"/>
    <w:rsid w:val="003B1D13"/>
    <w:rsid w:val="003B2DFA"/>
    <w:rsid w:val="003B489D"/>
    <w:rsid w:val="003B70DB"/>
    <w:rsid w:val="003C0365"/>
    <w:rsid w:val="003D0511"/>
    <w:rsid w:val="003D144A"/>
    <w:rsid w:val="003E1434"/>
    <w:rsid w:val="003E5B3C"/>
    <w:rsid w:val="003F38D4"/>
    <w:rsid w:val="003F6E61"/>
    <w:rsid w:val="003F73D5"/>
    <w:rsid w:val="00406475"/>
    <w:rsid w:val="00411FF2"/>
    <w:rsid w:val="004125AD"/>
    <w:rsid w:val="00414945"/>
    <w:rsid w:val="00414ADC"/>
    <w:rsid w:val="004352DF"/>
    <w:rsid w:val="00445A67"/>
    <w:rsid w:val="00452366"/>
    <w:rsid w:val="00453819"/>
    <w:rsid w:val="00453FB2"/>
    <w:rsid w:val="00454B87"/>
    <w:rsid w:val="00457DE2"/>
    <w:rsid w:val="00462DA0"/>
    <w:rsid w:val="00467BEF"/>
    <w:rsid w:val="00483696"/>
    <w:rsid w:val="0049194E"/>
    <w:rsid w:val="00493A27"/>
    <w:rsid w:val="004B234D"/>
    <w:rsid w:val="004B3B96"/>
    <w:rsid w:val="004D509B"/>
    <w:rsid w:val="004E2BA5"/>
    <w:rsid w:val="004F09F4"/>
    <w:rsid w:val="004F5216"/>
    <w:rsid w:val="00500683"/>
    <w:rsid w:val="00501518"/>
    <w:rsid w:val="00504680"/>
    <w:rsid w:val="005171DC"/>
    <w:rsid w:val="00517558"/>
    <w:rsid w:val="005232D1"/>
    <w:rsid w:val="0052535A"/>
    <w:rsid w:val="0053489A"/>
    <w:rsid w:val="00544E8F"/>
    <w:rsid w:val="005453AA"/>
    <w:rsid w:val="005460FF"/>
    <w:rsid w:val="005506AA"/>
    <w:rsid w:val="00552317"/>
    <w:rsid w:val="00560D21"/>
    <w:rsid w:val="0056297F"/>
    <w:rsid w:val="00566516"/>
    <w:rsid w:val="0057077B"/>
    <w:rsid w:val="00572489"/>
    <w:rsid w:val="0057462D"/>
    <w:rsid w:val="00581388"/>
    <w:rsid w:val="00583738"/>
    <w:rsid w:val="00583AF0"/>
    <w:rsid w:val="005850D7"/>
    <w:rsid w:val="00591734"/>
    <w:rsid w:val="005917A6"/>
    <w:rsid w:val="00593DBB"/>
    <w:rsid w:val="00594AEB"/>
    <w:rsid w:val="005A0094"/>
    <w:rsid w:val="005A1757"/>
    <w:rsid w:val="005A5125"/>
    <w:rsid w:val="005B40E7"/>
    <w:rsid w:val="005B4E44"/>
    <w:rsid w:val="005B52BA"/>
    <w:rsid w:val="005B53CC"/>
    <w:rsid w:val="005B5E05"/>
    <w:rsid w:val="005B69D1"/>
    <w:rsid w:val="005D139A"/>
    <w:rsid w:val="005D1F4C"/>
    <w:rsid w:val="005D2309"/>
    <w:rsid w:val="005D4183"/>
    <w:rsid w:val="005D47CE"/>
    <w:rsid w:val="005D7DE5"/>
    <w:rsid w:val="005E3DDE"/>
    <w:rsid w:val="005E5F5A"/>
    <w:rsid w:val="005F3D36"/>
    <w:rsid w:val="005F4449"/>
    <w:rsid w:val="00601E93"/>
    <w:rsid w:val="00611FF6"/>
    <w:rsid w:val="00612887"/>
    <w:rsid w:val="0061745B"/>
    <w:rsid w:val="00617CED"/>
    <w:rsid w:val="00624CC3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51CD"/>
    <w:rsid w:val="00655475"/>
    <w:rsid w:val="00655A5D"/>
    <w:rsid w:val="00662CA5"/>
    <w:rsid w:val="006709D1"/>
    <w:rsid w:val="00670F45"/>
    <w:rsid w:val="006730A2"/>
    <w:rsid w:val="00684363"/>
    <w:rsid w:val="0068542A"/>
    <w:rsid w:val="00686ACA"/>
    <w:rsid w:val="00690DEE"/>
    <w:rsid w:val="006973E9"/>
    <w:rsid w:val="006A015F"/>
    <w:rsid w:val="006B244E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DE3"/>
    <w:rsid w:val="006E31A1"/>
    <w:rsid w:val="006F01ED"/>
    <w:rsid w:val="006F5946"/>
    <w:rsid w:val="006F7E04"/>
    <w:rsid w:val="00704845"/>
    <w:rsid w:val="007052E2"/>
    <w:rsid w:val="007117CA"/>
    <w:rsid w:val="00711921"/>
    <w:rsid w:val="00712000"/>
    <w:rsid w:val="00715BDF"/>
    <w:rsid w:val="007169B0"/>
    <w:rsid w:val="00761185"/>
    <w:rsid w:val="00766767"/>
    <w:rsid w:val="007738D7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D105C"/>
    <w:rsid w:val="007D5451"/>
    <w:rsid w:val="007D7B3D"/>
    <w:rsid w:val="007D7BF0"/>
    <w:rsid w:val="007E7367"/>
    <w:rsid w:val="00807C7B"/>
    <w:rsid w:val="00810202"/>
    <w:rsid w:val="008131FD"/>
    <w:rsid w:val="008160A2"/>
    <w:rsid w:val="008330A0"/>
    <w:rsid w:val="00840246"/>
    <w:rsid w:val="00842771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60B1F"/>
    <w:rsid w:val="0086299B"/>
    <w:rsid w:val="0086308A"/>
    <w:rsid w:val="00870C10"/>
    <w:rsid w:val="00873EF8"/>
    <w:rsid w:val="00882655"/>
    <w:rsid w:val="00884C62"/>
    <w:rsid w:val="00892C76"/>
    <w:rsid w:val="008A0B6A"/>
    <w:rsid w:val="008A1CEF"/>
    <w:rsid w:val="008B0D42"/>
    <w:rsid w:val="008B72B0"/>
    <w:rsid w:val="008C292C"/>
    <w:rsid w:val="008D128A"/>
    <w:rsid w:val="008E1A8F"/>
    <w:rsid w:val="008E5F0A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22153"/>
    <w:rsid w:val="009304F3"/>
    <w:rsid w:val="00931202"/>
    <w:rsid w:val="00933CA5"/>
    <w:rsid w:val="00936D5A"/>
    <w:rsid w:val="00943A2F"/>
    <w:rsid w:val="00944ADD"/>
    <w:rsid w:val="0095406B"/>
    <w:rsid w:val="0095454E"/>
    <w:rsid w:val="00954C71"/>
    <w:rsid w:val="00954F5A"/>
    <w:rsid w:val="00965FDB"/>
    <w:rsid w:val="009733A9"/>
    <w:rsid w:val="009744F8"/>
    <w:rsid w:val="00976663"/>
    <w:rsid w:val="00976C97"/>
    <w:rsid w:val="00981C01"/>
    <w:rsid w:val="00984975"/>
    <w:rsid w:val="00986867"/>
    <w:rsid w:val="00990C65"/>
    <w:rsid w:val="00993477"/>
    <w:rsid w:val="0099779E"/>
    <w:rsid w:val="00997FB9"/>
    <w:rsid w:val="009A03A8"/>
    <w:rsid w:val="009A1922"/>
    <w:rsid w:val="009A6AD0"/>
    <w:rsid w:val="009B188D"/>
    <w:rsid w:val="009C670F"/>
    <w:rsid w:val="009D02F6"/>
    <w:rsid w:val="009D3DC5"/>
    <w:rsid w:val="009F3C04"/>
    <w:rsid w:val="009F4BA5"/>
    <w:rsid w:val="009F53CD"/>
    <w:rsid w:val="00A00613"/>
    <w:rsid w:val="00A01C87"/>
    <w:rsid w:val="00A04EE4"/>
    <w:rsid w:val="00A06624"/>
    <w:rsid w:val="00A10BB9"/>
    <w:rsid w:val="00A11E02"/>
    <w:rsid w:val="00A1223E"/>
    <w:rsid w:val="00A14A61"/>
    <w:rsid w:val="00A1530E"/>
    <w:rsid w:val="00A22A70"/>
    <w:rsid w:val="00A2533E"/>
    <w:rsid w:val="00A31489"/>
    <w:rsid w:val="00A32969"/>
    <w:rsid w:val="00A32AD0"/>
    <w:rsid w:val="00A35941"/>
    <w:rsid w:val="00A3667F"/>
    <w:rsid w:val="00A37C72"/>
    <w:rsid w:val="00A40F5A"/>
    <w:rsid w:val="00A47AA8"/>
    <w:rsid w:val="00A52295"/>
    <w:rsid w:val="00A53F63"/>
    <w:rsid w:val="00A559EF"/>
    <w:rsid w:val="00A6162B"/>
    <w:rsid w:val="00A6369B"/>
    <w:rsid w:val="00A6499F"/>
    <w:rsid w:val="00A66BCE"/>
    <w:rsid w:val="00A671AA"/>
    <w:rsid w:val="00A71820"/>
    <w:rsid w:val="00A72BDE"/>
    <w:rsid w:val="00A746C8"/>
    <w:rsid w:val="00A91B31"/>
    <w:rsid w:val="00A93EEC"/>
    <w:rsid w:val="00A96C5A"/>
    <w:rsid w:val="00AA2940"/>
    <w:rsid w:val="00AA537F"/>
    <w:rsid w:val="00AB0640"/>
    <w:rsid w:val="00AB47DD"/>
    <w:rsid w:val="00AB47E1"/>
    <w:rsid w:val="00AB4BE9"/>
    <w:rsid w:val="00AC0648"/>
    <w:rsid w:val="00AC50E1"/>
    <w:rsid w:val="00AC7BB7"/>
    <w:rsid w:val="00AE3542"/>
    <w:rsid w:val="00AE5A6D"/>
    <w:rsid w:val="00AE6A7E"/>
    <w:rsid w:val="00AE7A99"/>
    <w:rsid w:val="00AF0E66"/>
    <w:rsid w:val="00AF15ED"/>
    <w:rsid w:val="00B005FE"/>
    <w:rsid w:val="00B1446A"/>
    <w:rsid w:val="00B15B9E"/>
    <w:rsid w:val="00B16B86"/>
    <w:rsid w:val="00B3138A"/>
    <w:rsid w:val="00B32235"/>
    <w:rsid w:val="00B43A33"/>
    <w:rsid w:val="00B462B3"/>
    <w:rsid w:val="00B463A1"/>
    <w:rsid w:val="00B53052"/>
    <w:rsid w:val="00B5600B"/>
    <w:rsid w:val="00B57AC9"/>
    <w:rsid w:val="00B6038F"/>
    <w:rsid w:val="00B61B9E"/>
    <w:rsid w:val="00B6467E"/>
    <w:rsid w:val="00B717A8"/>
    <w:rsid w:val="00B719B0"/>
    <w:rsid w:val="00B85FFD"/>
    <w:rsid w:val="00B8745B"/>
    <w:rsid w:val="00B87AE4"/>
    <w:rsid w:val="00B9256A"/>
    <w:rsid w:val="00BA70D1"/>
    <w:rsid w:val="00BB243F"/>
    <w:rsid w:val="00BB3DB1"/>
    <w:rsid w:val="00BC20D1"/>
    <w:rsid w:val="00BC40FE"/>
    <w:rsid w:val="00BC4918"/>
    <w:rsid w:val="00BD034B"/>
    <w:rsid w:val="00BD52F6"/>
    <w:rsid w:val="00BE35F1"/>
    <w:rsid w:val="00BE3EE9"/>
    <w:rsid w:val="00BE45AF"/>
    <w:rsid w:val="00BF04E0"/>
    <w:rsid w:val="00BF32FD"/>
    <w:rsid w:val="00BF5729"/>
    <w:rsid w:val="00C00522"/>
    <w:rsid w:val="00C078B0"/>
    <w:rsid w:val="00C11221"/>
    <w:rsid w:val="00C13D2E"/>
    <w:rsid w:val="00C16036"/>
    <w:rsid w:val="00C174AC"/>
    <w:rsid w:val="00C179AA"/>
    <w:rsid w:val="00C20029"/>
    <w:rsid w:val="00C303C0"/>
    <w:rsid w:val="00C322F1"/>
    <w:rsid w:val="00C33376"/>
    <w:rsid w:val="00C3716C"/>
    <w:rsid w:val="00C37BF4"/>
    <w:rsid w:val="00C504BD"/>
    <w:rsid w:val="00C61956"/>
    <w:rsid w:val="00C6365B"/>
    <w:rsid w:val="00C665D8"/>
    <w:rsid w:val="00C666B6"/>
    <w:rsid w:val="00C70B0C"/>
    <w:rsid w:val="00C75B2A"/>
    <w:rsid w:val="00C76BA2"/>
    <w:rsid w:val="00C86008"/>
    <w:rsid w:val="00C903EC"/>
    <w:rsid w:val="00C91943"/>
    <w:rsid w:val="00C959DB"/>
    <w:rsid w:val="00C95F2B"/>
    <w:rsid w:val="00CA3FF4"/>
    <w:rsid w:val="00CA6DC0"/>
    <w:rsid w:val="00CB09B6"/>
    <w:rsid w:val="00CB6F79"/>
    <w:rsid w:val="00CC51B6"/>
    <w:rsid w:val="00CD23CB"/>
    <w:rsid w:val="00CD5BCB"/>
    <w:rsid w:val="00CD6928"/>
    <w:rsid w:val="00CD7581"/>
    <w:rsid w:val="00CE2139"/>
    <w:rsid w:val="00CE7BED"/>
    <w:rsid w:val="00CF3FFC"/>
    <w:rsid w:val="00D03540"/>
    <w:rsid w:val="00D04A2F"/>
    <w:rsid w:val="00D05E13"/>
    <w:rsid w:val="00D13135"/>
    <w:rsid w:val="00D2128F"/>
    <w:rsid w:val="00D2288B"/>
    <w:rsid w:val="00D24703"/>
    <w:rsid w:val="00D31447"/>
    <w:rsid w:val="00D37390"/>
    <w:rsid w:val="00D42665"/>
    <w:rsid w:val="00D43371"/>
    <w:rsid w:val="00D43D00"/>
    <w:rsid w:val="00D43D53"/>
    <w:rsid w:val="00D464F3"/>
    <w:rsid w:val="00D52027"/>
    <w:rsid w:val="00D52D7E"/>
    <w:rsid w:val="00D66084"/>
    <w:rsid w:val="00D702FF"/>
    <w:rsid w:val="00D70381"/>
    <w:rsid w:val="00D70876"/>
    <w:rsid w:val="00D734D1"/>
    <w:rsid w:val="00D825FB"/>
    <w:rsid w:val="00D8622E"/>
    <w:rsid w:val="00D8789E"/>
    <w:rsid w:val="00D91246"/>
    <w:rsid w:val="00D97ACE"/>
    <w:rsid w:val="00DA0838"/>
    <w:rsid w:val="00DA2BB2"/>
    <w:rsid w:val="00DB164A"/>
    <w:rsid w:val="00DB1C94"/>
    <w:rsid w:val="00DC5729"/>
    <w:rsid w:val="00DD2554"/>
    <w:rsid w:val="00DD2F2B"/>
    <w:rsid w:val="00DE0BEB"/>
    <w:rsid w:val="00DE2212"/>
    <w:rsid w:val="00DE49FE"/>
    <w:rsid w:val="00DF08A0"/>
    <w:rsid w:val="00DF677F"/>
    <w:rsid w:val="00E027DA"/>
    <w:rsid w:val="00E02EC7"/>
    <w:rsid w:val="00E05BA4"/>
    <w:rsid w:val="00E11938"/>
    <w:rsid w:val="00E30AE6"/>
    <w:rsid w:val="00E318F1"/>
    <w:rsid w:val="00E37DB3"/>
    <w:rsid w:val="00E4366F"/>
    <w:rsid w:val="00E45B73"/>
    <w:rsid w:val="00E53C9E"/>
    <w:rsid w:val="00E60E05"/>
    <w:rsid w:val="00E6636B"/>
    <w:rsid w:val="00E70667"/>
    <w:rsid w:val="00E80038"/>
    <w:rsid w:val="00E8018B"/>
    <w:rsid w:val="00E86210"/>
    <w:rsid w:val="00E862FE"/>
    <w:rsid w:val="00EA1D95"/>
    <w:rsid w:val="00EA21E8"/>
    <w:rsid w:val="00EA42C5"/>
    <w:rsid w:val="00EA5C24"/>
    <w:rsid w:val="00EA6570"/>
    <w:rsid w:val="00EB1E5B"/>
    <w:rsid w:val="00EB69E8"/>
    <w:rsid w:val="00EC1EE0"/>
    <w:rsid w:val="00EC3791"/>
    <w:rsid w:val="00ED0F87"/>
    <w:rsid w:val="00EE4D05"/>
    <w:rsid w:val="00EF33AD"/>
    <w:rsid w:val="00EF5D2A"/>
    <w:rsid w:val="00F00F4A"/>
    <w:rsid w:val="00F061FC"/>
    <w:rsid w:val="00F0778F"/>
    <w:rsid w:val="00F07865"/>
    <w:rsid w:val="00F12A8D"/>
    <w:rsid w:val="00F144B4"/>
    <w:rsid w:val="00F15AC5"/>
    <w:rsid w:val="00F26BD9"/>
    <w:rsid w:val="00F32A78"/>
    <w:rsid w:val="00F347A2"/>
    <w:rsid w:val="00F434D8"/>
    <w:rsid w:val="00F461D5"/>
    <w:rsid w:val="00F6025E"/>
    <w:rsid w:val="00F61069"/>
    <w:rsid w:val="00F610B1"/>
    <w:rsid w:val="00F640A6"/>
    <w:rsid w:val="00F71B74"/>
    <w:rsid w:val="00F81841"/>
    <w:rsid w:val="00F91365"/>
    <w:rsid w:val="00F915B6"/>
    <w:rsid w:val="00F94379"/>
    <w:rsid w:val="00FA311B"/>
    <w:rsid w:val="00FA4232"/>
    <w:rsid w:val="00FB1934"/>
    <w:rsid w:val="00FB48C6"/>
    <w:rsid w:val="00FC4650"/>
    <w:rsid w:val="00FC489D"/>
    <w:rsid w:val="00FC4D28"/>
    <w:rsid w:val="00FC5D50"/>
    <w:rsid w:val="00FD2161"/>
    <w:rsid w:val="00FD7335"/>
    <w:rsid w:val="00FD7EC1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 </cp:lastModifiedBy>
  <cp:revision>2</cp:revision>
  <cp:lastPrinted>2016-09-29T11:26:00Z</cp:lastPrinted>
  <dcterms:created xsi:type="dcterms:W3CDTF">2016-09-30T10:32:00Z</dcterms:created>
  <dcterms:modified xsi:type="dcterms:W3CDTF">2016-09-30T10:32:00Z</dcterms:modified>
</cp:coreProperties>
</file>