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DD391E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61" type="#_x0000_t202" style="position:absolute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167B4D" w:rsidRDefault="00167B4D"/>
              </w:txbxContent>
            </v:textbox>
          </v:shape>
        </w:pict>
      </w:r>
      <w:r w:rsidRPr="00DD391E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1072" wrapcoords="-106 0 -106 21308 21600 21308 21600 0 -106 0">
            <v:imagedata r:id="rId8" o:title=""/>
            <w10:wrap type="tight"/>
          </v:shape>
          <o:OLEObject Type="Embed" ProgID="PBrush" ShapeID="_x0000_s1133" DrawAspect="Content" ObjectID="_1535722344" r:id="rId9"/>
        </w:pict>
      </w:r>
      <w:r>
        <w:rPr>
          <w:noProof/>
        </w:rPr>
        <w:pict>
          <v:group id="Group 5" o:spid="_x0000_s1150" style="position:absolute;margin-left:-146.55pt;margin-top:-51.45pt;width:910.15pt;height:205.35pt;z-index:251649024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151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2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3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4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5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6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7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8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59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0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49" type="#_x0000_t202" style="position:absolute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167B4D" w:rsidRDefault="00167B4D"/>
              </w:txbxContent>
            </v:textbox>
          </v:shape>
        </w:pict>
      </w:r>
    </w:p>
    <w:p w:rsidR="008B7C79" w:rsidRPr="003A2CE4" w:rsidRDefault="00DD391E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19.2pt;margin-top:8.1pt;width:352.5pt;height:108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" filled="f" stroked="f" strokecolor="#e46c0a" strokeweight="1.5pt">
            <v:textbox style="mso-next-textbox:#Text Box 120">
              <w:txbxContent>
                <w:p w:rsidR="00167B4D" w:rsidRPr="000B1D9D" w:rsidRDefault="00167B4D" w:rsidP="00A77B5D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971D5C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971D5C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Conjoncture </w:t>
                  </w:r>
                </w:p>
                <w:p w:rsidR="00167B4D" w:rsidRPr="00586E7E" w:rsidRDefault="00167B4D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971D5C" w:rsidRPr="00A77B5D" w:rsidRDefault="00971D5C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167B4D" w:rsidRPr="000B1D9D" w:rsidRDefault="00971D5C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A77B5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Première partie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: secteurs des i</w:t>
                  </w:r>
                  <w:r w:rsidR="00167B4D" w:rsidRPr="00971D5C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ndustries minière, manufacturière, énergétique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, </w:t>
                  </w:r>
                  <w:r w:rsidR="00167B4D" w:rsidRPr="00971D5C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environnementale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et de la c</w:t>
                  </w:r>
                  <w:r w:rsidR="00167B4D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onstruction</w:t>
                  </w:r>
                </w:p>
                <w:p w:rsidR="001B65A8" w:rsidRDefault="001B65A8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DD391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D391E"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167B4D" w:rsidRPr="00305B12" w:rsidRDefault="00167B4D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Septembre </w:t>
                  </w:r>
                  <w:r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4910D9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</w:t>
      </w:r>
    </w:p>
    <w:p w:rsidR="00302E80" w:rsidRDefault="00DD391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D391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46" type="#_x0000_t32" style="position:absolute;left:0;text-align:left;margin-left:13.05pt;margin-top:15.35pt;width:497.7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" strokecolor="#e36c0a"/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DD391E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8"/>
          <w:szCs w:val="28"/>
        </w:rPr>
        <w:pict>
          <v:shape id="_x0000_s1162" type="#_x0000_t202" style="position:absolute;left:0;text-align:left;margin-left:13.05pt;margin-top:3.65pt;width:462.15pt;height:75.75pt;z-index:251667456" fillcolor="#fbd4b4">
            <v:textbox style="mso-next-textbox:#_x0000_s1162">
              <w:txbxContent>
                <w:p w:rsidR="00A77B5D" w:rsidRDefault="00167B4D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A23965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3ème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6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 l’industrie manufacturière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des mines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ale ainsi que </w:t>
                  </w:r>
                  <w:r w:rsidR="00A23965">
                    <w:rPr>
                      <w:rFonts w:eastAsia="Arial Unicode MS"/>
                      <w:sz w:val="20"/>
                      <w:szCs w:val="20"/>
                    </w:rPr>
                    <w:t xml:space="preserve">dans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la Construction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A77B5D"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bookmarkStart w:id="1" w:name="_GoBack"/>
                  <w:bookmarkEnd w:id="1"/>
                  <w:r w:rsidR="00A77B5D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A77B5D"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 trimestre 2016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pronostics pour le 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A77B5D"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>6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167B4D" w:rsidRDefault="00167B4D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167B4D" w:rsidRDefault="00167B4D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3A2CE4" w:rsidRPr="00F03C7C" w:rsidRDefault="00006861" w:rsidP="004B2E96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74436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535A8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535A84" w:rsidRPr="00535A84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535A8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F11D6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first" r:id="rId10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1960" w:rsidRDefault="008741C5" w:rsidP="00A77B5D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5118735</wp:posOffset>
            </wp:positionV>
            <wp:extent cx="2990850" cy="2152650"/>
            <wp:effectExtent l="19050" t="0" r="0" b="0"/>
            <wp:wrapSquare wrapText="bothSides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2A1960">
        <w:rPr>
          <w:rFonts w:eastAsia="Arial Unicode MS"/>
          <w:sz w:val="22"/>
          <w:szCs w:val="22"/>
        </w:rPr>
        <w:t>Au</w:t>
      </w:r>
      <w:r w:rsidR="00BC7766">
        <w:rPr>
          <w:rFonts w:eastAsia="Arial Unicode MS"/>
          <w:sz w:val="22"/>
          <w:szCs w:val="22"/>
        </w:rPr>
        <w:t xml:space="preserve"> </w:t>
      </w:r>
      <w:r w:rsidR="00535A84">
        <w:rPr>
          <w:rFonts w:eastAsia="Arial Unicode MS"/>
          <w:sz w:val="22"/>
          <w:szCs w:val="22"/>
        </w:rPr>
        <w:t>2</w:t>
      </w:r>
      <w:r w:rsidR="00535A84" w:rsidRPr="00BC7766">
        <w:rPr>
          <w:rFonts w:eastAsia="Arial Unicode MS"/>
          <w:sz w:val="22"/>
          <w:szCs w:val="22"/>
          <w:vertAlign w:val="superscript"/>
        </w:rPr>
        <w:t>ème</w:t>
      </w:r>
      <w:r w:rsidR="00BC7766">
        <w:rPr>
          <w:rFonts w:eastAsia="Arial Unicode MS"/>
          <w:sz w:val="22"/>
          <w:szCs w:val="22"/>
        </w:rPr>
        <w:t xml:space="preserve"> </w:t>
      </w:r>
      <w:r w:rsidR="002A1960" w:rsidRPr="002E1737">
        <w:rPr>
          <w:rFonts w:eastAsia="Arial Unicode MS"/>
          <w:sz w:val="22"/>
          <w:szCs w:val="22"/>
        </w:rPr>
        <w:t xml:space="preserve">trimestre </w:t>
      </w:r>
      <w:r w:rsidR="002A1960">
        <w:rPr>
          <w:rFonts w:eastAsia="Arial Unicode MS"/>
          <w:sz w:val="22"/>
          <w:szCs w:val="22"/>
        </w:rPr>
        <w:t>2016</w:t>
      </w:r>
      <w:r w:rsidR="002A1960" w:rsidRPr="00FF24EF">
        <w:rPr>
          <w:rFonts w:eastAsia="Arial Unicode MS"/>
          <w:sz w:val="22"/>
          <w:szCs w:val="22"/>
        </w:rPr>
        <w:t>, la production</w:t>
      </w:r>
      <w:r w:rsidR="002A1960">
        <w:rPr>
          <w:rFonts w:eastAsia="Arial Unicode MS"/>
          <w:sz w:val="22"/>
          <w:szCs w:val="22"/>
        </w:rPr>
        <w:t xml:space="preserve"> </w:t>
      </w:r>
      <w:r w:rsidR="002A1960" w:rsidRPr="0080115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2A1960">
        <w:rPr>
          <w:rFonts w:eastAsia="Arial Unicode MS"/>
          <w:b/>
          <w:bCs/>
          <w:color w:val="660033"/>
          <w:sz w:val="22"/>
          <w:szCs w:val="22"/>
        </w:rPr>
        <w:t xml:space="preserve"> manufacturière </w:t>
      </w:r>
      <w:r w:rsidR="002A1960" w:rsidRPr="00FF24EF">
        <w:rPr>
          <w:rFonts w:eastAsia="Arial Unicode MS"/>
          <w:sz w:val="22"/>
          <w:szCs w:val="22"/>
        </w:rPr>
        <w:t>aurait</w:t>
      </w:r>
      <w:r w:rsidR="00A77B5D">
        <w:rPr>
          <w:rFonts w:eastAsia="Arial Unicode MS"/>
          <w:sz w:val="22"/>
          <w:szCs w:val="22"/>
        </w:rPr>
        <w:t xml:space="preserve">, selon 44% des patrons, </w:t>
      </w:r>
      <w:r w:rsidR="002A1960" w:rsidRPr="00801153">
        <w:rPr>
          <w:rFonts w:eastAsia="Arial Unicode MS"/>
          <w:sz w:val="22"/>
          <w:szCs w:val="22"/>
        </w:rPr>
        <w:t>connu</w:t>
      </w:r>
      <w:r w:rsidR="002A1960">
        <w:rPr>
          <w:rFonts w:eastAsia="Arial Unicode MS"/>
          <w:sz w:val="22"/>
          <w:szCs w:val="22"/>
        </w:rPr>
        <w:t xml:space="preserve"> </w:t>
      </w:r>
      <w:r w:rsidR="002A1960" w:rsidRPr="00FE0DE2">
        <w:rPr>
          <w:rFonts w:eastAsia="Arial Unicode MS"/>
          <w:sz w:val="22"/>
          <w:szCs w:val="22"/>
        </w:rPr>
        <w:t>une</w:t>
      </w:r>
      <w:r w:rsidR="002A1960" w:rsidRPr="00801153">
        <w:rPr>
          <w:rFonts w:eastAsia="Arial Unicode MS"/>
          <w:sz w:val="22"/>
          <w:szCs w:val="22"/>
        </w:rPr>
        <w:t xml:space="preserve"> hausse </w:t>
      </w:r>
      <w:r w:rsidR="002A1960">
        <w:rPr>
          <w:rFonts w:eastAsia="Arial Unicode MS"/>
          <w:sz w:val="22"/>
          <w:szCs w:val="22"/>
        </w:rPr>
        <w:t xml:space="preserve">et, </w:t>
      </w:r>
      <w:r w:rsidR="002A1960" w:rsidRPr="00801153">
        <w:rPr>
          <w:rFonts w:eastAsia="Arial Unicode MS"/>
          <w:sz w:val="22"/>
          <w:szCs w:val="22"/>
        </w:rPr>
        <w:t xml:space="preserve">selon </w:t>
      </w:r>
      <w:r w:rsidR="002A1960">
        <w:rPr>
          <w:rFonts w:eastAsia="Arial Unicode MS"/>
          <w:sz w:val="22"/>
          <w:szCs w:val="22"/>
        </w:rPr>
        <w:t>2</w:t>
      </w:r>
      <w:r w:rsidR="00F461BE">
        <w:rPr>
          <w:rFonts w:eastAsia="Arial Unicode MS"/>
          <w:sz w:val="22"/>
          <w:szCs w:val="22"/>
        </w:rPr>
        <w:t>8</w:t>
      </w:r>
      <w:r w:rsidR="002A1960" w:rsidRPr="00801153">
        <w:rPr>
          <w:rFonts w:eastAsia="Arial Unicode MS"/>
          <w:sz w:val="22"/>
          <w:szCs w:val="22"/>
        </w:rPr>
        <w:t>%</w:t>
      </w:r>
      <w:r w:rsidR="002A1960">
        <w:rPr>
          <w:rFonts w:eastAsia="Arial Unicode MS"/>
          <w:sz w:val="22"/>
          <w:szCs w:val="22"/>
        </w:rPr>
        <w:t xml:space="preserve">, </w:t>
      </w:r>
      <w:r w:rsidR="002A1960" w:rsidRPr="00801153">
        <w:rPr>
          <w:rFonts w:eastAsia="Arial Unicode MS"/>
          <w:sz w:val="22"/>
          <w:szCs w:val="22"/>
        </w:rPr>
        <w:t>plutôt une baisse.</w:t>
      </w:r>
      <w:r w:rsidR="002A1960">
        <w:rPr>
          <w:rFonts w:eastAsia="Arial Unicode MS"/>
          <w:sz w:val="22"/>
          <w:szCs w:val="22"/>
        </w:rPr>
        <w:t xml:space="preserve"> Cette augmentation</w:t>
      </w:r>
      <w:r w:rsidR="002A1960" w:rsidRPr="00FF24EF">
        <w:rPr>
          <w:rFonts w:eastAsia="Arial Unicode MS"/>
          <w:sz w:val="22"/>
          <w:szCs w:val="22"/>
        </w:rPr>
        <w:t xml:space="preserve"> </w:t>
      </w:r>
      <w:r w:rsidR="00A23965">
        <w:rPr>
          <w:rFonts w:eastAsia="Arial Unicode MS"/>
          <w:sz w:val="22"/>
          <w:szCs w:val="22"/>
        </w:rPr>
        <w:t xml:space="preserve">serait </w:t>
      </w:r>
      <w:r w:rsidR="002A1960" w:rsidRPr="002A1960">
        <w:rPr>
          <w:rFonts w:eastAsia="Arial Unicode MS"/>
          <w:sz w:val="22"/>
          <w:szCs w:val="22"/>
        </w:rPr>
        <w:t xml:space="preserve">principalement </w:t>
      </w:r>
      <w:r w:rsidR="002A1960" w:rsidRPr="00801153">
        <w:rPr>
          <w:rFonts w:eastAsia="Arial Unicode MS"/>
          <w:sz w:val="22"/>
          <w:szCs w:val="22"/>
        </w:rPr>
        <w:t>attribuable à une</w:t>
      </w:r>
      <w:r w:rsidR="002A1960" w:rsidRPr="00FF24EF">
        <w:rPr>
          <w:rFonts w:eastAsia="Arial Unicode MS"/>
          <w:sz w:val="22"/>
          <w:szCs w:val="22"/>
        </w:rPr>
        <w:t xml:space="preserve"> </w:t>
      </w:r>
      <w:r w:rsidR="002A1960" w:rsidRPr="002A1960">
        <w:rPr>
          <w:rFonts w:eastAsia="Arial Unicode MS"/>
          <w:sz w:val="22"/>
          <w:szCs w:val="22"/>
        </w:rPr>
        <w:t xml:space="preserve">amélioration </w:t>
      </w:r>
      <w:r w:rsidR="002A1960" w:rsidRPr="00FF24EF">
        <w:rPr>
          <w:rFonts w:eastAsia="Arial Unicode MS"/>
          <w:sz w:val="22"/>
          <w:szCs w:val="22"/>
        </w:rPr>
        <w:t xml:space="preserve">de la production dans les branches </w:t>
      </w:r>
      <w:r w:rsidR="00F5556A">
        <w:rPr>
          <w:rFonts w:eastAsia="Arial Unicode MS"/>
          <w:sz w:val="22"/>
          <w:szCs w:val="22"/>
        </w:rPr>
        <w:t>de</w:t>
      </w:r>
      <w:r w:rsidR="00EF0EC6">
        <w:rPr>
          <w:rFonts w:eastAsia="Arial Unicode MS"/>
          <w:sz w:val="22"/>
          <w:szCs w:val="22"/>
        </w:rPr>
        <w:t xml:space="preserve">s </w:t>
      </w:r>
      <w:r w:rsidR="002A1960" w:rsidRPr="00FF24EF">
        <w:rPr>
          <w:rFonts w:eastAsia="Arial Unicode MS"/>
          <w:sz w:val="22"/>
          <w:szCs w:val="22"/>
        </w:rPr>
        <w:t>«</w:t>
      </w:r>
      <w:r w:rsidR="00F5556A" w:rsidRPr="00F5556A">
        <w:rPr>
          <w:rFonts w:eastAsia="Arial Unicode MS"/>
          <w:sz w:val="22"/>
          <w:szCs w:val="22"/>
        </w:rPr>
        <w:t>Industries alimentaires</w:t>
      </w:r>
      <w:r w:rsidR="002A1960">
        <w:rPr>
          <w:rFonts w:eastAsia="Arial Unicode MS"/>
          <w:sz w:val="22"/>
          <w:szCs w:val="22"/>
        </w:rPr>
        <w:t>», de</w:t>
      </w:r>
      <w:r w:rsidR="00F5556A">
        <w:rPr>
          <w:rFonts w:eastAsia="Arial Unicode MS"/>
          <w:sz w:val="22"/>
          <w:szCs w:val="22"/>
        </w:rPr>
        <w:t xml:space="preserve"> l’</w:t>
      </w:r>
      <w:r w:rsidR="002A1960">
        <w:rPr>
          <w:rFonts w:eastAsia="Arial Unicode MS"/>
          <w:sz w:val="22"/>
          <w:szCs w:val="22"/>
        </w:rPr>
        <w:t xml:space="preserve"> </w:t>
      </w:r>
      <w:r w:rsidR="002A1960" w:rsidRPr="00FF24EF">
        <w:rPr>
          <w:rFonts w:eastAsia="Arial Unicode MS"/>
          <w:sz w:val="22"/>
          <w:szCs w:val="22"/>
        </w:rPr>
        <w:t>«</w:t>
      </w:r>
      <w:r w:rsidR="00F5556A" w:rsidRPr="00F5556A">
        <w:rPr>
          <w:rFonts w:eastAsia="Arial Unicode MS"/>
          <w:sz w:val="22"/>
          <w:szCs w:val="22"/>
        </w:rPr>
        <w:t>Industrie automobile</w:t>
      </w:r>
      <w:r w:rsidR="002A1960" w:rsidRPr="00FF24EF">
        <w:rPr>
          <w:rFonts w:eastAsia="Arial Unicode MS"/>
          <w:sz w:val="22"/>
          <w:szCs w:val="22"/>
        </w:rPr>
        <w:t>»</w:t>
      </w:r>
      <w:r w:rsidR="002A1960">
        <w:rPr>
          <w:rFonts w:eastAsia="Arial Unicode MS"/>
          <w:sz w:val="22"/>
          <w:szCs w:val="22"/>
        </w:rPr>
        <w:t xml:space="preserve"> et de </w:t>
      </w:r>
      <w:r w:rsidR="00F5556A">
        <w:rPr>
          <w:rFonts w:eastAsia="Arial Unicode MS"/>
          <w:sz w:val="22"/>
          <w:szCs w:val="22"/>
        </w:rPr>
        <w:t xml:space="preserve">la </w:t>
      </w:r>
      <w:r w:rsidR="002A1960" w:rsidRPr="00FF24EF">
        <w:rPr>
          <w:rFonts w:eastAsia="Arial Unicode MS"/>
          <w:sz w:val="22"/>
          <w:szCs w:val="22"/>
        </w:rPr>
        <w:t>«</w:t>
      </w:r>
      <w:r w:rsidR="00F5556A" w:rsidRPr="00F5556A">
        <w:rPr>
          <w:rFonts w:eastAsia="Arial Unicode MS"/>
          <w:sz w:val="22"/>
          <w:szCs w:val="22"/>
        </w:rPr>
        <w:t>Fabrication de produits métalliques, à l’exception des machines et des équipements</w:t>
      </w:r>
      <w:r w:rsidR="002A1960">
        <w:rPr>
          <w:rFonts w:eastAsia="Arial Unicode MS"/>
          <w:sz w:val="22"/>
          <w:szCs w:val="22"/>
        </w:rPr>
        <w:t>»</w:t>
      </w:r>
      <w:r w:rsidR="002A1960" w:rsidRPr="00FF24EF">
        <w:rPr>
          <w:rFonts w:eastAsia="Arial Unicode MS"/>
          <w:sz w:val="22"/>
          <w:szCs w:val="22"/>
        </w:rPr>
        <w:t xml:space="preserve">. </w:t>
      </w:r>
    </w:p>
    <w:p w:rsidR="0038590B" w:rsidRPr="00CE3972" w:rsidRDefault="0038590B" w:rsidP="002F7B5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t xml:space="preserve">Les carnets de commandes </w:t>
      </w:r>
      <w:r>
        <w:rPr>
          <w:rFonts w:eastAsia="Arial Unicode MS"/>
          <w:sz w:val="22"/>
          <w:szCs w:val="22"/>
        </w:rPr>
        <w:t xml:space="preserve">du secteur </w:t>
      </w:r>
      <w:r w:rsidRPr="00FF24EF">
        <w:rPr>
          <w:rFonts w:eastAsia="Arial Unicode MS"/>
          <w:sz w:val="22"/>
          <w:szCs w:val="22"/>
        </w:rPr>
        <w:t xml:space="preserve">ont été jugés d’un niveau normal par </w:t>
      </w:r>
      <w:r w:rsidR="00F5556A">
        <w:rPr>
          <w:rFonts w:eastAsia="Arial Unicode MS"/>
          <w:sz w:val="22"/>
          <w:szCs w:val="22"/>
        </w:rPr>
        <w:t>55</w:t>
      </w:r>
      <w:r>
        <w:rPr>
          <w:rFonts w:eastAsia="Arial Unicode MS"/>
          <w:sz w:val="22"/>
          <w:szCs w:val="22"/>
        </w:rPr>
        <w:t>% des chefs d’entreprises et</w:t>
      </w:r>
      <w:r w:rsidRPr="00FF24EF">
        <w:rPr>
          <w:rFonts w:eastAsia="Arial Unicode MS"/>
          <w:sz w:val="22"/>
          <w:szCs w:val="22"/>
        </w:rPr>
        <w:t xml:space="preserve"> peu garni</w:t>
      </w:r>
      <w:r>
        <w:rPr>
          <w:rFonts w:eastAsia="Arial Unicode MS"/>
          <w:sz w:val="22"/>
          <w:szCs w:val="22"/>
        </w:rPr>
        <w:t>s</w:t>
      </w:r>
      <w:r w:rsidRPr="00FF24EF">
        <w:rPr>
          <w:rFonts w:eastAsia="Arial Unicode MS"/>
          <w:sz w:val="22"/>
          <w:szCs w:val="22"/>
        </w:rPr>
        <w:t xml:space="preserve"> par </w:t>
      </w:r>
      <w:r w:rsidR="00F5556A">
        <w:rPr>
          <w:rFonts w:eastAsia="Arial Unicode MS"/>
          <w:sz w:val="22"/>
          <w:szCs w:val="22"/>
        </w:rPr>
        <w:t>31</w:t>
      </w:r>
      <w:r>
        <w:rPr>
          <w:rFonts w:eastAsia="Arial Unicode MS"/>
          <w:sz w:val="22"/>
          <w:szCs w:val="22"/>
        </w:rPr>
        <w:t xml:space="preserve">%. </w:t>
      </w:r>
      <w:r w:rsidR="00A77B5D">
        <w:rPr>
          <w:rFonts w:eastAsia="Arial Unicode MS"/>
          <w:sz w:val="22"/>
          <w:szCs w:val="22"/>
        </w:rPr>
        <w:t>L’</w:t>
      </w:r>
      <w:r w:rsidRPr="00FF24EF">
        <w:rPr>
          <w:rFonts w:eastAsia="Arial Unicode MS"/>
          <w:sz w:val="22"/>
          <w:szCs w:val="22"/>
        </w:rPr>
        <w:t>emp</w:t>
      </w:r>
      <w:r>
        <w:rPr>
          <w:rFonts w:eastAsia="Arial Unicode MS"/>
          <w:sz w:val="22"/>
          <w:szCs w:val="22"/>
        </w:rPr>
        <w:t>loi</w:t>
      </w:r>
      <w:r w:rsidR="00A77B5D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aurait</w:t>
      </w:r>
      <w:r w:rsidR="002F7B54">
        <w:rPr>
          <w:rFonts w:eastAsia="Arial Unicode MS"/>
          <w:sz w:val="22"/>
          <w:szCs w:val="22"/>
        </w:rPr>
        <w:t>, selon 44% des patrons,</w:t>
      </w:r>
      <w:r>
        <w:rPr>
          <w:rFonts w:eastAsia="Arial Unicode MS"/>
          <w:sz w:val="22"/>
          <w:szCs w:val="22"/>
        </w:rPr>
        <w:t xml:space="preserve"> connu une </w:t>
      </w:r>
      <w:r w:rsidR="003F0254">
        <w:rPr>
          <w:rFonts w:eastAsia="Arial Unicode MS"/>
          <w:sz w:val="22"/>
          <w:szCs w:val="22"/>
        </w:rPr>
        <w:t>augmentation</w:t>
      </w:r>
      <w:r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et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 xml:space="preserve">selon </w:t>
      </w:r>
      <w:r w:rsidR="00F5556A">
        <w:rPr>
          <w:rFonts w:eastAsia="Arial Unicode MS"/>
          <w:sz w:val="22"/>
          <w:szCs w:val="22"/>
        </w:rPr>
        <w:t>30</w:t>
      </w:r>
      <w:r w:rsidRPr="00801153">
        <w:rPr>
          <w:rFonts w:eastAsia="Arial Unicode MS"/>
          <w:sz w:val="22"/>
          <w:szCs w:val="22"/>
        </w:rPr>
        <w:t>%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 xml:space="preserve">une </w:t>
      </w:r>
      <w:r w:rsidR="00A77B5D">
        <w:rPr>
          <w:rFonts w:eastAsia="Arial Unicode MS"/>
          <w:sz w:val="22"/>
          <w:szCs w:val="22"/>
        </w:rPr>
        <w:t>réduction</w:t>
      </w:r>
      <w:r w:rsidRPr="00801153">
        <w:rPr>
          <w:rFonts w:eastAsia="Arial Unicode MS"/>
          <w:sz w:val="22"/>
          <w:szCs w:val="22"/>
        </w:rPr>
        <w:t xml:space="preserve">. </w:t>
      </w:r>
      <w:r w:rsidRPr="00FF24EF">
        <w:rPr>
          <w:rFonts w:eastAsia="Arial Unicode MS"/>
          <w:sz w:val="22"/>
          <w:szCs w:val="22"/>
        </w:rPr>
        <w:t xml:space="preserve">Dans ce contexte, </w:t>
      </w:r>
      <w:r w:rsidRPr="00CE3972">
        <w:rPr>
          <w:rFonts w:eastAsia="Arial Unicode MS"/>
          <w:sz w:val="22"/>
          <w:szCs w:val="22"/>
        </w:rPr>
        <w:t xml:space="preserve">le taux d’utilisation de la capacité productive (TUC) se serait établi à </w:t>
      </w:r>
      <w:r w:rsidR="00CF2970">
        <w:rPr>
          <w:rFonts w:eastAsia="Arial Unicode MS"/>
          <w:sz w:val="22"/>
          <w:szCs w:val="22"/>
        </w:rPr>
        <w:t>72</w:t>
      </w:r>
      <w:r w:rsidRPr="00CE3972">
        <w:rPr>
          <w:rFonts w:eastAsia="Arial Unicode MS"/>
          <w:sz w:val="22"/>
          <w:szCs w:val="22"/>
        </w:rPr>
        <w:t xml:space="preserve">% au </w:t>
      </w:r>
      <w:r w:rsidR="00535A84">
        <w:rPr>
          <w:rFonts w:eastAsia="Arial Unicode MS"/>
          <w:sz w:val="22"/>
          <w:szCs w:val="22"/>
        </w:rPr>
        <w:t>2</w:t>
      </w:r>
      <w:r w:rsidR="00535A84" w:rsidRPr="00F5556A">
        <w:rPr>
          <w:rFonts w:eastAsia="Arial Unicode MS"/>
          <w:sz w:val="22"/>
          <w:szCs w:val="22"/>
          <w:vertAlign w:val="superscript"/>
        </w:rPr>
        <w:t>ème</w:t>
      </w:r>
      <w:r w:rsidR="00F5556A">
        <w:rPr>
          <w:rFonts w:eastAsia="Arial Unicode MS"/>
          <w:sz w:val="22"/>
          <w:szCs w:val="22"/>
        </w:rPr>
        <w:t xml:space="preserve"> </w:t>
      </w:r>
      <w:r w:rsidRPr="00CE3972">
        <w:rPr>
          <w:rFonts w:eastAsia="Arial Unicode MS"/>
          <w:sz w:val="22"/>
          <w:szCs w:val="22"/>
        </w:rPr>
        <w:t xml:space="preserve">trimestre </w:t>
      </w:r>
      <w:r>
        <w:rPr>
          <w:rFonts w:eastAsia="Arial Unicode MS"/>
          <w:sz w:val="22"/>
          <w:szCs w:val="22"/>
        </w:rPr>
        <w:t>2016</w:t>
      </w:r>
      <w:r w:rsidRPr="00CE3972">
        <w:rPr>
          <w:rFonts w:eastAsia="Arial Unicode MS"/>
          <w:sz w:val="22"/>
          <w:szCs w:val="22"/>
        </w:rPr>
        <w:t xml:space="preserve">. </w:t>
      </w:r>
    </w:p>
    <w:p w:rsidR="0038590B" w:rsidRPr="00FF24EF" w:rsidRDefault="0038590B" w:rsidP="0038590B">
      <w:pPr>
        <w:jc w:val="both"/>
        <w:rPr>
          <w:rFonts w:eastAsia="Arial Unicode MS"/>
          <w:sz w:val="22"/>
          <w:szCs w:val="22"/>
        </w:rPr>
      </w:pPr>
    </w:p>
    <w:p w:rsidR="00F03C7C" w:rsidRDefault="00F03C7C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FF24EF" w:rsidRDefault="00DE1B47" w:rsidP="00EF0EC6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3175635</wp:posOffset>
            </wp:positionH>
            <wp:positionV relativeFrom="margin">
              <wp:posOffset>-34290</wp:posOffset>
            </wp:positionV>
            <wp:extent cx="3257550" cy="2286000"/>
            <wp:effectExtent l="0" t="0" r="0" b="0"/>
            <wp:wrapSquare wrapText="bothSides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B4895">
        <w:rPr>
          <w:rFonts w:eastAsia="Arial Unicode MS"/>
          <w:sz w:val="22"/>
          <w:szCs w:val="22"/>
        </w:rPr>
        <w:t xml:space="preserve">S'agissant du </w:t>
      </w:r>
      <w:r w:rsidR="0038590B" w:rsidRPr="00FF24EF">
        <w:rPr>
          <w:rFonts w:eastAsia="Arial Unicode MS"/>
          <w:sz w:val="22"/>
          <w:szCs w:val="22"/>
        </w:rPr>
        <w:t>secteur de</w:t>
      </w:r>
      <w:r w:rsidR="00EF0EC6">
        <w:rPr>
          <w:rFonts w:eastAsia="Arial Unicode MS"/>
          <w:sz w:val="22"/>
          <w:szCs w:val="22"/>
        </w:rPr>
        <w:t>s</w:t>
      </w:r>
      <w:r w:rsidR="0038590B" w:rsidRPr="00FF24EF">
        <w:rPr>
          <w:rFonts w:eastAsia="Arial Unicode MS"/>
          <w:sz w:val="22"/>
          <w:szCs w:val="22"/>
        </w:rPr>
        <w:t xml:space="preserve"> </w:t>
      </w:r>
      <w:r w:rsidR="00EF0EC6">
        <w:rPr>
          <w:rFonts w:eastAsia="Arial Unicode MS"/>
          <w:b/>
          <w:bCs/>
          <w:color w:val="660033"/>
          <w:sz w:val="22"/>
          <w:szCs w:val="22"/>
        </w:rPr>
        <w:t xml:space="preserve">mines, </w:t>
      </w:r>
      <w:r w:rsidR="00CC383A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8B4895">
        <w:rPr>
          <w:rFonts w:eastAsia="Arial Unicode MS"/>
          <w:sz w:val="22"/>
          <w:szCs w:val="22"/>
        </w:rPr>
        <w:t xml:space="preserve">la production </w:t>
      </w:r>
      <w:r w:rsidR="0038590B" w:rsidRPr="00FF24EF">
        <w:rPr>
          <w:rFonts w:eastAsia="Arial Unicode MS"/>
          <w:sz w:val="22"/>
          <w:szCs w:val="22"/>
        </w:rPr>
        <w:t>aurait</w:t>
      </w:r>
      <w:r w:rsidR="0038590B">
        <w:rPr>
          <w:rFonts w:eastAsia="Arial Unicode MS"/>
          <w:sz w:val="22"/>
          <w:szCs w:val="22"/>
        </w:rPr>
        <w:t xml:space="preserve">, </w:t>
      </w:r>
      <w:r w:rsidR="00EF0EC6">
        <w:rPr>
          <w:rFonts w:eastAsia="Arial Unicode MS"/>
          <w:sz w:val="22"/>
          <w:szCs w:val="22"/>
        </w:rPr>
        <w:t xml:space="preserve">selon la majorité des patrons, </w:t>
      </w:r>
      <w:r w:rsidR="0038590B" w:rsidRPr="00801153">
        <w:rPr>
          <w:rFonts w:eastAsia="Arial Unicode MS"/>
          <w:sz w:val="22"/>
          <w:szCs w:val="22"/>
        </w:rPr>
        <w:t>affiché</w:t>
      </w:r>
      <w:r w:rsidR="00EF0EC6">
        <w:rPr>
          <w:rFonts w:eastAsia="Arial Unicode MS"/>
          <w:sz w:val="22"/>
          <w:szCs w:val="22"/>
        </w:rPr>
        <w:t xml:space="preserve"> </w:t>
      </w:r>
      <w:r w:rsidR="0038590B" w:rsidRPr="00FF24EF">
        <w:rPr>
          <w:rFonts w:eastAsia="Arial Unicode MS"/>
          <w:sz w:val="22"/>
          <w:szCs w:val="22"/>
        </w:rPr>
        <w:t xml:space="preserve">une </w:t>
      </w:r>
      <w:r w:rsidR="00B974D5">
        <w:rPr>
          <w:rFonts w:eastAsia="Arial Unicode MS"/>
          <w:sz w:val="22"/>
          <w:szCs w:val="22"/>
        </w:rPr>
        <w:t>hausse</w:t>
      </w:r>
      <w:r w:rsidR="0038590B">
        <w:rPr>
          <w:rFonts w:eastAsia="Arial Unicode MS"/>
          <w:sz w:val="22"/>
          <w:szCs w:val="22"/>
        </w:rPr>
        <w:t xml:space="preserve"> </w:t>
      </w:r>
      <w:r w:rsidR="0038590B" w:rsidRPr="00FF24EF">
        <w:rPr>
          <w:rFonts w:eastAsia="Arial Unicode MS"/>
          <w:sz w:val="22"/>
          <w:szCs w:val="22"/>
        </w:rPr>
        <w:t xml:space="preserve">due, </w:t>
      </w:r>
      <w:r w:rsidR="0038590B">
        <w:rPr>
          <w:rFonts w:eastAsia="Arial Unicode MS"/>
          <w:sz w:val="22"/>
          <w:szCs w:val="22"/>
        </w:rPr>
        <w:t>en particulier</w:t>
      </w:r>
      <w:r w:rsidR="0038590B" w:rsidRPr="00FF24EF">
        <w:rPr>
          <w:rFonts w:eastAsia="Arial Unicode MS"/>
          <w:sz w:val="22"/>
          <w:szCs w:val="22"/>
        </w:rPr>
        <w:t xml:space="preserve">, à une </w:t>
      </w:r>
      <w:r w:rsidR="00B974D5">
        <w:rPr>
          <w:rFonts w:eastAsia="Arial Unicode MS"/>
          <w:sz w:val="22"/>
          <w:szCs w:val="22"/>
        </w:rPr>
        <w:t>amélioration</w:t>
      </w:r>
      <w:r w:rsidR="0038590B">
        <w:rPr>
          <w:rFonts w:eastAsia="Arial Unicode MS"/>
          <w:sz w:val="22"/>
          <w:szCs w:val="22"/>
        </w:rPr>
        <w:t xml:space="preserve"> </w:t>
      </w:r>
      <w:r w:rsidR="00356D34">
        <w:rPr>
          <w:rFonts w:eastAsia="Arial Unicode MS"/>
          <w:sz w:val="22"/>
          <w:szCs w:val="22"/>
        </w:rPr>
        <w:t>d</w:t>
      </w:r>
      <w:r w:rsidR="0038590B" w:rsidRPr="00FF24EF">
        <w:rPr>
          <w:rFonts w:eastAsia="Arial Unicode MS"/>
          <w:sz w:val="22"/>
          <w:szCs w:val="22"/>
        </w:rPr>
        <w:t>e la production de</w:t>
      </w:r>
      <w:r w:rsidR="0038590B">
        <w:rPr>
          <w:rFonts w:eastAsia="Arial Unicode MS"/>
          <w:sz w:val="22"/>
          <w:szCs w:val="22"/>
        </w:rPr>
        <w:t xml:space="preserve"> la branche</w:t>
      </w:r>
      <w:r w:rsidR="0038590B" w:rsidRPr="00FF24EF">
        <w:rPr>
          <w:rFonts w:eastAsia="Arial Unicode MS"/>
          <w:sz w:val="22"/>
          <w:szCs w:val="22"/>
        </w:rPr>
        <w:t xml:space="preserve"> </w:t>
      </w:r>
      <w:r w:rsidR="00356D34">
        <w:rPr>
          <w:rFonts w:eastAsia="Arial Unicode MS"/>
          <w:sz w:val="22"/>
          <w:szCs w:val="22"/>
        </w:rPr>
        <w:t xml:space="preserve">des </w:t>
      </w:r>
      <w:r w:rsidR="0038590B" w:rsidRPr="005A1D59">
        <w:rPr>
          <w:rFonts w:eastAsia="Arial Unicode MS"/>
          <w:sz w:val="22"/>
          <w:szCs w:val="22"/>
        </w:rPr>
        <w:t>«</w:t>
      </w:r>
      <w:r w:rsidR="0038590B" w:rsidRPr="00FF24EF">
        <w:rPr>
          <w:rFonts w:eastAsia="Arial Unicode MS"/>
          <w:sz w:val="22"/>
          <w:szCs w:val="22"/>
        </w:rPr>
        <w:t>Autres industries extractives»</w:t>
      </w:r>
      <w:r w:rsidR="0038590B">
        <w:rPr>
          <w:rFonts w:eastAsia="Arial Unicode MS"/>
          <w:sz w:val="22"/>
          <w:szCs w:val="22"/>
        </w:rPr>
        <w:t xml:space="preserve">, dominée par </w:t>
      </w:r>
      <w:r w:rsidR="00356D34">
        <w:rPr>
          <w:rFonts w:eastAsia="Arial Unicode MS"/>
          <w:sz w:val="22"/>
          <w:szCs w:val="22"/>
        </w:rPr>
        <w:t>l</w:t>
      </w:r>
      <w:r w:rsidR="0038590B" w:rsidRPr="00FF24EF">
        <w:rPr>
          <w:rFonts w:eastAsia="Arial Unicode MS"/>
          <w:sz w:val="22"/>
          <w:szCs w:val="22"/>
        </w:rPr>
        <w:t xml:space="preserve">es phosphates. </w:t>
      </w:r>
    </w:p>
    <w:p w:rsidR="0038590B" w:rsidRPr="00FF24EF" w:rsidRDefault="0038590B" w:rsidP="0038590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8590B" w:rsidRPr="00FF24EF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</w:p>
    <w:p w:rsidR="0038590B" w:rsidRDefault="0038590B" w:rsidP="003F0254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A13AFA">
        <w:rPr>
          <w:rFonts w:eastAsia="Arial Unicode MS"/>
          <w:sz w:val="22"/>
          <w:szCs w:val="22"/>
        </w:rPr>
        <w:t>La situation des carnets de commande a été, par ailleurs, jugée d’un niveau normal par la plupart des chefs d’entreprises de ce secteur.</w:t>
      </w:r>
      <w:r w:rsidRPr="00FF24EF">
        <w:rPr>
          <w:rFonts w:eastAsia="Arial Unicode MS"/>
          <w:sz w:val="22"/>
          <w:szCs w:val="22"/>
        </w:rPr>
        <w:t xml:space="preserve"> L’emploi</w:t>
      </w:r>
      <w:r w:rsidR="002A1960" w:rsidRPr="002A1960">
        <w:rPr>
          <w:rFonts w:eastAsia="Arial Unicode MS"/>
          <w:sz w:val="22"/>
          <w:szCs w:val="22"/>
        </w:rPr>
        <w:t xml:space="preserve"> </w:t>
      </w:r>
      <w:r w:rsidR="002A1960" w:rsidRPr="00FF24EF">
        <w:rPr>
          <w:rFonts w:eastAsia="Arial Unicode MS"/>
          <w:sz w:val="22"/>
          <w:szCs w:val="22"/>
        </w:rPr>
        <w:t>aurait</w:t>
      </w:r>
      <w:r w:rsidRPr="00FF24EF">
        <w:rPr>
          <w:rFonts w:eastAsia="Arial Unicode MS"/>
          <w:sz w:val="22"/>
          <w:szCs w:val="22"/>
        </w:rPr>
        <w:t xml:space="preserve">, </w:t>
      </w:r>
      <w:r w:rsidR="003F0254" w:rsidRPr="00FF24EF">
        <w:rPr>
          <w:rFonts w:eastAsia="Arial Unicode MS"/>
          <w:sz w:val="22"/>
          <w:szCs w:val="22"/>
        </w:rPr>
        <w:t xml:space="preserve">selon </w:t>
      </w:r>
      <w:r w:rsidR="003F0254" w:rsidRPr="004249F6">
        <w:rPr>
          <w:rFonts w:eastAsia="Arial Unicode MS"/>
          <w:sz w:val="22"/>
          <w:szCs w:val="22"/>
        </w:rPr>
        <w:t xml:space="preserve">la </w:t>
      </w:r>
      <w:r w:rsidR="003F0254">
        <w:rPr>
          <w:rFonts w:eastAsia="Arial Unicode MS"/>
          <w:sz w:val="22"/>
          <w:szCs w:val="22"/>
        </w:rPr>
        <w:t>majorité</w:t>
      </w:r>
      <w:r w:rsidR="003F0254" w:rsidRPr="00AB24B6">
        <w:rPr>
          <w:rFonts w:eastAsia="Arial Unicode MS"/>
          <w:sz w:val="22"/>
          <w:szCs w:val="22"/>
        </w:rPr>
        <w:t xml:space="preserve"> des patrons</w:t>
      </w:r>
      <w:r w:rsidRPr="00FF24EF">
        <w:rPr>
          <w:rFonts w:eastAsia="Arial Unicode MS"/>
          <w:sz w:val="22"/>
          <w:szCs w:val="22"/>
        </w:rPr>
        <w:t xml:space="preserve">, connu une stabilité. Pour ce qui </w:t>
      </w:r>
      <w:r w:rsidRPr="00602C7C">
        <w:rPr>
          <w:rFonts w:eastAsia="Arial Unicode MS"/>
          <w:sz w:val="22"/>
          <w:szCs w:val="22"/>
        </w:rPr>
        <w:t>est du TUC, il se serait établi</w:t>
      </w:r>
      <w:r w:rsidR="003F0254">
        <w:rPr>
          <w:rFonts w:eastAsia="Arial Unicode MS"/>
          <w:sz w:val="22"/>
          <w:szCs w:val="22"/>
        </w:rPr>
        <w:t xml:space="preserve"> à</w:t>
      </w:r>
      <w:r w:rsidRPr="00602C7C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84</w:t>
      </w:r>
      <w:r w:rsidRPr="00602C7C">
        <w:rPr>
          <w:rFonts w:eastAsia="Arial Unicode MS"/>
          <w:sz w:val="22"/>
          <w:szCs w:val="22"/>
        </w:rPr>
        <w:t>%.</w:t>
      </w:r>
      <w:r w:rsidRPr="00FF24EF">
        <w:rPr>
          <w:rFonts w:eastAsia="Arial Unicode MS"/>
          <w:sz w:val="22"/>
          <w:szCs w:val="22"/>
        </w:rPr>
        <w:t xml:space="preserve"> </w:t>
      </w:r>
    </w:p>
    <w:p w:rsidR="0038590B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454991" w:rsidRDefault="0038590B" w:rsidP="008E04B8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4915DF">
        <w:rPr>
          <w:rFonts w:eastAsia="Arial Unicode MS"/>
          <w:sz w:val="22"/>
          <w:szCs w:val="22"/>
        </w:rPr>
        <w:t>En ce qui concerne le secteur de</w:t>
      </w:r>
      <w:r>
        <w:rPr>
          <w:rFonts w:eastAsia="Arial Unicode MS"/>
          <w:sz w:val="22"/>
          <w:szCs w:val="22"/>
        </w:rPr>
        <w:t xml:space="preserve"> </w:t>
      </w:r>
      <w:r w:rsidRPr="003C3C15">
        <w:rPr>
          <w:rFonts w:eastAsia="Arial Unicode MS"/>
          <w:b/>
          <w:bCs/>
          <w:color w:val="660033"/>
          <w:sz w:val="22"/>
          <w:szCs w:val="22"/>
        </w:rPr>
        <w:t>l’industrie énergétique</w:t>
      </w:r>
      <w:r w:rsidRPr="00454991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>la production aurait</w:t>
      </w:r>
      <w:r w:rsidR="00EF0EC6">
        <w:rPr>
          <w:rFonts w:eastAsia="Arial Unicode MS"/>
          <w:sz w:val="22"/>
          <w:szCs w:val="22"/>
        </w:rPr>
        <w:t xml:space="preserve">, </w:t>
      </w:r>
      <w:r w:rsidR="008E04B8">
        <w:rPr>
          <w:rFonts w:eastAsia="Arial Unicode MS"/>
          <w:sz w:val="22"/>
          <w:szCs w:val="22"/>
        </w:rPr>
        <w:t xml:space="preserve">selon la majorité des chefs d’entreprises, </w:t>
      </w:r>
      <w:r w:rsidR="00A13CF0">
        <w:rPr>
          <w:rFonts w:eastAsia="Arial Unicode MS"/>
          <w:sz w:val="22"/>
          <w:szCs w:val="22"/>
        </w:rPr>
        <w:t xml:space="preserve">subi </w:t>
      </w:r>
      <w:r>
        <w:rPr>
          <w:rFonts w:eastAsia="Arial Unicode MS"/>
          <w:sz w:val="22"/>
          <w:szCs w:val="22"/>
        </w:rPr>
        <w:t>une baisse</w:t>
      </w:r>
      <w:r w:rsidR="002A1960">
        <w:rPr>
          <w:rFonts w:eastAsia="Arial Unicode MS"/>
          <w:sz w:val="22"/>
          <w:szCs w:val="22"/>
        </w:rPr>
        <w:t xml:space="preserve"> due</w:t>
      </w:r>
      <w:r w:rsidR="00DD280D">
        <w:rPr>
          <w:rFonts w:eastAsia="Arial Unicode MS"/>
          <w:sz w:val="22"/>
          <w:szCs w:val="22"/>
        </w:rPr>
        <w:t xml:space="preserve"> </w:t>
      </w:r>
      <w:r w:rsidR="002A1960">
        <w:rPr>
          <w:rFonts w:eastAsia="Arial Unicode MS"/>
          <w:sz w:val="22"/>
          <w:szCs w:val="22"/>
        </w:rPr>
        <w:t xml:space="preserve">à </w:t>
      </w:r>
      <w:r>
        <w:rPr>
          <w:rFonts w:eastAsia="Arial Unicode MS"/>
          <w:sz w:val="22"/>
          <w:szCs w:val="22"/>
        </w:rPr>
        <w:t>une diminution de la « </w:t>
      </w:r>
      <w:r w:rsidRPr="004915DF">
        <w:rPr>
          <w:rFonts w:eastAsia="Arial Unicode MS"/>
          <w:sz w:val="22"/>
          <w:szCs w:val="22"/>
        </w:rPr>
        <w:t>Production et distribution d’électricité, de gaz, de vapeur et d’air conditionné</w:t>
      </w:r>
      <w:r>
        <w:rPr>
          <w:rFonts w:eastAsia="Arial Unicode MS"/>
          <w:sz w:val="22"/>
          <w:szCs w:val="22"/>
        </w:rPr>
        <w:t> ».</w:t>
      </w:r>
      <w:r w:rsidRPr="00454991">
        <w:rPr>
          <w:rFonts w:eastAsia="Arial Unicode MS"/>
          <w:sz w:val="22"/>
          <w:szCs w:val="22"/>
        </w:rPr>
        <w:t xml:space="preserve"> </w:t>
      </w:r>
    </w:p>
    <w:p w:rsidR="0038590B" w:rsidRDefault="0038590B" w:rsidP="00F463E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CE4CC1">
        <w:rPr>
          <w:rFonts w:eastAsia="Arial Unicode MS"/>
          <w:sz w:val="22"/>
          <w:szCs w:val="22"/>
        </w:rPr>
        <w:t>Quant au secteur de</w:t>
      </w:r>
      <w:r w:rsidRPr="00454991">
        <w:rPr>
          <w:rFonts w:eastAsia="Arial Unicode MS"/>
          <w:sz w:val="22"/>
          <w:szCs w:val="22"/>
        </w:rPr>
        <w:t xml:space="preserve"> </w:t>
      </w:r>
      <w:r w:rsidRPr="003C3C15">
        <w:rPr>
          <w:rFonts w:eastAsia="Arial Unicode MS"/>
          <w:b/>
          <w:bCs/>
          <w:color w:val="660033"/>
          <w:sz w:val="22"/>
          <w:szCs w:val="22"/>
        </w:rPr>
        <w:t>l’industrie environnementale</w:t>
      </w:r>
      <w:r w:rsidRPr="004915DF">
        <w:rPr>
          <w:rFonts w:eastAsia="Arial Unicode MS"/>
          <w:sz w:val="22"/>
          <w:szCs w:val="22"/>
        </w:rPr>
        <w:t>, la production aurait</w:t>
      </w:r>
      <w:r w:rsidR="00EF0EC6">
        <w:rPr>
          <w:rFonts w:eastAsia="Arial Unicode MS"/>
          <w:sz w:val="22"/>
          <w:szCs w:val="22"/>
        </w:rPr>
        <w:t xml:space="preserve">, selon 40% des chefs d’entreprises, </w:t>
      </w:r>
      <w:r w:rsidR="00A13CF0">
        <w:rPr>
          <w:rFonts w:eastAsia="Arial Unicode MS"/>
          <w:sz w:val="22"/>
          <w:szCs w:val="22"/>
        </w:rPr>
        <w:t>enregistré</w:t>
      </w:r>
      <w:r w:rsidR="00B974D5">
        <w:rPr>
          <w:rFonts w:eastAsia="Arial Unicode MS"/>
          <w:sz w:val="22"/>
          <w:szCs w:val="22"/>
        </w:rPr>
        <w:t xml:space="preserve"> </w:t>
      </w:r>
      <w:r w:rsidRPr="004915DF">
        <w:rPr>
          <w:rFonts w:eastAsia="Arial Unicode MS"/>
          <w:sz w:val="22"/>
          <w:szCs w:val="22"/>
        </w:rPr>
        <w:t>une</w:t>
      </w:r>
      <w:r>
        <w:rPr>
          <w:rFonts w:eastAsia="Arial Unicode MS"/>
          <w:sz w:val="22"/>
          <w:szCs w:val="22"/>
        </w:rPr>
        <w:t xml:space="preserve"> </w:t>
      </w:r>
      <w:r w:rsidR="00EF0EC6">
        <w:rPr>
          <w:rFonts w:eastAsia="Arial Unicode MS"/>
          <w:sz w:val="22"/>
          <w:szCs w:val="22"/>
        </w:rPr>
        <w:t>diminution</w:t>
      </w:r>
      <w:r w:rsidR="003F0254">
        <w:rPr>
          <w:rFonts w:eastAsia="Arial Unicode MS"/>
          <w:sz w:val="22"/>
          <w:szCs w:val="22"/>
        </w:rPr>
        <w:t xml:space="preserve"> qui serait </w:t>
      </w:r>
      <w:r w:rsidRPr="00801153">
        <w:rPr>
          <w:rFonts w:eastAsia="Arial Unicode MS"/>
          <w:sz w:val="22"/>
          <w:szCs w:val="22"/>
        </w:rPr>
        <w:t>imputable</w:t>
      </w:r>
      <w:r w:rsidRPr="004915DF">
        <w:rPr>
          <w:rFonts w:eastAsia="Arial Unicode MS"/>
          <w:sz w:val="22"/>
          <w:szCs w:val="22"/>
        </w:rPr>
        <w:t xml:space="preserve"> </w:t>
      </w:r>
      <w:r w:rsidR="00374017">
        <w:rPr>
          <w:rFonts w:eastAsia="Arial Unicode MS"/>
          <w:sz w:val="22"/>
          <w:szCs w:val="22"/>
        </w:rPr>
        <w:t>au recul</w:t>
      </w:r>
      <w:r w:rsidRPr="004915DF">
        <w:rPr>
          <w:rFonts w:eastAsia="Arial Unicode MS"/>
          <w:sz w:val="22"/>
          <w:szCs w:val="22"/>
        </w:rPr>
        <w:t xml:space="preserve"> d</w:t>
      </w:r>
      <w:r w:rsidR="00356D34">
        <w:rPr>
          <w:rFonts w:eastAsia="Arial Unicode MS"/>
          <w:sz w:val="22"/>
          <w:szCs w:val="22"/>
        </w:rPr>
        <w:t xml:space="preserve">'activité du </w:t>
      </w:r>
      <w:r w:rsidRPr="004915DF">
        <w:rPr>
          <w:rFonts w:eastAsia="Arial Unicode MS"/>
          <w:sz w:val="22"/>
          <w:szCs w:val="22"/>
        </w:rPr>
        <w:t>«</w:t>
      </w:r>
      <w:r>
        <w:rPr>
          <w:rFonts w:eastAsia="Arial Unicode MS"/>
          <w:sz w:val="22"/>
          <w:szCs w:val="22"/>
        </w:rPr>
        <w:t>Captage, traitement et distribution d’eau</w:t>
      </w:r>
      <w:r w:rsidRPr="004915DF">
        <w:rPr>
          <w:rFonts w:eastAsia="Arial Unicode MS"/>
          <w:sz w:val="22"/>
          <w:szCs w:val="22"/>
        </w:rPr>
        <w:t>»</w:t>
      </w:r>
      <w:r>
        <w:rPr>
          <w:rFonts w:eastAsia="Arial Unicode MS"/>
          <w:sz w:val="22"/>
          <w:szCs w:val="22"/>
        </w:rPr>
        <w:t>.</w:t>
      </w:r>
      <w:r w:rsidRPr="004915DF">
        <w:rPr>
          <w:rFonts w:eastAsia="Arial Unicode MS"/>
          <w:sz w:val="22"/>
          <w:szCs w:val="22"/>
        </w:rPr>
        <w:t xml:space="preserve"> </w:t>
      </w:r>
    </w:p>
    <w:p w:rsidR="009377FB" w:rsidRDefault="0038590B" w:rsidP="00F463E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Les carnets de commandes ont été jugés d’un niveau normal par la totalité des chefs d’entreprises des deux secteurs énergétique et environnemental. </w:t>
      </w:r>
      <w:r w:rsidR="003F0254">
        <w:rPr>
          <w:rFonts w:eastAsia="Arial Unicode MS"/>
          <w:sz w:val="22"/>
          <w:szCs w:val="22"/>
        </w:rPr>
        <w:t>L’e</w:t>
      </w:r>
      <w:r>
        <w:rPr>
          <w:rFonts w:eastAsia="Arial Unicode MS"/>
          <w:sz w:val="22"/>
          <w:szCs w:val="22"/>
        </w:rPr>
        <w:t>mploi</w:t>
      </w:r>
      <w:r w:rsidR="003F0254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aurait</w:t>
      </w:r>
      <w:r w:rsidR="003F0254">
        <w:rPr>
          <w:rFonts w:eastAsia="Arial Unicode MS"/>
          <w:sz w:val="22"/>
          <w:szCs w:val="22"/>
        </w:rPr>
        <w:t xml:space="preserve">, selon la majorité des patrons du secteur énergétique et plus du trois quarts des chefs d’entreprises du secteur environnemental, </w:t>
      </w:r>
      <w:r>
        <w:rPr>
          <w:rFonts w:eastAsia="Arial Unicode MS"/>
          <w:sz w:val="22"/>
          <w:szCs w:val="22"/>
        </w:rPr>
        <w:t xml:space="preserve">connu une hausse. </w:t>
      </w:r>
      <w:r w:rsidRPr="00801153">
        <w:rPr>
          <w:rFonts w:eastAsia="Arial Unicode MS"/>
          <w:sz w:val="22"/>
          <w:szCs w:val="22"/>
        </w:rPr>
        <w:t>Dans ces conditions, le TUC</w:t>
      </w:r>
      <w:r>
        <w:rPr>
          <w:rFonts w:eastAsia="Arial Unicode MS"/>
          <w:sz w:val="22"/>
          <w:szCs w:val="22"/>
        </w:rPr>
        <w:t xml:space="preserve"> se serait établi à 87% au </w:t>
      </w:r>
      <w:r w:rsidR="00535A84">
        <w:rPr>
          <w:rFonts w:eastAsia="Arial Unicode MS"/>
          <w:sz w:val="22"/>
          <w:szCs w:val="22"/>
        </w:rPr>
        <w:t>2</w:t>
      </w:r>
      <w:r w:rsidR="00500ACF" w:rsidRPr="00500ACF">
        <w:rPr>
          <w:rFonts w:eastAsia="Arial Unicode MS"/>
          <w:sz w:val="22"/>
          <w:szCs w:val="22"/>
          <w:vertAlign w:val="superscript"/>
        </w:rPr>
        <w:t>ème</w:t>
      </w:r>
      <w:r w:rsidR="00500ACF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trimestre 2016 pour l</w:t>
      </w:r>
      <w:r w:rsidR="00757AF5">
        <w:rPr>
          <w:rFonts w:eastAsia="Arial Unicode MS"/>
          <w:sz w:val="22"/>
          <w:szCs w:val="22"/>
        </w:rPr>
        <w:t xml:space="preserve">'industrie </w:t>
      </w:r>
      <w:r>
        <w:rPr>
          <w:rFonts w:eastAsia="Arial Unicode MS"/>
          <w:sz w:val="22"/>
          <w:szCs w:val="22"/>
        </w:rPr>
        <w:t xml:space="preserve">énergétique et à </w:t>
      </w:r>
      <w:r w:rsidR="00500ACF">
        <w:rPr>
          <w:rFonts w:eastAsia="Arial Unicode MS"/>
          <w:sz w:val="22"/>
          <w:szCs w:val="22"/>
        </w:rPr>
        <w:t>83</w:t>
      </w:r>
      <w:r>
        <w:rPr>
          <w:rFonts w:eastAsia="Arial Unicode MS"/>
          <w:sz w:val="22"/>
          <w:szCs w:val="22"/>
        </w:rPr>
        <w:t xml:space="preserve">% pour l’industrie environnementale.    </w:t>
      </w:r>
    </w:p>
    <w:p w:rsidR="009377FB" w:rsidRDefault="00D53B2F" w:rsidP="004B2E96">
      <w:pPr>
        <w:spacing w:after="120" w:line="276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-233045</wp:posOffset>
            </wp:positionH>
            <wp:positionV relativeFrom="margin">
              <wp:posOffset>5299710</wp:posOffset>
            </wp:positionV>
            <wp:extent cx="3009900" cy="2476500"/>
            <wp:effectExtent l="19050" t="0" r="0" b="0"/>
            <wp:wrapSquare wrapText="bothSides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00AC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5299710</wp:posOffset>
            </wp:positionV>
            <wp:extent cx="2943225" cy="2476500"/>
            <wp:effectExtent l="19050" t="0" r="0" b="0"/>
            <wp:wrapSquare wrapText="bothSides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F0BF1" w:rsidRDefault="000F0BF1" w:rsidP="009377FB">
      <w:pPr>
        <w:spacing w:after="120" w:line="276" w:lineRule="auto"/>
        <w:jc w:val="both"/>
        <w:rPr>
          <w:noProof/>
        </w:rPr>
      </w:pPr>
    </w:p>
    <w:p w:rsidR="000F0BF1" w:rsidRDefault="000F0BF1" w:rsidP="009377FB">
      <w:pPr>
        <w:spacing w:after="120" w:line="276" w:lineRule="auto"/>
        <w:jc w:val="both"/>
        <w:rPr>
          <w:noProof/>
        </w:rPr>
      </w:pPr>
    </w:p>
    <w:p w:rsidR="003F0254" w:rsidRDefault="003F0254" w:rsidP="009377FB">
      <w:pPr>
        <w:spacing w:after="120" w:line="276" w:lineRule="auto"/>
        <w:jc w:val="both"/>
        <w:rPr>
          <w:noProof/>
        </w:rPr>
      </w:pPr>
    </w:p>
    <w:p w:rsidR="003F0254" w:rsidRDefault="003F0254" w:rsidP="009377FB">
      <w:pPr>
        <w:spacing w:after="120" w:line="276" w:lineRule="auto"/>
        <w:jc w:val="both"/>
        <w:rPr>
          <w:noProof/>
        </w:rPr>
      </w:pPr>
    </w:p>
    <w:p w:rsidR="003F0254" w:rsidRDefault="003F0254" w:rsidP="009377FB">
      <w:pPr>
        <w:spacing w:after="120" w:line="276" w:lineRule="auto"/>
        <w:jc w:val="both"/>
        <w:rPr>
          <w:noProof/>
        </w:rPr>
      </w:pPr>
    </w:p>
    <w:p w:rsidR="003F0254" w:rsidRDefault="003F0254" w:rsidP="009377FB">
      <w:pPr>
        <w:spacing w:after="120" w:line="276" w:lineRule="auto"/>
        <w:jc w:val="both"/>
        <w:rPr>
          <w:noProof/>
        </w:rPr>
      </w:pPr>
    </w:p>
    <w:p w:rsidR="003F0254" w:rsidRDefault="003F0254" w:rsidP="009377FB">
      <w:pPr>
        <w:spacing w:after="120" w:line="276" w:lineRule="auto"/>
        <w:jc w:val="both"/>
        <w:rPr>
          <w:noProof/>
        </w:rPr>
      </w:pPr>
    </w:p>
    <w:p w:rsidR="00572FD7" w:rsidRPr="00F03C7C" w:rsidRDefault="003F0254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191770</wp:posOffset>
            </wp:positionV>
            <wp:extent cx="3219450" cy="2657475"/>
            <wp:effectExtent l="0" t="0" r="0" b="0"/>
            <wp:wrapSquare wrapText="bothSides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7E5AD3" w:rsidRDefault="007E5AD3" w:rsidP="007E5AD3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7E5AD3" w:rsidRPr="00801153" w:rsidRDefault="002A1960" w:rsidP="003F0254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="007E5AD3" w:rsidRPr="00D00354">
        <w:rPr>
          <w:rFonts w:eastAsia="Arial Unicode MS"/>
          <w:b/>
          <w:bCs/>
          <w:color w:val="660033"/>
          <w:sz w:val="22"/>
          <w:szCs w:val="22"/>
        </w:rPr>
        <w:t>l</w:t>
      </w:r>
      <w:r w:rsidR="007E5AD3">
        <w:rPr>
          <w:rFonts w:eastAsia="Arial Unicode MS"/>
          <w:b/>
          <w:bCs/>
          <w:color w:val="660033"/>
          <w:sz w:val="22"/>
          <w:szCs w:val="22"/>
        </w:rPr>
        <w:t>e secteur de l</w:t>
      </w:r>
      <w:r w:rsidR="007E5AD3"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 w:rsidR="007E5AD3" w:rsidRPr="00DD1D7B">
        <w:rPr>
          <w:rFonts w:eastAsia="Arial Unicode MS"/>
          <w:sz w:val="22"/>
          <w:szCs w:val="22"/>
        </w:rPr>
        <w:t xml:space="preserve">, l’activité aurait </w:t>
      </w:r>
      <w:r w:rsidR="003F0254" w:rsidRPr="00DD1D7B">
        <w:rPr>
          <w:rFonts w:eastAsia="Arial Unicode MS"/>
          <w:sz w:val="22"/>
          <w:szCs w:val="22"/>
        </w:rPr>
        <w:t xml:space="preserve">selon </w:t>
      </w:r>
      <w:r w:rsidR="003F0254">
        <w:rPr>
          <w:rFonts w:eastAsia="Arial Unicode MS"/>
          <w:sz w:val="22"/>
          <w:szCs w:val="22"/>
        </w:rPr>
        <w:t>34</w:t>
      </w:r>
      <w:r w:rsidR="003F0254" w:rsidRPr="00DD1D7B">
        <w:rPr>
          <w:rFonts w:eastAsia="Arial Unicode MS"/>
          <w:sz w:val="22"/>
          <w:szCs w:val="22"/>
        </w:rPr>
        <w:t xml:space="preserve">% des </w:t>
      </w:r>
      <w:r w:rsidR="003F0254" w:rsidRPr="00A13CF0">
        <w:rPr>
          <w:rFonts w:eastAsia="Arial Unicode MS"/>
          <w:sz w:val="22"/>
          <w:szCs w:val="22"/>
        </w:rPr>
        <w:t>patrons interviewés</w:t>
      </w:r>
      <w:r w:rsidR="003F0254">
        <w:rPr>
          <w:rFonts w:eastAsia="Arial Unicode MS"/>
          <w:sz w:val="22"/>
          <w:szCs w:val="22"/>
        </w:rPr>
        <w:t xml:space="preserve">, </w:t>
      </w:r>
      <w:r w:rsidR="00A13CF0">
        <w:rPr>
          <w:rFonts w:eastAsia="Arial Unicode MS"/>
          <w:sz w:val="22"/>
          <w:szCs w:val="22"/>
        </w:rPr>
        <w:t>affiché</w:t>
      </w:r>
      <w:r w:rsidR="003F0254">
        <w:rPr>
          <w:rFonts w:eastAsia="Arial Unicode MS"/>
          <w:sz w:val="22"/>
          <w:szCs w:val="22"/>
        </w:rPr>
        <w:t xml:space="preserve"> </w:t>
      </w:r>
      <w:r w:rsidR="007E5AD3" w:rsidRPr="00A13CF0">
        <w:rPr>
          <w:rFonts w:eastAsia="Arial Unicode MS"/>
          <w:sz w:val="22"/>
          <w:szCs w:val="22"/>
        </w:rPr>
        <w:t>une hausse</w:t>
      </w:r>
      <w:r w:rsidR="003F0254">
        <w:rPr>
          <w:rFonts w:eastAsia="Arial Unicode MS"/>
          <w:sz w:val="22"/>
          <w:szCs w:val="22"/>
        </w:rPr>
        <w:t xml:space="preserve"> et </w:t>
      </w:r>
      <w:r w:rsidR="00A13CF0" w:rsidRPr="00A13CF0">
        <w:rPr>
          <w:rFonts w:eastAsia="Arial Unicode MS"/>
          <w:sz w:val="22"/>
          <w:szCs w:val="22"/>
        </w:rPr>
        <w:t>selon 1</w:t>
      </w:r>
      <w:r w:rsidR="002D537A">
        <w:rPr>
          <w:rFonts w:eastAsia="Arial Unicode MS"/>
          <w:sz w:val="22"/>
          <w:szCs w:val="22"/>
        </w:rPr>
        <w:t>8</w:t>
      </w:r>
      <w:r w:rsidR="00A13CF0" w:rsidRPr="00A13CF0">
        <w:rPr>
          <w:rFonts w:eastAsia="Arial Unicode MS"/>
          <w:sz w:val="22"/>
          <w:szCs w:val="22"/>
        </w:rPr>
        <w:t>%</w:t>
      </w:r>
      <w:r w:rsidR="00A13CF0">
        <w:rPr>
          <w:rFonts w:eastAsia="Arial Unicode MS"/>
          <w:sz w:val="22"/>
          <w:szCs w:val="22"/>
        </w:rPr>
        <w:t xml:space="preserve"> </w:t>
      </w:r>
      <w:r w:rsidR="007E5AD3" w:rsidRPr="00A13CF0">
        <w:rPr>
          <w:rFonts w:eastAsia="Arial Unicode MS"/>
          <w:sz w:val="22"/>
          <w:szCs w:val="22"/>
        </w:rPr>
        <w:t xml:space="preserve">une baisse. Cette </w:t>
      </w:r>
      <w:r w:rsidR="007E5AD3">
        <w:rPr>
          <w:rFonts w:eastAsia="Arial Unicode MS"/>
          <w:sz w:val="22"/>
          <w:szCs w:val="22"/>
        </w:rPr>
        <w:t xml:space="preserve">légère </w:t>
      </w:r>
      <w:r w:rsidR="00A13CF0">
        <w:rPr>
          <w:rFonts w:eastAsia="Arial Unicode MS"/>
          <w:sz w:val="22"/>
          <w:szCs w:val="22"/>
        </w:rPr>
        <w:t xml:space="preserve">embellie </w:t>
      </w:r>
      <w:r w:rsidR="008B4895">
        <w:rPr>
          <w:rFonts w:eastAsia="Arial Unicode MS"/>
          <w:sz w:val="22"/>
          <w:szCs w:val="22"/>
        </w:rPr>
        <w:t xml:space="preserve">enregistrée au </w:t>
      </w:r>
      <w:r w:rsidR="00535A84">
        <w:rPr>
          <w:rFonts w:eastAsia="Arial Unicode MS"/>
          <w:sz w:val="22"/>
          <w:szCs w:val="22"/>
        </w:rPr>
        <w:t>2</w:t>
      </w:r>
      <w:r w:rsidR="00535A84" w:rsidRPr="002D537A">
        <w:rPr>
          <w:rFonts w:eastAsia="Arial Unicode MS"/>
          <w:sz w:val="22"/>
          <w:szCs w:val="22"/>
          <w:vertAlign w:val="superscript"/>
        </w:rPr>
        <w:t>ème</w:t>
      </w:r>
      <w:r w:rsidR="002D537A">
        <w:rPr>
          <w:rFonts w:eastAsia="Arial Unicode MS"/>
          <w:sz w:val="22"/>
          <w:szCs w:val="22"/>
        </w:rPr>
        <w:t xml:space="preserve"> </w:t>
      </w:r>
      <w:r w:rsidR="008B4895">
        <w:rPr>
          <w:rFonts w:eastAsia="Arial Unicode MS"/>
          <w:sz w:val="22"/>
          <w:szCs w:val="22"/>
        </w:rPr>
        <w:t xml:space="preserve">trimestre 2016, 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aurait </w:t>
      </w:r>
      <w:r w:rsidR="007E5AD3" w:rsidRPr="00801153">
        <w:rPr>
          <w:rFonts w:eastAsia="Arial Unicode MS"/>
          <w:color w:val="000000"/>
          <w:sz w:val="22"/>
          <w:szCs w:val="22"/>
        </w:rPr>
        <w:t xml:space="preserve">été principalement </w:t>
      </w:r>
      <w:r w:rsidR="00167B4D">
        <w:rPr>
          <w:rFonts w:eastAsia="Arial Unicode MS"/>
          <w:color w:val="000000"/>
          <w:sz w:val="22"/>
          <w:szCs w:val="22"/>
        </w:rPr>
        <w:t xml:space="preserve">le résultat  de </w:t>
      </w:r>
      <w:r w:rsidR="00947FC6">
        <w:rPr>
          <w:rFonts w:eastAsia="Arial Unicode MS"/>
          <w:color w:val="000000"/>
          <w:sz w:val="22"/>
          <w:szCs w:val="22"/>
        </w:rPr>
        <w:t xml:space="preserve">la </w:t>
      </w:r>
      <w:r w:rsidR="007E5AD3">
        <w:rPr>
          <w:rFonts w:eastAsia="Arial Unicode MS"/>
          <w:color w:val="000000"/>
          <w:sz w:val="22"/>
          <w:szCs w:val="22"/>
        </w:rPr>
        <w:t>hausse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 </w:t>
      </w:r>
      <w:r w:rsidR="007E5AD3">
        <w:rPr>
          <w:rFonts w:eastAsia="Arial Unicode MS"/>
          <w:color w:val="000000"/>
          <w:sz w:val="22"/>
          <w:szCs w:val="22"/>
        </w:rPr>
        <w:t>d’</w:t>
      </w:r>
      <w:r w:rsidR="007E5AD3" w:rsidRPr="00F75DAA">
        <w:rPr>
          <w:rFonts w:eastAsia="Arial Unicode MS"/>
          <w:color w:val="000000"/>
          <w:sz w:val="22"/>
          <w:szCs w:val="22"/>
        </w:rPr>
        <w:t>activité dans l</w:t>
      </w:r>
      <w:r w:rsidR="00A13CF0">
        <w:rPr>
          <w:rFonts w:eastAsia="Arial Unicode MS"/>
          <w:color w:val="000000"/>
          <w:sz w:val="22"/>
          <w:szCs w:val="22"/>
        </w:rPr>
        <w:t xml:space="preserve">es deux branches </w:t>
      </w:r>
      <w:r w:rsidR="00766520">
        <w:rPr>
          <w:rFonts w:eastAsia="Arial Unicode MS"/>
          <w:color w:val="000000"/>
          <w:sz w:val="22"/>
          <w:szCs w:val="22"/>
        </w:rPr>
        <w:t>des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 «</w:t>
      </w:r>
      <w:r w:rsidR="00766520">
        <w:rPr>
          <w:rFonts w:eastAsia="Arial Unicode MS"/>
          <w:color w:val="000000"/>
          <w:sz w:val="22"/>
          <w:szCs w:val="22"/>
        </w:rPr>
        <w:t>Travaux de construction spécialisés</w:t>
      </w:r>
      <w:r w:rsidR="007E5AD3" w:rsidRPr="00F75DAA">
        <w:rPr>
          <w:rFonts w:eastAsia="Arial Unicode MS"/>
          <w:color w:val="000000"/>
          <w:sz w:val="22"/>
          <w:szCs w:val="22"/>
        </w:rPr>
        <w:t>»</w:t>
      </w:r>
      <w:r w:rsidR="00A13CF0">
        <w:rPr>
          <w:rFonts w:eastAsia="Arial Unicode MS"/>
          <w:color w:val="000000"/>
          <w:sz w:val="22"/>
          <w:szCs w:val="22"/>
        </w:rPr>
        <w:t xml:space="preserve"> et d</w:t>
      </w:r>
      <w:r w:rsidR="00947FC6">
        <w:rPr>
          <w:rFonts w:eastAsia="Arial Unicode MS"/>
          <w:color w:val="000000"/>
          <w:sz w:val="22"/>
          <w:szCs w:val="22"/>
        </w:rPr>
        <w:t xml:space="preserve">e la </w:t>
      </w:r>
      <w:r w:rsidR="007E5AD3">
        <w:rPr>
          <w:rFonts w:eastAsia="Arial Unicode MS"/>
          <w:color w:val="000000"/>
          <w:sz w:val="22"/>
          <w:szCs w:val="22"/>
        </w:rPr>
        <w:t>«</w:t>
      </w:r>
      <w:r w:rsidR="00947FC6">
        <w:rPr>
          <w:rFonts w:eastAsia="Arial Unicode MS"/>
          <w:color w:val="000000"/>
          <w:sz w:val="22"/>
          <w:szCs w:val="22"/>
        </w:rPr>
        <w:t xml:space="preserve">Construction de </w:t>
      </w:r>
      <w:r w:rsidR="00CF6D85">
        <w:rPr>
          <w:rFonts w:eastAsia="Arial Unicode MS"/>
          <w:color w:val="000000"/>
          <w:sz w:val="22"/>
          <w:szCs w:val="22"/>
        </w:rPr>
        <w:t>Bâtiments</w:t>
      </w:r>
      <w:r w:rsidR="007E5AD3">
        <w:rPr>
          <w:rFonts w:eastAsia="Arial Unicode MS"/>
          <w:color w:val="000000"/>
          <w:sz w:val="22"/>
          <w:szCs w:val="22"/>
        </w:rPr>
        <w:t>».</w:t>
      </w:r>
    </w:p>
    <w:p w:rsidR="007E5AD3" w:rsidRPr="004915DF" w:rsidRDefault="007E5AD3" w:rsidP="007E5AD3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F95422" w:rsidRDefault="007E5AD3" w:rsidP="003F0254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La</w:t>
      </w:r>
      <w:r w:rsidRPr="00DD1D7B">
        <w:rPr>
          <w:rFonts w:eastAsia="Arial Unicode MS"/>
          <w:noProof/>
          <w:sz w:val="22"/>
          <w:szCs w:val="22"/>
        </w:rPr>
        <w:t xml:space="preserve"> situation des carnets de commande dans ce secteur a été jugée d’un niveau normal par </w:t>
      </w:r>
      <w:r>
        <w:rPr>
          <w:rFonts w:eastAsia="Arial Unicode MS"/>
          <w:noProof/>
          <w:sz w:val="22"/>
          <w:szCs w:val="22"/>
        </w:rPr>
        <w:t>64</w:t>
      </w:r>
      <w:r w:rsidRPr="00DD1D7B">
        <w:rPr>
          <w:rFonts w:eastAsia="Arial Unicode MS"/>
          <w:noProof/>
          <w:sz w:val="22"/>
          <w:szCs w:val="22"/>
        </w:rPr>
        <w:t xml:space="preserve">% des patrons et peu garnie par </w:t>
      </w:r>
      <w:r w:rsidR="00D6022B">
        <w:rPr>
          <w:rFonts w:eastAsia="Arial Unicode MS"/>
          <w:noProof/>
          <w:sz w:val="22"/>
          <w:szCs w:val="22"/>
        </w:rPr>
        <w:t>33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 w:rsidR="003F0254">
        <w:rPr>
          <w:rFonts w:eastAsia="Arial Unicode MS"/>
          <w:noProof/>
          <w:sz w:val="22"/>
          <w:szCs w:val="22"/>
        </w:rPr>
        <w:t>L’</w:t>
      </w:r>
      <w:r w:rsidRPr="00DD1D7B">
        <w:rPr>
          <w:rFonts w:eastAsia="Arial Unicode MS"/>
          <w:noProof/>
          <w:sz w:val="22"/>
          <w:szCs w:val="22"/>
        </w:rPr>
        <w:t>emploi</w:t>
      </w:r>
      <w:r w:rsidR="003F0254">
        <w:rPr>
          <w:rFonts w:eastAsia="Arial Unicode MS"/>
          <w:noProof/>
          <w:sz w:val="22"/>
          <w:szCs w:val="22"/>
        </w:rPr>
        <w:t xml:space="preserve"> aurait, selon 57% des patrons, connu </w:t>
      </w:r>
      <w:r w:rsidRPr="00DD1D7B">
        <w:rPr>
          <w:rFonts w:eastAsia="Arial Unicode MS"/>
          <w:noProof/>
          <w:sz w:val="22"/>
          <w:szCs w:val="22"/>
        </w:rPr>
        <w:t>une stabilité. Dans ce contexte, le taux d’utilisation de la capac</w:t>
      </w:r>
      <w:r>
        <w:rPr>
          <w:rFonts w:eastAsia="Arial Unicode MS"/>
          <w:noProof/>
          <w:sz w:val="22"/>
          <w:szCs w:val="22"/>
        </w:rPr>
        <w:t xml:space="preserve">ité productive (TUC) se serait </w:t>
      </w:r>
      <w:r w:rsidRPr="00DD1D7B">
        <w:rPr>
          <w:rFonts w:eastAsia="Arial Unicode MS"/>
          <w:noProof/>
          <w:sz w:val="22"/>
          <w:szCs w:val="22"/>
        </w:rPr>
        <w:t xml:space="preserve">établi à </w:t>
      </w:r>
      <w:r>
        <w:rPr>
          <w:rFonts w:eastAsia="Arial Unicode MS"/>
          <w:noProof/>
          <w:sz w:val="22"/>
          <w:szCs w:val="22"/>
        </w:rPr>
        <w:t>6</w:t>
      </w:r>
      <w:r w:rsidR="00D6022B">
        <w:rPr>
          <w:rFonts w:eastAsia="Arial Unicode MS"/>
          <w:noProof/>
          <w:sz w:val="22"/>
          <w:szCs w:val="22"/>
        </w:rPr>
        <w:t>2</w:t>
      </w:r>
      <w:r>
        <w:rPr>
          <w:rFonts w:eastAsia="Arial Unicode MS"/>
          <w:noProof/>
          <w:sz w:val="22"/>
          <w:szCs w:val="22"/>
        </w:rPr>
        <w:t>%</w:t>
      </w:r>
      <w:r w:rsidRPr="00DD1D7B">
        <w:rPr>
          <w:rFonts w:eastAsia="Arial Unicode MS"/>
          <w:noProof/>
          <w:sz w:val="22"/>
          <w:szCs w:val="22"/>
        </w:rPr>
        <w:t xml:space="preserve"> </w:t>
      </w:r>
      <w:r>
        <w:rPr>
          <w:rFonts w:eastAsia="Arial Unicode MS"/>
          <w:noProof/>
          <w:sz w:val="22"/>
          <w:szCs w:val="22"/>
        </w:rPr>
        <w:t xml:space="preserve">au </w:t>
      </w:r>
      <w:r w:rsidR="00535A84">
        <w:rPr>
          <w:rFonts w:eastAsia="Arial Unicode MS"/>
          <w:sz w:val="22"/>
          <w:szCs w:val="22"/>
        </w:rPr>
        <w:t>2</w:t>
      </w:r>
      <w:r w:rsidR="00535A84" w:rsidRPr="00D6022B">
        <w:rPr>
          <w:rFonts w:eastAsia="Arial Unicode MS"/>
          <w:sz w:val="22"/>
          <w:szCs w:val="22"/>
          <w:vertAlign w:val="superscript"/>
        </w:rPr>
        <w:t>ème</w:t>
      </w:r>
      <w:r w:rsidR="00D6022B">
        <w:rPr>
          <w:rFonts w:eastAsia="Arial Unicode MS"/>
          <w:sz w:val="22"/>
          <w:szCs w:val="22"/>
        </w:rPr>
        <w:t xml:space="preserve"> </w:t>
      </w:r>
      <w:r w:rsidRPr="002E1737">
        <w:rPr>
          <w:rFonts w:eastAsia="Arial Unicode MS"/>
          <w:sz w:val="22"/>
          <w:szCs w:val="22"/>
        </w:rPr>
        <w:t>trimestre 201</w:t>
      </w:r>
      <w:r>
        <w:rPr>
          <w:rFonts w:eastAsia="Arial Unicode MS"/>
          <w:sz w:val="22"/>
          <w:szCs w:val="22"/>
        </w:rPr>
        <w:t>6</w:t>
      </w:r>
      <w:r w:rsidRPr="00DD1D7B">
        <w:rPr>
          <w:rFonts w:eastAsia="Arial Unicode MS"/>
          <w:noProof/>
          <w:sz w:val="22"/>
          <w:szCs w:val="22"/>
        </w:rPr>
        <w:t>.</w:t>
      </w:r>
    </w:p>
    <w:p w:rsidR="0001021C" w:rsidRDefault="00F95422" w:rsidP="00F95422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</w:p>
    <w:p w:rsidR="007E5AD3" w:rsidRDefault="007E5AD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2E1737" w:rsidP="004B2E96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535A8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3ème</w:t>
      </w:r>
      <w:r w:rsidR="0074436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CE3CE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F03C7C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AF11D6" w:rsidRDefault="002B1448" w:rsidP="00404176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2881630</wp:posOffset>
            </wp:positionH>
            <wp:positionV relativeFrom="margin">
              <wp:posOffset>4192270</wp:posOffset>
            </wp:positionV>
            <wp:extent cx="3257550" cy="3038475"/>
            <wp:effectExtent l="0" t="0" r="0" b="0"/>
            <wp:wrapSquare wrapText="bothSides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F11D6" w:rsidRPr="00FF24EF">
        <w:rPr>
          <w:rFonts w:eastAsia="Arial Unicode MS"/>
          <w:sz w:val="22"/>
          <w:szCs w:val="22"/>
        </w:rPr>
        <w:t xml:space="preserve">La production </w:t>
      </w:r>
      <w:r w:rsidR="00AF11D6" w:rsidRPr="000E589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AF11D6">
        <w:rPr>
          <w:rFonts w:eastAsia="Arial Unicode MS"/>
          <w:sz w:val="22"/>
          <w:szCs w:val="22"/>
        </w:rPr>
        <w:t xml:space="preserve"> </w:t>
      </w:r>
      <w:r w:rsidR="00AF11D6" w:rsidRPr="00583A84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AF11D6">
        <w:rPr>
          <w:rFonts w:eastAsia="Arial Unicode MS"/>
          <w:sz w:val="22"/>
          <w:szCs w:val="22"/>
        </w:rPr>
        <w:t xml:space="preserve"> anticipée</w:t>
      </w:r>
      <w:r w:rsidR="00AF11D6" w:rsidRPr="00FF24EF">
        <w:rPr>
          <w:rFonts w:eastAsia="Arial Unicode MS"/>
          <w:sz w:val="22"/>
          <w:szCs w:val="22"/>
        </w:rPr>
        <w:t xml:space="preserve"> pour le </w:t>
      </w:r>
      <w:r w:rsidR="006D09D7">
        <w:rPr>
          <w:rFonts w:eastAsia="Arial Unicode MS"/>
          <w:sz w:val="22"/>
          <w:szCs w:val="22"/>
        </w:rPr>
        <w:t>3</w:t>
      </w:r>
      <w:r w:rsidR="006D09D7" w:rsidRPr="006D09D7">
        <w:rPr>
          <w:rFonts w:eastAsia="Arial Unicode MS"/>
          <w:sz w:val="22"/>
          <w:szCs w:val="22"/>
          <w:vertAlign w:val="superscript"/>
        </w:rPr>
        <w:t>ème</w:t>
      </w:r>
      <w:r w:rsidR="00AF11D6" w:rsidRPr="00DC0356">
        <w:rPr>
          <w:rFonts w:eastAsia="Arial Unicode MS"/>
          <w:sz w:val="22"/>
          <w:szCs w:val="22"/>
        </w:rPr>
        <w:t xml:space="preserve"> </w:t>
      </w:r>
      <w:r w:rsidR="00AF11D6" w:rsidRPr="00FF24EF">
        <w:rPr>
          <w:rFonts w:eastAsia="Arial Unicode MS"/>
          <w:sz w:val="22"/>
          <w:szCs w:val="22"/>
        </w:rPr>
        <w:t>t</w:t>
      </w:r>
      <w:r w:rsidR="00AF11D6">
        <w:rPr>
          <w:rFonts w:eastAsia="Arial Unicode MS"/>
          <w:sz w:val="22"/>
          <w:szCs w:val="22"/>
        </w:rPr>
        <w:t xml:space="preserve">rimestre 2016 devrait </w:t>
      </w:r>
      <w:r w:rsidR="00947FC6">
        <w:rPr>
          <w:rFonts w:eastAsia="Arial Unicode MS"/>
          <w:sz w:val="22"/>
          <w:szCs w:val="22"/>
        </w:rPr>
        <w:t>enregistrer</w:t>
      </w:r>
      <w:r w:rsidR="00167B4D">
        <w:rPr>
          <w:rFonts w:eastAsia="Arial Unicode MS"/>
          <w:sz w:val="22"/>
          <w:szCs w:val="22"/>
        </w:rPr>
        <w:t xml:space="preserve">, selon 43% des patrons, </w:t>
      </w:r>
      <w:r w:rsidR="00E734FE">
        <w:rPr>
          <w:rFonts w:eastAsia="Arial Unicode MS"/>
          <w:sz w:val="22"/>
          <w:szCs w:val="22"/>
        </w:rPr>
        <w:t xml:space="preserve">une stagnation </w:t>
      </w:r>
      <w:r w:rsidR="00167B4D">
        <w:rPr>
          <w:rFonts w:eastAsia="Arial Unicode MS"/>
          <w:sz w:val="22"/>
          <w:szCs w:val="22"/>
        </w:rPr>
        <w:t xml:space="preserve">qui serait due à </w:t>
      </w:r>
      <w:r w:rsidR="00E734FE">
        <w:rPr>
          <w:rFonts w:eastAsia="Arial Unicode MS"/>
          <w:sz w:val="22"/>
          <w:szCs w:val="22"/>
        </w:rPr>
        <w:t xml:space="preserve">la hausse </w:t>
      </w:r>
      <w:r w:rsidR="00167B4D">
        <w:rPr>
          <w:rFonts w:eastAsia="Arial Unicode MS"/>
          <w:sz w:val="22"/>
          <w:szCs w:val="22"/>
        </w:rPr>
        <w:t xml:space="preserve">d’activité </w:t>
      </w:r>
      <w:r w:rsidR="00E734FE">
        <w:rPr>
          <w:rFonts w:eastAsia="Arial Unicode MS"/>
          <w:sz w:val="22"/>
          <w:szCs w:val="22"/>
        </w:rPr>
        <w:t>au niveau des « </w:t>
      </w:r>
      <w:r w:rsidR="00E734FE" w:rsidRPr="00E734FE">
        <w:rPr>
          <w:rFonts w:eastAsia="Arial Unicode MS"/>
          <w:sz w:val="22"/>
          <w:szCs w:val="22"/>
        </w:rPr>
        <w:t>Industries alimentaires</w:t>
      </w:r>
      <w:r w:rsidR="00E734FE">
        <w:rPr>
          <w:rFonts w:eastAsia="Arial Unicode MS"/>
          <w:sz w:val="22"/>
          <w:szCs w:val="22"/>
        </w:rPr>
        <w:t> » et de « </w:t>
      </w:r>
      <w:r w:rsidR="00E734FE" w:rsidRPr="00E734FE">
        <w:rPr>
          <w:rFonts w:eastAsia="Arial Unicode MS"/>
          <w:sz w:val="22"/>
          <w:szCs w:val="22"/>
        </w:rPr>
        <w:t>Fabrication de produits métalliques, à l’exception des machines et des équipements</w:t>
      </w:r>
      <w:r w:rsidR="00E734FE">
        <w:rPr>
          <w:rFonts w:eastAsia="Arial Unicode MS"/>
          <w:sz w:val="22"/>
          <w:szCs w:val="22"/>
        </w:rPr>
        <w:t xml:space="preserve"> » et </w:t>
      </w:r>
      <w:r w:rsidR="00167B4D">
        <w:rPr>
          <w:rFonts w:eastAsia="Arial Unicode MS"/>
          <w:sz w:val="22"/>
          <w:szCs w:val="22"/>
        </w:rPr>
        <w:t xml:space="preserve">à </w:t>
      </w:r>
      <w:r w:rsidR="00E734FE">
        <w:rPr>
          <w:rFonts w:eastAsia="Arial Unicode MS"/>
          <w:sz w:val="22"/>
          <w:szCs w:val="22"/>
        </w:rPr>
        <w:t xml:space="preserve">la baisse </w:t>
      </w:r>
      <w:r w:rsidR="00167B4D">
        <w:rPr>
          <w:rFonts w:eastAsia="Arial Unicode MS"/>
          <w:sz w:val="22"/>
          <w:szCs w:val="22"/>
        </w:rPr>
        <w:t>d</w:t>
      </w:r>
      <w:r w:rsidR="00404176">
        <w:rPr>
          <w:rFonts w:eastAsia="Arial Unicode MS"/>
          <w:sz w:val="22"/>
          <w:szCs w:val="22"/>
        </w:rPr>
        <w:t xml:space="preserve">’activité </w:t>
      </w:r>
      <w:r w:rsidR="00E734FE">
        <w:rPr>
          <w:rFonts w:eastAsia="Arial Unicode MS"/>
          <w:sz w:val="22"/>
          <w:szCs w:val="22"/>
        </w:rPr>
        <w:t>au niveau de la « </w:t>
      </w:r>
      <w:r w:rsidR="00E734FE" w:rsidRPr="00E734FE">
        <w:rPr>
          <w:rFonts w:eastAsia="Arial Unicode MS"/>
          <w:sz w:val="22"/>
          <w:szCs w:val="22"/>
        </w:rPr>
        <w:t>Fabrication d'autres produits minéraux non métalliques</w:t>
      </w:r>
      <w:r w:rsidR="00167B4D">
        <w:rPr>
          <w:rFonts w:eastAsia="Arial Unicode MS"/>
          <w:sz w:val="22"/>
          <w:szCs w:val="22"/>
        </w:rPr>
        <w:t> »</w:t>
      </w:r>
      <w:r w:rsidR="00E734FE">
        <w:rPr>
          <w:rFonts w:eastAsia="Arial Unicode MS"/>
          <w:sz w:val="22"/>
          <w:szCs w:val="22"/>
        </w:rPr>
        <w:t>.</w:t>
      </w:r>
      <w:r w:rsidR="00AF11D6" w:rsidRPr="00FF24EF">
        <w:rPr>
          <w:rFonts w:eastAsia="Arial Unicode MS"/>
          <w:sz w:val="22"/>
          <w:szCs w:val="22"/>
        </w:rPr>
        <w:t xml:space="preserve"> </w:t>
      </w:r>
      <w:r w:rsidR="003F0254">
        <w:rPr>
          <w:rFonts w:eastAsia="Arial Unicode MS"/>
          <w:sz w:val="22"/>
          <w:szCs w:val="22"/>
        </w:rPr>
        <w:t xml:space="preserve">En outre, </w:t>
      </w:r>
      <w:r w:rsidR="002B5BF0">
        <w:rPr>
          <w:rFonts w:eastAsia="Arial Unicode MS"/>
          <w:sz w:val="22"/>
          <w:szCs w:val="22"/>
        </w:rPr>
        <w:t>25</w:t>
      </w:r>
      <w:r w:rsidR="002A1960" w:rsidRPr="00FF24EF">
        <w:rPr>
          <w:rFonts w:eastAsia="Arial Unicode MS"/>
          <w:sz w:val="22"/>
          <w:szCs w:val="22"/>
        </w:rPr>
        <w:t xml:space="preserve">% des chefs d’entreprises prévoient une </w:t>
      </w:r>
      <w:r w:rsidR="002A1960">
        <w:rPr>
          <w:rFonts w:eastAsia="Arial Unicode MS"/>
          <w:sz w:val="22"/>
          <w:szCs w:val="22"/>
        </w:rPr>
        <w:t>hausse</w:t>
      </w:r>
      <w:r w:rsidR="002A1960" w:rsidRPr="00FF24EF">
        <w:rPr>
          <w:rFonts w:eastAsia="Arial Unicode MS"/>
          <w:sz w:val="22"/>
          <w:szCs w:val="22"/>
        </w:rPr>
        <w:t xml:space="preserve"> des effectifs </w:t>
      </w:r>
      <w:r w:rsidR="003F0254">
        <w:rPr>
          <w:rFonts w:eastAsia="Arial Unicode MS"/>
          <w:sz w:val="22"/>
          <w:szCs w:val="22"/>
        </w:rPr>
        <w:t xml:space="preserve">employés contre </w:t>
      </w:r>
      <w:r w:rsidR="002B5BF0">
        <w:rPr>
          <w:rFonts w:eastAsia="Arial Unicode MS"/>
          <w:sz w:val="22"/>
          <w:szCs w:val="22"/>
        </w:rPr>
        <w:t>31</w:t>
      </w:r>
      <w:r w:rsidR="002A1960" w:rsidRPr="00FF24EF">
        <w:rPr>
          <w:rFonts w:eastAsia="Arial Unicode MS"/>
          <w:sz w:val="22"/>
          <w:szCs w:val="22"/>
        </w:rPr>
        <w:t xml:space="preserve">% </w:t>
      </w:r>
      <w:r w:rsidR="002A1960" w:rsidRPr="002A1960">
        <w:rPr>
          <w:rFonts w:eastAsia="Arial Unicode MS"/>
          <w:sz w:val="22"/>
          <w:szCs w:val="22"/>
        </w:rPr>
        <w:t>anticip</w:t>
      </w:r>
      <w:r w:rsidR="003F0254">
        <w:rPr>
          <w:rFonts w:eastAsia="Arial Unicode MS"/>
          <w:sz w:val="22"/>
          <w:szCs w:val="22"/>
        </w:rPr>
        <w:t>a</w:t>
      </w:r>
      <w:r w:rsidR="002A1960" w:rsidRPr="002A1960">
        <w:rPr>
          <w:rFonts w:eastAsia="Arial Unicode MS"/>
          <w:sz w:val="22"/>
          <w:szCs w:val="22"/>
        </w:rPr>
        <w:t>nt,</w:t>
      </w:r>
      <w:r w:rsidR="002A1960">
        <w:rPr>
          <w:rFonts w:eastAsia="Arial Unicode MS"/>
          <w:sz w:val="22"/>
          <w:szCs w:val="22"/>
        </w:rPr>
        <w:t xml:space="preserve"> plutôt, </w:t>
      </w:r>
      <w:r w:rsidR="002A1960" w:rsidRPr="00FF24EF">
        <w:rPr>
          <w:rFonts w:eastAsia="Arial Unicode MS"/>
          <w:sz w:val="22"/>
          <w:szCs w:val="22"/>
        </w:rPr>
        <w:t xml:space="preserve">une </w:t>
      </w:r>
      <w:r w:rsidR="002A1960">
        <w:rPr>
          <w:rFonts w:eastAsia="Arial Unicode MS"/>
          <w:sz w:val="22"/>
          <w:szCs w:val="22"/>
        </w:rPr>
        <w:t>baisse</w:t>
      </w:r>
      <w:r w:rsidR="002A1960" w:rsidRPr="00FF24EF">
        <w:rPr>
          <w:rFonts w:eastAsia="Arial Unicode MS"/>
          <w:sz w:val="22"/>
          <w:szCs w:val="22"/>
        </w:rPr>
        <w:t xml:space="preserve"> pour le </w:t>
      </w:r>
      <w:r w:rsidR="002B5BF0">
        <w:rPr>
          <w:rFonts w:eastAsia="Arial Unicode MS"/>
          <w:sz w:val="22"/>
          <w:szCs w:val="22"/>
        </w:rPr>
        <w:t>3</w:t>
      </w:r>
      <w:r w:rsidR="002B5BF0" w:rsidRPr="002B5BF0">
        <w:rPr>
          <w:rFonts w:eastAsia="Arial Unicode MS"/>
          <w:sz w:val="22"/>
          <w:szCs w:val="22"/>
          <w:vertAlign w:val="superscript"/>
        </w:rPr>
        <w:t>ème</w:t>
      </w:r>
      <w:r w:rsidR="002B5BF0">
        <w:rPr>
          <w:rFonts w:eastAsia="Arial Unicode MS"/>
          <w:sz w:val="22"/>
          <w:szCs w:val="22"/>
        </w:rPr>
        <w:t xml:space="preserve"> </w:t>
      </w:r>
      <w:r w:rsidR="00757AF5">
        <w:rPr>
          <w:rFonts w:eastAsia="Arial Unicode MS"/>
          <w:sz w:val="22"/>
          <w:szCs w:val="22"/>
        </w:rPr>
        <w:t xml:space="preserve"> </w:t>
      </w:r>
      <w:r w:rsidR="002A1960" w:rsidRPr="00FF24EF">
        <w:rPr>
          <w:rFonts w:eastAsia="Arial Unicode MS"/>
          <w:sz w:val="22"/>
          <w:szCs w:val="22"/>
        </w:rPr>
        <w:t xml:space="preserve">trimestre </w:t>
      </w:r>
      <w:r w:rsidR="002A1960">
        <w:rPr>
          <w:rFonts w:eastAsia="Arial Unicode MS"/>
          <w:sz w:val="22"/>
          <w:szCs w:val="22"/>
        </w:rPr>
        <w:t>2016</w:t>
      </w:r>
      <w:r w:rsidR="00AF11D6" w:rsidRPr="00FF24EF">
        <w:rPr>
          <w:rFonts w:eastAsia="Arial Unicode MS"/>
          <w:sz w:val="22"/>
          <w:szCs w:val="22"/>
        </w:rPr>
        <w:t>.</w:t>
      </w:r>
    </w:p>
    <w:p w:rsidR="002A1960" w:rsidRDefault="002A1960" w:rsidP="00167B4D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Pr="00FF24EF">
        <w:rPr>
          <w:rFonts w:eastAsia="Arial Unicode MS"/>
          <w:sz w:val="22"/>
          <w:szCs w:val="22"/>
        </w:rPr>
        <w:t>le secteur de</w:t>
      </w:r>
      <w:r w:rsidR="00167B4D">
        <w:rPr>
          <w:rFonts w:eastAsia="Arial Unicode MS"/>
          <w:sz w:val="22"/>
          <w:szCs w:val="22"/>
        </w:rPr>
        <w:t>s</w:t>
      </w:r>
      <w:r w:rsidRPr="00FF24EF">
        <w:rPr>
          <w:rFonts w:eastAsia="Arial Unicode MS"/>
          <w:sz w:val="22"/>
          <w:szCs w:val="22"/>
        </w:rPr>
        <w:t xml:space="preserve"> </w:t>
      </w:r>
      <w:r w:rsidR="00167B4D">
        <w:rPr>
          <w:rFonts w:eastAsia="Arial Unicode MS"/>
          <w:b/>
          <w:bCs/>
          <w:color w:val="660033"/>
          <w:sz w:val="22"/>
          <w:szCs w:val="22"/>
        </w:rPr>
        <w:t>mines</w:t>
      </w:r>
      <w:r>
        <w:rPr>
          <w:rFonts w:eastAsia="Arial Unicode MS"/>
          <w:b/>
          <w:bCs/>
          <w:color w:val="660033"/>
          <w:sz w:val="22"/>
          <w:szCs w:val="22"/>
        </w:rPr>
        <w:t>,</w:t>
      </w:r>
      <w:r w:rsidRPr="00FF24EF">
        <w:rPr>
          <w:rFonts w:eastAsia="Arial Unicode MS"/>
          <w:sz w:val="22"/>
          <w:szCs w:val="22"/>
        </w:rPr>
        <w:t xml:space="preserve"> </w:t>
      </w:r>
      <w:r w:rsidRPr="002A1960">
        <w:rPr>
          <w:rFonts w:eastAsia="Arial Unicode MS"/>
          <w:sz w:val="22"/>
          <w:szCs w:val="22"/>
        </w:rPr>
        <w:t xml:space="preserve">les anticipations de la majorité des patrons révèlent une hausse de la production pour le </w:t>
      </w:r>
      <w:r w:rsidR="00535A84">
        <w:rPr>
          <w:rFonts w:eastAsia="Arial Unicode MS"/>
          <w:sz w:val="22"/>
          <w:szCs w:val="22"/>
        </w:rPr>
        <w:t>3</w:t>
      </w:r>
      <w:r w:rsidR="002B5BF0" w:rsidRPr="002B5BF0">
        <w:rPr>
          <w:rFonts w:eastAsia="Arial Unicode MS"/>
          <w:sz w:val="22"/>
          <w:szCs w:val="22"/>
          <w:vertAlign w:val="superscript"/>
        </w:rPr>
        <w:t>ème</w:t>
      </w:r>
      <w:r w:rsidR="002B5BF0">
        <w:rPr>
          <w:rFonts w:eastAsia="Arial Unicode MS"/>
          <w:sz w:val="22"/>
          <w:szCs w:val="22"/>
        </w:rPr>
        <w:t xml:space="preserve"> </w:t>
      </w:r>
      <w:r w:rsidRPr="002A1960">
        <w:rPr>
          <w:rFonts w:eastAsia="Arial Unicode MS"/>
          <w:sz w:val="22"/>
          <w:szCs w:val="22"/>
        </w:rPr>
        <w:t xml:space="preserve"> trimestre 2016,</w:t>
      </w:r>
      <w:r w:rsidRPr="00FF24EF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imputable</w:t>
      </w:r>
      <w:r>
        <w:rPr>
          <w:rFonts w:eastAsia="Arial Unicode MS"/>
          <w:sz w:val="22"/>
          <w:szCs w:val="22"/>
        </w:rPr>
        <w:t xml:space="preserve"> </w:t>
      </w:r>
      <w:r w:rsidR="00167B4D">
        <w:rPr>
          <w:rFonts w:eastAsia="Arial Unicode MS"/>
          <w:sz w:val="22"/>
          <w:szCs w:val="22"/>
        </w:rPr>
        <w:t xml:space="preserve">principalement </w:t>
      </w:r>
      <w:r>
        <w:rPr>
          <w:rFonts w:eastAsia="Arial Unicode MS"/>
          <w:sz w:val="22"/>
          <w:szCs w:val="22"/>
        </w:rPr>
        <w:t>à</w:t>
      </w:r>
      <w:r w:rsidRPr="00FF24EF">
        <w:rPr>
          <w:rFonts w:eastAsia="Arial Unicode MS"/>
          <w:sz w:val="22"/>
          <w:szCs w:val="22"/>
        </w:rPr>
        <w:t xml:space="preserve"> une </w:t>
      </w:r>
      <w:r>
        <w:rPr>
          <w:rFonts w:eastAsia="Arial Unicode MS"/>
          <w:sz w:val="22"/>
          <w:szCs w:val="22"/>
        </w:rPr>
        <w:t>amélioration</w:t>
      </w:r>
      <w:r w:rsidRPr="00FF24EF">
        <w:rPr>
          <w:rFonts w:eastAsia="Arial Unicode MS"/>
          <w:sz w:val="22"/>
          <w:szCs w:val="22"/>
        </w:rPr>
        <w:t xml:space="preserve"> de la production </w:t>
      </w:r>
      <w:r>
        <w:rPr>
          <w:rFonts w:eastAsia="Arial Unicode MS"/>
          <w:sz w:val="22"/>
          <w:szCs w:val="22"/>
        </w:rPr>
        <w:t>des phosphates. Au niveau des effectifs employés, 9</w:t>
      </w:r>
      <w:r w:rsidR="002B5BF0">
        <w:rPr>
          <w:rFonts w:eastAsia="Arial Unicode MS"/>
          <w:sz w:val="22"/>
          <w:szCs w:val="22"/>
        </w:rPr>
        <w:t>6</w:t>
      </w:r>
      <w:r>
        <w:rPr>
          <w:rFonts w:eastAsia="Arial Unicode MS"/>
          <w:sz w:val="22"/>
          <w:szCs w:val="22"/>
        </w:rPr>
        <w:t xml:space="preserve">% des patrons </w:t>
      </w:r>
      <w:r w:rsidRPr="002A1960">
        <w:rPr>
          <w:rFonts w:eastAsia="Arial Unicode MS"/>
          <w:sz w:val="22"/>
          <w:szCs w:val="22"/>
        </w:rPr>
        <w:t>prévoient</w:t>
      </w:r>
      <w:r>
        <w:rPr>
          <w:rFonts w:eastAsia="Arial Unicode MS"/>
          <w:sz w:val="22"/>
          <w:szCs w:val="22"/>
        </w:rPr>
        <w:t xml:space="preserve"> une stabilité.</w:t>
      </w:r>
    </w:p>
    <w:p w:rsidR="00AF11D6" w:rsidRDefault="00AF11D6" w:rsidP="00F463ED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801153">
        <w:rPr>
          <w:rFonts w:eastAsia="Arial Unicode MS"/>
          <w:sz w:val="22"/>
          <w:szCs w:val="22"/>
        </w:rPr>
        <w:t>S’agissant de</w:t>
      </w:r>
      <w:r>
        <w:rPr>
          <w:rFonts w:eastAsia="Arial Unicode MS"/>
          <w:sz w:val="22"/>
          <w:szCs w:val="22"/>
        </w:rPr>
        <w:t xml:space="preserve"> </w:t>
      </w:r>
      <w:r w:rsidRPr="007E71EE">
        <w:rPr>
          <w:rFonts w:eastAsia="Arial Unicode MS"/>
          <w:b/>
          <w:bCs/>
          <w:color w:val="660033"/>
          <w:sz w:val="22"/>
          <w:szCs w:val="22"/>
        </w:rPr>
        <w:t xml:space="preserve">l’industrie énergétique, </w:t>
      </w:r>
      <w:r w:rsidRPr="007E71EE">
        <w:rPr>
          <w:rFonts w:eastAsia="Arial Unicode MS"/>
          <w:sz w:val="22"/>
          <w:szCs w:val="22"/>
        </w:rPr>
        <w:t xml:space="preserve">et selon </w:t>
      </w:r>
      <w:r w:rsidR="002B5BF0">
        <w:rPr>
          <w:rFonts w:eastAsia="Arial Unicode MS"/>
          <w:sz w:val="22"/>
          <w:szCs w:val="22"/>
        </w:rPr>
        <w:t>plus du trois quart</w:t>
      </w:r>
      <w:r w:rsidR="006403D8">
        <w:rPr>
          <w:rFonts w:eastAsia="Arial Unicode MS"/>
          <w:sz w:val="22"/>
          <w:szCs w:val="22"/>
        </w:rPr>
        <w:t>s</w:t>
      </w:r>
      <w:r w:rsidRPr="007E71EE">
        <w:rPr>
          <w:rFonts w:eastAsia="Arial Unicode MS"/>
          <w:sz w:val="22"/>
          <w:szCs w:val="22"/>
        </w:rPr>
        <w:t xml:space="preserve"> des chefs d’entreprises</w:t>
      </w:r>
      <w:r>
        <w:rPr>
          <w:rFonts w:eastAsia="Arial Unicode MS"/>
          <w:sz w:val="22"/>
          <w:szCs w:val="22"/>
        </w:rPr>
        <w:t>,</w:t>
      </w:r>
      <w:r w:rsidRPr="007E71EE">
        <w:rPr>
          <w:rFonts w:eastAsia="Arial Unicode MS"/>
          <w:sz w:val="22"/>
          <w:szCs w:val="22"/>
        </w:rPr>
        <w:t xml:space="preserve"> la production connaîtrait une </w:t>
      </w:r>
      <w:r w:rsidR="00167B4D">
        <w:rPr>
          <w:rFonts w:eastAsia="Arial Unicode MS"/>
          <w:sz w:val="22"/>
          <w:szCs w:val="22"/>
        </w:rPr>
        <w:t xml:space="preserve">augmentation </w:t>
      </w:r>
      <w:r>
        <w:rPr>
          <w:rFonts w:eastAsia="Arial Unicode MS"/>
          <w:sz w:val="22"/>
          <w:szCs w:val="22"/>
        </w:rPr>
        <w:t>due à</w:t>
      </w:r>
      <w:r w:rsidRPr="007E71EE">
        <w:rPr>
          <w:rFonts w:eastAsia="Arial Unicode MS"/>
          <w:sz w:val="22"/>
          <w:szCs w:val="22"/>
        </w:rPr>
        <w:t xml:space="preserve"> une </w:t>
      </w:r>
      <w:r>
        <w:rPr>
          <w:rFonts w:eastAsia="Arial Unicode MS"/>
          <w:sz w:val="22"/>
          <w:szCs w:val="22"/>
        </w:rPr>
        <w:t>amélioration</w:t>
      </w:r>
      <w:r w:rsidRPr="007E71EE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conditionné». Pour </w:t>
      </w:r>
      <w:r w:rsidRPr="007E71EE">
        <w:rPr>
          <w:rFonts w:eastAsia="Arial Unicode MS"/>
          <w:b/>
          <w:bCs/>
          <w:color w:val="660033"/>
          <w:sz w:val="22"/>
          <w:szCs w:val="22"/>
        </w:rPr>
        <w:t>l’industrie environnementale,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6403D8">
        <w:rPr>
          <w:rFonts w:eastAsia="Arial Unicode MS"/>
          <w:sz w:val="22"/>
          <w:szCs w:val="22"/>
        </w:rPr>
        <w:t xml:space="preserve">56% </w:t>
      </w:r>
      <w:r w:rsidRPr="007E71EE">
        <w:rPr>
          <w:rFonts w:eastAsia="Arial Unicode MS"/>
          <w:sz w:val="22"/>
          <w:szCs w:val="22"/>
        </w:rPr>
        <w:t xml:space="preserve">des industriels prévoient </w:t>
      </w:r>
      <w:r>
        <w:rPr>
          <w:rFonts w:eastAsia="Arial Unicode MS"/>
          <w:sz w:val="22"/>
          <w:szCs w:val="22"/>
        </w:rPr>
        <w:t>une stagnation</w:t>
      </w:r>
      <w:r w:rsidRPr="007E71EE">
        <w:rPr>
          <w:rFonts w:eastAsia="Arial Unicode MS"/>
          <w:sz w:val="22"/>
          <w:szCs w:val="22"/>
        </w:rPr>
        <w:t xml:space="preserve"> de la production</w:t>
      </w:r>
      <w:r>
        <w:rPr>
          <w:rFonts w:eastAsia="Arial Unicode MS"/>
          <w:sz w:val="22"/>
          <w:szCs w:val="22"/>
        </w:rPr>
        <w:t>,</w:t>
      </w:r>
      <w:r w:rsidRPr="007E71EE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notamment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dans le</w:t>
      </w:r>
      <w:r>
        <w:rPr>
          <w:rFonts w:eastAsia="Arial Unicode MS"/>
          <w:sz w:val="22"/>
          <w:szCs w:val="22"/>
        </w:rPr>
        <w:t>s activités du «Captage, traitement et distribution d’eau</w:t>
      </w:r>
      <w:r w:rsidRPr="007E71EE">
        <w:rPr>
          <w:rFonts w:eastAsia="Arial Unicode MS"/>
          <w:sz w:val="22"/>
          <w:szCs w:val="22"/>
        </w:rPr>
        <w:t xml:space="preserve">». </w:t>
      </w:r>
      <w:r w:rsidR="00295A6C">
        <w:rPr>
          <w:rFonts w:eastAsia="Arial Unicode MS"/>
          <w:sz w:val="22"/>
          <w:szCs w:val="22"/>
        </w:rPr>
        <w:t>L’</w:t>
      </w:r>
      <w:r>
        <w:rPr>
          <w:rFonts w:eastAsia="Arial Unicode MS"/>
          <w:sz w:val="22"/>
          <w:szCs w:val="22"/>
        </w:rPr>
        <w:t>emploi</w:t>
      </w:r>
      <w:r w:rsidR="00295A6C">
        <w:rPr>
          <w:rFonts w:eastAsia="Arial Unicode MS"/>
          <w:sz w:val="22"/>
          <w:szCs w:val="22"/>
        </w:rPr>
        <w:t xml:space="preserve"> </w:t>
      </w:r>
      <w:r w:rsidR="006403D8">
        <w:rPr>
          <w:rFonts w:eastAsia="Arial Unicode MS"/>
          <w:sz w:val="22"/>
          <w:szCs w:val="22"/>
        </w:rPr>
        <w:t xml:space="preserve">connaitrait une hausse </w:t>
      </w:r>
      <w:r w:rsidR="00167B4D">
        <w:rPr>
          <w:rFonts w:eastAsia="Arial Unicode MS"/>
          <w:sz w:val="22"/>
          <w:szCs w:val="22"/>
        </w:rPr>
        <w:t xml:space="preserve">et ce, </w:t>
      </w:r>
      <w:r w:rsidR="006403D8">
        <w:rPr>
          <w:rFonts w:eastAsia="Arial Unicode MS"/>
          <w:sz w:val="22"/>
          <w:szCs w:val="22"/>
        </w:rPr>
        <w:t>d’après la majorité des patrons du secteur énergétique et plus d</w:t>
      </w:r>
      <w:r w:rsidR="00167B4D">
        <w:rPr>
          <w:rFonts w:eastAsia="Arial Unicode MS"/>
          <w:sz w:val="22"/>
          <w:szCs w:val="22"/>
        </w:rPr>
        <w:t xml:space="preserve">es </w:t>
      </w:r>
      <w:r w:rsidR="006403D8">
        <w:rPr>
          <w:rFonts w:eastAsia="Arial Unicode MS"/>
          <w:sz w:val="22"/>
          <w:szCs w:val="22"/>
        </w:rPr>
        <w:t>trois quarts des chefs d’entreprises du secteur environnemental</w:t>
      </w:r>
      <w:r w:rsidR="00295A6C">
        <w:rPr>
          <w:rFonts w:eastAsia="Arial Unicode MS"/>
          <w:sz w:val="22"/>
          <w:szCs w:val="22"/>
        </w:rPr>
        <w:t>.</w:t>
      </w:r>
    </w:p>
    <w:p w:rsidR="00F81A11" w:rsidRPr="00F03C7C" w:rsidRDefault="0033375A" w:rsidP="000F71D1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D4D3E" w:rsidRDefault="00295A6C" w:rsidP="00FB275D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2834005</wp:posOffset>
            </wp:positionH>
            <wp:positionV relativeFrom="margin">
              <wp:posOffset>391795</wp:posOffset>
            </wp:positionV>
            <wp:extent cx="3086100" cy="2552700"/>
            <wp:effectExtent l="0" t="0" r="0" b="0"/>
            <wp:wrapSquare wrapText="bothSides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757AF5">
        <w:rPr>
          <w:rFonts w:eastAsia="Arial Unicode MS"/>
          <w:sz w:val="22"/>
          <w:szCs w:val="22"/>
        </w:rPr>
        <w:t>L</w:t>
      </w:r>
      <w:r w:rsidR="00757AF5" w:rsidRPr="00AF11D6">
        <w:rPr>
          <w:rFonts w:eastAsia="Arial Unicode MS"/>
          <w:sz w:val="22"/>
          <w:szCs w:val="22"/>
        </w:rPr>
        <w:t xml:space="preserve">es anticipations avancées </w:t>
      </w:r>
      <w:r w:rsidR="00757AF5">
        <w:rPr>
          <w:rFonts w:eastAsia="Arial Unicode MS"/>
          <w:sz w:val="22"/>
          <w:szCs w:val="22"/>
        </w:rPr>
        <w:t xml:space="preserve">pour </w:t>
      </w:r>
      <w:r w:rsidR="00AF11D6" w:rsidRPr="00AF11D6">
        <w:rPr>
          <w:rFonts w:eastAsia="Arial Unicode MS"/>
          <w:sz w:val="22"/>
          <w:szCs w:val="22"/>
        </w:rPr>
        <w:t xml:space="preserve">le secteur de </w:t>
      </w:r>
      <w:r w:rsidR="00AF11D6"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AF11D6" w:rsidRPr="00AF11D6">
        <w:rPr>
          <w:rFonts w:eastAsia="Arial Unicode MS"/>
          <w:sz w:val="22"/>
          <w:szCs w:val="22"/>
        </w:rPr>
        <w:t xml:space="preserve">, </w:t>
      </w:r>
      <w:r w:rsidR="00757AF5">
        <w:rPr>
          <w:rFonts w:eastAsia="Arial Unicode MS"/>
          <w:sz w:val="22"/>
          <w:szCs w:val="22"/>
        </w:rPr>
        <w:t xml:space="preserve">au </w:t>
      </w:r>
      <w:r w:rsidR="00FB275D">
        <w:rPr>
          <w:rFonts w:eastAsia="Arial Unicode MS"/>
          <w:sz w:val="22"/>
          <w:szCs w:val="22"/>
        </w:rPr>
        <w:t>3</w:t>
      </w:r>
      <w:r w:rsidR="00FB275D" w:rsidRPr="00FB275D">
        <w:rPr>
          <w:rFonts w:eastAsia="Arial Unicode MS"/>
          <w:sz w:val="22"/>
          <w:szCs w:val="22"/>
          <w:vertAlign w:val="superscript"/>
        </w:rPr>
        <w:t>ème</w:t>
      </w:r>
      <w:r w:rsidR="00FB275D">
        <w:rPr>
          <w:rFonts w:eastAsia="Arial Unicode MS"/>
          <w:sz w:val="22"/>
          <w:szCs w:val="22"/>
        </w:rPr>
        <w:t xml:space="preserve"> </w:t>
      </w:r>
      <w:r w:rsidR="00AF11D6" w:rsidRPr="00AF11D6">
        <w:rPr>
          <w:rFonts w:eastAsia="Arial Unicode MS"/>
          <w:sz w:val="22"/>
          <w:szCs w:val="22"/>
        </w:rPr>
        <w:t xml:space="preserve">trimestre 2016, font ressortir, globalement, une </w:t>
      </w:r>
      <w:r w:rsidR="00FB275D">
        <w:rPr>
          <w:rFonts w:eastAsia="Arial Unicode MS"/>
          <w:sz w:val="22"/>
          <w:szCs w:val="22"/>
        </w:rPr>
        <w:t>stabilité</w:t>
      </w:r>
      <w:r w:rsidR="00AF11D6" w:rsidRPr="00AF11D6">
        <w:rPr>
          <w:rFonts w:eastAsia="Arial Unicode MS"/>
          <w:sz w:val="22"/>
          <w:szCs w:val="22"/>
        </w:rPr>
        <w:t xml:space="preserve"> de l’activité. </w:t>
      </w:r>
    </w:p>
    <w:p w:rsidR="008D4D3E" w:rsidRDefault="00AF11D6" w:rsidP="00167B4D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AF11D6">
        <w:rPr>
          <w:rFonts w:eastAsia="Arial Unicode MS"/>
          <w:sz w:val="22"/>
          <w:szCs w:val="22"/>
        </w:rPr>
        <w:t xml:space="preserve">Cette </w:t>
      </w:r>
      <w:r w:rsidR="00FB275D">
        <w:rPr>
          <w:rFonts w:eastAsia="Arial Unicode MS"/>
          <w:sz w:val="22"/>
          <w:szCs w:val="22"/>
        </w:rPr>
        <w:t>stabilité</w:t>
      </w:r>
      <w:r w:rsidRPr="00AF11D6">
        <w:rPr>
          <w:rFonts w:eastAsia="Arial Unicode MS"/>
          <w:sz w:val="22"/>
          <w:szCs w:val="22"/>
        </w:rPr>
        <w:t xml:space="preserve"> résulterait de l’effet conjugué de la hausse d’activité prévue au niveau des activités de</w:t>
      </w:r>
      <w:r w:rsidR="00947FC6">
        <w:rPr>
          <w:rFonts w:eastAsia="Arial Unicode MS"/>
          <w:sz w:val="22"/>
          <w:szCs w:val="22"/>
        </w:rPr>
        <w:t xml:space="preserve">s branches </w:t>
      </w:r>
      <w:r w:rsidRPr="00AF11D6">
        <w:rPr>
          <w:rFonts w:eastAsia="Arial Unicode MS"/>
          <w:sz w:val="22"/>
          <w:szCs w:val="22"/>
        </w:rPr>
        <w:t>des « Travaux de construction</w:t>
      </w:r>
      <w:r w:rsidR="00FB275D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>spécialisés »</w:t>
      </w:r>
      <w:r w:rsidR="001F73EE">
        <w:rPr>
          <w:rFonts w:eastAsia="Arial Unicode MS"/>
          <w:sz w:val="22"/>
          <w:szCs w:val="22"/>
        </w:rPr>
        <w:t xml:space="preserve"> et </w:t>
      </w:r>
      <w:r w:rsidR="00167B4D">
        <w:rPr>
          <w:rFonts w:eastAsia="Arial Unicode MS"/>
          <w:sz w:val="22"/>
          <w:szCs w:val="22"/>
        </w:rPr>
        <w:t xml:space="preserve">de </w:t>
      </w:r>
      <w:r w:rsidR="001F73EE">
        <w:rPr>
          <w:rFonts w:eastAsia="Arial Unicode MS"/>
          <w:sz w:val="22"/>
          <w:szCs w:val="22"/>
        </w:rPr>
        <w:t xml:space="preserve">la </w:t>
      </w:r>
      <w:r w:rsidR="00167B4D">
        <w:rPr>
          <w:rFonts w:eastAsia="Arial Unicode MS"/>
          <w:sz w:val="22"/>
          <w:szCs w:val="22"/>
        </w:rPr>
        <w:t xml:space="preserve">baisse </w:t>
      </w:r>
      <w:r w:rsidR="001F73EE">
        <w:rPr>
          <w:rFonts w:eastAsia="Arial Unicode MS"/>
          <w:sz w:val="22"/>
          <w:szCs w:val="22"/>
        </w:rPr>
        <w:t xml:space="preserve">d’activité </w:t>
      </w:r>
      <w:r w:rsidR="00167B4D">
        <w:rPr>
          <w:rFonts w:eastAsia="Arial Unicode MS"/>
          <w:sz w:val="22"/>
          <w:szCs w:val="22"/>
        </w:rPr>
        <w:t xml:space="preserve">ressentie </w:t>
      </w:r>
      <w:r w:rsidR="001F73EE">
        <w:rPr>
          <w:rFonts w:eastAsia="Arial Unicode MS"/>
          <w:sz w:val="22"/>
          <w:szCs w:val="22"/>
        </w:rPr>
        <w:t xml:space="preserve">au niveau des activités des branches </w:t>
      </w:r>
      <w:r w:rsidR="00FB275D">
        <w:rPr>
          <w:rFonts w:eastAsia="Arial Unicode MS"/>
          <w:sz w:val="22"/>
          <w:szCs w:val="22"/>
        </w:rPr>
        <w:t xml:space="preserve">de la </w:t>
      </w:r>
      <w:r w:rsidR="00FB275D" w:rsidRPr="00AF11D6">
        <w:rPr>
          <w:rFonts w:eastAsia="Arial Unicode MS"/>
          <w:sz w:val="22"/>
          <w:szCs w:val="22"/>
        </w:rPr>
        <w:t>«</w:t>
      </w:r>
      <w:r w:rsidR="001F73EE">
        <w:rPr>
          <w:rFonts w:eastAsia="Arial Unicode MS"/>
          <w:sz w:val="22"/>
          <w:szCs w:val="22"/>
        </w:rPr>
        <w:t> Construction de Bâtiments » et « </w:t>
      </w:r>
      <w:r w:rsidR="001F73EE" w:rsidRPr="001F73EE">
        <w:rPr>
          <w:rFonts w:eastAsia="Arial Unicode MS"/>
          <w:sz w:val="22"/>
          <w:szCs w:val="22"/>
        </w:rPr>
        <w:t>Génie civil</w:t>
      </w:r>
      <w:r w:rsidR="001F73EE">
        <w:rPr>
          <w:rFonts w:eastAsia="Arial Unicode MS"/>
          <w:sz w:val="22"/>
          <w:szCs w:val="22"/>
        </w:rPr>
        <w:t> ».</w:t>
      </w:r>
    </w:p>
    <w:p w:rsidR="00AF11D6" w:rsidRDefault="00AF11D6" w:rsidP="00604007">
      <w:pPr>
        <w:spacing w:after="120" w:line="300" w:lineRule="exact"/>
        <w:jc w:val="both"/>
        <w:rPr>
          <w:color w:val="000000"/>
        </w:rPr>
      </w:pPr>
      <w:r w:rsidRPr="00AF11D6">
        <w:rPr>
          <w:rFonts w:eastAsia="Arial Unicode MS"/>
          <w:sz w:val="22"/>
          <w:szCs w:val="22"/>
        </w:rPr>
        <w:t xml:space="preserve">Cette </w:t>
      </w:r>
      <w:r w:rsidR="00604007">
        <w:rPr>
          <w:rFonts w:eastAsia="Arial Unicode MS"/>
          <w:sz w:val="22"/>
          <w:szCs w:val="22"/>
        </w:rPr>
        <w:t>stagnation</w:t>
      </w:r>
      <w:r w:rsidR="00947FC6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 xml:space="preserve">serait accompagnée par une quasi-stabilité des effectifs employés pour </w:t>
      </w:r>
      <w:r w:rsidR="00604007">
        <w:rPr>
          <w:rFonts w:eastAsia="Arial Unicode MS"/>
          <w:sz w:val="22"/>
          <w:szCs w:val="22"/>
        </w:rPr>
        <w:t>57</w:t>
      </w:r>
      <w:r w:rsidRPr="00AF11D6">
        <w:rPr>
          <w:rFonts w:eastAsia="Arial Unicode MS"/>
          <w:sz w:val="22"/>
          <w:szCs w:val="22"/>
        </w:rPr>
        <w:t>% des chefs d’entreprises.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D42230">
      <w:footerReference w:type="default" r:id="rId18"/>
      <w:footerReference w:type="first" r:id="rId19"/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C4" w:rsidRDefault="00683CC4">
      <w:r>
        <w:separator/>
      </w:r>
    </w:p>
  </w:endnote>
  <w:endnote w:type="continuationSeparator" w:id="0">
    <w:p w:rsidR="00683CC4" w:rsidRDefault="0068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4D" w:rsidRDefault="00DD391E">
    <w:pPr>
      <w:pStyle w:val="Pieddepage"/>
      <w:jc w:val="center"/>
    </w:pPr>
    <w:fldSimple w:instr=" PAGE   \* MERGEFORMAT ">
      <w:r w:rsidR="00167B4D">
        <w:rPr>
          <w:noProof/>
        </w:rPr>
        <w:t>1</w:t>
      </w:r>
    </w:fldSimple>
  </w:p>
  <w:p w:rsidR="00167B4D" w:rsidRDefault="00167B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4D" w:rsidRPr="007E64AF" w:rsidRDefault="00167B4D" w:rsidP="007E64A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4D" w:rsidRDefault="00DD391E">
    <w:pPr>
      <w:pStyle w:val="Pieddepage"/>
      <w:jc w:val="center"/>
    </w:pPr>
    <w:fldSimple w:instr=" PAGE   \* MERGEFORMAT ">
      <w:r w:rsidR="00167B4D">
        <w:rPr>
          <w:noProof/>
        </w:rPr>
        <w:t>1</w:t>
      </w:r>
    </w:fldSimple>
  </w:p>
  <w:p w:rsidR="00167B4D" w:rsidRDefault="00167B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C4" w:rsidRDefault="00683CC4">
      <w:r>
        <w:separator/>
      </w:r>
    </w:p>
  </w:footnote>
  <w:footnote w:type="continuationSeparator" w:id="0">
    <w:p w:rsidR="00683CC4" w:rsidRDefault="00683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" o:bullet="t">
        <v:imagedata r:id="rId1" o:title="mso164"/>
      </v:shape>
    </w:pict>
  </w:numPicBullet>
  <w:numPicBullet w:numPicBulletId="1">
    <w:pict>
      <v:shape id="_x0000_i1029" type="#_x0000_t75" style="width:10.85pt;height:10.85pt" o:bullet="t">
        <v:imagedata r:id="rId2" o:title="msoAD26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6861"/>
    <w:rsid w:val="00006DD3"/>
    <w:rsid w:val="0001021C"/>
    <w:rsid w:val="00013E44"/>
    <w:rsid w:val="00014315"/>
    <w:rsid w:val="000275EF"/>
    <w:rsid w:val="00031605"/>
    <w:rsid w:val="0003329C"/>
    <w:rsid w:val="00043D21"/>
    <w:rsid w:val="00053F91"/>
    <w:rsid w:val="000554EE"/>
    <w:rsid w:val="000625B3"/>
    <w:rsid w:val="00074098"/>
    <w:rsid w:val="0007624B"/>
    <w:rsid w:val="00084B71"/>
    <w:rsid w:val="00086874"/>
    <w:rsid w:val="000A2AE4"/>
    <w:rsid w:val="000B1D9D"/>
    <w:rsid w:val="000B2A3E"/>
    <w:rsid w:val="000B3925"/>
    <w:rsid w:val="000B5B84"/>
    <w:rsid w:val="000B6C46"/>
    <w:rsid w:val="000D4A9A"/>
    <w:rsid w:val="000E1335"/>
    <w:rsid w:val="000E5893"/>
    <w:rsid w:val="000E76B0"/>
    <w:rsid w:val="000F0BF1"/>
    <w:rsid w:val="000F6813"/>
    <w:rsid w:val="000F71D1"/>
    <w:rsid w:val="00100AF5"/>
    <w:rsid w:val="0010285F"/>
    <w:rsid w:val="00106C12"/>
    <w:rsid w:val="00123B0E"/>
    <w:rsid w:val="001245E1"/>
    <w:rsid w:val="00127090"/>
    <w:rsid w:val="00130063"/>
    <w:rsid w:val="001308D6"/>
    <w:rsid w:val="00131EDC"/>
    <w:rsid w:val="00133AA7"/>
    <w:rsid w:val="00135176"/>
    <w:rsid w:val="00137652"/>
    <w:rsid w:val="0014114C"/>
    <w:rsid w:val="00144168"/>
    <w:rsid w:val="00151644"/>
    <w:rsid w:val="0015197C"/>
    <w:rsid w:val="001575EB"/>
    <w:rsid w:val="00157A43"/>
    <w:rsid w:val="00160B9E"/>
    <w:rsid w:val="00164075"/>
    <w:rsid w:val="00167B4D"/>
    <w:rsid w:val="0017017D"/>
    <w:rsid w:val="001724B1"/>
    <w:rsid w:val="0017323F"/>
    <w:rsid w:val="00186F4B"/>
    <w:rsid w:val="00193033"/>
    <w:rsid w:val="00193417"/>
    <w:rsid w:val="00196035"/>
    <w:rsid w:val="001A1553"/>
    <w:rsid w:val="001A2AA6"/>
    <w:rsid w:val="001B0372"/>
    <w:rsid w:val="001B3EBA"/>
    <w:rsid w:val="001B5764"/>
    <w:rsid w:val="001B65A8"/>
    <w:rsid w:val="001C3920"/>
    <w:rsid w:val="001D119E"/>
    <w:rsid w:val="001D6519"/>
    <w:rsid w:val="001D69A9"/>
    <w:rsid w:val="001E0DAC"/>
    <w:rsid w:val="001F19C6"/>
    <w:rsid w:val="001F2033"/>
    <w:rsid w:val="001F3599"/>
    <w:rsid w:val="001F6BEB"/>
    <w:rsid w:val="001F73EE"/>
    <w:rsid w:val="00203FD6"/>
    <w:rsid w:val="0020594A"/>
    <w:rsid w:val="00206659"/>
    <w:rsid w:val="00210EFA"/>
    <w:rsid w:val="00215236"/>
    <w:rsid w:val="002164FB"/>
    <w:rsid w:val="0022299E"/>
    <w:rsid w:val="00233459"/>
    <w:rsid w:val="00236B5B"/>
    <w:rsid w:val="002559DF"/>
    <w:rsid w:val="00256291"/>
    <w:rsid w:val="00257C74"/>
    <w:rsid w:val="00260217"/>
    <w:rsid w:val="00265A87"/>
    <w:rsid w:val="002668FE"/>
    <w:rsid w:val="002760BD"/>
    <w:rsid w:val="002770BB"/>
    <w:rsid w:val="00281414"/>
    <w:rsid w:val="00283E97"/>
    <w:rsid w:val="00286F23"/>
    <w:rsid w:val="00290BF8"/>
    <w:rsid w:val="00292557"/>
    <w:rsid w:val="00295A6C"/>
    <w:rsid w:val="002A1960"/>
    <w:rsid w:val="002A7221"/>
    <w:rsid w:val="002B1448"/>
    <w:rsid w:val="002B5BF0"/>
    <w:rsid w:val="002D38C3"/>
    <w:rsid w:val="002D3BD2"/>
    <w:rsid w:val="002D537A"/>
    <w:rsid w:val="002E1737"/>
    <w:rsid w:val="002E750F"/>
    <w:rsid w:val="002F3FB3"/>
    <w:rsid w:val="002F5C54"/>
    <w:rsid w:val="002F7B54"/>
    <w:rsid w:val="003027A9"/>
    <w:rsid w:val="00302E80"/>
    <w:rsid w:val="00304F3F"/>
    <w:rsid w:val="00305B12"/>
    <w:rsid w:val="0030605C"/>
    <w:rsid w:val="00306CBC"/>
    <w:rsid w:val="00307146"/>
    <w:rsid w:val="003121A0"/>
    <w:rsid w:val="00312DB8"/>
    <w:rsid w:val="00313123"/>
    <w:rsid w:val="00314191"/>
    <w:rsid w:val="003329F7"/>
    <w:rsid w:val="0033375A"/>
    <w:rsid w:val="00334763"/>
    <w:rsid w:val="0034613F"/>
    <w:rsid w:val="00351D4C"/>
    <w:rsid w:val="00356D34"/>
    <w:rsid w:val="00365978"/>
    <w:rsid w:val="0036616B"/>
    <w:rsid w:val="00374017"/>
    <w:rsid w:val="00377B93"/>
    <w:rsid w:val="00383327"/>
    <w:rsid w:val="0038590B"/>
    <w:rsid w:val="0039671A"/>
    <w:rsid w:val="003A2CE4"/>
    <w:rsid w:val="003B5F82"/>
    <w:rsid w:val="003B6532"/>
    <w:rsid w:val="003B7C9A"/>
    <w:rsid w:val="003C1B70"/>
    <w:rsid w:val="003C3C15"/>
    <w:rsid w:val="003D0B92"/>
    <w:rsid w:val="003D68CD"/>
    <w:rsid w:val="003D76E8"/>
    <w:rsid w:val="003E208A"/>
    <w:rsid w:val="003E37F2"/>
    <w:rsid w:val="003E4FE1"/>
    <w:rsid w:val="003F0254"/>
    <w:rsid w:val="003F28EA"/>
    <w:rsid w:val="003F7BFE"/>
    <w:rsid w:val="00404176"/>
    <w:rsid w:val="00405781"/>
    <w:rsid w:val="004249F6"/>
    <w:rsid w:val="00431972"/>
    <w:rsid w:val="00434088"/>
    <w:rsid w:val="00435B96"/>
    <w:rsid w:val="00436AE5"/>
    <w:rsid w:val="0044331A"/>
    <w:rsid w:val="00446DB7"/>
    <w:rsid w:val="00454991"/>
    <w:rsid w:val="00456E49"/>
    <w:rsid w:val="004659F5"/>
    <w:rsid w:val="00470F06"/>
    <w:rsid w:val="0047233F"/>
    <w:rsid w:val="00474E89"/>
    <w:rsid w:val="00480B1C"/>
    <w:rsid w:val="00483758"/>
    <w:rsid w:val="00484898"/>
    <w:rsid w:val="00484E8D"/>
    <w:rsid w:val="004910D9"/>
    <w:rsid w:val="004915DF"/>
    <w:rsid w:val="00491F4E"/>
    <w:rsid w:val="004A1B02"/>
    <w:rsid w:val="004A2AD5"/>
    <w:rsid w:val="004A7EF1"/>
    <w:rsid w:val="004B2E96"/>
    <w:rsid w:val="004B411A"/>
    <w:rsid w:val="004C7838"/>
    <w:rsid w:val="004D4CBB"/>
    <w:rsid w:val="004E20CC"/>
    <w:rsid w:val="004E2DD7"/>
    <w:rsid w:val="004E59A5"/>
    <w:rsid w:val="004E5E98"/>
    <w:rsid w:val="004E6E15"/>
    <w:rsid w:val="004F3556"/>
    <w:rsid w:val="00500ACF"/>
    <w:rsid w:val="00502528"/>
    <w:rsid w:val="00505AD5"/>
    <w:rsid w:val="00506785"/>
    <w:rsid w:val="00513024"/>
    <w:rsid w:val="005142A8"/>
    <w:rsid w:val="00514D14"/>
    <w:rsid w:val="00530796"/>
    <w:rsid w:val="00532B0F"/>
    <w:rsid w:val="005337B6"/>
    <w:rsid w:val="00533D55"/>
    <w:rsid w:val="00535A84"/>
    <w:rsid w:val="00537897"/>
    <w:rsid w:val="00541C46"/>
    <w:rsid w:val="00544B7F"/>
    <w:rsid w:val="00557213"/>
    <w:rsid w:val="005573F0"/>
    <w:rsid w:val="00572FD7"/>
    <w:rsid w:val="00577644"/>
    <w:rsid w:val="00581492"/>
    <w:rsid w:val="00583A84"/>
    <w:rsid w:val="00584197"/>
    <w:rsid w:val="005850FD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3B22"/>
    <w:rsid w:val="005B48EA"/>
    <w:rsid w:val="005B5B99"/>
    <w:rsid w:val="005C3B99"/>
    <w:rsid w:val="005D0DC1"/>
    <w:rsid w:val="005E5C5A"/>
    <w:rsid w:val="00600463"/>
    <w:rsid w:val="00600F6D"/>
    <w:rsid w:val="00602C7C"/>
    <w:rsid w:val="00604007"/>
    <w:rsid w:val="006056E5"/>
    <w:rsid w:val="00612B0E"/>
    <w:rsid w:val="006153E5"/>
    <w:rsid w:val="00616F7E"/>
    <w:rsid w:val="00630E13"/>
    <w:rsid w:val="00631531"/>
    <w:rsid w:val="006328C2"/>
    <w:rsid w:val="006403D8"/>
    <w:rsid w:val="006420C4"/>
    <w:rsid w:val="006451A0"/>
    <w:rsid w:val="00646311"/>
    <w:rsid w:val="0064744B"/>
    <w:rsid w:val="00647EFB"/>
    <w:rsid w:val="00652D75"/>
    <w:rsid w:val="00653F59"/>
    <w:rsid w:val="00667ECC"/>
    <w:rsid w:val="006707C0"/>
    <w:rsid w:val="00676B69"/>
    <w:rsid w:val="00683CC4"/>
    <w:rsid w:val="00684DA3"/>
    <w:rsid w:val="00690102"/>
    <w:rsid w:val="00695538"/>
    <w:rsid w:val="00695704"/>
    <w:rsid w:val="006B36B6"/>
    <w:rsid w:val="006C4536"/>
    <w:rsid w:val="006D08D3"/>
    <w:rsid w:val="006D09D7"/>
    <w:rsid w:val="006E0499"/>
    <w:rsid w:val="006E5679"/>
    <w:rsid w:val="006E6C4B"/>
    <w:rsid w:val="006F499A"/>
    <w:rsid w:val="00702012"/>
    <w:rsid w:val="00704699"/>
    <w:rsid w:val="00711A4F"/>
    <w:rsid w:val="00711D32"/>
    <w:rsid w:val="00720AA5"/>
    <w:rsid w:val="00722358"/>
    <w:rsid w:val="007320F2"/>
    <w:rsid w:val="00733C13"/>
    <w:rsid w:val="00737135"/>
    <w:rsid w:val="00744367"/>
    <w:rsid w:val="0075402B"/>
    <w:rsid w:val="007563F9"/>
    <w:rsid w:val="00757AF5"/>
    <w:rsid w:val="00760864"/>
    <w:rsid w:val="0076370A"/>
    <w:rsid w:val="00766520"/>
    <w:rsid w:val="00772EAC"/>
    <w:rsid w:val="0078191E"/>
    <w:rsid w:val="00790B01"/>
    <w:rsid w:val="007923E3"/>
    <w:rsid w:val="00792FF0"/>
    <w:rsid w:val="007B3F80"/>
    <w:rsid w:val="007B3FA3"/>
    <w:rsid w:val="007C305A"/>
    <w:rsid w:val="007D09FF"/>
    <w:rsid w:val="007D2263"/>
    <w:rsid w:val="007D442B"/>
    <w:rsid w:val="007E1420"/>
    <w:rsid w:val="007E5AD3"/>
    <w:rsid w:val="007E64AF"/>
    <w:rsid w:val="007E71EE"/>
    <w:rsid w:val="007F0825"/>
    <w:rsid w:val="007F4784"/>
    <w:rsid w:val="007F4BA9"/>
    <w:rsid w:val="00801153"/>
    <w:rsid w:val="00801F97"/>
    <w:rsid w:val="00803FCD"/>
    <w:rsid w:val="00804FEE"/>
    <w:rsid w:val="00810D7F"/>
    <w:rsid w:val="00815FC3"/>
    <w:rsid w:val="00830647"/>
    <w:rsid w:val="008341D3"/>
    <w:rsid w:val="008429EA"/>
    <w:rsid w:val="00845DD1"/>
    <w:rsid w:val="008468F4"/>
    <w:rsid w:val="008516D2"/>
    <w:rsid w:val="00851A2C"/>
    <w:rsid w:val="00857BEE"/>
    <w:rsid w:val="00860618"/>
    <w:rsid w:val="0086177A"/>
    <w:rsid w:val="00866410"/>
    <w:rsid w:val="00871F9A"/>
    <w:rsid w:val="008741C5"/>
    <w:rsid w:val="008758DE"/>
    <w:rsid w:val="00881864"/>
    <w:rsid w:val="00893F31"/>
    <w:rsid w:val="00894A15"/>
    <w:rsid w:val="00895AA3"/>
    <w:rsid w:val="008A691E"/>
    <w:rsid w:val="008B0453"/>
    <w:rsid w:val="008B1E64"/>
    <w:rsid w:val="008B4895"/>
    <w:rsid w:val="008B7C79"/>
    <w:rsid w:val="008C6873"/>
    <w:rsid w:val="008D3C98"/>
    <w:rsid w:val="008D4D3E"/>
    <w:rsid w:val="008D575F"/>
    <w:rsid w:val="008D767F"/>
    <w:rsid w:val="008E04B8"/>
    <w:rsid w:val="008E0B9D"/>
    <w:rsid w:val="008F3532"/>
    <w:rsid w:val="00902289"/>
    <w:rsid w:val="009031FE"/>
    <w:rsid w:val="00906EB8"/>
    <w:rsid w:val="009102EE"/>
    <w:rsid w:val="0092724E"/>
    <w:rsid w:val="00931126"/>
    <w:rsid w:val="009377FB"/>
    <w:rsid w:val="0094389A"/>
    <w:rsid w:val="00946792"/>
    <w:rsid w:val="009475AB"/>
    <w:rsid w:val="00947FC6"/>
    <w:rsid w:val="00954425"/>
    <w:rsid w:val="0095483F"/>
    <w:rsid w:val="00971D5C"/>
    <w:rsid w:val="009801E4"/>
    <w:rsid w:val="00982ADB"/>
    <w:rsid w:val="00983318"/>
    <w:rsid w:val="00986F74"/>
    <w:rsid w:val="009929AA"/>
    <w:rsid w:val="009975E3"/>
    <w:rsid w:val="009A3DCF"/>
    <w:rsid w:val="009A3EBE"/>
    <w:rsid w:val="009A431C"/>
    <w:rsid w:val="009A7A01"/>
    <w:rsid w:val="009B00B8"/>
    <w:rsid w:val="009B2B2B"/>
    <w:rsid w:val="009C2B83"/>
    <w:rsid w:val="009C4073"/>
    <w:rsid w:val="009C52D4"/>
    <w:rsid w:val="009C7AAE"/>
    <w:rsid w:val="009D02F2"/>
    <w:rsid w:val="009D5321"/>
    <w:rsid w:val="009D5A39"/>
    <w:rsid w:val="009D7D48"/>
    <w:rsid w:val="009E4E74"/>
    <w:rsid w:val="009F4C75"/>
    <w:rsid w:val="00A01DE9"/>
    <w:rsid w:val="00A02ED5"/>
    <w:rsid w:val="00A03537"/>
    <w:rsid w:val="00A06792"/>
    <w:rsid w:val="00A12866"/>
    <w:rsid w:val="00A13AFA"/>
    <w:rsid w:val="00A13CF0"/>
    <w:rsid w:val="00A1430C"/>
    <w:rsid w:val="00A1572C"/>
    <w:rsid w:val="00A16299"/>
    <w:rsid w:val="00A2168A"/>
    <w:rsid w:val="00A23965"/>
    <w:rsid w:val="00A24A06"/>
    <w:rsid w:val="00A354B7"/>
    <w:rsid w:val="00A36B5E"/>
    <w:rsid w:val="00A43B9B"/>
    <w:rsid w:val="00A529E0"/>
    <w:rsid w:val="00A5393D"/>
    <w:rsid w:val="00A614FE"/>
    <w:rsid w:val="00A66323"/>
    <w:rsid w:val="00A666E5"/>
    <w:rsid w:val="00A7081D"/>
    <w:rsid w:val="00A7438D"/>
    <w:rsid w:val="00A7448B"/>
    <w:rsid w:val="00A77B5D"/>
    <w:rsid w:val="00A80BD9"/>
    <w:rsid w:val="00A834E9"/>
    <w:rsid w:val="00A85D85"/>
    <w:rsid w:val="00A92176"/>
    <w:rsid w:val="00A96487"/>
    <w:rsid w:val="00AA53CC"/>
    <w:rsid w:val="00AB0858"/>
    <w:rsid w:val="00AB24B6"/>
    <w:rsid w:val="00AB5150"/>
    <w:rsid w:val="00AB635B"/>
    <w:rsid w:val="00AC26A5"/>
    <w:rsid w:val="00AC3EF4"/>
    <w:rsid w:val="00AC7561"/>
    <w:rsid w:val="00AC7EEE"/>
    <w:rsid w:val="00AD53FD"/>
    <w:rsid w:val="00AD56E7"/>
    <w:rsid w:val="00AE4467"/>
    <w:rsid w:val="00AF04E7"/>
    <w:rsid w:val="00AF11D6"/>
    <w:rsid w:val="00AF6102"/>
    <w:rsid w:val="00B065DA"/>
    <w:rsid w:val="00B10250"/>
    <w:rsid w:val="00B24F9D"/>
    <w:rsid w:val="00B26FFC"/>
    <w:rsid w:val="00B35B39"/>
    <w:rsid w:val="00B36EC4"/>
    <w:rsid w:val="00B43C5F"/>
    <w:rsid w:val="00B44B88"/>
    <w:rsid w:val="00B4533E"/>
    <w:rsid w:val="00B51A49"/>
    <w:rsid w:val="00B55AAA"/>
    <w:rsid w:val="00B607B2"/>
    <w:rsid w:val="00B60ED6"/>
    <w:rsid w:val="00B614B5"/>
    <w:rsid w:val="00B63D70"/>
    <w:rsid w:val="00B6520F"/>
    <w:rsid w:val="00B678C0"/>
    <w:rsid w:val="00B70238"/>
    <w:rsid w:val="00B73C0A"/>
    <w:rsid w:val="00B7412A"/>
    <w:rsid w:val="00B75A67"/>
    <w:rsid w:val="00B77653"/>
    <w:rsid w:val="00B81D2D"/>
    <w:rsid w:val="00B83220"/>
    <w:rsid w:val="00B841D5"/>
    <w:rsid w:val="00B86C55"/>
    <w:rsid w:val="00B9066A"/>
    <w:rsid w:val="00B974D5"/>
    <w:rsid w:val="00BB2982"/>
    <w:rsid w:val="00BC2E39"/>
    <w:rsid w:val="00BC7766"/>
    <w:rsid w:val="00BD2B3A"/>
    <w:rsid w:val="00BE0748"/>
    <w:rsid w:val="00BE79F4"/>
    <w:rsid w:val="00C14DCE"/>
    <w:rsid w:val="00C23B5E"/>
    <w:rsid w:val="00C26145"/>
    <w:rsid w:val="00C32730"/>
    <w:rsid w:val="00C42507"/>
    <w:rsid w:val="00C466D1"/>
    <w:rsid w:val="00C5491F"/>
    <w:rsid w:val="00C55FD3"/>
    <w:rsid w:val="00C61F50"/>
    <w:rsid w:val="00C67995"/>
    <w:rsid w:val="00C76671"/>
    <w:rsid w:val="00C8184F"/>
    <w:rsid w:val="00C827BD"/>
    <w:rsid w:val="00C97449"/>
    <w:rsid w:val="00CA2006"/>
    <w:rsid w:val="00CA2232"/>
    <w:rsid w:val="00CB19A6"/>
    <w:rsid w:val="00CB3A44"/>
    <w:rsid w:val="00CB49D0"/>
    <w:rsid w:val="00CC383A"/>
    <w:rsid w:val="00CD6E99"/>
    <w:rsid w:val="00CE16A5"/>
    <w:rsid w:val="00CE2229"/>
    <w:rsid w:val="00CE3972"/>
    <w:rsid w:val="00CE3CEA"/>
    <w:rsid w:val="00CE5918"/>
    <w:rsid w:val="00CE7B4D"/>
    <w:rsid w:val="00CF2970"/>
    <w:rsid w:val="00CF3217"/>
    <w:rsid w:val="00CF5EA6"/>
    <w:rsid w:val="00CF6D85"/>
    <w:rsid w:val="00CF6F9D"/>
    <w:rsid w:val="00CF7036"/>
    <w:rsid w:val="00D00354"/>
    <w:rsid w:val="00D04431"/>
    <w:rsid w:val="00D119CB"/>
    <w:rsid w:val="00D135EC"/>
    <w:rsid w:val="00D30B74"/>
    <w:rsid w:val="00D3407E"/>
    <w:rsid w:val="00D34498"/>
    <w:rsid w:val="00D407AA"/>
    <w:rsid w:val="00D42230"/>
    <w:rsid w:val="00D4334A"/>
    <w:rsid w:val="00D53B2F"/>
    <w:rsid w:val="00D54458"/>
    <w:rsid w:val="00D6022B"/>
    <w:rsid w:val="00D626C6"/>
    <w:rsid w:val="00D676A7"/>
    <w:rsid w:val="00D75067"/>
    <w:rsid w:val="00D80FF6"/>
    <w:rsid w:val="00D92659"/>
    <w:rsid w:val="00DA3F98"/>
    <w:rsid w:val="00DB2CCF"/>
    <w:rsid w:val="00DB4906"/>
    <w:rsid w:val="00DC0356"/>
    <w:rsid w:val="00DD1D7B"/>
    <w:rsid w:val="00DD280D"/>
    <w:rsid w:val="00DD391E"/>
    <w:rsid w:val="00DE1B47"/>
    <w:rsid w:val="00DE26C3"/>
    <w:rsid w:val="00E052C6"/>
    <w:rsid w:val="00E324DB"/>
    <w:rsid w:val="00E3569D"/>
    <w:rsid w:val="00E459A8"/>
    <w:rsid w:val="00E50B24"/>
    <w:rsid w:val="00E57CE0"/>
    <w:rsid w:val="00E62C54"/>
    <w:rsid w:val="00E62E93"/>
    <w:rsid w:val="00E630BD"/>
    <w:rsid w:val="00E663F9"/>
    <w:rsid w:val="00E6770C"/>
    <w:rsid w:val="00E702AF"/>
    <w:rsid w:val="00E72DEE"/>
    <w:rsid w:val="00E734FE"/>
    <w:rsid w:val="00E9575F"/>
    <w:rsid w:val="00EA36AD"/>
    <w:rsid w:val="00EA7121"/>
    <w:rsid w:val="00EB42FB"/>
    <w:rsid w:val="00EB537F"/>
    <w:rsid w:val="00EB5AC5"/>
    <w:rsid w:val="00EC1447"/>
    <w:rsid w:val="00ED07CB"/>
    <w:rsid w:val="00ED1662"/>
    <w:rsid w:val="00ED1E7B"/>
    <w:rsid w:val="00EE1DDB"/>
    <w:rsid w:val="00EE2598"/>
    <w:rsid w:val="00EE3F2D"/>
    <w:rsid w:val="00EF0241"/>
    <w:rsid w:val="00EF0EC6"/>
    <w:rsid w:val="00EF16E4"/>
    <w:rsid w:val="00EF2312"/>
    <w:rsid w:val="00F0227C"/>
    <w:rsid w:val="00F03C7C"/>
    <w:rsid w:val="00F07CFD"/>
    <w:rsid w:val="00F10EDE"/>
    <w:rsid w:val="00F31D0B"/>
    <w:rsid w:val="00F34DE5"/>
    <w:rsid w:val="00F37DE1"/>
    <w:rsid w:val="00F461BE"/>
    <w:rsid w:val="00F463ED"/>
    <w:rsid w:val="00F4704E"/>
    <w:rsid w:val="00F50C76"/>
    <w:rsid w:val="00F511E9"/>
    <w:rsid w:val="00F5556A"/>
    <w:rsid w:val="00F55E9F"/>
    <w:rsid w:val="00F62091"/>
    <w:rsid w:val="00F63E5F"/>
    <w:rsid w:val="00F64E2D"/>
    <w:rsid w:val="00F75193"/>
    <w:rsid w:val="00F75DAA"/>
    <w:rsid w:val="00F76F1D"/>
    <w:rsid w:val="00F81A11"/>
    <w:rsid w:val="00F82293"/>
    <w:rsid w:val="00F85406"/>
    <w:rsid w:val="00F95422"/>
    <w:rsid w:val="00FA41B2"/>
    <w:rsid w:val="00FB275D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18C9"/>
    <w:rsid w:val="00FE2289"/>
    <w:rsid w:val="00FF24EF"/>
    <w:rsid w:val="00FF3112"/>
    <w:rsid w:val="00FF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00"/>
            </a:pPr>
            <a:r>
              <a:rPr lang="fr-FR" sz="1000" b="1" i="0" baseline="0"/>
              <a:t>Opinion des entreprises dans l'industrie manufacturière, proportion en % </a:t>
            </a:r>
            <a:endParaRPr lang="fr-FR" sz="1000" b="1"/>
          </a:p>
        </c:rich>
      </c:tx>
      <c:layout>
        <c:manualLayout>
          <c:xMode val="edge"/>
          <c:yMode val="edge"/>
          <c:x val="9.4872559534709328E-2"/>
          <c:y val="3.5398230088495596E-2"/>
        </c:manualLayout>
      </c:layout>
    </c:title>
    <c:plotArea>
      <c:layout>
        <c:manualLayout>
          <c:layoutTarget val="inner"/>
          <c:xMode val="edge"/>
          <c:yMode val="edge"/>
          <c:x val="8.3466773860474644E-2"/>
          <c:y val="0.26377789442986332"/>
          <c:w val="0.72720972941445383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43.88</c:v>
                </c:pt>
                <c:pt idx="1">
                  <c:v>44.07</c:v>
                </c:pt>
                <c:pt idx="2">
                  <c:v>13.84</c:v>
                </c:pt>
                <c:pt idx="3" formatCode="0">
                  <c:v>44.07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27.71</c:v>
                </c:pt>
                <c:pt idx="1">
                  <c:v>25.479999999999986</c:v>
                </c:pt>
                <c:pt idx="2">
                  <c:v>61.43</c:v>
                </c:pt>
                <c:pt idx="3" formatCode="0">
                  <c:v>25.479999999999986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28.41</c:v>
                </c:pt>
                <c:pt idx="1">
                  <c:v>30.439999999999987</c:v>
                </c:pt>
                <c:pt idx="2">
                  <c:v>24.73</c:v>
                </c:pt>
                <c:pt idx="3" formatCode="0">
                  <c:v>30.439999999999987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15.46</c:v>
                </c:pt>
                <c:pt idx="1">
                  <c:v>13.63</c:v>
                </c:pt>
                <c:pt idx="2">
                  <c:v>-10.89</c:v>
                </c:pt>
                <c:pt idx="3" formatCode="0">
                  <c:v>13.63</c:v>
                </c:pt>
              </c:numCache>
            </c:numRef>
          </c:val>
        </c:ser>
        <c:axId val="104977920"/>
        <c:axId val="104979456"/>
      </c:barChart>
      <c:catAx>
        <c:axId val="1049779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4979456"/>
        <c:crosses val="autoZero"/>
        <c:auto val="1"/>
        <c:lblAlgn val="ctr"/>
        <c:lblOffset val="100"/>
      </c:catAx>
      <c:valAx>
        <c:axId val="104979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104977920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ayout>
        <c:manualLayout>
          <c:xMode val="edge"/>
          <c:yMode val="edge"/>
          <c:x val="0.82913252085527456"/>
          <c:y val="0.41368917380902753"/>
          <c:w val="0.16643796913920791"/>
          <c:h val="0.3697303323810187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1000" b="1" i="0" baseline="0"/>
              <a:t>Opinion des entreprises dans l'industrie extractive, proportion en % </a:t>
            </a:r>
            <a:endParaRPr lang="fr-FR" sz="1000"/>
          </a:p>
        </c:rich>
      </c:tx>
    </c:title>
    <c:plotArea>
      <c:layout>
        <c:manualLayout>
          <c:layoutTarget val="inner"/>
          <c:xMode val="edge"/>
          <c:yMode val="edge"/>
          <c:x val="0.13273226811560834"/>
          <c:y val="0.22506955380577429"/>
          <c:w val="0.63614280671056611"/>
          <c:h val="0.6021154855643046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92.52</c:v>
                </c:pt>
                <c:pt idx="1">
                  <c:v>2.8299999999999987</c:v>
                </c:pt>
                <c:pt idx="2">
                  <c:v>0</c:v>
                </c:pt>
                <c:pt idx="3" formatCode="0">
                  <c:v>2.8299999999999987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0.72000000000000064</c:v>
                </c:pt>
                <c:pt idx="1">
                  <c:v>90.92</c:v>
                </c:pt>
                <c:pt idx="2">
                  <c:v>10.31</c:v>
                </c:pt>
                <c:pt idx="3" formatCode="0">
                  <c:v>90.92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6.76</c:v>
                </c:pt>
                <c:pt idx="1">
                  <c:v>6.25</c:v>
                </c:pt>
                <c:pt idx="2">
                  <c:v>89.69</c:v>
                </c:pt>
                <c:pt idx="3" formatCode="0">
                  <c:v>6.25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85.77</c:v>
                </c:pt>
                <c:pt idx="1">
                  <c:v>-3.42</c:v>
                </c:pt>
                <c:pt idx="2">
                  <c:v>-89.69</c:v>
                </c:pt>
                <c:pt idx="3" formatCode="0">
                  <c:v>-3.42</c:v>
                </c:pt>
              </c:numCache>
            </c:numRef>
          </c:val>
        </c:ser>
        <c:axId val="93684864"/>
        <c:axId val="93686400"/>
      </c:barChart>
      <c:catAx>
        <c:axId val="936848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3686400"/>
        <c:crosses val="autoZero"/>
        <c:auto val="1"/>
        <c:lblAlgn val="ctr"/>
        <c:lblOffset val="100"/>
      </c:catAx>
      <c:valAx>
        <c:axId val="936864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9368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52316925249"/>
          <c:y val="0.36872397200349982"/>
          <c:w val="0.18044266396524999"/>
          <c:h val="0.3981627296587935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1000" b="1" i="0" baseline="0"/>
              <a:t>Opinion des entreprises dans l'industrie énergétique, proportion en % </a:t>
            </a:r>
            <a:endParaRPr lang="fr-FR" sz="1000" b="1"/>
          </a:p>
        </c:rich>
      </c:tx>
      <c:layout>
        <c:manualLayout>
          <c:xMode val="edge"/>
          <c:yMode val="edge"/>
          <c:x val="0.11410345858666412"/>
          <c:y val="3.0769230769230792E-2"/>
        </c:manualLayout>
      </c:layout>
    </c:title>
    <c:plotArea>
      <c:layout>
        <c:manualLayout>
          <c:layoutTarget val="inner"/>
          <c:xMode val="edge"/>
          <c:yMode val="edge"/>
          <c:x val="8.7957074985880304E-2"/>
          <c:y val="0.26063274782959822"/>
          <c:w val="0.69565666633443135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2.0099999999999998</c:v>
                </c:pt>
                <c:pt idx="1">
                  <c:v>85.63</c:v>
                </c:pt>
                <c:pt idx="2">
                  <c:v>0</c:v>
                </c:pt>
                <c:pt idx="3" formatCode="0">
                  <c:v>85.63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23.23</c:v>
                </c:pt>
                <c:pt idx="1">
                  <c:v>14.370000000000006</c:v>
                </c:pt>
                <c:pt idx="2">
                  <c:v>25.24</c:v>
                </c:pt>
                <c:pt idx="3" formatCode="0">
                  <c:v>14.370000000000006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74.760000000000005</c:v>
                </c:pt>
                <c:pt idx="1">
                  <c:v>0</c:v>
                </c:pt>
                <c:pt idx="2">
                  <c:v>74.760000000000005</c:v>
                </c:pt>
                <c:pt idx="3" formatCode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-72.75</c:v>
                </c:pt>
                <c:pt idx="1">
                  <c:v>85.63</c:v>
                </c:pt>
                <c:pt idx="2">
                  <c:v>-74.760000000000005</c:v>
                </c:pt>
                <c:pt idx="3" formatCode="0">
                  <c:v>85.63</c:v>
                </c:pt>
              </c:numCache>
            </c:numRef>
          </c:val>
        </c:ser>
        <c:axId val="93589888"/>
        <c:axId val="93591424"/>
      </c:barChart>
      <c:catAx>
        <c:axId val="935898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3591424"/>
        <c:crosses val="autoZero"/>
        <c:auto val="1"/>
        <c:lblAlgn val="ctr"/>
        <c:lblOffset val="100"/>
      </c:catAx>
      <c:valAx>
        <c:axId val="93591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93589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42486461348"/>
          <c:y val="0.37531853972799012"/>
          <c:w val="0.17841157513538689"/>
          <c:h val="0.3452853517277282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1000" b="1" i="0" baseline="0"/>
              <a:t>Opinion des entreprises dans l'industrie environnementale, proportion en % </a:t>
            </a:r>
            <a:endParaRPr lang="fr-FR" sz="1000" b="1"/>
          </a:p>
        </c:rich>
      </c:tx>
      <c:layout>
        <c:manualLayout>
          <c:xMode val="edge"/>
          <c:yMode val="edge"/>
          <c:x val="7.4276658813874713E-2"/>
          <c:y val="3.6036036036036036E-2"/>
        </c:manualLayout>
      </c:layout>
    </c:title>
    <c:plotArea>
      <c:layout>
        <c:manualLayout>
          <c:layoutTarget val="inner"/>
          <c:xMode val="edge"/>
          <c:yMode val="edge"/>
          <c:x val="8.9659469985607254E-2"/>
          <c:y val="0.23657338986472884"/>
          <c:w val="0.71127152654305503"/>
          <c:h val="0.5765996365838926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3.4</c:v>
                </c:pt>
                <c:pt idx="1">
                  <c:v>77.11</c:v>
                </c:pt>
                <c:pt idx="2">
                  <c:v>0</c:v>
                </c:pt>
                <c:pt idx="3" formatCode="0">
                  <c:v>77.11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56.28</c:v>
                </c:pt>
                <c:pt idx="1">
                  <c:v>22.85</c:v>
                </c:pt>
                <c:pt idx="2">
                  <c:v>100</c:v>
                </c:pt>
                <c:pt idx="3" formatCode="0">
                  <c:v>22.85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40.31</c:v>
                </c:pt>
                <c:pt idx="1">
                  <c:v>4.0000000000000022E-2</c:v>
                </c:pt>
                <c:pt idx="2">
                  <c:v>0</c:v>
                </c:pt>
                <c:pt idx="3" formatCode="0">
                  <c:v>4.0000000000000022E-2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-36.910000000000004</c:v>
                </c:pt>
                <c:pt idx="1">
                  <c:v>77.069999999999993</c:v>
                </c:pt>
                <c:pt idx="2">
                  <c:v>0</c:v>
                </c:pt>
                <c:pt idx="3" formatCode="0">
                  <c:v>77.069999999999993</c:v>
                </c:pt>
              </c:numCache>
            </c:numRef>
          </c:val>
        </c:ser>
        <c:axId val="105000960"/>
        <c:axId val="105002496"/>
      </c:barChart>
      <c:catAx>
        <c:axId val="1050009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5002496"/>
        <c:crosses val="autoZero"/>
        <c:auto val="1"/>
        <c:lblAlgn val="ctr"/>
        <c:lblOffset val="100"/>
      </c:catAx>
      <c:valAx>
        <c:axId val="105002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10500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55429843114"/>
          <c:y val="0.3640859757395209"/>
          <c:w val="0.17141774753883962"/>
          <c:h val="0.376392140171668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entreprises sur l'activité  de construction, proportion en %</a:t>
            </a:r>
            <a:endParaRPr lang="fr-FR" sz="900"/>
          </a:p>
        </c:rich>
      </c:tx>
      <c:layout>
        <c:manualLayout>
          <c:xMode val="edge"/>
          <c:yMode val="edge"/>
          <c:x val="7.5938948611378995E-2"/>
          <c:y val="3.2128514056224897E-2"/>
        </c:manualLayout>
      </c:layout>
    </c:title>
    <c:plotArea>
      <c:layout>
        <c:manualLayout>
          <c:layoutTarget val="inner"/>
          <c:xMode val="edge"/>
          <c:yMode val="edge"/>
          <c:x val="9.9868311258780526E-2"/>
          <c:y val="0.18761435756985284"/>
          <c:w val="0.70250724439791756"/>
          <c:h val="0.6301259666956371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34.431334404657179</c:v>
                </c:pt>
                <c:pt idx="1">
                  <c:v>45.209746000000003</c:v>
                </c:pt>
                <c:pt idx="2">
                  <c:v>19.846268999999999</c:v>
                </c:pt>
                <c:pt idx="3">
                  <c:v>40.447929999999999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47.891632857437145</c:v>
                </c:pt>
                <c:pt idx="1">
                  <c:v>29.725988999999988</c:v>
                </c:pt>
                <c:pt idx="2">
                  <c:v>64.112091999999919</c:v>
                </c:pt>
                <c:pt idx="3">
                  <c:v>46.288176000000128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17.677030317379181</c:v>
                </c:pt>
                <c:pt idx="1">
                  <c:v>25.064264000000001</c:v>
                </c:pt>
                <c:pt idx="2">
                  <c:v>16.041635999999986</c:v>
                </c:pt>
                <c:pt idx="3">
                  <c:v>13.263891000000001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16</c:v>
                </c:pt>
                <c:pt idx="1">
                  <c:v>20.145481999999987</c:v>
                </c:pt>
                <c:pt idx="2">
                  <c:v>3.8046319999999998</c:v>
                </c:pt>
                <c:pt idx="3">
                  <c:v>27.184038999999999</c:v>
                </c:pt>
              </c:numCache>
            </c:numRef>
          </c:val>
        </c:ser>
        <c:axId val="93826432"/>
        <c:axId val="93836416"/>
      </c:barChart>
      <c:catAx>
        <c:axId val="938264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spPr>
          <a:ln w="25400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93836416"/>
        <c:crosses val="autoZero"/>
        <c:auto val="1"/>
        <c:lblAlgn val="ctr"/>
        <c:lblOffset val="100"/>
      </c:catAx>
      <c:valAx>
        <c:axId val="93836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50"/>
        </c:spPr>
        <c:crossAx val="93826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08760032163606"/>
          <c:y val="0.45208753588075851"/>
          <c:w val="0.17518516832794745"/>
          <c:h val="0.2553084208955497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Anticipations des 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19758714371"/>
          <c:y val="4.9236168425122497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70446064612293757"/>
          <c:h val="0.700564639051846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27.56</c:v>
                </c:pt>
                <c:pt idx="1">
                  <c:v>92.52</c:v>
                </c:pt>
                <c:pt idx="2">
                  <c:v>76.77</c:v>
                </c:pt>
                <c:pt idx="3">
                  <c:v>3.44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42.730000000000011</c:v>
                </c:pt>
                <c:pt idx="1">
                  <c:v>5.37</c:v>
                </c:pt>
                <c:pt idx="2">
                  <c:v>23.23</c:v>
                </c:pt>
                <c:pt idx="3">
                  <c:v>56.25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29.72</c:v>
                </c:pt>
                <c:pt idx="1">
                  <c:v>2.11</c:v>
                </c:pt>
                <c:pt idx="2">
                  <c:v>0</c:v>
                </c:pt>
                <c:pt idx="3">
                  <c:v>40.31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-2.16</c:v>
                </c:pt>
                <c:pt idx="1">
                  <c:v>90.410000000000025</c:v>
                </c:pt>
                <c:pt idx="2">
                  <c:v>76.77</c:v>
                </c:pt>
                <c:pt idx="3">
                  <c:v>-36.870000000000005</c:v>
                </c:pt>
              </c:numCache>
            </c:numRef>
          </c:val>
        </c:ser>
        <c:axId val="65948672"/>
        <c:axId val="65958656"/>
      </c:barChart>
      <c:catAx>
        <c:axId val="659486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65958656"/>
        <c:crosses val="autoZero"/>
        <c:auto val="1"/>
        <c:lblAlgn val="ctr"/>
        <c:lblOffset val="100"/>
      </c:catAx>
      <c:valAx>
        <c:axId val="659586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6594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81841158744062"/>
          <c:y val="0.27537566165433436"/>
          <c:w val="0.17618143044619494"/>
          <c:h val="0.3251325101871993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1000" b="1" i="0" baseline="0"/>
              <a:t>Anticipations  des entreprises sur l'activité  de construction, proportion en %</a:t>
            </a:r>
            <a:endParaRPr lang="fr-FR" sz="1000"/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609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17.014905127023592</c:v>
                </c:pt>
                <c:pt idx="1">
                  <c:v>7.3255939999999855</c:v>
                </c:pt>
                <c:pt idx="2">
                  <c:v>9.0618000000000034</c:v>
                </c:pt>
                <c:pt idx="3">
                  <c:v>33.113936000000002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65.517774304183078</c:v>
                </c:pt>
                <c:pt idx="1">
                  <c:v>67.120413999999982</c:v>
                </c:pt>
                <c:pt idx="2">
                  <c:v>71.644598999999999</c:v>
                </c:pt>
                <c:pt idx="3">
                  <c:v>57.942346000000001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17.467318148267086</c:v>
                </c:pt>
                <c:pt idx="1">
                  <c:v>25.553991000000035</c:v>
                </c:pt>
                <c:pt idx="2">
                  <c:v>19.293597999999989</c:v>
                </c:pt>
                <c:pt idx="3">
                  <c:v>8.943715000000001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-0.45241266228819332</c:v>
                </c:pt>
                <c:pt idx="1">
                  <c:v>-18.228396999999912</c:v>
                </c:pt>
                <c:pt idx="2">
                  <c:v>-10.231797</c:v>
                </c:pt>
                <c:pt idx="3">
                  <c:v>24.170221000000005</c:v>
                </c:pt>
              </c:numCache>
            </c:numRef>
          </c:val>
        </c:ser>
        <c:axId val="93923968"/>
        <c:axId val="93933952"/>
      </c:barChart>
      <c:catAx>
        <c:axId val="939239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3933952"/>
        <c:crosses val="autoZero"/>
        <c:auto val="1"/>
        <c:lblAlgn val="ctr"/>
        <c:lblOffset val="100"/>
      </c:catAx>
      <c:valAx>
        <c:axId val="93933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93923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2038819377"/>
          <c:y val="0.36661926587534904"/>
          <c:w val="0.15663703327406694"/>
          <c:h val="0.2573294942609796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C9FC8-80C7-4B44-8908-1F10FE09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2016-06-15T11:30:00Z</cp:lastPrinted>
  <dcterms:created xsi:type="dcterms:W3CDTF">2016-09-18T15:46:00Z</dcterms:created>
  <dcterms:modified xsi:type="dcterms:W3CDTF">2016-09-18T15:46:00Z</dcterms:modified>
</cp:coreProperties>
</file>