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0D23DC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61" type="#_x0000_t202" style="position:absolute;margin-left:504.8pt;margin-top:-59.65pt;width:43.05pt;height:20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eIhgIAABM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" stroked="f">
            <v:textbox>
              <w:txbxContent>
                <w:p w:rsidR="00AD53FD" w:rsidRDefault="00AD53FD"/>
              </w:txbxContent>
            </v:textbox>
          </v:shape>
        </w:pict>
      </w:r>
      <w:r w:rsidRPr="000D23DC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1072" wrapcoords="-106 0 -106 21308 21600 21308 21600 0 -106 0">
            <v:imagedata r:id="rId7" o:title=""/>
            <w10:wrap type="tight"/>
          </v:shape>
          <o:OLEObject Type="Embed" ProgID="PBrush" ShapeID="_x0000_s1133" DrawAspect="Content" ObjectID="_1527529372" r:id="rId8"/>
        </w:pict>
      </w:r>
      <w:r>
        <w:rPr>
          <w:noProof/>
        </w:rPr>
        <w:pict>
          <v:group id="Group 5" o:spid="_x0000_s1150" style="position:absolute;margin-left:-146.55pt;margin-top:-51.45pt;width:910.15pt;height:205.35pt;z-index:251649024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151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2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3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4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5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6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7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8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59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0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49" type="#_x0000_t202" style="position:absolute;margin-left:-197.2pt;margin-top:-63.05pt;width:59.8pt;height:4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0D23DC" w:rsidP="003A2CE4">
      <w:pPr>
        <w:jc w:val="both"/>
      </w:pPr>
      <w:r>
        <w:rPr>
          <w:noProof/>
        </w:rPr>
        <w:pict>
          <v:shape id="Text Box 120" o:spid="_x0000_s1148" type="#_x0000_t202" style="position:absolute;left:0;text-align:left;margin-left:-19.2pt;margin-top:8.1pt;width:331.65pt;height:13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" filled="f" stroked="f" strokecolor="#e46c0a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28"/>
                      <w:szCs w:val="28"/>
                    </w:rPr>
                    <w:t xml:space="preserve">   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 trimestrielle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Conjoncture 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312DB8" w:rsidP="00FA41B2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Industries minière, manufacturière, énergétique et environnementale</w:t>
                  </w:r>
                </w:p>
                <w:p w:rsidR="00312DB8" w:rsidRPr="000B1D9D" w:rsidRDefault="000F71D1" w:rsidP="00FA41B2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Construction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Pr="00D65CFC" w:rsidRDefault="000D23D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i/>
          <w:iCs/>
          <w:color w:val="660033"/>
          <w:sz w:val="32"/>
          <w:szCs w:val="32"/>
        </w:rPr>
      </w:pPr>
      <w:r w:rsidRPr="000D23DC">
        <w:rPr>
          <w:noProof/>
        </w:rPr>
        <w:pict>
          <v:shape id="Text Box 108" o:spid="_x0000_s1147" type="#_x0000_t202" style="position:absolute;left:0;text-align:left;margin-left:350.65pt;margin-top:26.25pt;width:143.1pt;height:22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38590B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Juin</w:t>
                  </w:r>
                  <w:r w:rsidR="00EF23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AD53FD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 w:rsidR="00EF23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D65CFC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</w:t>
      </w:r>
    </w:p>
    <w:p w:rsidR="00302E80" w:rsidRDefault="000D23D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0D23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46" type="#_x0000_t32" style="position:absolute;left:0;text-align:left;margin-left:13.05pt;margin-top:15.35pt;width:497.7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" strokecolor="#e36c0a"/>
        </w:pict>
      </w:r>
      <w:r w:rsidR="00BE79F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506785" w:rsidRPr="00506785" w:rsidRDefault="000D23DC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8"/>
          <w:szCs w:val="28"/>
        </w:rPr>
        <w:pict>
          <v:shape id="_x0000_s1162" type="#_x0000_t202" style="position:absolute;left:0;text-align:left;margin-left:13.05pt;margin-top:3.65pt;width:462.15pt;height:123.75pt;z-index:251667456" fillcolor="#fbd4b4">
            <v:textbox style="mso-next-textbox:#_x0000_s1162">
              <w:txbxContent>
                <w:p w:rsidR="00F03C7C" w:rsidRPr="008D4D3E" w:rsidRDefault="00F03C7C" w:rsidP="00832C44">
                  <w:pPr>
                    <w:spacing w:after="120"/>
                    <w:jc w:val="center"/>
                    <w:rPr>
                      <w:b/>
                      <w:bCs/>
                      <w:color w:val="C00000"/>
                      <w:sz w:val="26"/>
                      <w:szCs w:val="26"/>
                    </w:rPr>
                  </w:pPr>
                  <w:r w:rsidRPr="008D4D3E">
                    <w:rPr>
                      <w:b/>
                      <w:bCs/>
                      <w:color w:val="C00000"/>
                      <w:sz w:val="26"/>
                      <w:szCs w:val="26"/>
                    </w:rPr>
                    <w:t>Note d'information sur les résultats des enquêtes de conjoncture auprès des entreprises relevant des secteurs de l'industrie et du BTP</w:t>
                  </w:r>
                </w:p>
                <w:p w:rsidR="002A1960" w:rsidRDefault="002A1960" w:rsidP="00757AF5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d’entreprises,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tel qu’il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ressort des enquêtes de conjoncture réalisées par le HCP au titre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2ème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6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="00757AF5" w:rsidRPr="00FF415B">
                    <w:rPr>
                      <w:rFonts w:eastAsia="Arial Unicode MS"/>
                      <w:sz w:val="20"/>
                      <w:szCs w:val="20"/>
                    </w:rPr>
                    <w:t>de l’industrie manufacturière</w:t>
                  </w:r>
                  <w:r w:rsidR="00757AF5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l’extractive, de l’</w:t>
                  </w:r>
                  <w:r w:rsidR="00757AF5" w:rsidRPr="00FF415B">
                    <w:rPr>
                      <w:rFonts w:eastAsia="Arial Unicode MS"/>
                      <w:sz w:val="20"/>
                      <w:szCs w:val="20"/>
                    </w:rPr>
                    <w:t xml:space="preserve">Industrie </w:t>
                  </w:r>
                  <w:r w:rsidR="00757AF5">
                    <w:rPr>
                      <w:rFonts w:eastAsia="Arial Unicode MS"/>
                      <w:sz w:val="20"/>
                      <w:szCs w:val="20"/>
                    </w:rPr>
                    <w:t>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 w:rsidR="00757AF5">
                    <w:rPr>
                      <w:rFonts w:eastAsia="Arial Unicode MS"/>
                      <w:sz w:val="20"/>
                      <w:szCs w:val="20"/>
                    </w:rPr>
                    <w:t xml:space="preserve">étique,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de </w:t>
                  </w:r>
                  <w:r w:rsidR="00757AF5">
                    <w:rPr>
                      <w:rFonts w:eastAsia="Arial Unicode MS"/>
                      <w:sz w:val="20"/>
                      <w:szCs w:val="20"/>
                    </w:rPr>
                    <w:t xml:space="preserve">l'industrie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 w:rsidR="00757AF5">
                    <w:rPr>
                      <w:rFonts w:eastAsia="Arial Unicode MS"/>
                      <w:sz w:val="20"/>
                      <w:szCs w:val="20"/>
                    </w:rPr>
                    <w:t>ale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et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de la Construction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  <w:p w:rsidR="002A1960" w:rsidRDefault="002A1960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2A1960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sur l’évolution de l’activité au cours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1er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2016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pronostics pour le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2ème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6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</w:p>
                <w:p w:rsidR="00506785" w:rsidRDefault="00506785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3A2CE4" w:rsidRPr="00F03C7C" w:rsidRDefault="00006861" w:rsidP="002A1960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74436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2A19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premier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F11D6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first" r:id="rId9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1960" w:rsidRDefault="002A1960" w:rsidP="002A196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3308985</wp:posOffset>
            </wp:positionH>
            <wp:positionV relativeFrom="margin">
              <wp:posOffset>5128260</wp:posOffset>
            </wp:positionV>
            <wp:extent cx="3133725" cy="2705100"/>
            <wp:effectExtent l="19050" t="0" r="0" b="0"/>
            <wp:wrapSquare wrapText="bothSides"/>
            <wp:docPr id="15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eastAsia="Arial Unicode MS"/>
          <w:sz w:val="22"/>
          <w:szCs w:val="22"/>
        </w:rPr>
        <w:t xml:space="preserve">Au premier </w:t>
      </w:r>
      <w:r w:rsidRPr="002E1737">
        <w:rPr>
          <w:rFonts w:eastAsia="Arial Unicode MS"/>
          <w:sz w:val="22"/>
          <w:szCs w:val="22"/>
        </w:rPr>
        <w:t xml:space="preserve">trimestre </w:t>
      </w:r>
      <w:r>
        <w:rPr>
          <w:rFonts w:eastAsia="Arial Unicode MS"/>
          <w:sz w:val="22"/>
          <w:szCs w:val="22"/>
        </w:rPr>
        <w:t>2016</w:t>
      </w:r>
      <w:r w:rsidRPr="00FF24EF">
        <w:rPr>
          <w:rFonts w:eastAsia="Arial Unicode MS"/>
          <w:sz w:val="22"/>
          <w:szCs w:val="22"/>
        </w:rPr>
        <w:t>, la production</w:t>
      </w:r>
      <w:r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b/>
          <w:bCs/>
          <w:color w:val="660033"/>
          <w:sz w:val="22"/>
          <w:szCs w:val="22"/>
        </w:rPr>
        <w:t>industrielle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manufacturière </w:t>
      </w:r>
      <w:r w:rsidRPr="00FF24EF">
        <w:rPr>
          <w:rFonts w:eastAsia="Arial Unicode MS"/>
          <w:sz w:val="22"/>
          <w:szCs w:val="22"/>
        </w:rPr>
        <w:t xml:space="preserve">aurait </w:t>
      </w:r>
      <w:r w:rsidRPr="00801153">
        <w:rPr>
          <w:rFonts w:eastAsia="Arial Unicode MS"/>
          <w:sz w:val="22"/>
          <w:szCs w:val="22"/>
        </w:rPr>
        <w:t>connu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 xml:space="preserve">selon </w:t>
      </w:r>
      <w:r>
        <w:rPr>
          <w:rFonts w:eastAsia="Arial Unicode MS"/>
          <w:sz w:val="22"/>
          <w:szCs w:val="22"/>
        </w:rPr>
        <w:t>39</w:t>
      </w:r>
      <w:r w:rsidRPr="00801153">
        <w:rPr>
          <w:rFonts w:eastAsia="Arial Unicode MS"/>
          <w:sz w:val="22"/>
          <w:szCs w:val="22"/>
        </w:rPr>
        <w:t>% des patrons</w:t>
      </w:r>
      <w:r>
        <w:rPr>
          <w:rFonts w:eastAsia="Arial Unicode MS"/>
          <w:sz w:val="22"/>
          <w:szCs w:val="22"/>
        </w:rPr>
        <w:t xml:space="preserve">, </w:t>
      </w:r>
      <w:r w:rsidRPr="00FE0DE2">
        <w:rPr>
          <w:rFonts w:eastAsia="Arial Unicode MS"/>
          <w:sz w:val="22"/>
          <w:szCs w:val="22"/>
        </w:rPr>
        <w:t>une</w:t>
      </w:r>
      <w:r w:rsidRPr="00801153">
        <w:rPr>
          <w:rFonts w:eastAsia="Arial Unicode MS"/>
          <w:sz w:val="22"/>
          <w:szCs w:val="22"/>
        </w:rPr>
        <w:t xml:space="preserve"> hausse </w:t>
      </w:r>
      <w:r>
        <w:rPr>
          <w:rFonts w:eastAsia="Arial Unicode MS"/>
          <w:sz w:val="22"/>
          <w:szCs w:val="22"/>
        </w:rPr>
        <w:t xml:space="preserve">et, </w:t>
      </w:r>
      <w:r w:rsidRPr="00801153">
        <w:rPr>
          <w:rFonts w:eastAsia="Arial Unicode MS"/>
          <w:sz w:val="22"/>
          <w:szCs w:val="22"/>
        </w:rPr>
        <w:t xml:space="preserve">selon </w:t>
      </w:r>
      <w:r>
        <w:rPr>
          <w:rFonts w:eastAsia="Arial Unicode MS"/>
          <w:sz w:val="22"/>
          <w:szCs w:val="22"/>
        </w:rPr>
        <w:t>20</w:t>
      </w:r>
      <w:r w:rsidRPr="00801153">
        <w:rPr>
          <w:rFonts w:eastAsia="Arial Unicode MS"/>
          <w:sz w:val="22"/>
          <w:szCs w:val="22"/>
        </w:rPr>
        <w:t>%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>plutôt une baisse.</w:t>
      </w:r>
      <w:r>
        <w:rPr>
          <w:rFonts w:eastAsia="Arial Unicode MS"/>
          <w:sz w:val="22"/>
          <w:szCs w:val="22"/>
        </w:rPr>
        <w:t xml:space="preserve"> Cette augmentation</w:t>
      </w:r>
      <w:r w:rsidRPr="00FF24EF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 xml:space="preserve">aurait été </w:t>
      </w:r>
      <w:r w:rsidRPr="002A1960">
        <w:rPr>
          <w:rFonts w:eastAsia="Arial Unicode MS"/>
          <w:sz w:val="22"/>
          <w:szCs w:val="22"/>
        </w:rPr>
        <w:t xml:space="preserve">principalement </w:t>
      </w:r>
      <w:r w:rsidRPr="00801153">
        <w:rPr>
          <w:rFonts w:eastAsia="Arial Unicode MS"/>
          <w:sz w:val="22"/>
          <w:szCs w:val="22"/>
        </w:rPr>
        <w:t>attribuable à une</w:t>
      </w:r>
      <w:r w:rsidRPr="00FF24EF">
        <w:rPr>
          <w:rFonts w:eastAsia="Arial Unicode MS"/>
          <w:sz w:val="22"/>
          <w:szCs w:val="22"/>
        </w:rPr>
        <w:t xml:space="preserve"> </w:t>
      </w:r>
      <w:r w:rsidRPr="002A1960">
        <w:rPr>
          <w:rFonts w:eastAsia="Arial Unicode MS"/>
          <w:sz w:val="22"/>
          <w:szCs w:val="22"/>
        </w:rPr>
        <w:t xml:space="preserve">amélioration </w:t>
      </w:r>
      <w:r w:rsidRPr="00FF24EF">
        <w:rPr>
          <w:rFonts w:eastAsia="Arial Unicode MS"/>
          <w:sz w:val="22"/>
          <w:szCs w:val="22"/>
        </w:rPr>
        <w:t xml:space="preserve">de la production dans les branches </w:t>
      </w:r>
      <w:r>
        <w:rPr>
          <w:rFonts w:eastAsia="Arial Unicode MS"/>
          <w:sz w:val="22"/>
          <w:szCs w:val="22"/>
        </w:rPr>
        <w:t xml:space="preserve">de </w:t>
      </w:r>
      <w:r w:rsidR="00757AF5">
        <w:rPr>
          <w:rFonts w:eastAsia="Arial Unicode MS"/>
          <w:sz w:val="22"/>
          <w:szCs w:val="22"/>
        </w:rPr>
        <w:t xml:space="preserve">        </w:t>
      </w:r>
      <w:r>
        <w:rPr>
          <w:rFonts w:eastAsia="Arial Unicode MS"/>
          <w:sz w:val="22"/>
          <w:szCs w:val="22"/>
        </w:rPr>
        <w:t xml:space="preserve">l' </w:t>
      </w:r>
      <w:r w:rsidRPr="00FF24EF">
        <w:rPr>
          <w:rFonts w:eastAsia="Arial Unicode MS"/>
          <w:sz w:val="22"/>
          <w:szCs w:val="22"/>
        </w:rPr>
        <w:t>«</w:t>
      </w:r>
      <w:r w:rsidRPr="00823DF4">
        <w:rPr>
          <w:rFonts w:eastAsia="Arial Unicode MS"/>
          <w:sz w:val="22"/>
          <w:szCs w:val="22"/>
        </w:rPr>
        <w:t>Industrie chimique</w:t>
      </w:r>
      <w:r>
        <w:rPr>
          <w:rFonts w:eastAsia="Arial Unicode MS"/>
          <w:sz w:val="22"/>
          <w:szCs w:val="22"/>
        </w:rPr>
        <w:t xml:space="preserve">», de </w:t>
      </w:r>
      <w:r w:rsidRPr="00FF24EF">
        <w:rPr>
          <w:rFonts w:eastAsia="Arial Unicode MS"/>
          <w:sz w:val="22"/>
          <w:szCs w:val="22"/>
        </w:rPr>
        <w:t>«</w:t>
      </w:r>
      <w:r w:rsidRPr="00823DF4">
        <w:rPr>
          <w:rFonts w:eastAsia="Arial Unicode MS"/>
          <w:sz w:val="22"/>
          <w:szCs w:val="22"/>
        </w:rPr>
        <w:t>Fabrication d'équipements électriques</w:t>
      </w:r>
      <w:r w:rsidRPr="00FF24EF">
        <w:rPr>
          <w:rFonts w:eastAsia="Arial Unicode MS"/>
          <w:sz w:val="22"/>
          <w:szCs w:val="22"/>
        </w:rPr>
        <w:t>»</w:t>
      </w:r>
      <w:r>
        <w:rPr>
          <w:rFonts w:eastAsia="Arial Unicode MS"/>
          <w:sz w:val="22"/>
          <w:szCs w:val="22"/>
        </w:rPr>
        <w:t xml:space="preserve"> et de </w:t>
      </w:r>
      <w:r w:rsidRPr="00FF24EF">
        <w:rPr>
          <w:rFonts w:eastAsia="Arial Unicode MS"/>
          <w:sz w:val="22"/>
          <w:szCs w:val="22"/>
        </w:rPr>
        <w:t>«</w:t>
      </w:r>
      <w:r>
        <w:rPr>
          <w:rFonts w:eastAsia="Arial Unicode MS"/>
          <w:sz w:val="22"/>
          <w:szCs w:val="22"/>
        </w:rPr>
        <w:t>Fabrication d’autres produits minéraux non métalliques»</w:t>
      </w:r>
      <w:r w:rsidRPr="00FF24EF">
        <w:rPr>
          <w:rFonts w:eastAsia="Arial Unicode MS"/>
          <w:sz w:val="22"/>
          <w:szCs w:val="22"/>
        </w:rPr>
        <w:t xml:space="preserve">. </w:t>
      </w:r>
    </w:p>
    <w:p w:rsidR="0038590B" w:rsidRPr="00CE3972" w:rsidRDefault="0038590B" w:rsidP="0038590B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F24EF">
        <w:rPr>
          <w:rFonts w:eastAsia="Arial Unicode MS"/>
          <w:sz w:val="22"/>
          <w:szCs w:val="22"/>
        </w:rPr>
        <w:t xml:space="preserve">Les carnets de commandes </w:t>
      </w:r>
      <w:r>
        <w:rPr>
          <w:rFonts w:eastAsia="Arial Unicode MS"/>
          <w:sz w:val="22"/>
          <w:szCs w:val="22"/>
        </w:rPr>
        <w:t xml:space="preserve">du secteur </w:t>
      </w:r>
      <w:r w:rsidRPr="00FF24EF">
        <w:rPr>
          <w:rFonts w:eastAsia="Arial Unicode MS"/>
          <w:sz w:val="22"/>
          <w:szCs w:val="22"/>
        </w:rPr>
        <w:t xml:space="preserve">ont été jugés d’un niveau normal par </w:t>
      </w:r>
      <w:r>
        <w:rPr>
          <w:rFonts w:eastAsia="Arial Unicode MS"/>
          <w:sz w:val="22"/>
          <w:szCs w:val="22"/>
        </w:rPr>
        <w:t>72% des chefs d’entreprises et</w:t>
      </w:r>
      <w:r w:rsidRPr="00FF24EF">
        <w:rPr>
          <w:rFonts w:eastAsia="Arial Unicode MS"/>
          <w:sz w:val="22"/>
          <w:szCs w:val="22"/>
        </w:rPr>
        <w:t xml:space="preserve"> peu garni</w:t>
      </w:r>
      <w:r>
        <w:rPr>
          <w:rFonts w:eastAsia="Arial Unicode MS"/>
          <w:sz w:val="22"/>
          <w:szCs w:val="22"/>
        </w:rPr>
        <w:t>s</w:t>
      </w:r>
      <w:r w:rsidRPr="00FF24EF">
        <w:rPr>
          <w:rFonts w:eastAsia="Arial Unicode MS"/>
          <w:sz w:val="22"/>
          <w:szCs w:val="22"/>
        </w:rPr>
        <w:t xml:space="preserve"> par </w:t>
      </w:r>
      <w:r>
        <w:rPr>
          <w:rFonts w:eastAsia="Arial Unicode MS"/>
          <w:sz w:val="22"/>
          <w:szCs w:val="22"/>
        </w:rPr>
        <w:t xml:space="preserve">18%. </w:t>
      </w:r>
      <w:r w:rsidRPr="00801153">
        <w:rPr>
          <w:rFonts w:eastAsia="Arial Unicode MS"/>
          <w:sz w:val="22"/>
          <w:szCs w:val="22"/>
        </w:rPr>
        <w:t>Quant à</w:t>
      </w:r>
      <w:r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l’emp</w:t>
      </w:r>
      <w:r>
        <w:rPr>
          <w:rFonts w:eastAsia="Arial Unicode MS"/>
          <w:sz w:val="22"/>
          <w:szCs w:val="22"/>
        </w:rPr>
        <w:t xml:space="preserve">loi, il aurait connu, selon 35% des patrons, une hausse </w:t>
      </w:r>
      <w:r w:rsidRPr="00801153">
        <w:rPr>
          <w:rFonts w:eastAsia="Arial Unicode MS"/>
          <w:sz w:val="22"/>
          <w:szCs w:val="22"/>
        </w:rPr>
        <w:t>et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 xml:space="preserve">selon </w:t>
      </w:r>
      <w:r>
        <w:rPr>
          <w:rFonts w:eastAsia="Arial Unicode MS"/>
          <w:sz w:val="22"/>
          <w:szCs w:val="22"/>
        </w:rPr>
        <w:t>18</w:t>
      </w:r>
      <w:r w:rsidRPr="00801153">
        <w:rPr>
          <w:rFonts w:eastAsia="Arial Unicode MS"/>
          <w:sz w:val="22"/>
          <w:szCs w:val="22"/>
        </w:rPr>
        <w:t>%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 xml:space="preserve">une </w:t>
      </w:r>
      <w:r>
        <w:rPr>
          <w:rFonts w:eastAsia="Arial Unicode MS"/>
          <w:sz w:val="22"/>
          <w:szCs w:val="22"/>
        </w:rPr>
        <w:t>baisse</w:t>
      </w:r>
      <w:r w:rsidRPr="00801153">
        <w:rPr>
          <w:rFonts w:eastAsia="Arial Unicode MS"/>
          <w:sz w:val="22"/>
          <w:szCs w:val="22"/>
        </w:rPr>
        <w:t xml:space="preserve">. </w:t>
      </w:r>
      <w:r w:rsidRPr="00FF24EF">
        <w:rPr>
          <w:rFonts w:eastAsia="Arial Unicode MS"/>
          <w:sz w:val="22"/>
          <w:szCs w:val="22"/>
        </w:rPr>
        <w:t xml:space="preserve">Dans ce contexte, </w:t>
      </w:r>
      <w:r w:rsidRPr="00CE3972">
        <w:rPr>
          <w:rFonts w:eastAsia="Arial Unicode MS"/>
          <w:sz w:val="22"/>
          <w:szCs w:val="22"/>
        </w:rPr>
        <w:t>le taux d’utilisation de la capacité productive (TUC) se serait établi à 7</w:t>
      </w:r>
      <w:r>
        <w:rPr>
          <w:rFonts w:eastAsia="Arial Unicode MS"/>
          <w:sz w:val="22"/>
          <w:szCs w:val="22"/>
        </w:rPr>
        <w:t>2</w:t>
      </w:r>
      <w:r w:rsidRPr="00CE3972">
        <w:rPr>
          <w:rFonts w:eastAsia="Arial Unicode MS"/>
          <w:sz w:val="22"/>
          <w:szCs w:val="22"/>
        </w:rPr>
        <w:t xml:space="preserve">% au </w:t>
      </w:r>
      <w:r>
        <w:rPr>
          <w:rFonts w:eastAsia="Arial Unicode MS"/>
          <w:sz w:val="22"/>
          <w:szCs w:val="22"/>
        </w:rPr>
        <w:t>premier</w:t>
      </w:r>
      <w:r w:rsidRPr="00CE3972">
        <w:rPr>
          <w:rFonts w:eastAsia="Arial Unicode MS"/>
          <w:sz w:val="22"/>
          <w:szCs w:val="22"/>
        </w:rPr>
        <w:t xml:space="preserve"> trimestre </w:t>
      </w:r>
      <w:r>
        <w:rPr>
          <w:rFonts w:eastAsia="Arial Unicode MS"/>
          <w:sz w:val="22"/>
          <w:szCs w:val="22"/>
        </w:rPr>
        <w:t>2016</w:t>
      </w:r>
      <w:r w:rsidRPr="00CE3972">
        <w:rPr>
          <w:rFonts w:eastAsia="Arial Unicode MS"/>
          <w:sz w:val="22"/>
          <w:szCs w:val="22"/>
        </w:rPr>
        <w:t xml:space="preserve">. </w:t>
      </w:r>
    </w:p>
    <w:p w:rsidR="0038590B" w:rsidRPr="00FF24EF" w:rsidRDefault="0038590B" w:rsidP="0038590B">
      <w:pPr>
        <w:jc w:val="both"/>
        <w:rPr>
          <w:rFonts w:eastAsia="Arial Unicode MS"/>
          <w:sz w:val="22"/>
          <w:szCs w:val="22"/>
        </w:rPr>
      </w:pPr>
    </w:p>
    <w:p w:rsidR="00F03C7C" w:rsidRDefault="00F03C7C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FF24EF" w:rsidRDefault="002770BB" w:rsidP="00CC383A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3004185</wp:posOffset>
            </wp:positionH>
            <wp:positionV relativeFrom="margin">
              <wp:posOffset>32385</wp:posOffset>
            </wp:positionV>
            <wp:extent cx="3114675" cy="2247900"/>
            <wp:effectExtent l="0" t="0" r="0" b="0"/>
            <wp:wrapSquare wrapText="bothSides"/>
            <wp:docPr id="3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8B4895">
        <w:rPr>
          <w:rFonts w:eastAsia="Arial Unicode MS"/>
          <w:sz w:val="22"/>
          <w:szCs w:val="22"/>
        </w:rPr>
        <w:t xml:space="preserve">S'agissant du </w:t>
      </w:r>
      <w:r w:rsidR="0038590B" w:rsidRPr="00FF24EF">
        <w:rPr>
          <w:rFonts w:eastAsia="Arial Unicode MS"/>
          <w:sz w:val="22"/>
          <w:szCs w:val="22"/>
        </w:rPr>
        <w:t xml:space="preserve">secteur de </w:t>
      </w:r>
      <w:r w:rsidR="0038590B" w:rsidRPr="00801153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CC383A">
        <w:rPr>
          <w:rFonts w:eastAsia="Arial Unicode MS"/>
          <w:b/>
          <w:bCs/>
          <w:color w:val="660033"/>
          <w:sz w:val="22"/>
          <w:szCs w:val="22"/>
        </w:rPr>
        <w:t xml:space="preserve">, </w:t>
      </w:r>
      <w:r w:rsidR="008B4895">
        <w:rPr>
          <w:rFonts w:eastAsia="Arial Unicode MS"/>
          <w:sz w:val="22"/>
          <w:szCs w:val="22"/>
        </w:rPr>
        <w:t xml:space="preserve">la production </w:t>
      </w:r>
      <w:r w:rsidR="0038590B" w:rsidRPr="00FF24EF">
        <w:rPr>
          <w:rFonts w:eastAsia="Arial Unicode MS"/>
          <w:sz w:val="22"/>
          <w:szCs w:val="22"/>
        </w:rPr>
        <w:t>aurait</w:t>
      </w:r>
      <w:r w:rsidR="0038590B">
        <w:rPr>
          <w:rFonts w:eastAsia="Arial Unicode MS"/>
          <w:sz w:val="22"/>
          <w:szCs w:val="22"/>
        </w:rPr>
        <w:t>, en revanche,</w:t>
      </w:r>
      <w:r w:rsidRPr="002770BB">
        <w:rPr>
          <w:noProof/>
        </w:rPr>
        <w:t xml:space="preserve"> </w:t>
      </w:r>
      <w:r w:rsidR="0038590B">
        <w:rPr>
          <w:rFonts w:eastAsia="Arial Unicode MS"/>
          <w:sz w:val="22"/>
          <w:szCs w:val="22"/>
        </w:rPr>
        <w:t xml:space="preserve"> </w:t>
      </w:r>
      <w:r w:rsidR="0038590B" w:rsidRPr="00801153">
        <w:rPr>
          <w:rFonts w:eastAsia="Arial Unicode MS"/>
          <w:sz w:val="22"/>
          <w:szCs w:val="22"/>
        </w:rPr>
        <w:t>affiché,</w:t>
      </w:r>
      <w:r w:rsidR="0038590B">
        <w:rPr>
          <w:rFonts w:eastAsia="Arial Unicode MS"/>
          <w:sz w:val="22"/>
          <w:szCs w:val="22"/>
        </w:rPr>
        <w:t xml:space="preserve"> </w:t>
      </w:r>
      <w:r w:rsidR="0038590B" w:rsidRPr="00FF24EF">
        <w:rPr>
          <w:rFonts w:eastAsia="Arial Unicode MS"/>
          <w:sz w:val="22"/>
          <w:szCs w:val="22"/>
        </w:rPr>
        <w:t xml:space="preserve">au </w:t>
      </w:r>
      <w:r w:rsidR="0038590B">
        <w:rPr>
          <w:rFonts w:eastAsia="Arial Unicode MS"/>
          <w:sz w:val="22"/>
          <w:szCs w:val="22"/>
        </w:rPr>
        <w:t>premier</w:t>
      </w:r>
      <w:r w:rsidR="0038590B" w:rsidRPr="00FF24EF">
        <w:rPr>
          <w:rFonts w:eastAsia="Arial Unicode MS"/>
          <w:sz w:val="22"/>
          <w:szCs w:val="22"/>
        </w:rPr>
        <w:t xml:space="preserve"> trimestre </w:t>
      </w:r>
      <w:r w:rsidR="0038590B">
        <w:rPr>
          <w:rFonts w:eastAsia="Arial Unicode MS"/>
          <w:sz w:val="22"/>
          <w:szCs w:val="22"/>
        </w:rPr>
        <w:t xml:space="preserve">2016, </w:t>
      </w:r>
      <w:r w:rsidR="0038590B" w:rsidRPr="00FF24EF">
        <w:rPr>
          <w:rFonts w:eastAsia="Arial Unicode MS"/>
          <w:sz w:val="22"/>
          <w:szCs w:val="22"/>
        </w:rPr>
        <w:t xml:space="preserve">une </w:t>
      </w:r>
      <w:r w:rsidR="0038590B">
        <w:rPr>
          <w:rFonts w:eastAsia="Arial Unicode MS"/>
          <w:sz w:val="22"/>
          <w:szCs w:val="22"/>
        </w:rPr>
        <w:t xml:space="preserve">baisse selon la majorité des patrons, </w:t>
      </w:r>
      <w:r w:rsidR="0038590B" w:rsidRPr="00FF24EF">
        <w:rPr>
          <w:rFonts w:eastAsia="Arial Unicode MS"/>
          <w:sz w:val="22"/>
          <w:szCs w:val="22"/>
        </w:rPr>
        <w:t xml:space="preserve">due, </w:t>
      </w:r>
      <w:r w:rsidR="0038590B">
        <w:rPr>
          <w:rFonts w:eastAsia="Arial Unicode MS"/>
          <w:sz w:val="22"/>
          <w:szCs w:val="22"/>
        </w:rPr>
        <w:t>en particulier</w:t>
      </w:r>
      <w:r w:rsidR="0038590B" w:rsidRPr="00FF24EF">
        <w:rPr>
          <w:rFonts w:eastAsia="Arial Unicode MS"/>
          <w:sz w:val="22"/>
          <w:szCs w:val="22"/>
        </w:rPr>
        <w:t xml:space="preserve">, à une </w:t>
      </w:r>
      <w:r w:rsidR="0038590B">
        <w:rPr>
          <w:rFonts w:eastAsia="Arial Unicode MS"/>
          <w:sz w:val="22"/>
          <w:szCs w:val="22"/>
        </w:rPr>
        <w:t xml:space="preserve">diminution </w:t>
      </w:r>
      <w:r w:rsidR="00356D34">
        <w:rPr>
          <w:rFonts w:eastAsia="Arial Unicode MS"/>
          <w:sz w:val="22"/>
          <w:szCs w:val="22"/>
        </w:rPr>
        <w:t>d</w:t>
      </w:r>
      <w:r w:rsidR="0038590B" w:rsidRPr="00FF24EF">
        <w:rPr>
          <w:rFonts w:eastAsia="Arial Unicode MS"/>
          <w:sz w:val="22"/>
          <w:szCs w:val="22"/>
        </w:rPr>
        <w:t>e la production de</w:t>
      </w:r>
      <w:r w:rsidR="0038590B">
        <w:rPr>
          <w:rFonts w:eastAsia="Arial Unicode MS"/>
          <w:sz w:val="22"/>
          <w:szCs w:val="22"/>
        </w:rPr>
        <w:t xml:space="preserve"> la branche</w:t>
      </w:r>
      <w:r w:rsidR="0038590B" w:rsidRPr="00FF24EF">
        <w:rPr>
          <w:rFonts w:eastAsia="Arial Unicode MS"/>
          <w:sz w:val="22"/>
          <w:szCs w:val="22"/>
        </w:rPr>
        <w:t xml:space="preserve"> </w:t>
      </w:r>
      <w:r w:rsidR="00356D34">
        <w:rPr>
          <w:rFonts w:eastAsia="Arial Unicode MS"/>
          <w:sz w:val="22"/>
          <w:szCs w:val="22"/>
        </w:rPr>
        <w:t xml:space="preserve">des </w:t>
      </w:r>
      <w:r w:rsidR="0038590B" w:rsidRPr="005A1D59">
        <w:rPr>
          <w:rFonts w:eastAsia="Arial Unicode MS"/>
          <w:sz w:val="22"/>
          <w:szCs w:val="22"/>
        </w:rPr>
        <w:t>«</w:t>
      </w:r>
      <w:r w:rsidR="0038590B" w:rsidRPr="00FF24EF">
        <w:rPr>
          <w:rFonts w:eastAsia="Arial Unicode MS"/>
          <w:sz w:val="22"/>
          <w:szCs w:val="22"/>
        </w:rPr>
        <w:t>Autres industries extractives»</w:t>
      </w:r>
      <w:r w:rsidR="0038590B">
        <w:rPr>
          <w:rFonts w:eastAsia="Arial Unicode MS"/>
          <w:sz w:val="22"/>
          <w:szCs w:val="22"/>
        </w:rPr>
        <w:t xml:space="preserve">, dominée par </w:t>
      </w:r>
      <w:r w:rsidR="00356D34">
        <w:rPr>
          <w:rFonts w:eastAsia="Arial Unicode MS"/>
          <w:sz w:val="22"/>
          <w:szCs w:val="22"/>
        </w:rPr>
        <w:t>l</w:t>
      </w:r>
      <w:r w:rsidR="0038590B" w:rsidRPr="00FF24EF">
        <w:rPr>
          <w:rFonts w:eastAsia="Arial Unicode MS"/>
          <w:sz w:val="22"/>
          <w:szCs w:val="22"/>
        </w:rPr>
        <w:t xml:space="preserve">es phosphates. </w:t>
      </w:r>
    </w:p>
    <w:p w:rsidR="0038590B" w:rsidRPr="00FF24EF" w:rsidRDefault="0038590B" w:rsidP="0038590B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8590B" w:rsidRPr="00FF24EF" w:rsidSect="003A2CE4">
          <w:type w:val="continuous"/>
          <w:pgSz w:w="11906" w:h="16838"/>
          <w:pgMar w:top="1134" w:right="1134" w:bottom="1134" w:left="1134" w:header="708" w:footer="275" w:gutter="0"/>
          <w:pgNumType w:start="1"/>
          <w:cols w:space="708"/>
          <w:titlePg/>
          <w:docGrid w:linePitch="360"/>
        </w:sectPr>
      </w:pPr>
    </w:p>
    <w:p w:rsidR="0038590B" w:rsidRDefault="0038590B" w:rsidP="00757AF5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A13AFA">
        <w:rPr>
          <w:rFonts w:eastAsia="Arial Unicode MS"/>
          <w:sz w:val="22"/>
          <w:szCs w:val="22"/>
        </w:rPr>
        <w:t>La situation des carnets de commande a été, par ailleurs, jugée d’un niveau normal par la plupart des chefs d’entreprises de ce secteur.</w:t>
      </w:r>
      <w:r w:rsidRPr="00FF24EF">
        <w:rPr>
          <w:rFonts w:eastAsia="Arial Unicode MS"/>
          <w:sz w:val="22"/>
          <w:szCs w:val="22"/>
        </w:rPr>
        <w:t xml:space="preserve"> L’emploi</w:t>
      </w:r>
      <w:r w:rsidR="002A1960" w:rsidRPr="002A1960">
        <w:rPr>
          <w:rFonts w:eastAsia="Arial Unicode MS"/>
          <w:sz w:val="22"/>
          <w:szCs w:val="22"/>
        </w:rPr>
        <w:t xml:space="preserve"> </w:t>
      </w:r>
      <w:r w:rsidR="002A1960" w:rsidRPr="00FF24EF">
        <w:rPr>
          <w:rFonts w:eastAsia="Arial Unicode MS"/>
          <w:sz w:val="22"/>
          <w:szCs w:val="22"/>
        </w:rPr>
        <w:t>aurait</w:t>
      </w:r>
      <w:r w:rsidRPr="00FF24EF">
        <w:rPr>
          <w:rFonts w:eastAsia="Arial Unicode MS"/>
          <w:sz w:val="22"/>
          <w:szCs w:val="22"/>
        </w:rPr>
        <w:t xml:space="preserve">, de son côté, connu une stabilité selon </w:t>
      </w:r>
      <w:r w:rsidRPr="004249F6">
        <w:rPr>
          <w:rFonts w:eastAsia="Arial Unicode MS"/>
          <w:sz w:val="22"/>
          <w:szCs w:val="22"/>
        </w:rPr>
        <w:t xml:space="preserve">la </w:t>
      </w:r>
      <w:r>
        <w:rPr>
          <w:rFonts w:eastAsia="Arial Unicode MS"/>
          <w:sz w:val="22"/>
          <w:szCs w:val="22"/>
        </w:rPr>
        <w:t>majorité</w:t>
      </w:r>
      <w:r w:rsidRPr="00AB24B6">
        <w:rPr>
          <w:rFonts w:eastAsia="Arial Unicode MS"/>
          <w:sz w:val="22"/>
          <w:szCs w:val="22"/>
        </w:rPr>
        <w:t xml:space="preserve"> des patrons</w:t>
      </w:r>
      <w:r w:rsidRPr="00FF24EF">
        <w:rPr>
          <w:rFonts w:eastAsia="Arial Unicode MS"/>
          <w:sz w:val="22"/>
          <w:szCs w:val="22"/>
        </w:rPr>
        <w:t xml:space="preserve">. Pour ce qui </w:t>
      </w:r>
      <w:r w:rsidRPr="00602C7C">
        <w:rPr>
          <w:rFonts w:eastAsia="Arial Unicode MS"/>
          <w:sz w:val="22"/>
          <w:szCs w:val="22"/>
        </w:rPr>
        <w:t xml:space="preserve">est du TUC, il se serait établi, dans ce secteur, à </w:t>
      </w:r>
      <w:r>
        <w:rPr>
          <w:rFonts w:eastAsia="Arial Unicode MS"/>
          <w:sz w:val="22"/>
          <w:szCs w:val="22"/>
        </w:rPr>
        <w:t>84</w:t>
      </w:r>
      <w:r w:rsidRPr="00602C7C">
        <w:rPr>
          <w:rFonts w:eastAsia="Arial Unicode MS"/>
          <w:sz w:val="22"/>
          <w:szCs w:val="22"/>
        </w:rPr>
        <w:t>%</w:t>
      </w:r>
      <w:r>
        <w:rPr>
          <w:rFonts w:eastAsia="Arial Unicode MS"/>
          <w:sz w:val="22"/>
          <w:szCs w:val="22"/>
        </w:rPr>
        <w:t>,</w:t>
      </w:r>
      <w:r w:rsidRPr="00602C7C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 xml:space="preserve">au </w:t>
      </w:r>
      <w:r w:rsidR="00757AF5">
        <w:rPr>
          <w:rFonts w:eastAsia="Arial Unicode MS"/>
          <w:sz w:val="22"/>
          <w:szCs w:val="22"/>
        </w:rPr>
        <w:t>premier</w:t>
      </w:r>
      <w:r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trimestre</w:t>
      </w:r>
      <w:r w:rsidRPr="00CE3972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2016</w:t>
      </w:r>
      <w:r w:rsidRPr="00602C7C">
        <w:rPr>
          <w:rFonts w:eastAsia="Arial Unicode MS"/>
          <w:sz w:val="22"/>
          <w:szCs w:val="22"/>
        </w:rPr>
        <w:t>.</w:t>
      </w:r>
      <w:r w:rsidRPr="00FF24EF">
        <w:rPr>
          <w:rFonts w:eastAsia="Arial Unicode MS"/>
          <w:sz w:val="22"/>
          <w:szCs w:val="22"/>
        </w:rPr>
        <w:t xml:space="preserve"> </w:t>
      </w:r>
    </w:p>
    <w:p w:rsidR="0038590B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38590B" w:rsidRPr="00454991" w:rsidRDefault="0038590B" w:rsidP="00DD280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4915DF">
        <w:rPr>
          <w:rFonts w:eastAsia="Arial Unicode MS"/>
          <w:sz w:val="22"/>
          <w:szCs w:val="22"/>
        </w:rPr>
        <w:t>En ce qui concerne le secteur de</w:t>
      </w:r>
      <w:r>
        <w:rPr>
          <w:rFonts w:eastAsia="Arial Unicode MS"/>
          <w:sz w:val="22"/>
          <w:szCs w:val="22"/>
        </w:rPr>
        <w:t xml:space="preserve"> </w:t>
      </w:r>
      <w:r w:rsidRPr="003C3C15">
        <w:rPr>
          <w:rFonts w:eastAsia="Arial Unicode MS"/>
          <w:b/>
          <w:bCs/>
          <w:color w:val="660033"/>
          <w:sz w:val="22"/>
          <w:szCs w:val="22"/>
        </w:rPr>
        <w:t>l’industrie énergétique</w:t>
      </w:r>
      <w:r w:rsidRPr="00454991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 xml:space="preserve">la production aurait </w:t>
      </w:r>
      <w:r w:rsidR="00A13CF0">
        <w:rPr>
          <w:rFonts w:eastAsia="Arial Unicode MS"/>
          <w:sz w:val="22"/>
          <w:szCs w:val="22"/>
        </w:rPr>
        <w:t xml:space="preserve">subi </w:t>
      </w:r>
      <w:r>
        <w:rPr>
          <w:rFonts w:eastAsia="Arial Unicode MS"/>
          <w:sz w:val="22"/>
          <w:szCs w:val="22"/>
        </w:rPr>
        <w:t>une forte baisse</w:t>
      </w:r>
      <w:r w:rsidR="002A1960">
        <w:rPr>
          <w:rFonts w:eastAsia="Arial Unicode MS"/>
          <w:sz w:val="22"/>
          <w:szCs w:val="22"/>
        </w:rPr>
        <w:t xml:space="preserve"> due</w:t>
      </w:r>
      <w:r w:rsidR="00DD280D">
        <w:rPr>
          <w:rFonts w:eastAsia="Arial Unicode MS"/>
          <w:sz w:val="22"/>
          <w:szCs w:val="22"/>
        </w:rPr>
        <w:t xml:space="preserve"> </w:t>
      </w:r>
      <w:r w:rsidR="002A1960">
        <w:rPr>
          <w:rFonts w:eastAsia="Arial Unicode MS"/>
          <w:sz w:val="22"/>
          <w:szCs w:val="22"/>
        </w:rPr>
        <w:t xml:space="preserve">à </w:t>
      </w:r>
      <w:r>
        <w:rPr>
          <w:rFonts w:eastAsia="Arial Unicode MS"/>
          <w:sz w:val="22"/>
          <w:szCs w:val="22"/>
        </w:rPr>
        <w:t>une diminution de la « </w:t>
      </w:r>
      <w:r w:rsidRPr="004915DF">
        <w:rPr>
          <w:rFonts w:eastAsia="Arial Unicode MS"/>
          <w:sz w:val="22"/>
          <w:szCs w:val="22"/>
        </w:rPr>
        <w:t>Production et distribution d’électricité, de gaz, de vapeur et d’air conditionné</w:t>
      </w:r>
      <w:r>
        <w:rPr>
          <w:rFonts w:eastAsia="Arial Unicode MS"/>
          <w:sz w:val="22"/>
          <w:szCs w:val="22"/>
        </w:rPr>
        <w:t> ».</w:t>
      </w:r>
      <w:r w:rsidRPr="00454991">
        <w:rPr>
          <w:rFonts w:eastAsia="Arial Unicode MS"/>
          <w:sz w:val="22"/>
          <w:szCs w:val="22"/>
        </w:rPr>
        <w:t xml:space="preserve"> </w:t>
      </w:r>
    </w:p>
    <w:p w:rsidR="0038590B" w:rsidRDefault="0038590B" w:rsidP="00A13CF0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CE4CC1">
        <w:rPr>
          <w:rFonts w:eastAsia="Arial Unicode MS"/>
          <w:sz w:val="22"/>
          <w:szCs w:val="22"/>
        </w:rPr>
        <w:t>Quant au secteur de</w:t>
      </w:r>
      <w:r w:rsidRPr="00454991">
        <w:rPr>
          <w:rFonts w:eastAsia="Arial Unicode MS"/>
          <w:sz w:val="22"/>
          <w:szCs w:val="22"/>
        </w:rPr>
        <w:t xml:space="preserve"> </w:t>
      </w:r>
      <w:r w:rsidRPr="003C3C15">
        <w:rPr>
          <w:rFonts w:eastAsia="Arial Unicode MS"/>
          <w:b/>
          <w:bCs/>
          <w:color w:val="660033"/>
          <w:sz w:val="22"/>
          <w:szCs w:val="22"/>
        </w:rPr>
        <w:t>l’industrie environnementale</w:t>
      </w:r>
      <w:r w:rsidRPr="004915DF">
        <w:rPr>
          <w:rFonts w:eastAsia="Arial Unicode MS"/>
          <w:sz w:val="22"/>
          <w:szCs w:val="22"/>
        </w:rPr>
        <w:t xml:space="preserve">, la production aurait </w:t>
      </w:r>
      <w:r w:rsidR="00A13CF0">
        <w:rPr>
          <w:rFonts w:eastAsia="Arial Unicode MS"/>
          <w:sz w:val="22"/>
          <w:szCs w:val="22"/>
        </w:rPr>
        <w:t>enregistrée</w:t>
      </w:r>
      <w:r>
        <w:rPr>
          <w:rFonts w:eastAsia="Arial Unicode MS"/>
          <w:sz w:val="22"/>
          <w:szCs w:val="22"/>
        </w:rPr>
        <w:t>,</w:t>
      </w:r>
      <w:r w:rsidRPr="004915DF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selon l</w:t>
      </w:r>
      <w:r w:rsidR="00A13CF0">
        <w:rPr>
          <w:rFonts w:eastAsia="Arial Unicode MS"/>
          <w:sz w:val="22"/>
          <w:szCs w:val="22"/>
        </w:rPr>
        <w:t xml:space="preserve">'opinion </w:t>
      </w:r>
      <w:r w:rsidRPr="00801153">
        <w:rPr>
          <w:rFonts w:eastAsia="Arial Unicode MS"/>
          <w:sz w:val="22"/>
          <w:szCs w:val="22"/>
        </w:rPr>
        <w:t>de</w:t>
      </w:r>
      <w:r>
        <w:rPr>
          <w:rFonts w:eastAsia="Arial Unicode MS"/>
          <w:sz w:val="22"/>
          <w:szCs w:val="22"/>
        </w:rPr>
        <w:t xml:space="preserve"> la majorité des chefs d’entreprises, </w:t>
      </w:r>
      <w:r w:rsidRPr="004915DF">
        <w:rPr>
          <w:rFonts w:eastAsia="Arial Unicode MS"/>
          <w:sz w:val="22"/>
          <w:szCs w:val="22"/>
        </w:rPr>
        <w:t>une</w:t>
      </w:r>
      <w:r>
        <w:rPr>
          <w:rFonts w:eastAsia="Arial Unicode MS"/>
          <w:sz w:val="22"/>
          <w:szCs w:val="22"/>
        </w:rPr>
        <w:t xml:space="preserve"> augmentation </w:t>
      </w:r>
      <w:r w:rsidRPr="00801153">
        <w:rPr>
          <w:rFonts w:eastAsia="Arial Unicode MS"/>
          <w:sz w:val="22"/>
          <w:szCs w:val="22"/>
        </w:rPr>
        <w:t>imputable</w:t>
      </w:r>
      <w:r w:rsidRPr="004915DF">
        <w:rPr>
          <w:rFonts w:eastAsia="Arial Unicode MS"/>
          <w:sz w:val="22"/>
          <w:szCs w:val="22"/>
        </w:rPr>
        <w:t xml:space="preserve"> à </w:t>
      </w:r>
      <w:r w:rsidR="00356D34">
        <w:rPr>
          <w:rFonts w:eastAsia="Arial Unicode MS"/>
          <w:sz w:val="22"/>
          <w:szCs w:val="22"/>
        </w:rPr>
        <w:t xml:space="preserve">la </w:t>
      </w:r>
      <w:r>
        <w:rPr>
          <w:rFonts w:eastAsia="Arial Unicode MS"/>
          <w:sz w:val="22"/>
          <w:szCs w:val="22"/>
        </w:rPr>
        <w:t>hausse</w:t>
      </w:r>
      <w:r w:rsidRPr="004915DF">
        <w:rPr>
          <w:rFonts w:eastAsia="Arial Unicode MS"/>
          <w:sz w:val="22"/>
          <w:szCs w:val="22"/>
        </w:rPr>
        <w:t xml:space="preserve"> d</w:t>
      </w:r>
      <w:r w:rsidR="00356D34">
        <w:rPr>
          <w:rFonts w:eastAsia="Arial Unicode MS"/>
          <w:sz w:val="22"/>
          <w:szCs w:val="22"/>
        </w:rPr>
        <w:t xml:space="preserve">'activité du </w:t>
      </w:r>
      <w:r w:rsidRPr="004915DF">
        <w:rPr>
          <w:rFonts w:eastAsia="Arial Unicode MS"/>
          <w:sz w:val="22"/>
          <w:szCs w:val="22"/>
        </w:rPr>
        <w:t>«</w:t>
      </w:r>
      <w:r>
        <w:rPr>
          <w:rFonts w:eastAsia="Arial Unicode MS"/>
          <w:sz w:val="22"/>
          <w:szCs w:val="22"/>
        </w:rPr>
        <w:t>Captage, traitement et distribution d’eau</w:t>
      </w:r>
      <w:r w:rsidRPr="004915DF">
        <w:rPr>
          <w:rFonts w:eastAsia="Arial Unicode MS"/>
          <w:sz w:val="22"/>
          <w:szCs w:val="22"/>
        </w:rPr>
        <w:t>»</w:t>
      </w:r>
      <w:r>
        <w:rPr>
          <w:rFonts w:eastAsia="Arial Unicode MS"/>
          <w:sz w:val="22"/>
          <w:szCs w:val="22"/>
        </w:rPr>
        <w:t>.</w:t>
      </w:r>
      <w:r w:rsidRPr="004915DF">
        <w:rPr>
          <w:rFonts w:eastAsia="Arial Unicode MS"/>
          <w:sz w:val="22"/>
          <w:szCs w:val="22"/>
        </w:rPr>
        <w:t xml:space="preserve"> </w:t>
      </w:r>
    </w:p>
    <w:p w:rsidR="009377FB" w:rsidRDefault="0038590B" w:rsidP="00757AF5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Les carnets de commandes ont été jugés d’un niveau normal par la totalité des chefs d’entreprises des deux secteurs énergétique et environnementale. Quant à l’emploi, il aurait connu une hausse d’après la majorité des patrons du secteur environnementale et une baisse selon presque les trois quarts des chefs d’entreprises du secteur énergétique. </w:t>
      </w:r>
      <w:r w:rsidRPr="00801153">
        <w:rPr>
          <w:rFonts w:eastAsia="Arial Unicode MS"/>
          <w:sz w:val="22"/>
          <w:szCs w:val="22"/>
        </w:rPr>
        <w:t>Dans ces conditions, le TUC</w:t>
      </w:r>
      <w:r>
        <w:rPr>
          <w:rFonts w:eastAsia="Arial Unicode MS"/>
          <w:sz w:val="22"/>
          <w:szCs w:val="22"/>
        </w:rPr>
        <w:t xml:space="preserve"> se serait établi à 87% au premier trimestre 2016 pour l</w:t>
      </w:r>
      <w:r w:rsidR="00757AF5">
        <w:rPr>
          <w:rFonts w:eastAsia="Arial Unicode MS"/>
          <w:sz w:val="22"/>
          <w:szCs w:val="22"/>
        </w:rPr>
        <w:t xml:space="preserve">'industrie </w:t>
      </w:r>
      <w:r>
        <w:rPr>
          <w:rFonts w:eastAsia="Arial Unicode MS"/>
          <w:sz w:val="22"/>
          <w:szCs w:val="22"/>
        </w:rPr>
        <w:t xml:space="preserve">énergétique et à 50% pour l’industrie environnementale.    </w:t>
      </w:r>
    </w:p>
    <w:p w:rsidR="009377FB" w:rsidRDefault="009377FB" w:rsidP="009377FB">
      <w:pPr>
        <w:spacing w:after="120" w:line="276" w:lineRule="auto"/>
        <w:jc w:val="both"/>
        <w:rPr>
          <w:rFonts w:eastAsia="Arial Unicode MS"/>
          <w:noProof/>
          <w:sz w:val="22"/>
          <w:szCs w:val="22"/>
        </w:rPr>
      </w:pPr>
    </w:p>
    <w:p w:rsidR="009377FB" w:rsidRDefault="00454991" w:rsidP="009377FB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3060065</wp:posOffset>
            </wp:positionH>
            <wp:positionV relativeFrom="margin">
              <wp:posOffset>5147310</wp:posOffset>
            </wp:positionV>
            <wp:extent cx="2879090" cy="2305050"/>
            <wp:effectExtent l="19050" t="0" r="0" b="0"/>
            <wp:wrapSquare wrapText="bothSides"/>
            <wp:docPr id="119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A41B2">
        <w:rPr>
          <w:rFonts w:eastAsia="Arial Unicode MS"/>
          <w:noProof/>
          <w:sz w:val="22"/>
          <w:szCs w:val="22"/>
        </w:rPr>
        <w:drawing>
          <wp:inline distT="0" distB="0" distL="0" distR="0">
            <wp:extent cx="3197860" cy="2305050"/>
            <wp:effectExtent l="19050" t="0" r="0" b="0"/>
            <wp:docPr id="1" name="Graphiqu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77FB" w:rsidRDefault="009377FB" w:rsidP="009377FB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</w:p>
    <w:p w:rsidR="009377FB" w:rsidRDefault="009377FB" w:rsidP="009377FB">
      <w:pPr>
        <w:spacing w:after="120" w:line="276" w:lineRule="auto"/>
        <w:jc w:val="both"/>
        <w:rPr>
          <w:noProof/>
        </w:rPr>
      </w:pPr>
    </w:p>
    <w:p w:rsidR="00454991" w:rsidRDefault="00454991" w:rsidP="009377FB">
      <w:pPr>
        <w:spacing w:after="120" w:line="276" w:lineRule="auto"/>
        <w:jc w:val="both"/>
        <w:rPr>
          <w:noProof/>
        </w:rPr>
      </w:pPr>
    </w:p>
    <w:p w:rsidR="00454991" w:rsidRDefault="00454991" w:rsidP="009377FB">
      <w:pPr>
        <w:spacing w:after="120" w:line="276" w:lineRule="auto"/>
        <w:jc w:val="both"/>
        <w:rPr>
          <w:noProof/>
        </w:rPr>
      </w:pPr>
    </w:p>
    <w:p w:rsidR="009377FB" w:rsidRDefault="009377FB" w:rsidP="009377FB">
      <w:pPr>
        <w:spacing w:after="120" w:line="276" w:lineRule="auto"/>
        <w:jc w:val="both"/>
        <w:rPr>
          <w:noProof/>
        </w:rPr>
      </w:pPr>
    </w:p>
    <w:p w:rsidR="009377FB" w:rsidRDefault="009377FB" w:rsidP="009377FB">
      <w:pPr>
        <w:spacing w:after="120" w:line="276" w:lineRule="auto"/>
        <w:jc w:val="both"/>
        <w:rPr>
          <w:noProof/>
        </w:rPr>
      </w:pP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7E5AD3" w:rsidRDefault="00CF7036" w:rsidP="007E5AD3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8"/>
          <w:szCs w:val="28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2395855</wp:posOffset>
            </wp:positionH>
            <wp:positionV relativeFrom="margin">
              <wp:posOffset>448945</wp:posOffset>
            </wp:positionV>
            <wp:extent cx="3286125" cy="2762250"/>
            <wp:effectExtent l="19050" t="0" r="0" b="0"/>
            <wp:wrapSquare wrapText="bothSides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7E5AD3" w:rsidRPr="00801153" w:rsidRDefault="002A1960" w:rsidP="00757AF5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Dans </w:t>
      </w:r>
      <w:r w:rsidR="007E5AD3" w:rsidRPr="00D00354">
        <w:rPr>
          <w:rFonts w:eastAsia="Arial Unicode MS"/>
          <w:b/>
          <w:bCs/>
          <w:color w:val="660033"/>
          <w:sz w:val="22"/>
          <w:szCs w:val="22"/>
        </w:rPr>
        <w:t>l</w:t>
      </w:r>
      <w:r w:rsidR="007E5AD3">
        <w:rPr>
          <w:rFonts w:eastAsia="Arial Unicode MS"/>
          <w:b/>
          <w:bCs/>
          <w:color w:val="660033"/>
          <w:sz w:val="22"/>
          <w:szCs w:val="22"/>
        </w:rPr>
        <w:t>e secteur de l</w:t>
      </w:r>
      <w:r w:rsidR="007E5AD3" w:rsidRPr="00D00354">
        <w:rPr>
          <w:rFonts w:eastAsia="Arial Unicode MS"/>
          <w:b/>
          <w:bCs/>
          <w:color w:val="660033"/>
          <w:sz w:val="22"/>
          <w:szCs w:val="22"/>
        </w:rPr>
        <w:t>a construction</w:t>
      </w:r>
      <w:r w:rsidR="007E5AD3" w:rsidRPr="00DD1D7B">
        <w:rPr>
          <w:rFonts w:eastAsia="Arial Unicode MS"/>
          <w:sz w:val="22"/>
          <w:szCs w:val="22"/>
        </w:rPr>
        <w:t xml:space="preserve">, l’activité aurait </w:t>
      </w:r>
      <w:r w:rsidR="00A13CF0">
        <w:rPr>
          <w:rFonts w:eastAsia="Arial Unicode MS"/>
          <w:sz w:val="22"/>
          <w:szCs w:val="22"/>
        </w:rPr>
        <w:t xml:space="preserve">affiché,  </w:t>
      </w:r>
      <w:r w:rsidR="00A13CF0" w:rsidRPr="00DD1D7B">
        <w:rPr>
          <w:rFonts w:eastAsia="Arial Unicode MS"/>
          <w:sz w:val="22"/>
          <w:szCs w:val="22"/>
        </w:rPr>
        <w:t xml:space="preserve">selon </w:t>
      </w:r>
      <w:r w:rsidR="00A13CF0">
        <w:rPr>
          <w:rFonts w:eastAsia="Arial Unicode MS"/>
          <w:sz w:val="22"/>
          <w:szCs w:val="22"/>
        </w:rPr>
        <w:t>34</w:t>
      </w:r>
      <w:r w:rsidR="00A13CF0" w:rsidRPr="00DD1D7B">
        <w:rPr>
          <w:rFonts w:eastAsia="Arial Unicode MS"/>
          <w:sz w:val="22"/>
          <w:szCs w:val="22"/>
        </w:rPr>
        <w:t xml:space="preserve">% des </w:t>
      </w:r>
      <w:r w:rsidR="00A13CF0" w:rsidRPr="00A13CF0">
        <w:rPr>
          <w:rFonts w:eastAsia="Arial Unicode MS"/>
          <w:sz w:val="22"/>
          <w:szCs w:val="22"/>
        </w:rPr>
        <w:t xml:space="preserve">patrons interviewés </w:t>
      </w:r>
      <w:r w:rsidR="007E5AD3" w:rsidRPr="00A13CF0">
        <w:rPr>
          <w:rFonts w:eastAsia="Arial Unicode MS"/>
          <w:sz w:val="22"/>
          <w:szCs w:val="22"/>
        </w:rPr>
        <w:t xml:space="preserve">une hausse, et </w:t>
      </w:r>
      <w:r w:rsidR="00A13CF0" w:rsidRPr="00A13CF0">
        <w:rPr>
          <w:rFonts w:eastAsia="Arial Unicode MS"/>
          <w:sz w:val="22"/>
          <w:szCs w:val="22"/>
        </w:rPr>
        <w:t>selon 19%</w:t>
      </w:r>
      <w:r w:rsidR="00A13CF0">
        <w:rPr>
          <w:rFonts w:eastAsia="Arial Unicode MS"/>
          <w:sz w:val="22"/>
          <w:szCs w:val="22"/>
        </w:rPr>
        <w:t xml:space="preserve"> </w:t>
      </w:r>
      <w:r w:rsidR="007E5AD3" w:rsidRPr="00A13CF0">
        <w:rPr>
          <w:rFonts w:eastAsia="Arial Unicode MS"/>
          <w:sz w:val="22"/>
          <w:szCs w:val="22"/>
        </w:rPr>
        <w:t xml:space="preserve">une baisse. Cette </w:t>
      </w:r>
      <w:r w:rsidR="007E5AD3">
        <w:rPr>
          <w:rFonts w:eastAsia="Arial Unicode MS"/>
          <w:sz w:val="22"/>
          <w:szCs w:val="22"/>
        </w:rPr>
        <w:t xml:space="preserve">légère </w:t>
      </w:r>
      <w:r w:rsidR="00A13CF0">
        <w:rPr>
          <w:rFonts w:eastAsia="Arial Unicode MS"/>
          <w:sz w:val="22"/>
          <w:szCs w:val="22"/>
        </w:rPr>
        <w:t xml:space="preserve">embellie </w:t>
      </w:r>
      <w:r w:rsidR="008B4895">
        <w:rPr>
          <w:rFonts w:eastAsia="Arial Unicode MS"/>
          <w:sz w:val="22"/>
          <w:szCs w:val="22"/>
        </w:rPr>
        <w:t xml:space="preserve">enregistrée au </w:t>
      </w:r>
      <w:r w:rsidR="00757AF5">
        <w:rPr>
          <w:rFonts w:eastAsia="Arial Unicode MS"/>
          <w:sz w:val="22"/>
          <w:szCs w:val="22"/>
        </w:rPr>
        <w:t>premier</w:t>
      </w:r>
      <w:r w:rsidR="008B4895">
        <w:rPr>
          <w:rFonts w:eastAsia="Arial Unicode MS"/>
          <w:sz w:val="22"/>
          <w:szCs w:val="22"/>
        </w:rPr>
        <w:t xml:space="preserve"> trimestre 2016, </w:t>
      </w:r>
      <w:r w:rsidR="007E5AD3" w:rsidRPr="00F75DAA">
        <w:rPr>
          <w:rFonts w:eastAsia="Arial Unicode MS"/>
          <w:color w:val="000000"/>
          <w:sz w:val="22"/>
          <w:szCs w:val="22"/>
        </w:rPr>
        <w:t xml:space="preserve">aurait </w:t>
      </w:r>
      <w:r w:rsidR="007E5AD3" w:rsidRPr="00801153">
        <w:rPr>
          <w:rFonts w:eastAsia="Arial Unicode MS"/>
          <w:color w:val="000000"/>
          <w:sz w:val="22"/>
          <w:szCs w:val="22"/>
        </w:rPr>
        <w:t xml:space="preserve">été principalement </w:t>
      </w:r>
      <w:r w:rsidR="00947FC6">
        <w:rPr>
          <w:rFonts w:eastAsia="Arial Unicode MS"/>
          <w:color w:val="000000"/>
          <w:sz w:val="22"/>
          <w:szCs w:val="22"/>
        </w:rPr>
        <w:t>tiré</w:t>
      </w:r>
      <w:r w:rsidR="003C3C15">
        <w:rPr>
          <w:rFonts w:eastAsia="Arial Unicode MS"/>
          <w:color w:val="000000"/>
          <w:sz w:val="22"/>
          <w:szCs w:val="22"/>
        </w:rPr>
        <w:t>e</w:t>
      </w:r>
      <w:r w:rsidR="00947FC6">
        <w:rPr>
          <w:rFonts w:eastAsia="Arial Unicode MS"/>
          <w:color w:val="000000"/>
          <w:sz w:val="22"/>
          <w:szCs w:val="22"/>
        </w:rPr>
        <w:t xml:space="preserve"> par la </w:t>
      </w:r>
      <w:r w:rsidR="007E5AD3">
        <w:rPr>
          <w:rFonts w:eastAsia="Arial Unicode MS"/>
          <w:color w:val="000000"/>
          <w:sz w:val="22"/>
          <w:szCs w:val="22"/>
        </w:rPr>
        <w:t>hausse</w:t>
      </w:r>
      <w:r w:rsidR="007E5AD3" w:rsidRPr="00F75DAA">
        <w:rPr>
          <w:rFonts w:eastAsia="Arial Unicode MS"/>
          <w:color w:val="000000"/>
          <w:sz w:val="22"/>
          <w:szCs w:val="22"/>
        </w:rPr>
        <w:t xml:space="preserve"> </w:t>
      </w:r>
      <w:r w:rsidR="007E5AD3">
        <w:rPr>
          <w:rFonts w:eastAsia="Arial Unicode MS"/>
          <w:color w:val="000000"/>
          <w:sz w:val="22"/>
          <w:szCs w:val="22"/>
        </w:rPr>
        <w:t>d’</w:t>
      </w:r>
      <w:r w:rsidR="007E5AD3" w:rsidRPr="00F75DAA">
        <w:rPr>
          <w:rFonts w:eastAsia="Arial Unicode MS"/>
          <w:color w:val="000000"/>
          <w:sz w:val="22"/>
          <w:szCs w:val="22"/>
        </w:rPr>
        <w:t>activité dans l</w:t>
      </w:r>
      <w:r w:rsidR="00A13CF0">
        <w:rPr>
          <w:rFonts w:eastAsia="Arial Unicode MS"/>
          <w:color w:val="000000"/>
          <w:sz w:val="22"/>
          <w:szCs w:val="22"/>
        </w:rPr>
        <w:t>es deux branches du</w:t>
      </w:r>
      <w:r w:rsidR="007E5AD3" w:rsidRPr="00F75DAA">
        <w:rPr>
          <w:rFonts w:eastAsia="Arial Unicode MS"/>
          <w:color w:val="000000"/>
          <w:sz w:val="22"/>
          <w:szCs w:val="22"/>
        </w:rPr>
        <w:t xml:space="preserve"> «</w:t>
      </w:r>
      <w:r w:rsidR="00A13CF0">
        <w:rPr>
          <w:rFonts w:eastAsia="Arial Unicode MS"/>
          <w:color w:val="000000"/>
          <w:sz w:val="22"/>
          <w:szCs w:val="22"/>
        </w:rPr>
        <w:t>Génie civil</w:t>
      </w:r>
      <w:r w:rsidR="007E5AD3" w:rsidRPr="00F75DAA">
        <w:rPr>
          <w:rFonts w:eastAsia="Arial Unicode MS"/>
          <w:color w:val="000000"/>
          <w:sz w:val="22"/>
          <w:szCs w:val="22"/>
        </w:rPr>
        <w:t>»</w:t>
      </w:r>
      <w:r w:rsidR="00A13CF0">
        <w:rPr>
          <w:rFonts w:eastAsia="Arial Unicode MS"/>
          <w:color w:val="000000"/>
          <w:sz w:val="22"/>
          <w:szCs w:val="22"/>
        </w:rPr>
        <w:t xml:space="preserve"> et d</w:t>
      </w:r>
      <w:r w:rsidR="00947FC6">
        <w:rPr>
          <w:rFonts w:eastAsia="Arial Unicode MS"/>
          <w:color w:val="000000"/>
          <w:sz w:val="22"/>
          <w:szCs w:val="22"/>
        </w:rPr>
        <w:t xml:space="preserve">e la </w:t>
      </w:r>
      <w:r w:rsidR="007E5AD3">
        <w:rPr>
          <w:rFonts w:eastAsia="Arial Unicode MS"/>
          <w:color w:val="000000"/>
          <w:sz w:val="22"/>
          <w:szCs w:val="22"/>
        </w:rPr>
        <w:t>«</w:t>
      </w:r>
      <w:r w:rsidR="00947FC6">
        <w:rPr>
          <w:rFonts w:eastAsia="Arial Unicode MS"/>
          <w:color w:val="000000"/>
          <w:sz w:val="22"/>
          <w:szCs w:val="22"/>
        </w:rPr>
        <w:t xml:space="preserve">Construction de </w:t>
      </w:r>
      <w:r w:rsidR="00CF6D85">
        <w:rPr>
          <w:rFonts w:eastAsia="Arial Unicode MS"/>
          <w:color w:val="000000"/>
          <w:sz w:val="22"/>
          <w:szCs w:val="22"/>
        </w:rPr>
        <w:t>Bâtiments</w:t>
      </w:r>
      <w:r w:rsidR="007E5AD3">
        <w:rPr>
          <w:rFonts w:eastAsia="Arial Unicode MS"/>
          <w:color w:val="000000"/>
          <w:sz w:val="22"/>
          <w:szCs w:val="22"/>
        </w:rPr>
        <w:t>».</w:t>
      </w:r>
    </w:p>
    <w:p w:rsidR="007E5AD3" w:rsidRPr="004915DF" w:rsidRDefault="007E5AD3" w:rsidP="007E5AD3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F95422" w:rsidRDefault="007E5AD3" w:rsidP="003C3C15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La</w:t>
      </w:r>
      <w:r w:rsidRPr="00DD1D7B">
        <w:rPr>
          <w:rFonts w:eastAsia="Arial Unicode MS"/>
          <w:noProof/>
          <w:sz w:val="22"/>
          <w:szCs w:val="22"/>
        </w:rPr>
        <w:t xml:space="preserve"> situation des carnets de commande dans ce secteur a été jugée d’un niveau normal par </w:t>
      </w:r>
      <w:r>
        <w:rPr>
          <w:rFonts w:eastAsia="Arial Unicode MS"/>
          <w:noProof/>
          <w:sz w:val="22"/>
          <w:szCs w:val="22"/>
        </w:rPr>
        <w:t>64</w:t>
      </w:r>
      <w:r w:rsidRPr="00DD1D7B">
        <w:rPr>
          <w:rFonts w:eastAsia="Arial Unicode MS"/>
          <w:noProof/>
          <w:sz w:val="22"/>
          <w:szCs w:val="22"/>
        </w:rPr>
        <w:t xml:space="preserve">% des patrons et peu garnie par </w:t>
      </w:r>
      <w:r>
        <w:rPr>
          <w:rFonts w:eastAsia="Arial Unicode MS"/>
          <w:noProof/>
          <w:sz w:val="22"/>
          <w:szCs w:val="22"/>
        </w:rPr>
        <w:t>29</w:t>
      </w:r>
      <w:r w:rsidRPr="00DD1D7B">
        <w:rPr>
          <w:rFonts w:eastAsia="Arial Unicode MS"/>
          <w:noProof/>
          <w:sz w:val="22"/>
          <w:szCs w:val="22"/>
        </w:rPr>
        <w:t>% d’entre eux. Quant à l’emploi</w:t>
      </w:r>
      <w:r>
        <w:rPr>
          <w:rFonts w:eastAsia="Arial Unicode MS"/>
          <w:noProof/>
          <w:sz w:val="22"/>
          <w:szCs w:val="22"/>
        </w:rPr>
        <w:t xml:space="preserve">, </w:t>
      </w:r>
      <w:r w:rsidRPr="00DD1D7B">
        <w:rPr>
          <w:rFonts w:eastAsia="Arial Unicode MS"/>
          <w:noProof/>
          <w:sz w:val="22"/>
          <w:szCs w:val="22"/>
        </w:rPr>
        <w:t xml:space="preserve">une stabilité aurait été exprimée </w:t>
      </w:r>
      <w:r w:rsidR="003C3C15">
        <w:rPr>
          <w:rFonts w:eastAsia="Arial Unicode MS"/>
          <w:noProof/>
          <w:sz w:val="22"/>
          <w:szCs w:val="22"/>
        </w:rPr>
        <w:t xml:space="preserve">par </w:t>
      </w:r>
      <w:r>
        <w:rPr>
          <w:rFonts w:eastAsia="Arial Unicode MS"/>
          <w:noProof/>
          <w:sz w:val="22"/>
          <w:szCs w:val="22"/>
        </w:rPr>
        <w:t>66</w:t>
      </w:r>
      <w:r w:rsidRPr="00DD1D7B">
        <w:rPr>
          <w:rFonts w:eastAsia="Arial Unicode MS"/>
          <w:noProof/>
          <w:sz w:val="22"/>
          <w:szCs w:val="22"/>
        </w:rPr>
        <w:t>% des patrons. Dans ce contexte, le taux d’utilisation de la capac</w:t>
      </w:r>
      <w:r>
        <w:rPr>
          <w:rFonts w:eastAsia="Arial Unicode MS"/>
          <w:noProof/>
          <w:sz w:val="22"/>
          <w:szCs w:val="22"/>
        </w:rPr>
        <w:t xml:space="preserve">ité productive (TUC) se serait </w:t>
      </w:r>
      <w:r w:rsidRPr="00DD1D7B">
        <w:rPr>
          <w:rFonts w:eastAsia="Arial Unicode MS"/>
          <w:noProof/>
          <w:sz w:val="22"/>
          <w:szCs w:val="22"/>
        </w:rPr>
        <w:t xml:space="preserve">établi à </w:t>
      </w:r>
      <w:r>
        <w:rPr>
          <w:rFonts w:eastAsia="Arial Unicode MS"/>
          <w:noProof/>
          <w:sz w:val="22"/>
          <w:szCs w:val="22"/>
        </w:rPr>
        <w:t>66%</w:t>
      </w:r>
      <w:r w:rsidRPr="00DD1D7B">
        <w:rPr>
          <w:rFonts w:eastAsia="Arial Unicode MS"/>
          <w:noProof/>
          <w:sz w:val="22"/>
          <w:szCs w:val="22"/>
        </w:rPr>
        <w:t xml:space="preserve"> </w:t>
      </w:r>
      <w:r>
        <w:rPr>
          <w:rFonts w:eastAsia="Arial Unicode MS"/>
          <w:noProof/>
          <w:sz w:val="22"/>
          <w:szCs w:val="22"/>
        </w:rPr>
        <w:t xml:space="preserve">au </w:t>
      </w:r>
      <w:r>
        <w:rPr>
          <w:rFonts w:eastAsia="Arial Unicode MS"/>
          <w:sz w:val="22"/>
          <w:szCs w:val="22"/>
        </w:rPr>
        <w:t xml:space="preserve">premier </w:t>
      </w:r>
      <w:r w:rsidRPr="002E1737">
        <w:rPr>
          <w:rFonts w:eastAsia="Arial Unicode MS"/>
          <w:sz w:val="22"/>
          <w:szCs w:val="22"/>
        </w:rPr>
        <w:t>trimestre 201</w:t>
      </w:r>
      <w:r>
        <w:rPr>
          <w:rFonts w:eastAsia="Arial Unicode MS"/>
          <w:sz w:val="22"/>
          <w:szCs w:val="22"/>
        </w:rPr>
        <w:t>6</w:t>
      </w:r>
      <w:r w:rsidRPr="00DD1D7B">
        <w:rPr>
          <w:rFonts w:eastAsia="Arial Unicode MS"/>
          <w:noProof/>
          <w:sz w:val="22"/>
          <w:szCs w:val="22"/>
        </w:rPr>
        <w:t>.</w:t>
      </w:r>
    </w:p>
    <w:p w:rsidR="0001021C" w:rsidRDefault="00F95422" w:rsidP="00F95422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</w:p>
    <w:p w:rsidR="007E5AD3" w:rsidRDefault="007E5AD3" w:rsidP="00711A4F">
      <w:pPr>
        <w:pStyle w:val="Paragraphedeliste"/>
        <w:spacing w:after="240"/>
        <w:ind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F03C7C" w:rsidRDefault="002E1737" w:rsidP="00AF11D6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AF11D6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2ème</w:t>
      </w:r>
      <w:r w:rsidR="0074436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CE3CE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7E5AD3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F81A11" w:rsidRPr="00F03C7C" w:rsidRDefault="008B4895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3062605</wp:posOffset>
            </wp:positionH>
            <wp:positionV relativeFrom="margin">
              <wp:posOffset>4839970</wp:posOffset>
            </wp:positionV>
            <wp:extent cx="3143250" cy="2266950"/>
            <wp:effectExtent l="0" t="0" r="0" b="0"/>
            <wp:wrapSquare wrapText="bothSides"/>
            <wp:docPr id="114" name="Graphiqu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AF11D6" w:rsidRDefault="00AF11D6" w:rsidP="00757AF5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FF24EF">
        <w:rPr>
          <w:rFonts w:eastAsia="Arial Unicode MS"/>
          <w:sz w:val="22"/>
          <w:szCs w:val="22"/>
        </w:rPr>
        <w:t xml:space="preserve">La production </w:t>
      </w:r>
      <w:r w:rsidRPr="000E5893">
        <w:rPr>
          <w:rFonts w:eastAsia="Arial Unicode MS"/>
          <w:b/>
          <w:bCs/>
          <w:color w:val="660033"/>
          <w:sz w:val="22"/>
          <w:szCs w:val="22"/>
        </w:rPr>
        <w:t>industrielle</w:t>
      </w:r>
      <w:r>
        <w:rPr>
          <w:rFonts w:eastAsia="Arial Unicode MS"/>
          <w:sz w:val="22"/>
          <w:szCs w:val="22"/>
        </w:rPr>
        <w:t xml:space="preserve"> </w:t>
      </w:r>
      <w:r w:rsidRPr="00583A84">
        <w:rPr>
          <w:rFonts w:eastAsia="Arial Unicode MS"/>
          <w:b/>
          <w:bCs/>
          <w:color w:val="660033"/>
          <w:sz w:val="22"/>
          <w:szCs w:val="22"/>
        </w:rPr>
        <w:t>manufacturière</w:t>
      </w:r>
      <w:r>
        <w:rPr>
          <w:rFonts w:eastAsia="Arial Unicode MS"/>
          <w:sz w:val="22"/>
          <w:szCs w:val="22"/>
        </w:rPr>
        <w:t xml:space="preserve"> anticipée</w:t>
      </w:r>
      <w:r w:rsidRPr="00FF24EF">
        <w:rPr>
          <w:rFonts w:eastAsia="Arial Unicode MS"/>
          <w:sz w:val="22"/>
          <w:szCs w:val="22"/>
        </w:rPr>
        <w:t xml:space="preserve"> pour le </w:t>
      </w:r>
      <w:r>
        <w:rPr>
          <w:rFonts w:eastAsia="Arial Unicode MS"/>
          <w:sz w:val="22"/>
          <w:szCs w:val="22"/>
        </w:rPr>
        <w:t>deuxième</w:t>
      </w:r>
      <w:r w:rsidRPr="00DC0356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t</w:t>
      </w:r>
      <w:r>
        <w:rPr>
          <w:rFonts w:eastAsia="Arial Unicode MS"/>
          <w:sz w:val="22"/>
          <w:szCs w:val="22"/>
        </w:rPr>
        <w:t xml:space="preserve">rimestre 2016 devrait </w:t>
      </w:r>
      <w:r w:rsidR="00947FC6">
        <w:rPr>
          <w:rFonts w:eastAsia="Arial Unicode MS"/>
          <w:sz w:val="22"/>
          <w:szCs w:val="22"/>
        </w:rPr>
        <w:t xml:space="preserve">enregistrer, </w:t>
      </w:r>
      <w:r w:rsidRPr="00FF24EF">
        <w:rPr>
          <w:rFonts w:eastAsia="Arial Unicode MS"/>
          <w:sz w:val="22"/>
          <w:szCs w:val="22"/>
        </w:rPr>
        <w:t>selon 4</w:t>
      </w:r>
      <w:r>
        <w:rPr>
          <w:rFonts w:eastAsia="Arial Unicode MS"/>
          <w:sz w:val="22"/>
          <w:szCs w:val="22"/>
        </w:rPr>
        <w:t>5</w:t>
      </w:r>
      <w:r w:rsidRPr="00FF24EF">
        <w:rPr>
          <w:rFonts w:eastAsia="Arial Unicode MS"/>
          <w:sz w:val="22"/>
          <w:szCs w:val="22"/>
        </w:rPr>
        <w:t>% des chefs d’entreprises</w:t>
      </w:r>
      <w:r>
        <w:rPr>
          <w:rFonts w:eastAsia="Arial Unicode MS"/>
          <w:sz w:val="22"/>
          <w:szCs w:val="22"/>
        </w:rPr>
        <w:t xml:space="preserve">, </w:t>
      </w:r>
      <w:r w:rsidRPr="00FF24EF">
        <w:rPr>
          <w:rFonts w:eastAsia="Arial Unicode MS"/>
          <w:sz w:val="22"/>
          <w:szCs w:val="22"/>
        </w:rPr>
        <w:t>une hausse</w:t>
      </w:r>
      <w:r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et</w:t>
      </w:r>
      <w:r>
        <w:rPr>
          <w:rFonts w:eastAsia="Arial Unicode MS"/>
          <w:sz w:val="22"/>
          <w:szCs w:val="22"/>
        </w:rPr>
        <w:t>, s</w:t>
      </w:r>
      <w:r w:rsidRPr="00FF24EF">
        <w:rPr>
          <w:rFonts w:eastAsia="Arial Unicode MS"/>
          <w:sz w:val="22"/>
          <w:szCs w:val="22"/>
        </w:rPr>
        <w:t xml:space="preserve">elon </w:t>
      </w:r>
      <w:r>
        <w:rPr>
          <w:rFonts w:eastAsia="Arial Unicode MS"/>
          <w:sz w:val="22"/>
          <w:szCs w:val="22"/>
        </w:rPr>
        <w:t>22</w:t>
      </w:r>
      <w:r w:rsidRPr="00FF24EF">
        <w:rPr>
          <w:rFonts w:eastAsia="Arial Unicode MS"/>
          <w:sz w:val="22"/>
          <w:szCs w:val="22"/>
        </w:rPr>
        <w:t>%</w:t>
      </w:r>
      <w:r>
        <w:rPr>
          <w:rFonts w:eastAsia="Arial Unicode MS"/>
          <w:sz w:val="22"/>
          <w:szCs w:val="22"/>
        </w:rPr>
        <w:t xml:space="preserve">, </w:t>
      </w:r>
      <w:r w:rsidRPr="00FF24EF">
        <w:rPr>
          <w:rFonts w:eastAsia="Arial Unicode MS"/>
          <w:sz w:val="22"/>
          <w:szCs w:val="22"/>
        </w:rPr>
        <w:t xml:space="preserve">une baisse. Cette </w:t>
      </w:r>
      <w:r>
        <w:rPr>
          <w:rFonts w:eastAsia="Arial Unicode MS"/>
          <w:sz w:val="22"/>
          <w:szCs w:val="22"/>
        </w:rPr>
        <w:t>légère</w:t>
      </w:r>
      <w:r w:rsidRPr="00715DAD">
        <w:rPr>
          <w:noProof/>
        </w:rPr>
        <w:t xml:space="preserve"> </w:t>
      </w:r>
      <w:r w:rsidR="00947FC6">
        <w:rPr>
          <w:noProof/>
        </w:rPr>
        <w:t xml:space="preserve">augmentation </w:t>
      </w:r>
      <w:r w:rsidRPr="00FF24EF">
        <w:rPr>
          <w:rFonts w:eastAsia="Arial Unicode MS"/>
          <w:sz w:val="22"/>
          <w:szCs w:val="22"/>
        </w:rPr>
        <w:t xml:space="preserve">concernerait, principalement, les </w:t>
      </w:r>
      <w:r>
        <w:rPr>
          <w:rFonts w:eastAsia="Arial Unicode MS"/>
          <w:sz w:val="22"/>
          <w:szCs w:val="22"/>
        </w:rPr>
        <w:t>branches d’</w:t>
      </w:r>
      <w:r w:rsidRPr="00FF24EF">
        <w:rPr>
          <w:rFonts w:eastAsia="Arial Unicode MS"/>
          <w:sz w:val="22"/>
          <w:szCs w:val="22"/>
        </w:rPr>
        <w:t xml:space="preserve">activités </w:t>
      </w:r>
      <w:r>
        <w:rPr>
          <w:rFonts w:eastAsia="Arial Unicode MS"/>
          <w:sz w:val="22"/>
          <w:szCs w:val="22"/>
        </w:rPr>
        <w:t>des «</w:t>
      </w:r>
      <w:r w:rsidRPr="00C445D3">
        <w:rPr>
          <w:rFonts w:eastAsia="Arial Unicode MS"/>
          <w:sz w:val="22"/>
          <w:szCs w:val="22"/>
        </w:rPr>
        <w:t>Industries alimentaires</w:t>
      </w:r>
      <w:r>
        <w:rPr>
          <w:rFonts w:eastAsia="Arial Unicode MS"/>
          <w:sz w:val="22"/>
          <w:szCs w:val="22"/>
        </w:rPr>
        <w:t> », de l’</w:t>
      </w:r>
      <w:r w:rsidRPr="00FF24EF">
        <w:rPr>
          <w:rFonts w:eastAsia="Arial Unicode MS"/>
          <w:sz w:val="22"/>
          <w:szCs w:val="22"/>
        </w:rPr>
        <w:t>« </w:t>
      </w:r>
      <w:r>
        <w:rPr>
          <w:rFonts w:eastAsia="Arial Unicode MS"/>
          <w:sz w:val="22"/>
          <w:szCs w:val="22"/>
        </w:rPr>
        <w:t xml:space="preserve">Industrie chimique» et de la </w:t>
      </w:r>
      <w:r w:rsidRPr="00FF24EF">
        <w:rPr>
          <w:rFonts w:eastAsia="Arial Unicode MS"/>
          <w:sz w:val="22"/>
          <w:szCs w:val="22"/>
        </w:rPr>
        <w:t>« </w:t>
      </w:r>
      <w:r>
        <w:rPr>
          <w:rFonts w:eastAsia="Arial Unicode MS"/>
          <w:sz w:val="22"/>
          <w:szCs w:val="22"/>
        </w:rPr>
        <w:t>Fabrication d’équipements électriques»</w:t>
      </w:r>
      <w:r w:rsidRPr="00FF24EF">
        <w:rPr>
          <w:rFonts w:eastAsia="Arial Unicode MS"/>
          <w:sz w:val="22"/>
          <w:szCs w:val="22"/>
        </w:rPr>
        <w:t xml:space="preserve">. </w:t>
      </w:r>
      <w:r w:rsidR="002A1960" w:rsidRPr="00FF24EF">
        <w:rPr>
          <w:rFonts w:eastAsia="Arial Unicode MS"/>
          <w:sz w:val="22"/>
          <w:szCs w:val="22"/>
        </w:rPr>
        <w:t>Quant à l’emploi, 4</w:t>
      </w:r>
      <w:r w:rsidR="002A1960">
        <w:rPr>
          <w:rFonts w:eastAsia="Arial Unicode MS"/>
          <w:sz w:val="22"/>
          <w:szCs w:val="22"/>
        </w:rPr>
        <w:t>3</w:t>
      </w:r>
      <w:r w:rsidR="002A1960" w:rsidRPr="00FF24EF">
        <w:rPr>
          <w:rFonts w:eastAsia="Arial Unicode MS"/>
          <w:sz w:val="22"/>
          <w:szCs w:val="22"/>
        </w:rPr>
        <w:t xml:space="preserve">% des chefs d’entreprises prévoient une </w:t>
      </w:r>
      <w:r w:rsidR="002A1960">
        <w:rPr>
          <w:rFonts w:eastAsia="Arial Unicode MS"/>
          <w:sz w:val="22"/>
          <w:szCs w:val="22"/>
        </w:rPr>
        <w:t>hausse</w:t>
      </w:r>
      <w:r w:rsidR="002A1960" w:rsidRPr="00FF24EF">
        <w:rPr>
          <w:rFonts w:eastAsia="Arial Unicode MS"/>
          <w:sz w:val="22"/>
          <w:szCs w:val="22"/>
        </w:rPr>
        <w:t xml:space="preserve"> des effectifs </w:t>
      </w:r>
      <w:r w:rsidR="002A1960">
        <w:rPr>
          <w:rFonts w:eastAsia="Arial Unicode MS"/>
          <w:sz w:val="22"/>
          <w:szCs w:val="22"/>
        </w:rPr>
        <w:t xml:space="preserve">alors que </w:t>
      </w:r>
      <w:r w:rsidR="002A1960" w:rsidRPr="00FF24EF">
        <w:rPr>
          <w:rFonts w:eastAsia="Arial Unicode MS"/>
          <w:sz w:val="22"/>
          <w:szCs w:val="22"/>
        </w:rPr>
        <w:t xml:space="preserve">22% </w:t>
      </w:r>
      <w:r w:rsidR="002A1960" w:rsidRPr="002A1960">
        <w:rPr>
          <w:rFonts w:eastAsia="Arial Unicode MS"/>
          <w:sz w:val="22"/>
          <w:szCs w:val="22"/>
        </w:rPr>
        <w:t>anticipent,</w:t>
      </w:r>
      <w:r w:rsidR="002A1960">
        <w:rPr>
          <w:rFonts w:eastAsia="Arial Unicode MS"/>
          <w:sz w:val="22"/>
          <w:szCs w:val="22"/>
        </w:rPr>
        <w:t xml:space="preserve"> plutôt, </w:t>
      </w:r>
      <w:r w:rsidR="002A1960" w:rsidRPr="00FF24EF">
        <w:rPr>
          <w:rFonts w:eastAsia="Arial Unicode MS"/>
          <w:sz w:val="22"/>
          <w:szCs w:val="22"/>
        </w:rPr>
        <w:t xml:space="preserve">une </w:t>
      </w:r>
      <w:r w:rsidR="002A1960">
        <w:rPr>
          <w:rFonts w:eastAsia="Arial Unicode MS"/>
          <w:sz w:val="22"/>
          <w:szCs w:val="22"/>
        </w:rPr>
        <w:t>baisse</w:t>
      </w:r>
      <w:r w:rsidR="002A1960" w:rsidRPr="00FF24EF">
        <w:rPr>
          <w:rFonts w:eastAsia="Arial Unicode MS"/>
          <w:sz w:val="22"/>
          <w:szCs w:val="22"/>
        </w:rPr>
        <w:t xml:space="preserve"> pour le </w:t>
      </w:r>
      <w:r w:rsidR="00757AF5">
        <w:rPr>
          <w:rFonts w:eastAsia="Arial Unicode MS"/>
          <w:sz w:val="22"/>
          <w:szCs w:val="22"/>
        </w:rPr>
        <w:t xml:space="preserve">deuxième </w:t>
      </w:r>
      <w:r w:rsidR="002A1960" w:rsidRPr="00FF24EF">
        <w:rPr>
          <w:rFonts w:eastAsia="Arial Unicode MS"/>
          <w:sz w:val="22"/>
          <w:szCs w:val="22"/>
        </w:rPr>
        <w:t xml:space="preserve">trimestre </w:t>
      </w:r>
      <w:r w:rsidR="002A1960">
        <w:rPr>
          <w:rFonts w:eastAsia="Arial Unicode MS"/>
          <w:sz w:val="22"/>
          <w:szCs w:val="22"/>
        </w:rPr>
        <w:t>2016</w:t>
      </w:r>
      <w:r w:rsidRPr="00FF24EF">
        <w:rPr>
          <w:rFonts w:eastAsia="Arial Unicode MS"/>
          <w:sz w:val="22"/>
          <w:szCs w:val="22"/>
        </w:rPr>
        <w:t>.</w:t>
      </w:r>
    </w:p>
    <w:p w:rsidR="002A1960" w:rsidRDefault="002A1960" w:rsidP="002A1960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Dans </w:t>
      </w:r>
      <w:r w:rsidRPr="00FF24EF">
        <w:rPr>
          <w:rFonts w:eastAsia="Arial Unicode MS"/>
          <w:sz w:val="22"/>
          <w:szCs w:val="22"/>
        </w:rPr>
        <w:t xml:space="preserve">le secteur de </w:t>
      </w:r>
      <w:r w:rsidRPr="000E5893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>
        <w:rPr>
          <w:rFonts w:eastAsia="Arial Unicode MS"/>
          <w:b/>
          <w:bCs/>
          <w:color w:val="660033"/>
          <w:sz w:val="22"/>
          <w:szCs w:val="22"/>
        </w:rPr>
        <w:t>,</w:t>
      </w:r>
      <w:r w:rsidRPr="00FF24EF">
        <w:rPr>
          <w:rFonts w:eastAsia="Arial Unicode MS"/>
          <w:sz w:val="22"/>
          <w:szCs w:val="22"/>
        </w:rPr>
        <w:t xml:space="preserve"> </w:t>
      </w:r>
      <w:r w:rsidRPr="002A1960">
        <w:rPr>
          <w:rFonts w:eastAsia="Arial Unicode MS"/>
          <w:sz w:val="22"/>
          <w:szCs w:val="22"/>
        </w:rPr>
        <w:t>les anticipations de la majorité des patrons révèlent une hausse de la production pour le 2ème trimestre 2016,</w:t>
      </w:r>
      <w:r w:rsidRPr="00FF24EF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imputable</w:t>
      </w:r>
      <w:r>
        <w:rPr>
          <w:rFonts w:eastAsia="Arial Unicode MS"/>
          <w:sz w:val="22"/>
          <w:szCs w:val="22"/>
        </w:rPr>
        <w:t xml:space="preserve"> à</w:t>
      </w:r>
      <w:r w:rsidRPr="00FF24EF">
        <w:rPr>
          <w:rFonts w:eastAsia="Arial Unicode MS"/>
          <w:sz w:val="22"/>
          <w:szCs w:val="22"/>
        </w:rPr>
        <w:t xml:space="preserve"> une </w:t>
      </w:r>
      <w:r>
        <w:rPr>
          <w:rFonts w:eastAsia="Arial Unicode MS"/>
          <w:sz w:val="22"/>
          <w:szCs w:val="22"/>
        </w:rPr>
        <w:t>amélioration</w:t>
      </w:r>
      <w:r w:rsidRPr="00FF24EF">
        <w:rPr>
          <w:rFonts w:eastAsia="Arial Unicode MS"/>
          <w:sz w:val="22"/>
          <w:szCs w:val="22"/>
        </w:rPr>
        <w:t xml:space="preserve"> de la production </w:t>
      </w:r>
      <w:r>
        <w:rPr>
          <w:rFonts w:eastAsia="Arial Unicode MS"/>
          <w:sz w:val="22"/>
          <w:szCs w:val="22"/>
        </w:rPr>
        <w:t xml:space="preserve">des phosphates. Au niveau des effectifs employés, 91% des patrons </w:t>
      </w:r>
      <w:r w:rsidRPr="002A1960">
        <w:rPr>
          <w:rFonts w:eastAsia="Arial Unicode MS"/>
          <w:sz w:val="22"/>
          <w:szCs w:val="22"/>
        </w:rPr>
        <w:t>prévoient</w:t>
      </w:r>
      <w:r>
        <w:rPr>
          <w:rFonts w:eastAsia="Arial Unicode MS"/>
          <w:sz w:val="22"/>
          <w:szCs w:val="22"/>
        </w:rPr>
        <w:t xml:space="preserve"> une stabilité.</w:t>
      </w:r>
    </w:p>
    <w:p w:rsidR="00AF11D6" w:rsidRDefault="00AF11D6" w:rsidP="00792FF0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801153">
        <w:rPr>
          <w:rFonts w:eastAsia="Arial Unicode MS"/>
          <w:sz w:val="22"/>
          <w:szCs w:val="22"/>
        </w:rPr>
        <w:t>S’agissant de</w:t>
      </w:r>
      <w:r>
        <w:rPr>
          <w:rFonts w:eastAsia="Arial Unicode MS"/>
          <w:sz w:val="22"/>
          <w:szCs w:val="22"/>
        </w:rPr>
        <w:t xml:space="preserve"> </w:t>
      </w:r>
      <w:r w:rsidRPr="007E71EE">
        <w:rPr>
          <w:rFonts w:eastAsia="Arial Unicode MS"/>
          <w:b/>
          <w:bCs/>
          <w:color w:val="660033"/>
          <w:sz w:val="22"/>
          <w:szCs w:val="22"/>
        </w:rPr>
        <w:t xml:space="preserve">l’industrie énergétique, </w:t>
      </w:r>
      <w:r w:rsidRPr="007E71EE">
        <w:rPr>
          <w:rFonts w:eastAsia="Arial Unicode MS"/>
          <w:sz w:val="22"/>
          <w:szCs w:val="22"/>
        </w:rPr>
        <w:t>et selon presque la totalité des chefs d’entreprises</w:t>
      </w:r>
      <w:r>
        <w:rPr>
          <w:rFonts w:eastAsia="Arial Unicode MS"/>
          <w:sz w:val="22"/>
          <w:szCs w:val="22"/>
        </w:rPr>
        <w:t>,</w:t>
      </w:r>
      <w:r w:rsidRPr="007E71EE">
        <w:rPr>
          <w:rFonts w:eastAsia="Arial Unicode MS"/>
          <w:sz w:val="22"/>
          <w:szCs w:val="22"/>
        </w:rPr>
        <w:t xml:space="preserve"> la production connaîtrait une </w:t>
      </w:r>
      <w:r w:rsidR="00792FF0">
        <w:rPr>
          <w:rFonts w:eastAsia="Arial Unicode MS"/>
          <w:sz w:val="22"/>
          <w:szCs w:val="22"/>
        </w:rPr>
        <w:t xml:space="preserve">augmentation, </w:t>
      </w:r>
      <w:r>
        <w:rPr>
          <w:rFonts w:eastAsia="Arial Unicode MS"/>
          <w:sz w:val="22"/>
          <w:szCs w:val="22"/>
        </w:rPr>
        <w:t>due à</w:t>
      </w:r>
      <w:r w:rsidRPr="007E71EE">
        <w:rPr>
          <w:rFonts w:eastAsia="Arial Unicode MS"/>
          <w:sz w:val="22"/>
          <w:szCs w:val="22"/>
        </w:rPr>
        <w:t xml:space="preserve"> une </w:t>
      </w:r>
      <w:r>
        <w:rPr>
          <w:rFonts w:eastAsia="Arial Unicode MS"/>
          <w:sz w:val="22"/>
          <w:szCs w:val="22"/>
        </w:rPr>
        <w:t>amélioration</w:t>
      </w:r>
      <w:r w:rsidRPr="007E71EE">
        <w:rPr>
          <w:rFonts w:eastAsia="Arial Unicode MS"/>
          <w:sz w:val="22"/>
          <w:szCs w:val="22"/>
        </w:rPr>
        <w:t xml:space="preserve"> de la « Production et distribution d’électricité, de gaz, de vapeur et d’air conditionné». Pour </w:t>
      </w:r>
      <w:r w:rsidRPr="007E71EE">
        <w:rPr>
          <w:rFonts w:eastAsia="Arial Unicode MS"/>
          <w:b/>
          <w:bCs/>
          <w:color w:val="660033"/>
          <w:sz w:val="22"/>
          <w:szCs w:val="22"/>
        </w:rPr>
        <w:t>l’industrie environnementale,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6C4881">
        <w:rPr>
          <w:rFonts w:eastAsia="Arial Unicode MS"/>
          <w:sz w:val="22"/>
          <w:szCs w:val="22"/>
        </w:rPr>
        <w:t>la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7E71EE">
        <w:rPr>
          <w:rFonts w:eastAsia="Arial Unicode MS"/>
          <w:sz w:val="22"/>
          <w:szCs w:val="22"/>
        </w:rPr>
        <w:t>totalité</w:t>
      </w:r>
      <w:r>
        <w:rPr>
          <w:rFonts w:eastAsia="Arial Unicode MS"/>
          <w:sz w:val="22"/>
          <w:szCs w:val="22"/>
        </w:rPr>
        <w:t xml:space="preserve"> </w:t>
      </w:r>
      <w:r w:rsidRPr="007E71EE">
        <w:rPr>
          <w:rFonts w:eastAsia="Arial Unicode MS"/>
          <w:sz w:val="22"/>
          <w:szCs w:val="22"/>
        </w:rPr>
        <w:t xml:space="preserve">des industriels prévoient </w:t>
      </w:r>
      <w:r>
        <w:rPr>
          <w:rFonts w:eastAsia="Arial Unicode MS"/>
          <w:sz w:val="22"/>
          <w:szCs w:val="22"/>
        </w:rPr>
        <w:t>plutôt une stagnation</w:t>
      </w:r>
      <w:r w:rsidRPr="007E71EE">
        <w:rPr>
          <w:rFonts w:eastAsia="Arial Unicode MS"/>
          <w:sz w:val="22"/>
          <w:szCs w:val="22"/>
        </w:rPr>
        <w:t xml:space="preserve"> de la production</w:t>
      </w:r>
      <w:r>
        <w:rPr>
          <w:rFonts w:eastAsia="Arial Unicode MS"/>
          <w:sz w:val="22"/>
          <w:szCs w:val="22"/>
        </w:rPr>
        <w:t>,</w:t>
      </w:r>
      <w:r w:rsidRPr="007E71EE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notamment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>dans le</w:t>
      </w:r>
      <w:r>
        <w:rPr>
          <w:rFonts w:eastAsia="Arial Unicode MS"/>
          <w:sz w:val="22"/>
          <w:szCs w:val="22"/>
        </w:rPr>
        <w:t>s activités du «Captage, traitement et distribution d’eau</w:t>
      </w:r>
      <w:r w:rsidRPr="007E71EE">
        <w:rPr>
          <w:rFonts w:eastAsia="Arial Unicode MS"/>
          <w:sz w:val="22"/>
          <w:szCs w:val="22"/>
        </w:rPr>
        <w:t xml:space="preserve">». </w:t>
      </w:r>
      <w:r>
        <w:rPr>
          <w:rFonts w:eastAsia="Arial Unicode MS"/>
          <w:sz w:val="22"/>
          <w:szCs w:val="22"/>
        </w:rPr>
        <w:t xml:space="preserve">Quant à l’emploi, la majorité des patrons des deux secteurs prévoient une hausse de </w:t>
      </w:r>
      <w:r w:rsidR="00792FF0">
        <w:rPr>
          <w:rFonts w:eastAsia="Arial Unicode MS"/>
          <w:sz w:val="22"/>
          <w:szCs w:val="22"/>
        </w:rPr>
        <w:t xml:space="preserve">leurs </w:t>
      </w:r>
      <w:r>
        <w:rPr>
          <w:rFonts w:eastAsia="Arial Unicode MS"/>
          <w:sz w:val="22"/>
          <w:szCs w:val="22"/>
        </w:rPr>
        <w:t>effectifs.</w:t>
      </w:r>
      <w:r w:rsidRPr="00F3785B">
        <w:rPr>
          <w:rFonts w:eastAsia="Arial Unicode MS"/>
          <w:sz w:val="22"/>
          <w:szCs w:val="22"/>
        </w:rPr>
        <w:t xml:space="preserve"> </w:t>
      </w:r>
    </w:p>
    <w:p w:rsidR="00F81A11" w:rsidRPr="00F03C7C" w:rsidRDefault="0033375A" w:rsidP="000F71D1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D4D3E" w:rsidRDefault="00757AF5" w:rsidP="00757AF5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 w:rsidR="00F95422"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2681605</wp:posOffset>
            </wp:positionH>
            <wp:positionV relativeFrom="margin">
              <wp:posOffset>315595</wp:posOffset>
            </wp:positionV>
            <wp:extent cx="3181350" cy="2133600"/>
            <wp:effectExtent l="19050" t="0" r="0" b="0"/>
            <wp:wrapSquare wrapText="bothSides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eastAsia="Arial Unicode MS"/>
          <w:sz w:val="22"/>
          <w:szCs w:val="22"/>
        </w:rPr>
        <w:t xml:space="preserve">pour </w:t>
      </w:r>
      <w:r w:rsidR="00AF11D6" w:rsidRPr="00AF11D6">
        <w:rPr>
          <w:rFonts w:eastAsia="Arial Unicode MS"/>
          <w:sz w:val="22"/>
          <w:szCs w:val="22"/>
        </w:rPr>
        <w:t xml:space="preserve">le secteur de </w:t>
      </w:r>
      <w:r w:rsidR="00AF11D6"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="00AF11D6" w:rsidRPr="00AF11D6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 xml:space="preserve">au </w:t>
      </w:r>
      <w:r w:rsidR="00AF11D6" w:rsidRPr="00AF11D6">
        <w:rPr>
          <w:rFonts w:eastAsia="Arial Unicode MS"/>
          <w:sz w:val="22"/>
          <w:szCs w:val="22"/>
        </w:rPr>
        <w:t xml:space="preserve">deuxième trimestre 2016, font ressortir, globalement, une augmentation de l’activité. </w:t>
      </w:r>
    </w:p>
    <w:p w:rsidR="008D4D3E" w:rsidRDefault="00AF11D6" w:rsidP="003C3C15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AF11D6">
        <w:rPr>
          <w:rFonts w:eastAsia="Arial Unicode MS"/>
          <w:sz w:val="22"/>
          <w:szCs w:val="22"/>
        </w:rPr>
        <w:t>Cette hausse résulterait de l’effet conjugué de la hausse d’activité prévue au niveau des activités de</w:t>
      </w:r>
      <w:r w:rsidR="00947FC6">
        <w:rPr>
          <w:rFonts w:eastAsia="Arial Unicode MS"/>
          <w:sz w:val="22"/>
          <w:szCs w:val="22"/>
        </w:rPr>
        <w:t xml:space="preserve">s branches de la </w:t>
      </w:r>
      <w:r w:rsidRPr="00AF11D6">
        <w:rPr>
          <w:rFonts w:eastAsia="Arial Unicode MS"/>
          <w:sz w:val="22"/>
          <w:szCs w:val="22"/>
        </w:rPr>
        <w:t xml:space="preserve">« Construction de Bâtiments », et des « Travaux de construction spécialisés ». </w:t>
      </w:r>
    </w:p>
    <w:p w:rsidR="00AF11D6" w:rsidRDefault="00AF11D6" w:rsidP="003C3C15">
      <w:pPr>
        <w:spacing w:after="120" w:line="300" w:lineRule="exact"/>
        <w:jc w:val="both"/>
        <w:rPr>
          <w:color w:val="000000"/>
        </w:rPr>
      </w:pPr>
      <w:r w:rsidRPr="00AF11D6">
        <w:rPr>
          <w:rFonts w:eastAsia="Arial Unicode MS"/>
          <w:sz w:val="22"/>
          <w:szCs w:val="22"/>
        </w:rPr>
        <w:t xml:space="preserve">Cette évolution </w:t>
      </w:r>
      <w:r w:rsidR="00947FC6">
        <w:rPr>
          <w:rFonts w:eastAsia="Arial Unicode MS"/>
          <w:sz w:val="22"/>
          <w:szCs w:val="22"/>
        </w:rPr>
        <w:t xml:space="preserve">positive </w:t>
      </w:r>
      <w:r w:rsidRPr="00AF11D6">
        <w:rPr>
          <w:rFonts w:eastAsia="Arial Unicode MS"/>
          <w:sz w:val="22"/>
          <w:szCs w:val="22"/>
        </w:rPr>
        <w:t>serait accompagnée par une quasi-stabilité des effectifs employés pour 60% des chefs d’entreprises.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D42230">
      <w:footerReference w:type="default" r:id="rId17"/>
      <w:footerReference w:type="first" r:id="rId18"/>
      <w:type w:val="continuous"/>
      <w:pgSz w:w="11906" w:h="16838"/>
      <w:pgMar w:top="1258" w:right="1417" w:bottom="1258" w:left="1417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D7" w:rsidRDefault="002529D7">
      <w:r>
        <w:separator/>
      </w:r>
    </w:p>
  </w:endnote>
  <w:endnote w:type="continuationSeparator" w:id="1">
    <w:p w:rsidR="002529D7" w:rsidRDefault="0025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FD" w:rsidRDefault="000D23DC">
    <w:pPr>
      <w:pStyle w:val="Pieddepage"/>
      <w:jc w:val="center"/>
    </w:pPr>
    <w:r>
      <w:fldChar w:fldCharType="begin"/>
    </w:r>
    <w:r w:rsidR="00C23B5E">
      <w:instrText xml:space="preserve"> PAGE   \* MERGEFORMAT </w:instrText>
    </w:r>
    <w:r>
      <w:fldChar w:fldCharType="separate"/>
    </w:r>
    <w:r w:rsidR="00312DB8">
      <w:rPr>
        <w:noProof/>
      </w:rPr>
      <w:t>1</w:t>
    </w:r>
    <w:r>
      <w:rPr>
        <w:noProof/>
      </w:rPr>
      <w:fldChar w:fldCharType="end"/>
    </w:r>
  </w:p>
  <w:p w:rsidR="00AD53FD" w:rsidRDefault="00AD53F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Pr="007E64AF" w:rsidRDefault="00572FD7" w:rsidP="007E64A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0D23DC">
    <w:pPr>
      <w:pStyle w:val="Pieddepage"/>
      <w:jc w:val="center"/>
    </w:pPr>
    <w:fldSimple w:instr=" PAGE   \* MERGEFORMAT ">
      <w:r w:rsidR="00F03C7C">
        <w:rPr>
          <w:noProof/>
        </w:rPr>
        <w:t>1</w:t>
      </w:r>
    </w:fldSimple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D7" w:rsidRDefault="002529D7">
      <w:r>
        <w:separator/>
      </w:r>
    </w:p>
  </w:footnote>
  <w:footnote w:type="continuationSeparator" w:id="1">
    <w:p w:rsidR="002529D7" w:rsidRDefault="00252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164"/>
      </v:shape>
    </w:pict>
  </w:numPicBullet>
  <w:numPicBullet w:numPicBulletId="1">
    <w:pict>
      <v:shape id="_x0000_i1031" type="#_x0000_t75" style="width:11pt;height:11pt" o:bullet="t">
        <v:imagedata r:id="rId2" o:title="msoAD26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6861"/>
    <w:rsid w:val="00006DD3"/>
    <w:rsid w:val="0001021C"/>
    <w:rsid w:val="00014315"/>
    <w:rsid w:val="000275EF"/>
    <w:rsid w:val="00031605"/>
    <w:rsid w:val="0003329C"/>
    <w:rsid w:val="00043D21"/>
    <w:rsid w:val="00053F91"/>
    <w:rsid w:val="000554EE"/>
    <w:rsid w:val="00074098"/>
    <w:rsid w:val="0007624B"/>
    <w:rsid w:val="00084B71"/>
    <w:rsid w:val="00086874"/>
    <w:rsid w:val="000A2AE4"/>
    <w:rsid w:val="000B1D9D"/>
    <w:rsid w:val="000B2A3E"/>
    <w:rsid w:val="000B3925"/>
    <w:rsid w:val="000B5B84"/>
    <w:rsid w:val="000B6C46"/>
    <w:rsid w:val="000D23DC"/>
    <w:rsid w:val="000D4A9A"/>
    <w:rsid w:val="000E1335"/>
    <w:rsid w:val="000E5893"/>
    <w:rsid w:val="000E76B0"/>
    <w:rsid w:val="000F6813"/>
    <w:rsid w:val="000F71D1"/>
    <w:rsid w:val="00100AF5"/>
    <w:rsid w:val="0010285F"/>
    <w:rsid w:val="00106C12"/>
    <w:rsid w:val="00123B0E"/>
    <w:rsid w:val="001245E1"/>
    <w:rsid w:val="00127090"/>
    <w:rsid w:val="001308D6"/>
    <w:rsid w:val="00131EDC"/>
    <w:rsid w:val="00133AA7"/>
    <w:rsid w:val="00135176"/>
    <w:rsid w:val="00137652"/>
    <w:rsid w:val="0014114C"/>
    <w:rsid w:val="00144168"/>
    <w:rsid w:val="00151644"/>
    <w:rsid w:val="001575EB"/>
    <w:rsid w:val="00157A43"/>
    <w:rsid w:val="00160B9E"/>
    <w:rsid w:val="00164075"/>
    <w:rsid w:val="0017017D"/>
    <w:rsid w:val="001724B1"/>
    <w:rsid w:val="0017323F"/>
    <w:rsid w:val="00186F4B"/>
    <w:rsid w:val="00193033"/>
    <w:rsid w:val="00196035"/>
    <w:rsid w:val="001A1553"/>
    <w:rsid w:val="001A2AA6"/>
    <w:rsid w:val="001B0372"/>
    <w:rsid w:val="001B3EBA"/>
    <w:rsid w:val="001B5764"/>
    <w:rsid w:val="001C3920"/>
    <w:rsid w:val="001D119E"/>
    <w:rsid w:val="001D6519"/>
    <w:rsid w:val="001D69A9"/>
    <w:rsid w:val="001F2033"/>
    <w:rsid w:val="001F3599"/>
    <w:rsid w:val="001F6BEB"/>
    <w:rsid w:val="00203FD6"/>
    <w:rsid w:val="0020594A"/>
    <w:rsid w:val="00206659"/>
    <w:rsid w:val="00215236"/>
    <w:rsid w:val="002164FB"/>
    <w:rsid w:val="0022299E"/>
    <w:rsid w:val="00233459"/>
    <w:rsid w:val="00236B5B"/>
    <w:rsid w:val="002529D7"/>
    <w:rsid w:val="002559DF"/>
    <w:rsid w:val="00256291"/>
    <w:rsid w:val="00257C74"/>
    <w:rsid w:val="00260217"/>
    <w:rsid w:val="00265A87"/>
    <w:rsid w:val="002668FE"/>
    <w:rsid w:val="002760BD"/>
    <w:rsid w:val="002770BB"/>
    <w:rsid w:val="00283E97"/>
    <w:rsid w:val="00286F23"/>
    <w:rsid w:val="00290BF8"/>
    <w:rsid w:val="002A1960"/>
    <w:rsid w:val="002A7221"/>
    <w:rsid w:val="002D38C3"/>
    <w:rsid w:val="002D3BD2"/>
    <w:rsid w:val="002E1737"/>
    <w:rsid w:val="002E750F"/>
    <w:rsid w:val="002F3FB3"/>
    <w:rsid w:val="002F5C54"/>
    <w:rsid w:val="003027A9"/>
    <w:rsid w:val="00302E80"/>
    <w:rsid w:val="00305B12"/>
    <w:rsid w:val="0030605C"/>
    <w:rsid w:val="00306CBC"/>
    <w:rsid w:val="00307146"/>
    <w:rsid w:val="003121A0"/>
    <w:rsid w:val="00312DB8"/>
    <w:rsid w:val="00313123"/>
    <w:rsid w:val="00314191"/>
    <w:rsid w:val="003329F7"/>
    <w:rsid w:val="0033375A"/>
    <w:rsid w:val="00334763"/>
    <w:rsid w:val="00351D4C"/>
    <w:rsid w:val="00356D34"/>
    <w:rsid w:val="00365978"/>
    <w:rsid w:val="0036616B"/>
    <w:rsid w:val="00377B93"/>
    <w:rsid w:val="0038590B"/>
    <w:rsid w:val="0039671A"/>
    <w:rsid w:val="003A2CE4"/>
    <w:rsid w:val="003B5F82"/>
    <w:rsid w:val="003B6532"/>
    <w:rsid w:val="003B7C9A"/>
    <w:rsid w:val="003C1B70"/>
    <w:rsid w:val="003C3C15"/>
    <w:rsid w:val="003D0B92"/>
    <w:rsid w:val="003D68CD"/>
    <w:rsid w:val="003D76E8"/>
    <w:rsid w:val="003E208A"/>
    <w:rsid w:val="003E37F2"/>
    <w:rsid w:val="003E4FE1"/>
    <w:rsid w:val="003F28EA"/>
    <w:rsid w:val="003F7BFE"/>
    <w:rsid w:val="00405781"/>
    <w:rsid w:val="004249F6"/>
    <w:rsid w:val="00431972"/>
    <w:rsid w:val="00434088"/>
    <w:rsid w:val="00435B96"/>
    <w:rsid w:val="00436AE5"/>
    <w:rsid w:val="0044331A"/>
    <w:rsid w:val="00446DB7"/>
    <w:rsid w:val="00454991"/>
    <w:rsid w:val="00456E49"/>
    <w:rsid w:val="004659F5"/>
    <w:rsid w:val="00470F06"/>
    <w:rsid w:val="00480B1C"/>
    <w:rsid w:val="00483758"/>
    <w:rsid w:val="00484898"/>
    <w:rsid w:val="00484E8D"/>
    <w:rsid w:val="004915DF"/>
    <w:rsid w:val="00491F4E"/>
    <w:rsid w:val="004A2AD5"/>
    <w:rsid w:val="004A7EF1"/>
    <w:rsid w:val="004B411A"/>
    <w:rsid w:val="004C7838"/>
    <w:rsid w:val="004D4CBB"/>
    <w:rsid w:val="004E20CC"/>
    <w:rsid w:val="004E2DD7"/>
    <w:rsid w:val="004E59A5"/>
    <w:rsid w:val="004E5E98"/>
    <w:rsid w:val="004F3556"/>
    <w:rsid w:val="00502528"/>
    <w:rsid w:val="00505AD5"/>
    <w:rsid w:val="00506785"/>
    <w:rsid w:val="00513024"/>
    <w:rsid w:val="005142A8"/>
    <w:rsid w:val="00514D14"/>
    <w:rsid w:val="00530796"/>
    <w:rsid w:val="005337B6"/>
    <w:rsid w:val="00537897"/>
    <w:rsid w:val="00541C46"/>
    <w:rsid w:val="00544B7F"/>
    <w:rsid w:val="00557213"/>
    <w:rsid w:val="00572FD7"/>
    <w:rsid w:val="00577644"/>
    <w:rsid w:val="00581492"/>
    <w:rsid w:val="00583A84"/>
    <w:rsid w:val="00584197"/>
    <w:rsid w:val="005850FD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3B22"/>
    <w:rsid w:val="005B48EA"/>
    <w:rsid w:val="005B5B99"/>
    <w:rsid w:val="005C3B99"/>
    <w:rsid w:val="005D0DC1"/>
    <w:rsid w:val="00600F6D"/>
    <w:rsid w:val="00602C7C"/>
    <w:rsid w:val="006056E5"/>
    <w:rsid w:val="00612B0E"/>
    <w:rsid w:val="006153E5"/>
    <w:rsid w:val="00616F7E"/>
    <w:rsid w:val="00630E13"/>
    <w:rsid w:val="00631531"/>
    <w:rsid w:val="006420C4"/>
    <w:rsid w:val="006451A0"/>
    <w:rsid w:val="00646311"/>
    <w:rsid w:val="00647EFB"/>
    <w:rsid w:val="00652D75"/>
    <w:rsid w:val="00653F59"/>
    <w:rsid w:val="00667B77"/>
    <w:rsid w:val="00667ECC"/>
    <w:rsid w:val="006707C0"/>
    <w:rsid w:val="00676B69"/>
    <w:rsid w:val="00684DA3"/>
    <w:rsid w:val="00690102"/>
    <w:rsid w:val="00695538"/>
    <w:rsid w:val="00695704"/>
    <w:rsid w:val="006B36B6"/>
    <w:rsid w:val="006C4536"/>
    <w:rsid w:val="006D08D3"/>
    <w:rsid w:val="006E0499"/>
    <w:rsid w:val="006E5679"/>
    <w:rsid w:val="006E6C4B"/>
    <w:rsid w:val="006F499A"/>
    <w:rsid w:val="00704699"/>
    <w:rsid w:val="00711A4F"/>
    <w:rsid w:val="00711D32"/>
    <w:rsid w:val="00720AA5"/>
    <w:rsid w:val="00722358"/>
    <w:rsid w:val="007320F2"/>
    <w:rsid w:val="00733C13"/>
    <w:rsid w:val="00737135"/>
    <w:rsid w:val="00744367"/>
    <w:rsid w:val="0075402B"/>
    <w:rsid w:val="00754698"/>
    <w:rsid w:val="007563F9"/>
    <w:rsid w:val="00757AF5"/>
    <w:rsid w:val="00760864"/>
    <w:rsid w:val="0076370A"/>
    <w:rsid w:val="0078191E"/>
    <w:rsid w:val="00790B01"/>
    <w:rsid w:val="007923E3"/>
    <w:rsid w:val="00792FF0"/>
    <w:rsid w:val="007B3FA3"/>
    <w:rsid w:val="007C305A"/>
    <w:rsid w:val="007D09FF"/>
    <w:rsid w:val="007D2263"/>
    <w:rsid w:val="007D442B"/>
    <w:rsid w:val="007E1420"/>
    <w:rsid w:val="007E5AD3"/>
    <w:rsid w:val="007E64AF"/>
    <w:rsid w:val="007E71EE"/>
    <w:rsid w:val="007F0825"/>
    <w:rsid w:val="007F4784"/>
    <w:rsid w:val="007F4BA9"/>
    <w:rsid w:val="00801153"/>
    <w:rsid w:val="00801F97"/>
    <w:rsid w:val="00804FEE"/>
    <w:rsid w:val="00810D7F"/>
    <w:rsid w:val="00815FC3"/>
    <w:rsid w:val="00832C44"/>
    <w:rsid w:val="008341D3"/>
    <w:rsid w:val="00845DD1"/>
    <w:rsid w:val="008516D2"/>
    <w:rsid w:val="00851A2C"/>
    <w:rsid w:val="00857BEE"/>
    <w:rsid w:val="00860618"/>
    <w:rsid w:val="0086177A"/>
    <w:rsid w:val="00866410"/>
    <w:rsid w:val="00871F9A"/>
    <w:rsid w:val="008758DE"/>
    <w:rsid w:val="00881864"/>
    <w:rsid w:val="00893F31"/>
    <w:rsid w:val="00894A15"/>
    <w:rsid w:val="00895AA3"/>
    <w:rsid w:val="008B0453"/>
    <w:rsid w:val="008B1E64"/>
    <w:rsid w:val="008B4895"/>
    <w:rsid w:val="008B7C79"/>
    <w:rsid w:val="008C6873"/>
    <w:rsid w:val="008D3C98"/>
    <w:rsid w:val="008D4D3E"/>
    <w:rsid w:val="008D767F"/>
    <w:rsid w:val="008E0B9D"/>
    <w:rsid w:val="008F3532"/>
    <w:rsid w:val="00902289"/>
    <w:rsid w:val="009031FE"/>
    <w:rsid w:val="00906EB8"/>
    <w:rsid w:val="009102EE"/>
    <w:rsid w:val="0092724E"/>
    <w:rsid w:val="00931126"/>
    <w:rsid w:val="009377FB"/>
    <w:rsid w:val="00946792"/>
    <w:rsid w:val="00947FC6"/>
    <w:rsid w:val="00954425"/>
    <w:rsid w:val="0095483F"/>
    <w:rsid w:val="00957E9A"/>
    <w:rsid w:val="009801E4"/>
    <w:rsid w:val="00982ADB"/>
    <w:rsid w:val="00983318"/>
    <w:rsid w:val="00986F74"/>
    <w:rsid w:val="009929AA"/>
    <w:rsid w:val="009975E3"/>
    <w:rsid w:val="009A3DCF"/>
    <w:rsid w:val="009A3EBE"/>
    <w:rsid w:val="009A431C"/>
    <w:rsid w:val="009A7A01"/>
    <w:rsid w:val="009B2B2B"/>
    <w:rsid w:val="009C2B83"/>
    <w:rsid w:val="009C4073"/>
    <w:rsid w:val="009C52D4"/>
    <w:rsid w:val="009C7AAE"/>
    <w:rsid w:val="009D02F2"/>
    <w:rsid w:val="009D5321"/>
    <w:rsid w:val="009D7D48"/>
    <w:rsid w:val="009E4E74"/>
    <w:rsid w:val="009F4C75"/>
    <w:rsid w:val="00A01DE9"/>
    <w:rsid w:val="00A02ED5"/>
    <w:rsid w:val="00A03537"/>
    <w:rsid w:val="00A12866"/>
    <w:rsid w:val="00A13AFA"/>
    <w:rsid w:val="00A13CF0"/>
    <w:rsid w:val="00A1430C"/>
    <w:rsid w:val="00A1572C"/>
    <w:rsid w:val="00A16299"/>
    <w:rsid w:val="00A2168A"/>
    <w:rsid w:val="00A24A06"/>
    <w:rsid w:val="00A354B7"/>
    <w:rsid w:val="00A36B5E"/>
    <w:rsid w:val="00A529E0"/>
    <w:rsid w:val="00A5393D"/>
    <w:rsid w:val="00A614FE"/>
    <w:rsid w:val="00A66323"/>
    <w:rsid w:val="00A666E5"/>
    <w:rsid w:val="00A7081D"/>
    <w:rsid w:val="00A7438D"/>
    <w:rsid w:val="00A834E9"/>
    <w:rsid w:val="00A85D85"/>
    <w:rsid w:val="00A92176"/>
    <w:rsid w:val="00A96487"/>
    <w:rsid w:val="00AA53CC"/>
    <w:rsid w:val="00AB0858"/>
    <w:rsid w:val="00AB24B6"/>
    <w:rsid w:val="00AB5150"/>
    <w:rsid w:val="00AB635B"/>
    <w:rsid w:val="00AC26A5"/>
    <w:rsid w:val="00AC3EF4"/>
    <w:rsid w:val="00AC7561"/>
    <w:rsid w:val="00AD53FD"/>
    <w:rsid w:val="00AD56E7"/>
    <w:rsid w:val="00AE4467"/>
    <w:rsid w:val="00AF04E7"/>
    <w:rsid w:val="00AF11D6"/>
    <w:rsid w:val="00B065DA"/>
    <w:rsid w:val="00B10250"/>
    <w:rsid w:val="00B24F9D"/>
    <w:rsid w:val="00B35B39"/>
    <w:rsid w:val="00B36EC4"/>
    <w:rsid w:val="00B43C5F"/>
    <w:rsid w:val="00B44B88"/>
    <w:rsid w:val="00B51A49"/>
    <w:rsid w:val="00B55AAA"/>
    <w:rsid w:val="00B607B2"/>
    <w:rsid w:val="00B60ED6"/>
    <w:rsid w:val="00B63D70"/>
    <w:rsid w:val="00B6520F"/>
    <w:rsid w:val="00B70238"/>
    <w:rsid w:val="00B73C0A"/>
    <w:rsid w:val="00B7412A"/>
    <w:rsid w:val="00B75A67"/>
    <w:rsid w:val="00B77653"/>
    <w:rsid w:val="00B81D2D"/>
    <w:rsid w:val="00B83220"/>
    <w:rsid w:val="00B86C55"/>
    <w:rsid w:val="00B9066A"/>
    <w:rsid w:val="00BB2982"/>
    <w:rsid w:val="00BC2E39"/>
    <w:rsid w:val="00BE79F4"/>
    <w:rsid w:val="00C14DCE"/>
    <w:rsid w:val="00C23B5E"/>
    <w:rsid w:val="00C26145"/>
    <w:rsid w:val="00C32730"/>
    <w:rsid w:val="00C42507"/>
    <w:rsid w:val="00C466D1"/>
    <w:rsid w:val="00C5491F"/>
    <w:rsid w:val="00C55FD3"/>
    <w:rsid w:val="00C67995"/>
    <w:rsid w:val="00C76671"/>
    <w:rsid w:val="00C827BD"/>
    <w:rsid w:val="00C97449"/>
    <w:rsid w:val="00CA2006"/>
    <w:rsid w:val="00CA2232"/>
    <w:rsid w:val="00CB19A6"/>
    <w:rsid w:val="00CB3A44"/>
    <w:rsid w:val="00CC383A"/>
    <w:rsid w:val="00CD6E99"/>
    <w:rsid w:val="00CE2229"/>
    <w:rsid w:val="00CE3972"/>
    <w:rsid w:val="00CE3CEA"/>
    <w:rsid w:val="00CE5918"/>
    <w:rsid w:val="00CE7B4D"/>
    <w:rsid w:val="00CF3217"/>
    <w:rsid w:val="00CF5EA6"/>
    <w:rsid w:val="00CF6D85"/>
    <w:rsid w:val="00CF6F9D"/>
    <w:rsid w:val="00CF7036"/>
    <w:rsid w:val="00D00354"/>
    <w:rsid w:val="00D04431"/>
    <w:rsid w:val="00D119CB"/>
    <w:rsid w:val="00D135EC"/>
    <w:rsid w:val="00D30B74"/>
    <w:rsid w:val="00D3407E"/>
    <w:rsid w:val="00D34498"/>
    <w:rsid w:val="00D407AA"/>
    <w:rsid w:val="00D42230"/>
    <w:rsid w:val="00D4334A"/>
    <w:rsid w:val="00D54458"/>
    <w:rsid w:val="00D626C6"/>
    <w:rsid w:val="00D65CFC"/>
    <w:rsid w:val="00D676A7"/>
    <w:rsid w:val="00D75067"/>
    <w:rsid w:val="00D80FF6"/>
    <w:rsid w:val="00DA3F98"/>
    <w:rsid w:val="00DB2CCF"/>
    <w:rsid w:val="00DB4906"/>
    <w:rsid w:val="00DC0356"/>
    <w:rsid w:val="00DD1D7B"/>
    <w:rsid w:val="00DD280D"/>
    <w:rsid w:val="00DE26C3"/>
    <w:rsid w:val="00E052C6"/>
    <w:rsid w:val="00E324DB"/>
    <w:rsid w:val="00E3569D"/>
    <w:rsid w:val="00E459A8"/>
    <w:rsid w:val="00E50B24"/>
    <w:rsid w:val="00E57CE0"/>
    <w:rsid w:val="00E62C54"/>
    <w:rsid w:val="00E62E93"/>
    <w:rsid w:val="00E630BD"/>
    <w:rsid w:val="00E663F9"/>
    <w:rsid w:val="00E6770C"/>
    <w:rsid w:val="00E702AF"/>
    <w:rsid w:val="00E72DEE"/>
    <w:rsid w:val="00E86B4A"/>
    <w:rsid w:val="00E9575F"/>
    <w:rsid w:val="00EA36AD"/>
    <w:rsid w:val="00EA7121"/>
    <w:rsid w:val="00EB42FB"/>
    <w:rsid w:val="00EB537F"/>
    <w:rsid w:val="00EB5AC5"/>
    <w:rsid w:val="00EC1447"/>
    <w:rsid w:val="00ED07CB"/>
    <w:rsid w:val="00ED1662"/>
    <w:rsid w:val="00ED1E7B"/>
    <w:rsid w:val="00EE1DDB"/>
    <w:rsid w:val="00EE2598"/>
    <w:rsid w:val="00EE3F2D"/>
    <w:rsid w:val="00EF0241"/>
    <w:rsid w:val="00EF16E4"/>
    <w:rsid w:val="00EF2312"/>
    <w:rsid w:val="00F0227C"/>
    <w:rsid w:val="00F03C7C"/>
    <w:rsid w:val="00F10EDE"/>
    <w:rsid w:val="00F31D0B"/>
    <w:rsid w:val="00F37DE1"/>
    <w:rsid w:val="00F4704E"/>
    <w:rsid w:val="00F511E9"/>
    <w:rsid w:val="00F55E9F"/>
    <w:rsid w:val="00F62091"/>
    <w:rsid w:val="00F63E5F"/>
    <w:rsid w:val="00F64E2D"/>
    <w:rsid w:val="00F75193"/>
    <w:rsid w:val="00F75DAA"/>
    <w:rsid w:val="00F81A11"/>
    <w:rsid w:val="00F82293"/>
    <w:rsid w:val="00F85406"/>
    <w:rsid w:val="00F95422"/>
    <w:rsid w:val="00FA41B2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E18C9"/>
    <w:rsid w:val="00FE2289"/>
    <w:rsid w:val="00FF24EF"/>
    <w:rsid w:val="00FF3112"/>
    <w:rsid w:val="00FF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selhamoumi\Desktop\Tableaux%2010%206%202016%20&#224;%2012h18mn38%20graphiqu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selhamoumi\Desktop\Tableaux%2010%206%202016%20&#224;%2012h18mn38%20graphique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C:\Users\selhamoumi\Desktop\Tableaux%2010%206%202016%20&#224;%2012h18mn38%20graphique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C:\Users\selhamoumi\Desktop\Tableaux%2010%206%202016%20&#224;%2012h18mn38%20graphique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selhamoumi\Desktop\construction\2tr2016%20construction\Tableaux%209%206%202016%20&#224;%201291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C:\Users\selhamoumi\Desktop\Tableaux%2010%206%202016%20&#224;%2012h18mn38%20graphique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selhamoumi\Desktop\construction\2tr2016%20construction\Tableaux%209%206%202016%20&#224;%20129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9.4571741032370968E-2"/>
          <c:y val="0.18957604257801144"/>
          <c:w val="0.68438395679773256"/>
          <c:h val="0.66108778069408392"/>
        </c:manualLayout>
      </c:layout>
      <c:barChart>
        <c:barDir val="col"/>
        <c:grouping val="clustered"/>
        <c:ser>
          <c:idx val="0"/>
          <c:order val="0"/>
          <c:tx>
            <c:strRef>
              <c:f>'Tableau 3'!$B$62</c:f>
              <c:strCache>
                <c:ptCount val="1"/>
                <c:pt idx="0">
                  <c:v>Hausse </c:v>
                </c:pt>
              </c:strCache>
            </c:strRef>
          </c:tx>
          <c:cat>
            <c:strRef>
              <c:f>'Tableau 3'!$A$63:$A$66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3'!$B$63:$B$66</c:f>
              <c:numCache>
                <c:formatCode>General</c:formatCode>
                <c:ptCount val="4"/>
                <c:pt idx="0">
                  <c:v>39.480000000000004</c:v>
                </c:pt>
                <c:pt idx="1">
                  <c:v>35.4</c:v>
                </c:pt>
                <c:pt idx="2">
                  <c:v>7.96</c:v>
                </c:pt>
                <c:pt idx="3">
                  <c:v>35.4</c:v>
                </c:pt>
              </c:numCache>
            </c:numRef>
          </c:val>
        </c:ser>
        <c:ser>
          <c:idx val="1"/>
          <c:order val="1"/>
          <c:tx>
            <c:strRef>
              <c:f>'Tableau 3'!$C$62</c:f>
              <c:strCache>
                <c:ptCount val="1"/>
                <c:pt idx="0">
                  <c:v>Stabilité </c:v>
                </c:pt>
              </c:strCache>
            </c:strRef>
          </c:tx>
          <c:cat>
            <c:strRef>
              <c:f>'Tableau 3'!$A$63:$A$66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3'!$C$63:$C$66</c:f>
              <c:numCache>
                <c:formatCode>General</c:formatCode>
                <c:ptCount val="4"/>
                <c:pt idx="0">
                  <c:v>40.730000000000011</c:v>
                </c:pt>
                <c:pt idx="1">
                  <c:v>46.98</c:v>
                </c:pt>
                <c:pt idx="2">
                  <c:v>57.230000000000011</c:v>
                </c:pt>
                <c:pt idx="3">
                  <c:v>46.98</c:v>
                </c:pt>
              </c:numCache>
            </c:numRef>
          </c:val>
        </c:ser>
        <c:ser>
          <c:idx val="2"/>
          <c:order val="2"/>
          <c:tx>
            <c:strRef>
              <c:f>'Tableau 3'!$D$62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3'!$A$63:$A$66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3'!$D$63:$D$66</c:f>
              <c:numCache>
                <c:formatCode>General</c:formatCode>
                <c:ptCount val="4"/>
                <c:pt idx="0">
                  <c:v>19.79</c:v>
                </c:pt>
                <c:pt idx="1">
                  <c:v>17.62</c:v>
                </c:pt>
                <c:pt idx="2">
                  <c:v>34.81</c:v>
                </c:pt>
                <c:pt idx="3">
                  <c:v>17.62</c:v>
                </c:pt>
              </c:numCache>
            </c:numRef>
          </c:val>
        </c:ser>
        <c:ser>
          <c:idx val="3"/>
          <c:order val="3"/>
          <c:tx>
            <c:strRef>
              <c:f>'Tableau 3'!$E$62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3'!$A$63:$A$66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3'!$E$63:$E$66</c:f>
              <c:numCache>
                <c:formatCode>General</c:formatCode>
                <c:ptCount val="4"/>
                <c:pt idx="0">
                  <c:v>19.690000000000001</c:v>
                </c:pt>
                <c:pt idx="1">
                  <c:v>17.779999999999987</c:v>
                </c:pt>
                <c:pt idx="2">
                  <c:v>-26.86</c:v>
                </c:pt>
                <c:pt idx="3">
                  <c:v>17.779999999999987</c:v>
                </c:pt>
              </c:numCache>
            </c:numRef>
          </c:val>
        </c:ser>
        <c:axId val="99592448"/>
        <c:axId val="99639296"/>
      </c:barChart>
      <c:catAx>
        <c:axId val="99592448"/>
        <c:scaling>
          <c:orientation val="minMax"/>
        </c:scaling>
        <c:axPos val="b"/>
        <c:majorGridlines>
          <c:spPr>
            <a:ln w="22225"/>
          </c:spPr>
        </c:majorGridlines>
        <c:numFmt formatCode="General" sourceLinked="0"/>
        <c:tickLblPos val="low"/>
        <c:spPr>
          <a:ln w="9525"/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99639296"/>
        <c:crosses val="autoZero"/>
        <c:auto val="1"/>
        <c:lblAlgn val="ctr"/>
        <c:lblOffset val="100"/>
      </c:catAx>
      <c:valAx>
        <c:axId val="99639296"/>
        <c:scaling>
          <c:orientation val="minMax"/>
        </c:scaling>
        <c:axPos val="l"/>
        <c:majorGridlines/>
        <c:numFmt formatCode="General" sourceLinked="1"/>
        <c:tickLblPos val="nextTo"/>
        <c:crossAx val="99592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88957393233919"/>
          <c:y val="0.35493219597550502"/>
          <c:w val="0.1745548695166739"/>
          <c:h val="0.290135608048993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584776902887139"/>
          <c:y val="0.20873428796084142"/>
          <c:w val="0.67811794167930861"/>
          <c:h val="0.61626322026202418"/>
        </c:manualLayout>
      </c:layout>
      <c:barChart>
        <c:barDir val="col"/>
        <c:grouping val="clustered"/>
        <c:ser>
          <c:idx val="0"/>
          <c:order val="0"/>
          <c:tx>
            <c:strRef>
              <c:f>'Tableau 3'!$B$80</c:f>
              <c:strCache>
                <c:ptCount val="1"/>
                <c:pt idx="0">
                  <c:v>Hausse </c:v>
                </c:pt>
              </c:strCache>
            </c:strRef>
          </c:tx>
          <c:cat>
            <c:strRef>
              <c:f>'Tableau 3'!$A$81:$A$84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3'!$B$81:$B$84</c:f>
              <c:numCache>
                <c:formatCode>General</c:formatCode>
                <c:ptCount val="4"/>
                <c:pt idx="0">
                  <c:v>11.5</c:v>
                </c:pt>
                <c:pt idx="1">
                  <c:v>11.5</c:v>
                </c:pt>
                <c:pt idx="2">
                  <c:v>9.2800000000000011</c:v>
                </c:pt>
                <c:pt idx="3">
                  <c:v>11.5</c:v>
                </c:pt>
              </c:numCache>
            </c:numRef>
          </c:val>
        </c:ser>
        <c:ser>
          <c:idx val="1"/>
          <c:order val="1"/>
          <c:tx>
            <c:strRef>
              <c:f>'Tableau 3'!$C$80</c:f>
              <c:strCache>
                <c:ptCount val="1"/>
                <c:pt idx="0">
                  <c:v>Stabilité </c:v>
                </c:pt>
              </c:strCache>
            </c:strRef>
          </c:tx>
          <c:cat>
            <c:strRef>
              <c:f>'Tableau 3'!$A$81:$A$84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3'!$C$81:$C$84</c:f>
              <c:numCache>
                <c:formatCode>General</c:formatCode>
                <c:ptCount val="4"/>
                <c:pt idx="0">
                  <c:v>4.6599999999999975</c:v>
                </c:pt>
                <c:pt idx="1">
                  <c:v>86.03</c:v>
                </c:pt>
                <c:pt idx="2">
                  <c:v>7.9700000000000024</c:v>
                </c:pt>
                <c:pt idx="3">
                  <c:v>86.03</c:v>
                </c:pt>
              </c:numCache>
            </c:numRef>
          </c:val>
        </c:ser>
        <c:ser>
          <c:idx val="2"/>
          <c:order val="2"/>
          <c:tx>
            <c:strRef>
              <c:f>'Tableau 3'!$D$80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3'!$A$81:$A$84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3'!$D$81:$D$84</c:f>
              <c:numCache>
                <c:formatCode>General</c:formatCode>
                <c:ptCount val="4"/>
                <c:pt idx="0">
                  <c:v>83.84</c:v>
                </c:pt>
                <c:pt idx="1">
                  <c:v>2.4699999999999998</c:v>
                </c:pt>
                <c:pt idx="2">
                  <c:v>82.75</c:v>
                </c:pt>
                <c:pt idx="3">
                  <c:v>2.4699999999999998</c:v>
                </c:pt>
              </c:numCache>
            </c:numRef>
          </c:val>
        </c:ser>
        <c:ser>
          <c:idx val="3"/>
          <c:order val="3"/>
          <c:tx>
            <c:strRef>
              <c:f>'Tableau 3'!$E$80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3'!$A$81:$A$84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3'!$E$81:$E$84</c:f>
              <c:numCache>
                <c:formatCode>General</c:formatCode>
                <c:ptCount val="4"/>
                <c:pt idx="0">
                  <c:v>-72.33</c:v>
                </c:pt>
                <c:pt idx="1">
                  <c:v>9.0400000000000009</c:v>
                </c:pt>
                <c:pt idx="2">
                  <c:v>-73.47</c:v>
                </c:pt>
                <c:pt idx="3">
                  <c:v>9.0400000000000009</c:v>
                </c:pt>
              </c:numCache>
            </c:numRef>
          </c:val>
        </c:ser>
        <c:axId val="99653120"/>
        <c:axId val="99654656"/>
      </c:barChart>
      <c:catAx>
        <c:axId val="99653120"/>
        <c:scaling>
          <c:orientation val="minMax"/>
        </c:scaling>
        <c:axPos val="b"/>
        <c:majorGridlines>
          <c:spPr>
            <a:ln w="22225"/>
          </c:spPr>
        </c:majorGridlines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9654656"/>
        <c:crosses val="autoZero"/>
        <c:auto val="1"/>
        <c:lblAlgn val="ctr"/>
        <c:lblOffset val="100"/>
      </c:catAx>
      <c:valAx>
        <c:axId val="99654656"/>
        <c:scaling>
          <c:orientation val="minMax"/>
        </c:scaling>
        <c:axPos val="l"/>
        <c:majorGridlines/>
        <c:numFmt formatCode="General" sourceLinked="1"/>
        <c:tickLblPos val="nextTo"/>
        <c:crossAx val="99653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54029714175669"/>
          <c:y val="0.32371485209918388"/>
          <c:w val="0.17780667324841268"/>
          <c:h val="0.3525698528190305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595648021061622"/>
          <c:y val="0.23694829285579994"/>
          <c:w val="0.66976971915208272"/>
          <c:h val="0.61617830248924321"/>
        </c:manualLayout>
      </c:layout>
      <c:barChart>
        <c:barDir val="col"/>
        <c:grouping val="clustered"/>
        <c:ser>
          <c:idx val="0"/>
          <c:order val="0"/>
          <c:tx>
            <c:strRef>
              <c:f>'Tableau 3'!$B$115</c:f>
              <c:strCache>
                <c:ptCount val="1"/>
                <c:pt idx="0">
                  <c:v>Hausse </c:v>
                </c:pt>
              </c:strCache>
            </c:strRef>
          </c:tx>
          <c:cat>
            <c:strRef>
              <c:f>'Tableau 3'!$A$116:$A$119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3'!$B$116:$B$119</c:f>
              <c:numCache>
                <c:formatCode>0</c:formatCode>
                <c:ptCount val="4"/>
                <c:pt idx="0">
                  <c:v>88.43</c:v>
                </c:pt>
                <c:pt idx="1">
                  <c:v>88.48</c:v>
                </c:pt>
                <c:pt idx="2">
                  <c:v>0</c:v>
                </c:pt>
                <c:pt idx="3">
                  <c:v>88.48</c:v>
                </c:pt>
              </c:numCache>
            </c:numRef>
          </c:val>
        </c:ser>
        <c:ser>
          <c:idx val="1"/>
          <c:order val="1"/>
          <c:tx>
            <c:strRef>
              <c:f>'Tableau 3'!$C$115</c:f>
              <c:strCache>
                <c:ptCount val="1"/>
                <c:pt idx="0">
                  <c:v>Stabilité </c:v>
                </c:pt>
              </c:strCache>
            </c:strRef>
          </c:tx>
          <c:cat>
            <c:strRef>
              <c:f>'Tableau 3'!$A$116:$A$119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3'!$C$116:$C$119</c:f>
              <c:numCache>
                <c:formatCode>0</c:formatCode>
                <c:ptCount val="4"/>
                <c:pt idx="0">
                  <c:v>4</c:v>
                </c:pt>
                <c:pt idx="1">
                  <c:v>11.44</c:v>
                </c:pt>
                <c:pt idx="2">
                  <c:v>99.92</c:v>
                </c:pt>
                <c:pt idx="3">
                  <c:v>11.44</c:v>
                </c:pt>
              </c:numCache>
            </c:numRef>
          </c:val>
        </c:ser>
        <c:ser>
          <c:idx val="2"/>
          <c:order val="2"/>
          <c:tx>
            <c:strRef>
              <c:f>'Tableau 3'!$D$115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3'!$A$116:$A$119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3'!$D$116:$D$119</c:f>
              <c:numCache>
                <c:formatCode>0</c:formatCode>
                <c:ptCount val="4"/>
                <c:pt idx="0">
                  <c:v>7.57</c:v>
                </c:pt>
                <c:pt idx="1">
                  <c:v>8.0000000000000043E-2</c:v>
                </c:pt>
                <c:pt idx="2">
                  <c:v>8.0000000000000043E-2</c:v>
                </c:pt>
                <c:pt idx="3">
                  <c:v>8.0000000000000043E-2</c:v>
                </c:pt>
              </c:numCache>
            </c:numRef>
          </c:val>
        </c:ser>
        <c:ser>
          <c:idx val="3"/>
          <c:order val="3"/>
          <c:tx>
            <c:strRef>
              <c:f>'Tableau 3'!$E$115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3'!$A$116:$A$119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3'!$E$116:$E$119</c:f>
              <c:numCache>
                <c:formatCode>0</c:formatCode>
                <c:ptCount val="4"/>
                <c:pt idx="0">
                  <c:v>80.849999999999994</c:v>
                </c:pt>
                <c:pt idx="1">
                  <c:v>88.4</c:v>
                </c:pt>
                <c:pt idx="2">
                  <c:v>-8.0000000000000043E-2</c:v>
                </c:pt>
                <c:pt idx="3">
                  <c:v>88.4</c:v>
                </c:pt>
              </c:numCache>
            </c:numRef>
          </c:val>
        </c:ser>
        <c:axId val="99947264"/>
        <c:axId val="99948800"/>
      </c:barChart>
      <c:catAx>
        <c:axId val="99947264"/>
        <c:scaling>
          <c:orientation val="minMax"/>
        </c:scaling>
        <c:axPos val="b"/>
        <c:majorGridlines>
          <c:spPr>
            <a:ln w="22225"/>
          </c:spPr>
        </c:majorGridlines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99948800"/>
        <c:crosses val="autoZero"/>
        <c:auto val="1"/>
        <c:lblAlgn val="ctr"/>
        <c:lblOffset val="100"/>
      </c:catAx>
      <c:valAx>
        <c:axId val="99948800"/>
        <c:scaling>
          <c:orientation val="minMax"/>
        </c:scaling>
        <c:axPos val="l"/>
        <c:majorGridlines/>
        <c:numFmt formatCode="0" sourceLinked="1"/>
        <c:tickLblPos val="nextTo"/>
        <c:crossAx val="99947264"/>
        <c:crosses val="autoZero"/>
        <c:crossBetween val="between"/>
      </c:valAx>
    </c:plotArea>
    <c:legend>
      <c:legendPos val="r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405637109431645"/>
          <c:y val="0.17145688529356856"/>
          <c:w val="0.6231685996515397"/>
          <c:h val="0.6396625081193692"/>
        </c:manualLayout>
      </c:layout>
      <c:barChart>
        <c:barDir val="col"/>
        <c:grouping val="clustered"/>
        <c:ser>
          <c:idx val="0"/>
          <c:order val="0"/>
          <c:tx>
            <c:strRef>
              <c:f>'Tableau 3'!$B$98</c:f>
              <c:strCache>
                <c:ptCount val="1"/>
                <c:pt idx="0">
                  <c:v>Hausse </c:v>
                </c:pt>
              </c:strCache>
            </c:strRef>
          </c:tx>
          <c:cat>
            <c:strRef>
              <c:f>'Tableau 3'!$A$99:$A$102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3'!$B$99:$B$102</c:f>
              <c:numCache>
                <c:formatCode>0</c:formatCode>
                <c:ptCount val="4"/>
                <c:pt idx="0">
                  <c:v>0</c:v>
                </c:pt>
                <c:pt idx="1">
                  <c:v>11.38</c:v>
                </c:pt>
                <c:pt idx="2">
                  <c:v>88.79</c:v>
                </c:pt>
                <c:pt idx="3">
                  <c:v>11.38</c:v>
                </c:pt>
              </c:numCache>
            </c:numRef>
          </c:val>
        </c:ser>
        <c:ser>
          <c:idx val="1"/>
          <c:order val="1"/>
          <c:tx>
            <c:strRef>
              <c:f>'Tableau 3'!$C$98</c:f>
              <c:strCache>
                <c:ptCount val="1"/>
                <c:pt idx="0">
                  <c:v>Stabilité </c:v>
                </c:pt>
              </c:strCache>
            </c:strRef>
          </c:tx>
          <c:cat>
            <c:strRef>
              <c:f>'Tableau 3'!$A$99:$A$102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3'!$C$99:$C$102</c:f>
              <c:numCache>
                <c:formatCode>0</c:formatCode>
                <c:ptCount val="4"/>
                <c:pt idx="0">
                  <c:v>16.579999999999988</c:v>
                </c:pt>
                <c:pt idx="1">
                  <c:v>5.2</c:v>
                </c:pt>
                <c:pt idx="2">
                  <c:v>11.21</c:v>
                </c:pt>
                <c:pt idx="3">
                  <c:v>5.2</c:v>
                </c:pt>
              </c:numCache>
            </c:numRef>
          </c:val>
        </c:ser>
        <c:ser>
          <c:idx val="2"/>
          <c:order val="2"/>
          <c:tx>
            <c:strRef>
              <c:f>'Tableau 3'!$D$98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3'!$A$99:$A$102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3'!$D$99:$D$102</c:f>
              <c:numCache>
                <c:formatCode>0</c:formatCode>
                <c:ptCount val="4"/>
                <c:pt idx="0">
                  <c:v>83.42</c:v>
                </c:pt>
                <c:pt idx="1">
                  <c:v>83.42</c:v>
                </c:pt>
                <c:pt idx="2">
                  <c:v>0</c:v>
                </c:pt>
                <c:pt idx="3">
                  <c:v>83.42</c:v>
                </c:pt>
              </c:numCache>
            </c:numRef>
          </c:val>
        </c:ser>
        <c:ser>
          <c:idx val="3"/>
          <c:order val="3"/>
          <c:tx>
            <c:strRef>
              <c:f>'Tableau 3'!$E$98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3'!$A$99:$A$102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3'!$E$99:$E$102</c:f>
              <c:numCache>
                <c:formatCode>0</c:formatCode>
                <c:ptCount val="4"/>
                <c:pt idx="0">
                  <c:v>-83.42</c:v>
                </c:pt>
                <c:pt idx="1">
                  <c:v>-72.040000000000006</c:v>
                </c:pt>
                <c:pt idx="2">
                  <c:v>88.79</c:v>
                </c:pt>
                <c:pt idx="3">
                  <c:v>-72.040000000000006</c:v>
                </c:pt>
              </c:numCache>
            </c:numRef>
          </c:val>
        </c:ser>
        <c:axId val="100208640"/>
        <c:axId val="100210176"/>
      </c:barChart>
      <c:catAx>
        <c:axId val="100208640"/>
        <c:scaling>
          <c:orientation val="minMax"/>
        </c:scaling>
        <c:axPos val="b"/>
        <c:majorGridlines>
          <c:spPr>
            <a:ln w="22225"/>
          </c:spPr>
        </c:majorGridlines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0210176"/>
        <c:crosses val="autoZero"/>
        <c:auto val="1"/>
        <c:lblAlgn val="ctr"/>
        <c:lblOffset val="100"/>
      </c:catAx>
      <c:valAx>
        <c:axId val="100210176"/>
        <c:scaling>
          <c:orientation val="minMax"/>
        </c:scaling>
        <c:axPos val="l"/>
        <c:majorGridlines/>
        <c:numFmt formatCode="0" sourceLinked="1"/>
        <c:tickLblPos val="nextTo"/>
        <c:crossAx val="10020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051566203797172"/>
          <c:y val="0.34114228116922835"/>
          <c:w val="0.23613432936267581"/>
          <c:h val="0.3177150384719017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8.0546470152770291E-2"/>
          <c:y val="0.20718362736303517"/>
          <c:w val="0.70329392669927804"/>
          <c:h val="0.60179455154313233"/>
        </c:manualLayout>
      </c:layout>
      <c:barChart>
        <c:barDir val="col"/>
        <c:grouping val="clustered"/>
        <c:ser>
          <c:idx val="0"/>
          <c:order val="0"/>
          <c:tx>
            <c:strRef>
              <c:f>Feuil1!$B$50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Feuil1!$A$51:$A$54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Feuil1!$B$51:$B$54</c:f>
              <c:numCache>
                <c:formatCode>0</c:formatCode>
                <c:ptCount val="4"/>
                <c:pt idx="0">
                  <c:v>33.886862956601071</c:v>
                </c:pt>
                <c:pt idx="1">
                  <c:v>36.135233000000063</c:v>
                </c:pt>
                <c:pt idx="2">
                  <c:v>35.899723000000002</c:v>
                </c:pt>
                <c:pt idx="3">
                  <c:v>29.980247999999825</c:v>
                </c:pt>
              </c:numCache>
            </c:numRef>
          </c:val>
        </c:ser>
        <c:ser>
          <c:idx val="1"/>
          <c:order val="1"/>
          <c:tx>
            <c:strRef>
              <c:f>Feuil1!$C$50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Feuil1!$A$51:$A$54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Feuil1!$C$51:$C$54</c:f>
              <c:numCache>
                <c:formatCode>0</c:formatCode>
                <c:ptCount val="4"/>
                <c:pt idx="0">
                  <c:v>47</c:v>
                </c:pt>
                <c:pt idx="1">
                  <c:v>49.571080000000002</c:v>
                </c:pt>
                <c:pt idx="2">
                  <c:v>49.460109000000003</c:v>
                </c:pt>
                <c:pt idx="3">
                  <c:v>44.106836000000001</c:v>
                </c:pt>
              </c:numCache>
            </c:numRef>
          </c:val>
        </c:ser>
        <c:ser>
          <c:idx val="2"/>
          <c:order val="2"/>
          <c:tx>
            <c:strRef>
              <c:f>Feuil1!$D$50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Feuil1!$A$51:$A$54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Feuil1!$D$51:$D$54</c:f>
              <c:numCache>
                <c:formatCode>0</c:formatCode>
                <c:ptCount val="4"/>
                <c:pt idx="0">
                  <c:v>18.502885387088131</c:v>
                </c:pt>
                <c:pt idx="1">
                  <c:v>14.293686000000006</c:v>
                </c:pt>
                <c:pt idx="2">
                  <c:v>14.640165</c:v>
                </c:pt>
                <c:pt idx="3">
                  <c:v>25.912913</c:v>
                </c:pt>
              </c:numCache>
            </c:numRef>
          </c:val>
        </c:ser>
        <c:ser>
          <c:idx val="3"/>
          <c:order val="3"/>
          <c:tx>
            <c:strRef>
              <c:f>Feuil1!$E$50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Feuil1!$A$51:$A$54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Feuil1!$E$51:$E$54</c:f>
              <c:numCache>
                <c:formatCode>0</c:formatCode>
                <c:ptCount val="4"/>
                <c:pt idx="0">
                  <c:v>15.383977217955524</c:v>
                </c:pt>
                <c:pt idx="1">
                  <c:v>21.841546999999878</c:v>
                </c:pt>
                <c:pt idx="2">
                  <c:v>21.259557999999988</c:v>
                </c:pt>
                <c:pt idx="3">
                  <c:v>4.0673339999999945</c:v>
                </c:pt>
              </c:numCache>
            </c:numRef>
          </c:val>
        </c:ser>
        <c:axId val="100305920"/>
        <c:axId val="106287872"/>
      </c:barChart>
      <c:catAx>
        <c:axId val="100305920"/>
        <c:scaling>
          <c:orientation val="minMax"/>
        </c:scaling>
        <c:axPos val="b"/>
        <c:majorGridlines>
          <c:spPr>
            <a:ln w="22225"/>
          </c:spPr>
        </c:majorGridlines>
        <c:tickLblPos val="low"/>
        <c:spPr>
          <a:ln w="19050"/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106287872"/>
        <c:crosses val="autoZero"/>
        <c:auto val="1"/>
        <c:lblAlgn val="ctr"/>
        <c:lblOffset val="100"/>
      </c:catAx>
      <c:valAx>
        <c:axId val="106287872"/>
        <c:scaling>
          <c:orientation val="minMax"/>
        </c:scaling>
        <c:axPos val="l"/>
        <c:majorGridlines/>
        <c:numFmt formatCode="0" sourceLinked="1"/>
        <c:tickLblPos val="nextTo"/>
        <c:crossAx val="100305920"/>
        <c:crosses val="autoZero"/>
        <c:crossBetween val="between"/>
      </c:valAx>
      <c:spPr>
        <a:noFill/>
        <a:ln w="9525">
          <a:gradFill>
            <a:gsLst>
              <a:gs pos="0">
                <a:srgbClr val="4F81BD">
                  <a:tint val="66000"/>
                  <a:satMod val="160000"/>
                </a:srgbClr>
              </a:gs>
              <a:gs pos="0">
                <a:srgbClr val="4F81BD">
                  <a:tint val="66000"/>
                  <a:satMod val="160000"/>
                </a:srgbClr>
              </a:gs>
              <a:gs pos="50000">
                <a:srgbClr val="4F81BD">
                  <a:tint val="44500"/>
                  <a:satMod val="160000"/>
                </a:srgbClr>
              </a:gs>
              <a:gs pos="100000">
                <a:srgbClr val="4F81BD">
                  <a:tint val="23500"/>
                  <a:satMod val="160000"/>
                </a:srgbClr>
              </a:gs>
            </a:gsLst>
            <a:lin ang="5400000" scaled="0"/>
          </a:gradFill>
        </a:ln>
      </c:spPr>
    </c:plotArea>
    <c:legend>
      <c:legendPos val="r"/>
      <c:layout>
        <c:manualLayout>
          <c:xMode val="edge"/>
          <c:yMode val="edge"/>
          <c:x val="0.80953187258278336"/>
          <c:y val="0.35593266358946868"/>
          <c:w val="0.19046812741722188"/>
          <c:h val="0.288134672821069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958739310550657"/>
          <c:y val="0.19842117821396718"/>
          <c:w val="0.71324706398687365"/>
          <c:h val="0.6031310201057406"/>
        </c:manualLayout>
      </c:layout>
      <c:barChart>
        <c:barDir val="col"/>
        <c:grouping val="clustered"/>
        <c:ser>
          <c:idx val="0"/>
          <c:order val="0"/>
          <c:tx>
            <c:strRef>
              <c:f>'Tableau 3'!$B$136</c:f>
              <c:strCache>
                <c:ptCount val="1"/>
                <c:pt idx="0">
                  <c:v>Hausse </c:v>
                </c:pt>
              </c:strCache>
            </c:strRef>
          </c:tx>
          <c:cat>
            <c:strRef>
              <c:f>'Tableau 3'!$A$137:$A$140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3'!$B$137:$B$140</c:f>
              <c:numCache>
                <c:formatCode>0</c:formatCode>
                <c:ptCount val="4"/>
                <c:pt idx="0">
                  <c:v>45.3</c:v>
                </c:pt>
                <c:pt idx="1">
                  <c:v>43.01</c:v>
                </c:pt>
                <c:pt idx="2">
                  <c:v>12.29</c:v>
                </c:pt>
                <c:pt idx="3">
                  <c:v>43.01</c:v>
                </c:pt>
              </c:numCache>
            </c:numRef>
          </c:val>
        </c:ser>
        <c:ser>
          <c:idx val="1"/>
          <c:order val="1"/>
          <c:tx>
            <c:strRef>
              <c:f>'Tableau 3'!$C$136</c:f>
              <c:strCache>
                <c:ptCount val="1"/>
                <c:pt idx="0">
                  <c:v>Stabilité </c:v>
                </c:pt>
              </c:strCache>
            </c:strRef>
          </c:tx>
          <c:cat>
            <c:strRef>
              <c:f>'Tableau 3'!$A$137:$A$140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3'!$C$137:$C$140</c:f>
              <c:numCache>
                <c:formatCode>0</c:formatCode>
                <c:ptCount val="4"/>
                <c:pt idx="0">
                  <c:v>32.200000000000003</c:v>
                </c:pt>
                <c:pt idx="1">
                  <c:v>35.050000000000004</c:v>
                </c:pt>
                <c:pt idx="2">
                  <c:v>69.08</c:v>
                </c:pt>
                <c:pt idx="3">
                  <c:v>35.050000000000004</c:v>
                </c:pt>
              </c:numCache>
            </c:numRef>
          </c:val>
        </c:ser>
        <c:ser>
          <c:idx val="2"/>
          <c:order val="2"/>
          <c:tx>
            <c:strRef>
              <c:f>'Tableau 3'!$D$136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3'!$A$137:$A$140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3'!$D$137:$D$140</c:f>
              <c:numCache>
                <c:formatCode>0</c:formatCode>
                <c:ptCount val="4"/>
                <c:pt idx="0">
                  <c:v>22.5</c:v>
                </c:pt>
                <c:pt idx="1">
                  <c:v>21.939999999999987</c:v>
                </c:pt>
                <c:pt idx="2">
                  <c:v>18.630000000000031</c:v>
                </c:pt>
                <c:pt idx="3">
                  <c:v>21.939999999999987</c:v>
                </c:pt>
              </c:numCache>
            </c:numRef>
          </c:val>
        </c:ser>
        <c:ser>
          <c:idx val="3"/>
          <c:order val="3"/>
          <c:tx>
            <c:strRef>
              <c:f>'Tableau 3'!$E$136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3'!$A$137:$A$140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'Tableau 3'!$E$137:$E$140</c:f>
              <c:numCache>
                <c:formatCode>0</c:formatCode>
                <c:ptCount val="4"/>
                <c:pt idx="0">
                  <c:v>22.8</c:v>
                </c:pt>
                <c:pt idx="1">
                  <c:v>21.06</c:v>
                </c:pt>
                <c:pt idx="2">
                  <c:v>-6.34</c:v>
                </c:pt>
                <c:pt idx="3">
                  <c:v>21.06</c:v>
                </c:pt>
              </c:numCache>
            </c:numRef>
          </c:val>
        </c:ser>
        <c:axId val="106338560"/>
        <c:axId val="106405888"/>
      </c:barChart>
      <c:catAx>
        <c:axId val="106338560"/>
        <c:scaling>
          <c:orientation val="minMax"/>
        </c:scaling>
        <c:axPos val="b"/>
        <c:majorGridlines>
          <c:spPr>
            <a:ln w="22225"/>
          </c:spPr>
        </c:majorGridlines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6405888"/>
        <c:crosses val="autoZero"/>
        <c:auto val="1"/>
        <c:lblAlgn val="ctr"/>
        <c:lblOffset val="100"/>
      </c:catAx>
      <c:valAx>
        <c:axId val="106405888"/>
        <c:scaling>
          <c:orientation val="minMax"/>
        </c:scaling>
        <c:axPos val="l"/>
        <c:majorGridlines/>
        <c:numFmt formatCode="0" sourceLinked="1"/>
        <c:tickLblPos val="low"/>
        <c:crossAx val="106338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83445709238434"/>
          <c:y val="0.30009770309811751"/>
          <c:w val="0.17716554290761932"/>
          <c:h val="0.39980409147421569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8.2666114104158014E-2"/>
          <c:y val="0.21343759113444308"/>
          <c:w val="0.72823167438998793"/>
          <c:h val="0.56541506691828813"/>
        </c:manualLayout>
      </c:layout>
      <c:barChart>
        <c:barDir val="col"/>
        <c:grouping val="clustered"/>
        <c:ser>
          <c:idx val="0"/>
          <c:order val="0"/>
          <c:tx>
            <c:strRef>
              <c:f>Feuil1!$B$69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Feuil1!$A$70:$A$73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Feuil1!$B$70:$B$73</c:f>
              <c:numCache>
                <c:formatCode>0</c:formatCode>
                <c:ptCount val="4"/>
                <c:pt idx="0">
                  <c:v>38.172380004598402</c:v>
                </c:pt>
                <c:pt idx="1">
                  <c:v>61.018795000000011</c:v>
                </c:pt>
                <c:pt idx="2">
                  <c:v>23.855357000000001</c:v>
                </c:pt>
                <c:pt idx="3">
                  <c:v>33.978011000000002</c:v>
                </c:pt>
              </c:numCache>
            </c:numRef>
          </c:val>
        </c:ser>
        <c:ser>
          <c:idx val="1"/>
          <c:order val="1"/>
          <c:tx>
            <c:strRef>
              <c:f>Feuil1!$C$69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Feuil1!$A$70:$A$73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Feuil1!$C$70:$C$73</c:f>
              <c:numCache>
                <c:formatCode>0</c:formatCode>
                <c:ptCount val="4"/>
                <c:pt idx="0">
                  <c:v>48.472388703726395</c:v>
                </c:pt>
                <c:pt idx="1">
                  <c:v>31.517846000000031</c:v>
                </c:pt>
                <c:pt idx="2">
                  <c:v>58.357559000000002</c:v>
                </c:pt>
                <c:pt idx="3">
                  <c:v>52.340262999999993</c:v>
                </c:pt>
              </c:numCache>
            </c:numRef>
          </c:val>
        </c:ser>
        <c:ser>
          <c:idx val="2"/>
          <c:order val="2"/>
          <c:tx>
            <c:strRef>
              <c:f>Feuil1!$D$69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Feuil1!$A$70:$A$73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Feuil1!$D$70:$D$73</c:f>
              <c:numCache>
                <c:formatCode>0</c:formatCode>
                <c:ptCount val="4"/>
                <c:pt idx="0">
                  <c:v>14</c:v>
                </c:pt>
                <c:pt idx="1">
                  <c:v>7.4633580000000004</c:v>
                </c:pt>
                <c:pt idx="2">
                  <c:v>17.787081000000001</c:v>
                </c:pt>
                <c:pt idx="3">
                  <c:v>13.681723</c:v>
                </c:pt>
              </c:numCache>
            </c:numRef>
          </c:val>
        </c:ser>
        <c:ser>
          <c:idx val="3"/>
          <c:order val="3"/>
          <c:tx>
            <c:strRef>
              <c:f>Feuil1!$E$69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Feuil1!$A$70:$A$73</c:f>
              <c:strCache>
                <c:ptCount val="4"/>
                <c:pt idx="0">
                  <c:v>Construction globale</c:v>
                </c:pt>
                <c:pt idx="1">
                  <c:v>Bâtiments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Feuil1!$E$70:$E$73</c:f>
              <c:numCache>
                <c:formatCode>0</c:formatCode>
                <c:ptCount val="4"/>
                <c:pt idx="0">
                  <c:v>24.817150774494287</c:v>
                </c:pt>
                <c:pt idx="1">
                  <c:v>53.555437000000005</c:v>
                </c:pt>
                <c:pt idx="2">
                  <c:v>6.0682749999999945</c:v>
                </c:pt>
                <c:pt idx="3">
                  <c:v>20.296288000000001</c:v>
                </c:pt>
              </c:numCache>
            </c:numRef>
          </c:val>
        </c:ser>
        <c:axId val="106427904"/>
        <c:axId val="106429440"/>
      </c:barChart>
      <c:catAx>
        <c:axId val="106427904"/>
        <c:scaling>
          <c:orientation val="minMax"/>
        </c:scaling>
        <c:axPos val="b"/>
        <c:majorGridlines>
          <c:spPr>
            <a:ln w="22225"/>
          </c:spPr>
        </c:majorGridlines>
        <c:tickLblPos val="low"/>
        <c:spPr>
          <a:ln>
            <a:solidFill>
              <a:srgbClr val="4F81BD">
                <a:alpha val="85000"/>
              </a:srgb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106429440"/>
        <c:crosses val="autoZero"/>
        <c:auto val="1"/>
        <c:lblAlgn val="ctr"/>
        <c:lblOffset val="100"/>
      </c:catAx>
      <c:valAx>
        <c:axId val="106429440"/>
        <c:scaling>
          <c:orientation val="minMax"/>
        </c:scaling>
        <c:axPos val="l"/>
        <c:majorGridlines/>
        <c:numFmt formatCode="0" sourceLinked="1"/>
        <c:tickLblPos val="low"/>
        <c:crossAx val="106427904"/>
        <c:crosses val="autoZero"/>
        <c:crossBetween val="between"/>
      </c:valAx>
      <c:spPr>
        <a:noFill/>
        <a:ln>
          <a:solidFill>
            <a:srgbClr val="4F81BD">
              <a:alpha val="51000"/>
            </a:srgbClr>
          </a:solidFill>
        </a:ln>
      </c:spPr>
    </c:plotArea>
    <c:legend>
      <c:legendPos val="r"/>
      <c:layout>
        <c:manualLayout>
          <c:xMode val="edge"/>
          <c:yMode val="edge"/>
          <c:x val="0.83322633713848404"/>
          <c:y val="0.35493219597550535"/>
          <c:w val="0.16360287299416915"/>
          <c:h val="0.290135608048993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0.07921</cdr:x>
      <cdr:y>0.03125</cdr:y>
    </cdr:from>
    <cdr:to>
      <cdr:x>0.91089</cdr:x>
      <cdr:y>0.18056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04799" y="85724"/>
          <a:ext cx="3200400" cy="409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1000" b="1" i="0" baseline="0">
              <a:latin typeface="+mn-lt"/>
              <a:ea typeface="+mn-ea"/>
              <a:cs typeface="+mn-cs"/>
            </a:rPr>
            <a:t>Opinion des entreprises dans l'industrie manufacturière, proportion en % </a:t>
          </a:r>
          <a:endParaRPr lang="fr-FR" sz="1000" b="1"/>
        </a:p>
        <a:p xmlns:a="http://schemas.openxmlformats.org/drawingml/2006/main">
          <a:pPr algn="ctr"/>
          <a:endParaRPr lang="fr-F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0.06575</cdr:x>
      <cdr:y>4.42983E-7</cdr:y>
    </cdr:from>
    <cdr:to>
      <cdr:x>0.90137</cdr:x>
      <cdr:y>0.18144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28600" y="1"/>
          <a:ext cx="2905125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900" b="1" i="0" baseline="0">
              <a:latin typeface="+mn-lt"/>
              <a:ea typeface="+mn-ea"/>
              <a:cs typeface="+mn-cs"/>
            </a:rPr>
            <a:t>Opinion des entreprises dans l'industrie extractive, proportion en % </a:t>
          </a:r>
          <a:endParaRPr lang="fr-FR" sz="900"/>
        </a:p>
        <a:p xmlns:a="http://schemas.openxmlformats.org/drawingml/2006/main">
          <a:endParaRPr lang="fr-FR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0.03518</cdr:x>
      <cdr:y>0.00435</cdr:y>
    </cdr:from>
    <cdr:to>
      <cdr:x>0.86935</cdr:x>
      <cdr:y>0.1913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133349" y="9526"/>
          <a:ext cx="3162300" cy="4095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900" b="1" i="0" baseline="0">
              <a:latin typeface="+mn-lt"/>
              <a:ea typeface="+mn-ea"/>
              <a:cs typeface="+mn-cs"/>
            </a:rPr>
            <a:t>Opinion des entreprises dans l'industrie environnementale, proportion en % </a:t>
          </a:r>
          <a:endParaRPr lang="fr-FR" sz="900"/>
        </a:p>
        <a:p xmlns:a="http://schemas.openxmlformats.org/drawingml/2006/main">
          <a:endParaRPr lang="fr-FR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0.06685</cdr:x>
      <cdr:y>9.1293E-7</cdr:y>
    </cdr:from>
    <cdr:to>
      <cdr:x>0.89972</cdr:x>
      <cdr:y>0.17391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28599" y="2"/>
          <a:ext cx="2847975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900" b="1" i="0" baseline="0">
              <a:latin typeface="+mn-lt"/>
              <a:ea typeface="+mn-ea"/>
              <a:cs typeface="+mn-cs"/>
            </a:rPr>
            <a:t>Opinion des entreprises dans l'industrie énergétique, proportion en % </a:t>
          </a:r>
          <a:endParaRPr lang="fr-FR" sz="900" b="1"/>
        </a:p>
        <a:p xmlns:a="http://schemas.openxmlformats.org/drawingml/2006/main">
          <a:endParaRPr lang="fr-FR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0.05594</cdr:x>
      <cdr:y>0.02532</cdr:y>
    </cdr:from>
    <cdr:to>
      <cdr:x>0.84149</cdr:x>
      <cdr:y>0.15823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28600" y="76200"/>
          <a:ext cx="32099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  <cdr:relSizeAnchor xmlns:cdr="http://schemas.openxmlformats.org/drawingml/2006/chartDrawing">
    <cdr:from>
      <cdr:x>0.04429</cdr:x>
      <cdr:y>0.02532</cdr:y>
    </cdr:from>
    <cdr:to>
      <cdr:x>0.86014</cdr:x>
      <cdr:y>0.17405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169163" y="71136"/>
          <a:ext cx="3116163" cy="417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1000" b="1" i="0" baseline="0">
              <a:latin typeface="+mn-lt"/>
              <a:ea typeface="+mn-ea"/>
              <a:cs typeface="+mn-cs"/>
            </a:rPr>
            <a:t>Opinion  des entreprises sur l'activité  de construction, proportion en %</a:t>
          </a:r>
          <a:endParaRPr lang="fr-FR" sz="1000">
            <a:latin typeface="+mn-lt"/>
            <a:ea typeface="+mn-ea"/>
            <a:cs typeface="+mn-cs"/>
          </a:endParaRPr>
        </a:p>
        <a:p xmlns:a="http://schemas.openxmlformats.org/drawingml/2006/main">
          <a:endParaRPr lang="fr-FR" sz="1100"/>
        </a:p>
      </cdr:txBody>
    </cdr:sp>
  </cdr:relSizeAnchor>
  <cdr:relSizeAnchor xmlns:cdr="http://schemas.openxmlformats.org/drawingml/2006/chartDrawing">
    <cdr:from>
      <cdr:x>0.66085</cdr:x>
      <cdr:y>0.14237</cdr:y>
    </cdr:from>
    <cdr:to>
      <cdr:x>0.90025</cdr:x>
      <cdr:y>0.4678</cdr:y>
    </cdr:to>
    <cdr:sp macro="" textlink="">
      <cdr:nvSpPr>
        <cdr:cNvPr id="4" name="ZoneTexte 3"/>
        <cdr:cNvSpPr txBox="1"/>
      </cdr:nvSpPr>
      <cdr:spPr>
        <a:xfrm xmlns:a="http://schemas.openxmlformats.org/drawingml/2006/main">
          <a:off x="2524125" y="400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0.04509</cdr:x>
      <cdr:y>0</cdr:y>
    </cdr:from>
    <cdr:to>
      <cdr:x>0.92838</cdr:x>
      <cdr:y>0.18182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161924" y="0"/>
          <a:ext cx="3171825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0" fontAlgn="base"/>
          <a:r>
            <a:rPr lang="fr-FR" sz="800" b="1" i="0" baseline="0">
              <a:latin typeface="+mn-lt"/>
              <a:ea typeface="+mn-ea"/>
              <a:cs typeface="+mn-cs"/>
            </a:rPr>
            <a:t>Anticipations des entreprises industrielles sur la production </a:t>
          </a:r>
        </a:p>
        <a:p xmlns:a="http://schemas.openxmlformats.org/drawingml/2006/main">
          <a:pPr algn="ctr"/>
          <a:r>
            <a:rPr lang="fr-FR" sz="800" b="1" i="0" baseline="0">
              <a:latin typeface="+mn-lt"/>
              <a:ea typeface="+mn-ea"/>
              <a:cs typeface="+mn-cs"/>
            </a:rPr>
            <a:t>(proportion en %)  </a:t>
          </a:r>
          <a:endParaRPr lang="fr-FR" sz="8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0.05981</cdr:x>
      <cdr:y>4.3383E-7</cdr:y>
    </cdr:from>
    <cdr:to>
      <cdr:x>0.83971</cdr:x>
      <cdr:y>0.18056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06798" y="1"/>
          <a:ext cx="2696562" cy="416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900" b="1" i="0" baseline="0">
              <a:latin typeface="+mn-lt"/>
              <a:ea typeface="+mn-ea"/>
              <a:cs typeface="+mn-cs"/>
            </a:rPr>
            <a:t>Anticipations  des entreprises sur l'activité  de construction, proportion en %</a:t>
          </a:r>
          <a:endParaRPr lang="fr-FR" sz="900">
            <a:latin typeface="+mn-lt"/>
            <a:ea typeface="+mn-ea"/>
            <a:cs typeface="+mn-cs"/>
          </a:endParaRPr>
        </a:p>
        <a:p xmlns:a="http://schemas.openxmlformats.org/drawingml/2006/main"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787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2016-06-15T11:30:00Z</cp:lastPrinted>
  <dcterms:created xsi:type="dcterms:W3CDTF">2016-06-15T19:56:00Z</dcterms:created>
  <dcterms:modified xsi:type="dcterms:W3CDTF">2016-06-15T19:56:00Z</dcterms:modified>
</cp:coreProperties>
</file>