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568" w:rsidRDefault="00862568" w:rsidP="00862568">
      <w:pPr>
        <w:jc w:val="center"/>
        <w:rPr>
          <w:rFonts w:cs="Calibri"/>
          <w:b/>
          <w:bCs/>
          <w:color w:val="C00000"/>
          <w:sz w:val="32"/>
          <w:szCs w:val="32"/>
        </w:rPr>
      </w:pPr>
    </w:p>
    <w:p w:rsidR="00862568" w:rsidRDefault="00862568" w:rsidP="00862568">
      <w:pPr>
        <w:jc w:val="center"/>
        <w:rPr>
          <w:rFonts w:cs="Calibri"/>
          <w:b/>
          <w:bCs/>
          <w:color w:val="C00000"/>
          <w:sz w:val="32"/>
          <w:szCs w:val="32"/>
        </w:rPr>
      </w:pPr>
    </w:p>
    <w:p w:rsidR="00862568" w:rsidRDefault="00862568" w:rsidP="00862568">
      <w:pPr>
        <w:jc w:val="center"/>
        <w:rPr>
          <w:rFonts w:cs="Calibri"/>
          <w:b/>
          <w:bCs/>
          <w:color w:val="C00000"/>
          <w:sz w:val="32"/>
          <w:szCs w:val="32"/>
        </w:rPr>
      </w:pPr>
    </w:p>
    <w:p w:rsidR="00862568" w:rsidRDefault="002D4524" w:rsidP="00862568">
      <w:pPr>
        <w:jc w:val="center"/>
        <w:rPr>
          <w:rFonts w:cs="Calibri"/>
          <w:b/>
          <w:bCs/>
          <w:color w:val="C00000"/>
          <w:sz w:val="32"/>
          <w:szCs w:val="32"/>
        </w:rPr>
      </w:pPr>
      <w:r>
        <w:rPr>
          <w:rFonts w:cs="Calibri"/>
          <w:b/>
          <w:bCs/>
          <w:color w:val="C00000"/>
          <w:sz w:val="32"/>
          <w:szCs w:val="32"/>
        </w:rPr>
        <w:t xml:space="preserve">        </w:t>
      </w:r>
    </w:p>
    <w:p w:rsidR="00E524C5" w:rsidRDefault="00E524C5" w:rsidP="00862568">
      <w:pPr>
        <w:jc w:val="center"/>
        <w:rPr>
          <w:rFonts w:cs="Calibri"/>
          <w:b/>
          <w:bCs/>
          <w:color w:val="C00000"/>
          <w:sz w:val="32"/>
          <w:szCs w:val="32"/>
        </w:rPr>
      </w:pPr>
    </w:p>
    <w:p w:rsidR="00862568" w:rsidRPr="002F4A6F" w:rsidRDefault="00862568" w:rsidP="00862568">
      <w:pPr>
        <w:jc w:val="center"/>
        <w:rPr>
          <w:rFonts w:cs="Calibri"/>
          <w:b/>
          <w:bCs/>
          <w:color w:val="C00000"/>
          <w:sz w:val="32"/>
          <w:szCs w:val="32"/>
        </w:rPr>
      </w:pPr>
      <w:r w:rsidRPr="002F4A6F">
        <w:rPr>
          <w:rFonts w:cs="Calibri"/>
          <w:b/>
          <w:bCs/>
          <w:color w:val="C00000"/>
          <w:sz w:val="32"/>
          <w:szCs w:val="32"/>
        </w:rPr>
        <w:t>Note d’information du HCP :</w:t>
      </w:r>
    </w:p>
    <w:p w:rsidR="00862568" w:rsidRDefault="00862568" w:rsidP="00862568">
      <w:pPr>
        <w:ind w:left="1134" w:right="1134"/>
        <w:jc w:val="center"/>
        <w:rPr>
          <w:rFonts w:cs="Calibri"/>
          <w:b/>
          <w:bCs/>
          <w:color w:val="FF6600"/>
          <w:sz w:val="32"/>
          <w:szCs w:val="32"/>
        </w:rPr>
      </w:pPr>
      <w:r>
        <w:rPr>
          <w:rFonts w:cs="Calibri"/>
          <w:b/>
          <w:bCs/>
          <w:color w:val="FF6600"/>
          <w:sz w:val="32"/>
          <w:szCs w:val="32"/>
        </w:rPr>
        <w:t>L</w:t>
      </w:r>
      <w:r w:rsidRPr="00011925">
        <w:rPr>
          <w:rFonts w:cs="Calibri"/>
          <w:b/>
          <w:bCs/>
          <w:color w:val="FF6600"/>
          <w:sz w:val="32"/>
          <w:szCs w:val="32"/>
        </w:rPr>
        <w:t>es effets d</w:t>
      </w:r>
      <w:r>
        <w:rPr>
          <w:rFonts w:cs="Calibri"/>
          <w:b/>
          <w:bCs/>
          <w:color w:val="FF6600"/>
          <w:sz w:val="32"/>
          <w:szCs w:val="32"/>
        </w:rPr>
        <w:t>u mois</w:t>
      </w:r>
      <w:r w:rsidRPr="00011925">
        <w:rPr>
          <w:rFonts w:cs="Calibri"/>
          <w:b/>
          <w:bCs/>
          <w:color w:val="FF6600"/>
          <w:sz w:val="32"/>
          <w:szCs w:val="32"/>
        </w:rPr>
        <w:t xml:space="preserve"> </w:t>
      </w:r>
      <w:r>
        <w:rPr>
          <w:rFonts w:cs="Calibri"/>
          <w:b/>
          <w:bCs/>
          <w:color w:val="FF6600"/>
          <w:sz w:val="32"/>
          <w:szCs w:val="32"/>
        </w:rPr>
        <w:t xml:space="preserve">de </w:t>
      </w:r>
      <w:r w:rsidRPr="00011925">
        <w:rPr>
          <w:rFonts w:cs="Calibri"/>
          <w:b/>
          <w:bCs/>
          <w:color w:val="FF6600"/>
          <w:sz w:val="32"/>
          <w:szCs w:val="32"/>
        </w:rPr>
        <w:t xml:space="preserve">ramadan </w:t>
      </w:r>
      <w:r>
        <w:rPr>
          <w:rFonts w:cs="Calibri"/>
          <w:b/>
          <w:bCs/>
          <w:color w:val="FF6600"/>
          <w:sz w:val="32"/>
          <w:szCs w:val="32"/>
        </w:rPr>
        <w:t>sur les structures et les prix de la consommation</w:t>
      </w:r>
    </w:p>
    <w:p w:rsidR="00862568" w:rsidRDefault="00862568" w:rsidP="00862568">
      <w:pPr>
        <w:jc w:val="center"/>
        <w:rPr>
          <w:rFonts w:cs="Calibri"/>
          <w:b/>
          <w:bCs/>
          <w:color w:val="FF6600"/>
          <w:sz w:val="32"/>
          <w:szCs w:val="32"/>
        </w:rPr>
      </w:pPr>
    </w:p>
    <w:p w:rsidR="00862568" w:rsidRDefault="00862568" w:rsidP="00862568">
      <w:pPr>
        <w:jc w:val="both"/>
      </w:pPr>
      <w:r>
        <w:t>L</w:t>
      </w:r>
      <w:r w:rsidRPr="00D17F7D">
        <w:t xml:space="preserve">e </w:t>
      </w:r>
      <w:r>
        <w:t xml:space="preserve">mois de </w:t>
      </w:r>
      <w:r w:rsidRPr="00D17F7D">
        <w:t>ramadan 143</w:t>
      </w:r>
      <w:r>
        <w:t>7</w:t>
      </w:r>
      <w:r w:rsidRPr="00D17F7D">
        <w:t xml:space="preserve"> </w:t>
      </w:r>
      <w:r>
        <w:t>est le huitième, au cours d</w:t>
      </w:r>
      <w:r w:rsidRPr="00D17F7D">
        <w:t>es 5</w:t>
      </w:r>
      <w:r>
        <w:t>7</w:t>
      </w:r>
      <w:r w:rsidRPr="00D17F7D">
        <w:t xml:space="preserve"> dernières années lunaires</w:t>
      </w:r>
      <w:r>
        <w:t>, où le début du jeûne a coïncidé avec un mardi. Il est aussi le deuxième, depuis 1983, où le mois sacré chevauche sur les deux mois de juin et juillet.</w:t>
      </w:r>
    </w:p>
    <w:p w:rsidR="00862568" w:rsidRDefault="00862568" w:rsidP="00862568">
      <w:pPr>
        <w:jc w:val="both"/>
      </w:pPr>
    </w:p>
    <w:p w:rsidR="00862568" w:rsidRDefault="00862568" w:rsidP="00862568">
      <w:pPr>
        <w:jc w:val="both"/>
      </w:pPr>
      <w:r w:rsidRPr="00785E89">
        <w:t xml:space="preserve">Selon la dernière enquête sur </w:t>
      </w:r>
      <w:r>
        <w:t xml:space="preserve">les dépenses de </w:t>
      </w:r>
      <w:r w:rsidRPr="00785E89">
        <w:t xml:space="preserve">consommation </w:t>
      </w:r>
      <w:r>
        <w:t xml:space="preserve">des ménages </w:t>
      </w:r>
      <w:r w:rsidRPr="00785E89">
        <w:t xml:space="preserve">au Maroc, réalisée par le Haut Commissariat au Plan, entre </w:t>
      </w:r>
      <w:r w:rsidRPr="00AD5A93">
        <w:t xml:space="preserve">juillet 2013 </w:t>
      </w:r>
      <w:r>
        <w:t xml:space="preserve">et </w:t>
      </w:r>
      <w:r w:rsidRPr="00AD5A93">
        <w:t>juin 2014</w:t>
      </w:r>
      <w:r>
        <w:t>, la dépense de consommation par ménage s’apprécie de 16,3% en moyenne durant le mois sacré. Il est à noter que cette hausse dépend du niveau de vie des ménages (cf. figure 1).</w:t>
      </w:r>
    </w:p>
    <w:p w:rsidR="00862568" w:rsidRDefault="00862568" w:rsidP="00862568">
      <w:pPr>
        <w:jc w:val="both"/>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6062"/>
      </w:tblGrid>
      <w:tr w:rsidR="00862568" w:rsidTr="000F484A">
        <w:trPr>
          <w:jc w:val="center"/>
        </w:trPr>
        <w:tc>
          <w:tcPr>
            <w:tcW w:w="6062" w:type="dxa"/>
          </w:tcPr>
          <w:p w:rsidR="00862568" w:rsidRPr="00CD21A4" w:rsidRDefault="00862568" w:rsidP="000F484A">
            <w:pPr>
              <w:rPr>
                <w:b/>
                <w:bCs/>
              </w:rPr>
            </w:pPr>
            <w:r w:rsidRPr="009673D9">
              <w:rPr>
                <w:b/>
                <w:bCs/>
              </w:rPr>
              <w:t xml:space="preserve">Figure 1 : </w:t>
            </w:r>
            <w:r>
              <w:rPr>
                <w:b/>
                <w:bCs/>
              </w:rPr>
              <w:t>Ecarts (en %) de dépense du mois de ramadan par rapport aux autres mois de l’année par  nature et classe de dépenses</w:t>
            </w:r>
          </w:p>
        </w:tc>
      </w:tr>
      <w:tr w:rsidR="00862568" w:rsidTr="000F484A">
        <w:trPr>
          <w:jc w:val="center"/>
        </w:trPr>
        <w:tc>
          <w:tcPr>
            <w:tcW w:w="6062" w:type="dxa"/>
          </w:tcPr>
          <w:p w:rsidR="00862568" w:rsidRDefault="002D4524" w:rsidP="000F484A">
            <w:pPr>
              <w:jc w:val="both"/>
            </w:pPr>
            <w:r>
              <w:rPr>
                <w:noProof/>
              </w:rPr>
              <w:drawing>
                <wp:inline distT="0" distB="0" distL="0" distR="0">
                  <wp:extent cx="3683000" cy="2171700"/>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srcRect/>
                          <a:stretch>
                            <a:fillRect/>
                          </a:stretch>
                        </pic:blipFill>
                        <pic:spPr bwMode="auto">
                          <a:xfrm>
                            <a:off x="0" y="0"/>
                            <a:ext cx="3683000" cy="2171700"/>
                          </a:xfrm>
                          <a:prstGeom prst="rect">
                            <a:avLst/>
                          </a:prstGeom>
                          <a:noFill/>
                          <a:ln w="9525">
                            <a:noFill/>
                            <a:miter lim="800000"/>
                            <a:headEnd/>
                            <a:tailEnd/>
                          </a:ln>
                        </pic:spPr>
                      </pic:pic>
                    </a:graphicData>
                  </a:graphic>
                </wp:inline>
              </w:drawing>
            </w:r>
          </w:p>
        </w:tc>
      </w:tr>
      <w:tr w:rsidR="00862568" w:rsidTr="000F484A">
        <w:trPr>
          <w:jc w:val="center"/>
        </w:trPr>
        <w:tc>
          <w:tcPr>
            <w:tcW w:w="6062" w:type="dxa"/>
          </w:tcPr>
          <w:p w:rsidR="00862568" w:rsidRDefault="00862568" w:rsidP="000F484A">
            <w:pPr>
              <w:jc w:val="both"/>
            </w:pPr>
            <w:r w:rsidRPr="00A7629C">
              <w:rPr>
                <w:sz w:val="20"/>
                <w:szCs w:val="20"/>
              </w:rPr>
              <w:t>Source : HCP</w:t>
            </w:r>
          </w:p>
        </w:tc>
      </w:tr>
    </w:tbl>
    <w:p w:rsidR="00862568" w:rsidRDefault="00862568" w:rsidP="00862568">
      <w:pPr>
        <w:jc w:val="both"/>
      </w:pPr>
    </w:p>
    <w:p w:rsidR="00862568" w:rsidRDefault="00862568" w:rsidP="00862568">
      <w:pPr>
        <w:jc w:val="both"/>
      </w:pPr>
      <w:r>
        <w:t>En parallèle à cette appréciation globale du panier de la ménagère, le mois de ramadan est aussi à l’origine d’une configuration substantielle de la structure de consommation. Ainsi, les ménages dépensent plus d’un tiers de plus en alimentation (+37%). Cette augmentation de la dépense alimentaire touche toutes les catégories de la population et s’accroit au fur et à mesure qu’on avance dans l’échelle du niveau de vie (en passant de 22,5% à plus de 40% entre les deux classes extrêmes).</w:t>
      </w:r>
    </w:p>
    <w:p w:rsidR="00862568" w:rsidRDefault="00862568" w:rsidP="00862568">
      <w:pPr>
        <w:jc w:val="both"/>
      </w:pPr>
    </w:p>
    <w:p w:rsidR="00862568" w:rsidRDefault="00862568" w:rsidP="00862568">
      <w:pPr>
        <w:jc w:val="both"/>
      </w:pPr>
      <w:r>
        <w:t>Dans ce cadre, les produits qui contribuent le plus à cette dépense supplémentaire sont les fruits (+163%), les viandes (+35%), les céréales (+35%) et le lait et produits laitiers (+47%).</w:t>
      </w:r>
    </w:p>
    <w:p w:rsidR="00862568" w:rsidRDefault="00862568" w:rsidP="00E524C5">
      <w:pPr>
        <w:spacing w:after="200" w:line="276" w:lineRule="auto"/>
      </w:pPr>
      <w:r>
        <w:br w:type="page"/>
      </w: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8613"/>
      </w:tblGrid>
      <w:tr w:rsidR="00862568" w:rsidTr="000F484A">
        <w:trPr>
          <w:jc w:val="center"/>
        </w:trPr>
        <w:tc>
          <w:tcPr>
            <w:tcW w:w="8613" w:type="dxa"/>
          </w:tcPr>
          <w:p w:rsidR="00862568" w:rsidRDefault="00862568" w:rsidP="000F484A">
            <w:pPr>
              <w:jc w:val="both"/>
              <w:rPr>
                <w:b/>
                <w:bCs/>
              </w:rPr>
            </w:pPr>
            <w:r>
              <w:rPr>
                <w:b/>
                <w:bCs/>
              </w:rPr>
              <w:lastRenderedPageBreak/>
              <w:t>Figure 2 :</w:t>
            </w:r>
          </w:p>
          <w:p w:rsidR="00862568" w:rsidRPr="006B6501" w:rsidRDefault="00862568" w:rsidP="000F484A">
            <w:pPr>
              <w:jc w:val="both"/>
              <w:rPr>
                <w:b/>
                <w:bCs/>
              </w:rPr>
            </w:pPr>
            <w:r>
              <w:rPr>
                <w:b/>
                <w:bCs/>
              </w:rPr>
              <w:t>Ecarts (en %) de dépense du mois de ramadan par rapport aux autres mois de l’année par  type de produit</w:t>
            </w:r>
          </w:p>
          <w:p w:rsidR="00862568" w:rsidRPr="006B6501" w:rsidRDefault="00862568" w:rsidP="000F484A">
            <w:pPr>
              <w:jc w:val="both"/>
              <w:rPr>
                <w:i/>
                <w:iCs/>
              </w:rPr>
            </w:pPr>
            <w:r>
              <w:rPr>
                <w:b/>
                <w:bCs/>
                <w:i/>
                <w:iCs/>
              </w:rPr>
              <w:t>P</w:t>
            </w:r>
            <w:r w:rsidRPr="006B6501">
              <w:rPr>
                <w:b/>
                <w:bCs/>
                <w:i/>
                <w:iCs/>
              </w:rPr>
              <w:t>roduit</w:t>
            </w:r>
            <w:r>
              <w:rPr>
                <w:b/>
                <w:bCs/>
                <w:i/>
                <w:iCs/>
              </w:rPr>
              <w:t>s</w:t>
            </w:r>
            <w:r w:rsidRPr="006B6501">
              <w:rPr>
                <w:b/>
                <w:bCs/>
                <w:i/>
                <w:iCs/>
              </w:rPr>
              <w:t xml:space="preserve"> alimentaire</w:t>
            </w:r>
            <w:r>
              <w:rPr>
                <w:b/>
                <w:bCs/>
                <w:i/>
                <w:iCs/>
              </w:rPr>
              <w:t>s</w:t>
            </w:r>
          </w:p>
        </w:tc>
      </w:tr>
      <w:tr w:rsidR="00862568" w:rsidTr="000F484A">
        <w:trPr>
          <w:jc w:val="center"/>
        </w:trPr>
        <w:tc>
          <w:tcPr>
            <w:tcW w:w="8613" w:type="dxa"/>
          </w:tcPr>
          <w:p w:rsidR="00862568" w:rsidRDefault="002D4524" w:rsidP="000F484A">
            <w:pPr>
              <w:jc w:val="center"/>
            </w:pPr>
            <w:r>
              <w:rPr>
                <w:noProof/>
              </w:rPr>
              <w:drawing>
                <wp:inline distT="0" distB="0" distL="0" distR="0">
                  <wp:extent cx="4457700" cy="2222500"/>
                  <wp:effectExtent l="1905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srcRect/>
                          <a:stretch>
                            <a:fillRect/>
                          </a:stretch>
                        </pic:blipFill>
                        <pic:spPr bwMode="auto">
                          <a:xfrm>
                            <a:off x="0" y="0"/>
                            <a:ext cx="4457700" cy="2222500"/>
                          </a:xfrm>
                          <a:prstGeom prst="rect">
                            <a:avLst/>
                          </a:prstGeom>
                          <a:noFill/>
                          <a:ln w="9525">
                            <a:noFill/>
                            <a:miter lim="800000"/>
                            <a:headEnd/>
                            <a:tailEnd/>
                          </a:ln>
                        </pic:spPr>
                      </pic:pic>
                    </a:graphicData>
                  </a:graphic>
                </wp:inline>
              </w:drawing>
            </w:r>
          </w:p>
        </w:tc>
      </w:tr>
      <w:tr w:rsidR="00862568" w:rsidRPr="006B6501" w:rsidTr="000F484A">
        <w:trPr>
          <w:jc w:val="center"/>
        </w:trPr>
        <w:tc>
          <w:tcPr>
            <w:tcW w:w="8613" w:type="dxa"/>
          </w:tcPr>
          <w:p w:rsidR="00862568" w:rsidRPr="006B6501" w:rsidRDefault="00862568" w:rsidP="000F484A">
            <w:pPr>
              <w:jc w:val="both"/>
              <w:rPr>
                <w:b/>
                <w:bCs/>
                <w:i/>
                <w:iCs/>
              </w:rPr>
            </w:pPr>
            <w:r>
              <w:rPr>
                <w:b/>
                <w:bCs/>
                <w:i/>
                <w:iCs/>
              </w:rPr>
              <w:t>P</w:t>
            </w:r>
            <w:r w:rsidRPr="006B6501">
              <w:rPr>
                <w:b/>
                <w:bCs/>
                <w:i/>
                <w:iCs/>
              </w:rPr>
              <w:t>roduit non alimentaire</w:t>
            </w:r>
            <w:r>
              <w:rPr>
                <w:b/>
                <w:bCs/>
                <w:i/>
                <w:iCs/>
              </w:rPr>
              <w:t>s</w:t>
            </w:r>
          </w:p>
          <w:p w:rsidR="00862568" w:rsidRPr="006B6501" w:rsidRDefault="002D4524" w:rsidP="000F484A">
            <w:pPr>
              <w:jc w:val="center"/>
              <w:rPr>
                <w:sz w:val="20"/>
                <w:szCs w:val="20"/>
              </w:rPr>
            </w:pPr>
            <w:r>
              <w:rPr>
                <w:noProof/>
                <w:sz w:val="20"/>
                <w:szCs w:val="20"/>
              </w:rPr>
              <w:drawing>
                <wp:inline distT="0" distB="0" distL="0" distR="0">
                  <wp:extent cx="4457700" cy="1308100"/>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srcRect/>
                          <a:stretch>
                            <a:fillRect/>
                          </a:stretch>
                        </pic:blipFill>
                        <pic:spPr bwMode="auto">
                          <a:xfrm>
                            <a:off x="0" y="0"/>
                            <a:ext cx="4457700" cy="1308100"/>
                          </a:xfrm>
                          <a:prstGeom prst="rect">
                            <a:avLst/>
                          </a:prstGeom>
                          <a:noFill/>
                          <a:ln w="9525">
                            <a:noFill/>
                            <a:miter lim="800000"/>
                            <a:headEnd/>
                            <a:tailEnd/>
                          </a:ln>
                        </pic:spPr>
                      </pic:pic>
                    </a:graphicData>
                  </a:graphic>
                </wp:inline>
              </w:drawing>
            </w:r>
          </w:p>
        </w:tc>
      </w:tr>
      <w:tr w:rsidR="00862568" w:rsidRPr="006B6501" w:rsidTr="000F484A">
        <w:trPr>
          <w:jc w:val="center"/>
        </w:trPr>
        <w:tc>
          <w:tcPr>
            <w:tcW w:w="8613" w:type="dxa"/>
          </w:tcPr>
          <w:p w:rsidR="00862568" w:rsidRPr="006B6501" w:rsidRDefault="00862568" w:rsidP="000F484A">
            <w:pPr>
              <w:jc w:val="both"/>
              <w:rPr>
                <w:sz w:val="20"/>
                <w:szCs w:val="20"/>
              </w:rPr>
            </w:pPr>
          </w:p>
        </w:tc>
      </w:tr>
      <w:tr w:rsidR="00862568" w:rsidRPr="006B6501" w:rsidTr="000F484A">
        <w:trPr>
          <w:jc w:val="center"/>
        </w:trPr>
        <w:tc>
          <w:tcPr>
            <w:tcW w:w="8613" w:type="dxa"/>
          </w:tcPr>
          <w:p w:rsidR="00862568" w:rsidRPr="006B6501" w:rsidRDefault="00862568" w:rsidP="000F484A">
            <w:pPr>
              <w:jc w:val="both"/>
              <w:rPr>
                <w:sz w:val="20"/>
                <w:szCs w:val="20"/>
              </w:rPr>
            </w:pPr>
            <w:r w:rsidRPr="006B6501">
              <w:rPr>
                <w:sz w:val="20"/>
                <w:szCs w:val="20"/>
              </w:rPr>
              <w:t>Source : HCP</w:t>
            </w:r>
          </w:p>
        </w:tc>
      </w:tr>
    </w:tbl>
    <w:p w:rsidR="00862568" w:rsidRDefault="00862568" w:rsidP="00862568">
      <w:pPr>
        <w:jc w:val="both"/>
      </w:pPr>
    </w:p>
    <w:p w:rsidR="00862568" w:rsidRDefault="00862568" w:rsidP="00862568">
      <w:pPr>
        <w:jc w:val="both"/>
      </w:pPr>
      <w:r>
        <w:t>Même si cette reconfiguration reste à l’avantage du panier alimentaire, à l’origine de 82% de la hausse constatée de la dépense globale durant ce mois, il n’en reste pas moins que d’autres rubriques de dépense subissent des modifications importantes. C’est le cas notamment de la rubrique du « transport et communication » (avec une hausse de 20% de la dépense dédiée) et de l’« habitat et énergie » (+3,7%). Fait important pour être souligné, la dépense d’habillement baisse de 13% en moyenne durant ce mois sacré, notamment en milieu rural (-17,3%). En définitive, la dépense en produits non alimentaires n’augmente que de 4,6%, ce qui est l’apanage essentiellement du changement de comportement des citadins.</w:t>
      </w:r>
    </w:p>
    <w:p w:rsidR="00862568" w:rsidRPr="00D656AF" w:rsidRDefault="00862568" w:rsidP="00862568">
      <w:pPr>
        <w:jc w:val="both"/>
        <w:rPr>
          <w:color w:val="FF0000"/>
        </w:rPr>
      </w:pPr>
    </w:p>
    <w:p w:rsidR="00862568" w:rsidRDefault="00862568" w:rsidP="00862568">
      <w:pPr>
        <w:jc w:val="both"/>
      </w:pPr>
      <w:r>
        <w:t xml:space="preserve">Par ailleurs, ces changements de comportement auront des impacts sur les évolutions des </w:t>
      </w:r>
      <w:r w:rsidRPr="00EC213D">
        <w:t xml:space="preserve">prix </w:t>
      </w:r>
      <w:r>
        <w:t>à la consommation. Par référence aux observations des dernières années (depuis 2006), l’appréciation totale que connaîtraient les prix des produits alimentaires, durant le mois de ramadan en cours, est estimée à 0,6% (cf. figure 3). Cet impact global serait ressenti, en grande partie, durant ce mois de juin, étant donné que 24 journées de jeûne coïncident avec ce dernier.</w:t>
      </w:r>
    </w:p>
    <w:p w:rsidR="00862568" w:rsidRDefault="00862568" w:rsidP="00862568">
      <w:pPr>
        <w:jc w:val="both"/>
      </w:pPr>
      <w:r>
        <w:t xml:space="preserve"> </w:t>
      </w:r>
    </w:p>
    <w:p w:rsidR="00862568" w:rsidRDefault="00862568" w:rsidP="00862568">
      <w:pPr>
        <w:jc w:val="both"/>
      </w:pPr>
      <w:r w:rsidRPr="00D17F7D">
        <w:t>Les produits</w:t>
      </w:r>
      <w:r>
        <w:t xml:space="preserve"> qui seraient</w:t>
      </w:r>
      <w:r w:rsidRPr="00D17F7D">
        <w:t xml:space="preserve"> les plus touchés demeurent les poissons</w:t>
      </w:r>
      <w:r>
        <w:t xml:space="preserve">, les œufs </w:t>
      </w:r>
      <w:r w:rsidRPr="00D17F7D">
        <w:t xml:space="preserve">et les </w:t>
      </w:r>
      <w:r>
        <w:t>fruits</w:t>
      </w:r>
      <w:r w:rsidRPr="00D17F7D">
        <w:t xml:space="preserve">. Les prix des poissons devraient, en effet, s’inscrire en hausse de </w:t>
      </w:r>
      <w:r>
        <w:t>6</w:t>
      </w:r>
      <w:r w:rsidRPr="00D17F7D">
        <w:t xml:space="preserve">% durant </w:t>
      </w:r>
      <w:r>
        <w:t>le mois de juin (1,2% en juillet)</w:t>
      </w:r>
      <w:r w:rsidRPr="00D17F7D">
        <w:t xml:space="preserve">. L’impact sur les prix des </w:t>
      </w:r>
      <w:r>
        <w:t>œufs</w:t>
      </w:r>
      <w:r w:rsidRPr="00D17F7D">
        <w:t xml:space="preserve"> atteindrait </w:t>
      </w:r>
      <w:r>
        <w:t>3,3% (0,7% respectivement)</w:t>
      </w:r>
      <w:r w:rsidRPr="00D17F7D">
        <w:t>.</w:t>
      </w:r>
      <w:r>
        <w:t xml:space="preserve"> Le prix des fruits, en particulier les agrumes et fruits frais, s’inscriraient presque dans la même tendance</w:t>
      </w:r>
      <w:r w:rsidRPr="00EC213D">
        <w:t>.</w:t>
      </w:r>
      <w:r>
        <w:t xml:space="preserve"> Notons en dernier lieu que les estimations menées permettent de conclure à la non signification des effets du mois sacré sur 22 produits alimentaires (sur un total de 32, selon la nomenclature de 2006). </w:t>
      </w:r>
    </w:p>
    <w:p w:rsidR="00862568" w:rsidRDefault="00862568" w:rsidP="00862568">
      <w:pPr>
        <w:jc w:val="both"/>
      </w:pPr>
    </w:p>
    <w:p w:rsidR="00862568" w:rsidRDefault="00862568" w:rsidP="00862568">
      <w:pPr>
        <w:jc w:val="both"/>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5654"/>
      </w:tblGrid>
      <w:tr w:rsidR="00862568" w:rsidTr="000F484A">
        <w:trPr>
          <w:jc w:val="center"/>
        </w:trPr>
        <w:tc>
          <w:tcPr>
            <w:tcW w:w="5654" w:type="dxa"/>
          </w:tcPr>
          <w:p w:rsidR="00862568" w:rsidRDefault="00862568" w:rsidP="000F484A">
            <w:pPr>
              <w:jc w:val="center"/>
              <w:rPr>
                <w:b/>
                <w:bCs/>
                <w:sz w:val="20"/>
                <w:szCs w:val="20"/>
              </w:rPr>
            </w:pPr>
            <w:r>
              <w:rPr>
                <w:b/>
                <w:bCs/>
                <w:sz w:val="20"/>
                <w:szCs w:val="20"/>
              </w:rPr>
              <w:t>Figure 3 :</w:t>
            </w:r>
          </w:p>
          <w:p w:rsidR="00862568" w:rsidRPr="00142EEE" w:rsidRDefault="00862568" w:rsidP="000F484A">
            <w:pPr>
              <w:jc w:val="center"/>
              <w:rPr>
                <w:b/>
                <w:bCs/>
                <w:sz w:val="20"/>
                <w:szCs w:val="20"/>
              </w:rPr>
            </w:pPr>
            <w:r w:rsidRPr="00142EEE">
              <w:rPr>
                <w:b/>
                <w:bCs/>
                <w:sz w:val="20"/>
                <w:szCs w:val="20"/>
              </w:rPr>
              <w:t>Evaluation des effets de ramadan 1437 sur les prix alimentaires</w:t>
            </w:r>
          </w:p>
          <w:p w:rsidR="00862568" w:rsidRPr="00142EEE" w:rsidRDefault="00862568" w:rsidP="000F484A">
            <w:pPr>
              <w:jc w:val="center"/>
              <w:rPr>
                <w:b/>
                <w:bCs/>
              </w:rPr>
            </w:pPr>
            <w:r w:rsidRPr="00142EEE">
              <w:rPr>
                <w:b/>
                <w:bCs/>
                <w:sz w:val="20"/>
                <w:szCs w:val="20"/>
              </w:rPr>
              <w:t>(en %)</w:t>
            </w:r>
          </w:p>
        </w:tc>
      </w:tr>
      <w:tr w:rsidR="00862568" w:rsidTr="000F484A">
        <w:trPr>
          <w:jc w:val="center"/>
        </w:trPr>
        <w:tc>
          <w:tcPr>
            <w:tcW w:w="5654" w:type="dxa"/>
          </w:tcPr>
          <w:p w:rsidR="00862568" w:rsidRDefault="002D4524" w:rsidP="000F484A">
            <w:pPr>
              <w:jc w:val="center"/>
            </w:pPr>
            <w:r>
              <w:rPr>
                <w:noProof/>
              </w:rPr>
              <w:drawing>
                <wp:inline distT="0" distB="0" distL="0" distR="0">
                  <wp:extent cx="3225800" cy="199390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cstate="print"/>
                          <a:srcRect/>
                          <a:stretch>
                            <a:fillRect/>
                          </a:stretch>
                        </pic:blipFill>
                        <pic:spPr bwMode="auto">
                          <a:xfrm>
                            <a:off x="0" y="0"/>
                            <a:ext cx="3225800" cy="1993900"/>
                          </a:xfrm>
                          <a:prstGeom prst="rect">
                            <a:avLst/>
                          </a:prstGeom>
                          <a:noFill/>
                          <a:ln w="9525">
                            <a:noFill/>
                            <a:miter lim="800000"/>
                            <a:headEnd/>
                            <a:tailEnd/>
                          </a:ln>
                        </pic:spPr>
                      </pic:pic>
                    </a:graphicData>
                  </a:graphic>
                </wp:inline>
              </w:drawing>
            </w:r>
          </w:p>
        </w:tc>
      </w:tr>
      <w:tr w:rsidR="00862568" w:rsidTr="000F484A">
        <w:trPr>
          <w:jc w:val="center"/>
        </w:trPr>
        <w:tc>
          <w:tcPr>
            <w:tcW w:w="5654" w:type="dxa"/>
          </w:tcPr>
          <w:p w:rsidR="00862568" w:rsidRPr="00142EEE" w:rsidRDefault="00862568" w:rsidP="000F484A">
            <w:pPr>
              <w:jc w:val="center"/>
              <w:rPr>
                <w:sz w:val="20"/>
                <w:szCs w:val="20"/>
              </w:rPr>
            </w:pPr>
            <w:r w:rsidRPr="00142EEE">
              <w:rPr>
                <w:sz w:val="18"/>
                <w:szCs w:val="18"/>
              </w:rPr>
              <w:t>Données et estimations : HCP</w:t>
            </w:r>
          </w:p>
        </w:tc>
      </w:tr>
    </w:tbl>
    <w:p w:rsidR="00862568" w:rsidRDefault="00862568" w:rsidP="00862568">
      <w:pPr>
        <w:jc w:val="both"/>
      </w:pPr>
    </w:p>
    <w:p w:rsidR="00862568" w:rsidRDefault="00862568" w:rsidP="00862568">
      <w:pPr>
        <w:jc w:val="both"/>
      </w:pPr>
    </w:p>
    <w:p w:rsidR="000F484A" w:rsidRDefault="000F484A"/>
    <w:sectPr w:rsidR="000F484A" w:rsidSect="00E524C5">
      <w:headerReference w:type="first" r:id="rId10"/>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9A0" w:rsidRDefault="002B79A0" w:rsidP="00E524C5">
      <w:r>
        <w:separator/>
      </w:r>
    </w:p>
  </w:endnote>
  <w:endnote w:type="continuationSeparator" w:id="0">
    <w:p w:rsidR="002B79A0" w:rsidRDefault="002B79A0" w:rsidP="00E524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9A0" w:rsidRDefault="002B79A0" w:rsidP="00E524C5">
      <w:r>
        <w:separator/>
      </w:r>
    </w:p>
  </w:footnote>
  <w:footnote w:type="continuationSeparator" w:id="0">
    <w:p w:rsidR="002B79A0" w:rsidRDefault="002B79A0" w:rsidP="00E524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4C5" w:rsidRDefault="002D4524">
    <w:pPr>
      <w:pStyle w:val="En-tte"/>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savePreviewPicture/>
  <w:hdrShapeDefaults>
    <o:shapedefaults v:ext="edit" spidmax="3074"/>
  </w:hdrShapeDefaults>
  <w:footnotePr>
    <w:footnote w:id="-1"/>
    <w:footnote w:id="0"/>
  </w:footnotePr>
  <w:endnotePr>
    <w:endnote w:id="-1"/>
    <w:endnote w:id="0"/>
  </w:endnotePr>
  <w:compat/>
  <w:rsids>
    <w:rsidRoot w:val="00862568"/>
    <w:rsid w:val="00043860"/>
    <w:rsid w:val="00082E46"/>
    <w:rsid w:val="000A04CC"/>
    <w:rsid w:val="000F4071"/>
    <w:rsid w:val="000F484A"/>
    <w:rsid w:val="00246E1F"/>
    <w:rsid w:val="00287D84"/>
    <w:rsid w:val="002B79A0"/>
    <w:rsid w:val="002D4524"/>
    <w:rsid w:val="003E1F90"/>
    <w:rsid w:val="00592614"/>
    <w:rsid w:val="005F161C"/>
    <w:rsid w:val="00862568"/>
    <w:rsid w:val="00897EB1"/>
    <w:rsid w:val="00B21C77"/>
    <w:rsid w:val="00C34287"/>
    <w:rsid w:val="00C83D1E"/>
    <w:rsid w:val="00E524C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568"/>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62568"/>
    <w:rPr>
      <w:rFonts w:ascii="Tahoma" w:hAnsi="Tahoma" w:cs="Tahoma"/>
      <w:sz w:val="16"/>
      <w:szCs w:val="16"/>
    </w:rPr>
  </w:style>
  <w:style w:type="character" w:customStyle="1" w:styleId="TextedebullesCar">
    <w:name w:val="Texte de bulles Car"/>
    <w:basedOn w:val="Policepardfaut"/>
    <w:link w:val="Textedebulles"/>
    <w:uiPriority w:val="99"/>
    <w:semiHidden/>
    <w:rsid w:val="00862568"/>
    <w:rPr>
      <w:rFonts w:ascii="Tahoma" w:eastAsia="Times New Roman" w:hAnsi="Tahoma" w:cs="Tahoma"/>
      <w:sz w:val="16"/>
      <w:szCs w:val="16"/>
      <w:lang w:eastAsia="fr-FR"/>
    </w:rPr>
  </w:style>
  <w:style w:type="paragraph" w:styleId="En-tte">
    <w:name w:val="header"/>
    <w:basedOn w:val="Normal"/>
    <w:link w:val="En-tteCar"/>
    <w:uiPriority w:val="99"/>
    <w:semiHidden/>
    <w:unhideWhenUsed/>
    <w:rsid w:val="00E524C5"/>
    <w:pPr>
      <w:tabs>
        <w:tab w:val="center" w:pos="4536"/>
        <w:tab w:val="right" w:pos="9072"/>
      </w:tabs>
    </w:pPr>
  </w:style>
  <w:style w:type="character" w:customStyle="1" w:styleId="En-tteCar">
    <w:name w:val="En-tête Car"/>
    <w:basedOn w:val="Policepardfaut"/>
    <w:link w:val="En-tte"/>
    <w:uiPriority w:val="99"/>
    <w:semiHidden/>
    <w:rsid w:val="00E524C5"/>
    <w:rPr>
      <w:rFonts w:ascii="Times New Roman" w:eastAsia="Times New Roman" w:hAnsi="Times New Roman" w:cs="Times New Roman"/>
      <w:sz w:val="24"/>
      <w:szCs w:val="24"/>
    </w:rPr>
  </w:style>
  <w:style w:type="paragraph" w:styleId="Pieddepage">
    <w:name w:val="footer"/>
    <w:basedOn w:val="Normal"/>
    <w:link w:val="PieddepageCar"/>
    <w:uiPriority w:val="99"/>
    <w:semiHidden/>
    <w:unhideWhenUsed/>
    <w:rsid w:val="00E524C5"/>
    <w:pPr>
      <w:tabs>
        <w:tab w:val="center" w:pos="4536"/>
        <w:tab w:val="right" w:pos="9072"/>
      </w:tabs>
    </w:pPr>
  </w:style>
  <w:style w:type="character" w:customStyle="1" w:styleId="PieddepageCar">
    <w:name w:val="Pied de page Car"/>
    <w:basedOn w:val="Policepardfaut"/>
    <w:link w:val="Pieddepage"/>
    <w:uiPriority w:val="99"/>
    <w:semiHidden/>
    <w:rsid w:val="00E524C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553</Words>
  <Characters>3044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HCP-LAHBABI</dc:creator>
  <cp:lastModifiedBy>user</cp:lastModifiedBy>
  <cp:revision>2</cp:revision>
  <dcterms:created xsi:type="dcterms:W3CDTF">2016-06-12T01:11:00Z</dcterms:created>
  <dcterms:modified xsi:type="dcterms:W3CDTF">2016-06-12T01:11:00Z</dcterms:modified>
</cp:coreProperties>
</file>