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      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DA65F6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</w:t>
      </w:r>
      <w:r w:rsidR="005A0745"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0D4077" w:rsidRPr="00C706A5" w:rsidRDefault="008C2800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</w:t>
      </w:r>
      <w:r w:rsidR="006A15E9">
        <w:rPr>
          <w:rFonts w:ascii="Book Antiqua" w:hAnsi="Book Antiqua" w:cs="Times New Roman"/>
          <w:b/>
          <w:bCs/>
          <w:color w:val="000000" w:themeColor="text1"/>
        </w:rPr>
        <w:t xml:space="preserve">                   </w:t>
      </w:r>
      <w:r>
        <w:rPr>
          <w:rFonts w:ascii="Book Antiqua" w:hAnsi="Book Antiqua" w:cs="Times New Roman"/>
          <w:b/>
          <w:bCs/>
          <w:color w:val="000000" w:themeColor="text1"/>
        </w:rPr>
        <w:t xml:space="preserve"> </w:t>
      </w:r>
      <w:r w:rsidR="00A064CC"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3C1653" w:rsidP="003C1653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Premier trimestre 2016</w:t>
      </w:r>
    </w:p>
    <w:p w:rsidR="004105E0" w:rsidRPr="00C706A5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A45128" w:rsidRPr="00C706A5" w:rsidRDefault="005E2815" w:rsidP="00E555EA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 xml:space="preserve">montrent </w:t>
      </w:r>
      <w:r w:rsidR="003658EF" w:rsidRPr="00C706A5">
        <w:rPr>
          <w:rFonts w:ascii="Times New Roman" w:hAnsi="Times New Roman" w:cs="Times New Roman"/>
          <w:b/>
          <w:color w:val="000000" w:themeColor="text1"/>
        </w:rPr>
        <w:t>qu</w:t>
      </w:r>
      <w:r w:rsidR="003658EF">
        <w:rPr>
          <w:rFonts w:ascii="Times New Roman" w:hAnsi="Times New Roman" w:cs="Times New Roman"/>
          <w:b/>
          <w:color w:val="000000" w:themeColor="text1"/>
        </w:rPr>
        <w:t>’au</w:t>
      </w:r>
      <w:r w:rsidR="001424D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3C1653">
        <w:rPr>
          <w:rFonts w:ascii="Times New Roman" w:hAnsi="Times New Roman" w:cs="Times New Roman"/>
          <w:b/>
          <w:color w:val="000000" w:themeColor="text1"/>
        </w:rPr>
        <w:t>premier</w:t>
      </w:r>
      <w:r w:rsidR="001424D2">
        <w:rPr>
          <w:rFonts w:ascii="Times New Roman" w:hAnsi="Times New Roman" w:cs="Times New Roman"/>
          <w:b/>
          <w:color w:val="000000" w:themeColor="text1"/>
        </w:rPr>
        <w:t xml:space="preserve"> trimestre de 201</w:t>
      </w:r>
      <w:r w:rsidR="003C1653">
        <w:rPr>
          <w:rFonts w:ascii="Times New Roman" w:hAnsi="Times New Roman" w:cs="Times New Roman"/>
          <w:b/>
          <w:color w:val="000000" w:themeColor="text1"/>
        </w:rPr>
        <w:t>6</w:t>
      </w:r>
      <w:r w:rsidR="001424D2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Pr="00C706A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l’Indice de </w:t>
      </w:r>
      <w:r w:rsidR="00A45128" w:rsidRPr="00BD713D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Confiance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 des Ménages (ICM</w:t>
      </w:r>
      <w:r w:rsidR="003C1653">
        <w:rPr>
          <w:rFonts w:ascii="Times New Roman" w:hAnsi="Times New Roman" w:cs="Times New Roman"/>
          <w:b/>
          <w:color w:val="000000" w:themeColor="text1"/>
        </w:rPr>
        <w:t>)</w:t>
      </w:r>
      <w:r w:rsidR="005B4CDD">
        <w:rPr>
          <w:rFonts w:ascii="Times New Roman" w:hAnsi="Times New Roman" w:cs="Times New Roman"/>
          <w:b/>
          <w:color w:val="000000" w:themeColor="text1"/>
        </w:rPr>
        <w:t>,</w:t>
      </w:r>
      <w:r w:rsidR="003C165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3658EF">
        <w:rPr>
          <w:rFonts w:ascii="Times New Roman" w:hAnsi="Times New Roman" w:cs="Times New Roman"/>
          <w:b/>
          <w:bCs/>
          <w:color w:val="000000" w:themeColor="text1"/>
        </w:rPr>
        <w:t>enregistr</w:t>
      </w:r>
      <w:r w:rsidR="005B4CDD">
        <w:rPr>
          <w:rFonts w:ascii="Times New Roman" w:hAnsi="Times New Roman" w:cs="Times New Roman"/>
          <w:b/>
          <w:bCs/>
          <w:color w:val="000000" w:themeColor="text1"/>
        </w:rPr>
        <w:t>ant</w:t>
      </w:r>
      <w:r w:rsidR="003658EF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B4CDD">
        <w:rPr>
          <w:rFonts w:ascii="Times New Roman" w:hAnsi="Times New Roman" w:cs="Times New Roman"/>
          <w:b/>
          <w:bCs/>
          <w:color w:val="000000" w:themeColor="text1"/>
        </w:rPr>
        <w:t xml:space="preserve">son niveau le plus bas depuis le début de l’enquête en 2008, </w:t>
      </w:r>
      <w:r w:rsidR="003C1653">
        <w:rPr>
          <w:rFonts w:ascii="Times New Roman" w:hAnsi="Times New Roman" w:cs="Times New Roman"/>
          <w:b/>
          <w:bCs/>
          <w:color w:val="000000" w:themeColor="text1"/>
        </w:rPr>
        <w:t>baisse</w:t>
      </w:r>
      <w:r w:rsidR="00825C9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25C9C" w:rsidRPr="008E7F17">
        <w:rPr>
          <w:rFonts w:ascii="Times New Roman" w:hAnsi="Times New Roman" w:cs="Times New Roman"/>
          <w:b/>
          <w:bCs/>
          <w:color w:val="000000" w:themeColor="text1"/>
        </w:rPr>
        <w:t xml:space="preserve">de </w:t>
      </w:r>
      <w:r w:rsidR="003C1653">
        <w:rPr>
          <w:rFonts w:ascii="Times New Roman" w:hAnsi="Times New Roman" w:cs="Times New Roman"/>
          <w:b/>
          <w:bCs/>
          <w:color w:val="000000" w:themeColor="text1"/>
        </w:rPr>
        <w:t>5,5</w:t>
      </w:r>
      <w:r w:rsidR="00B33DD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25C9C" w:rsidRPr="008E7F17">
        <w:rPr>
          <w:rFonts w:ascii="Times New Roman" w:hAnsi="Times New Roman" w:cs="Times New Roman"/>
          <w:b/>
          <w:bCs/>
          <w:color w:val="000000" w:themeColor="text1"/>
        </w:rPr>
        <w:t>point</w:t>
      </w:r>
      <w:r w:rsidR="003C1653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825C9C" w:rsidRPr="008E7F1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41BD7">
        <w:rPr>
          <w:rFonts w:ascii="Times New Roman" w:hAnsi="Times New Roman" w:cs="Times New Roman"/>
          <w:b/>
          <w:bCs/>
          <w:color w:val="000000" w:themeColor="text1"/>
        </w:rPr>
        <w:t xml:space="preserve">par rapport au </w:t>
      </w:r>
      <w:r w:rsidR="003C1653">
        <w:rPr>
          <w:rFonts w:ascii="Times New Roman" w:hAnsi="Times New Roman" w:cs="Times New Roman"/>
          <w:b/>
          <w:bCs/>
          <w:color w:val="000000" w:themeColor="text1"/>
        </w:rPr>
        <w:t>quatr</w:t>
      </w:r>
      <w:r w:rsidR="00462AA7">
        <w:rPr>
          <w:rFonts w:ascii="Times New Roman" w:hAnsi="Times New Roman" w:cs="Times New Roman"/>
          <w:b/>
          <w:bCs/>
          <w:color w:val="000000" w:themeColor="text1"/>
        </w:rPr>
        <w:t>i</w:t>
      </w:r>
      <w:r w:rsidR="00B33DDD">
        <w:rPr>
          <w:rFonts w:ascii="Times New Roman" w:hAnsi="Times New Roman" w:cs="Times New Roman"/>
          <w:b/>
          <w:bCs/>
          <w:color w:val="000000" w:themeColor="text1"/>
        </w:rPr>
        <w:t>ème</w:t>
      </w:r>
      <w:r w:rsidR="00F430E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430E6" w:rsidRPr="00E56675">
        <w:rPr>
          <w:rFonts w:ascii="Times New Roman" w:hAnsi="Times New Roman" w:cs="Times New Roman"/>
          <w:b/>
          <w:bCs/>
          <w:color w:val="000000" w:themeColor="text1"/>
        </w:rPr>
        <w:t>trimestre</w:t>
      </w:r>
      <w:r w:rsidR="00741BD7" w:rsidRPr="00E56675">
        <w:rPr>
          <w:rFonts w:ascii="Times New Roman" w:hAnsi="Times New Roman" w:cs="Times New Roman"/>
          <w:b/>
          <w:bCs/>
          <w:color w:val="000000" w:themeColor="text1"/>
        </w:rPr>
        <w:t xml:space="preserve"> de </w:t>
      </w:r>
      <w:r w:rsidR="006031AF" w:rsidRPr="00E56675">
        <w:rPr>
          <w:rFonts w:ascii="Times New Roman" w:hAnsi="Times New Roman" w:cs="Times New Roman" w:hint="cs"/>
          <w:b/>
          <w:bCs/>
          <w:color w:val="000000" w:themeColor="text1"/>
          <w:rtl/>
        </w:rPr>
        <w:t>2015</w:t>
      </w:r>
      <w:r w:rsidR="00741BD7" w:rsidRPr="00E5667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BE5779" w:rsidRPr="00E56675">
        <w:rPr>
          <w:rFonts w:ascii="Times New Roman" w:hAnsi="Times New Roman" w:cs="Times New Roman"/>
          <w:b/>
          <w:color w:val="000000" w:themeColor="text1"/>
        </w:rPr>
        <w:t>et</w:t>
      </w:r>
      <w:r w:rsidR="00BE577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53EB0">
        <w:rPr>
          <w:rFonts w:ascii="Times New Roman" w:hAnsi="Times New Roman" w:cs="Times New Roman"/>
          <w:b/>
          <w:bCs/>
          <w:color w:val="000000" w:themeColor="text1"/>
        </w:rPr>
        <w:t>de</w:t>
      </w:r>
      <w:r w:rsidR="00741BD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D40C4">
        <w:rPr>
          <w:rFonts w:ascii="Times New Roman" w:hAnsi="Times New Roman" w:cs="Times New Roman"/>
          <w:b/>
          <w:bCs/>
          <w:color w:val="000000" w:themeColor="text1"/>
        </w:rPr>
        <w:t>2,1 points</w:t>
      </w:r>
      <w:r w:rsidR="00825C9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25C9C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par rapport au </w:t>
      </w:r>
      <w:r w:rsidR="00741BD7">
        <w:rPr>
          <w:rFonts w:ascii="Times New Roman" w:hAnsi="Times New Roman" w:cs="Times New Roman"/>
          <w:b/>
          <w:bCs/>
          <w:color w:val="000000" w:themeColor="text1"/>
        </w:rPr>
        <w:t>même trimestre de l’année 201</w:t>
      </w:r>
      <w:r w:rsidR="003C1653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741BD7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</w:p>
    <w:p w:rsidR="00F80F35" w:rsidRPr="00C706A5" w:rsidRDefault="00A45128" w:rsidP="001968E2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A45128" w:rsidRPr="00C706A5" w:rsidRDefault="00CF09A5" w:rsidP="003C1653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C’est ainsi qu’a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u </w:t>
      </w:r>
      <w:r w:rsidR="003C1653">
        <w:rPr>
          <w:rFonts w:ascii="Times New Roman" w:hAnsi="Times New Roman" w:cs="Times New Roman"/>
          <w:color w:val="000000" w:themeColor="text1"/>
        </w:rPr>
        <w:t xml:space="preserve">premier </w:t>
      </w:r>
      <w:r w:rsidR="00F430E6">
        <w:rPr>
          <w:rFonts w:ascii="Times New Roman" w:hAnsi="Times New Roman" w:cs="Times New Roman"/>
          <w:color w:val="000000" w:themeColor="text1"/>
        </w:rPr>
        <w:t>trimestre</w:t>
      </w:r>
      <w:r w:rsidR="00CB09C6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3C1653">
        <w:rPr>
          <w:rFonts w:ascii="Times New Roman" w:hAnsi="Times New Roman" w:cs="Times New Roman"/>
          <w:color w:val="000000" w:themeColor="text1"/>
        </w:rPr>
        <w:t>6</w:t>
      </w:r>
      <w:r w:rsidR="001347D2">
        <w:rPr>
          <w:rFonts w:ascii="Times New Roman" w:hAnsi="Times New Roman" w:cs="Times New Roman"/>
          <w:color w:val="000000" w:themeColor="text1"/>
        </w:rPr>
        <w:t xml:space="preserve">, l'ICM s’établit à </w:t>
      </w:r>
      <w:r w:rsidR="003C1653">
        <w:rPr>
          <w:rFonts w:ascii="Times New Roman" w:hAnsi="Times New Roman" w:cs="Times New Roman"/>
          <w:color w:val="000000" w:themeColor="text1"/>
        </w:rPr>
        <w:t>71,6</w:t>
      </w:r>
      <w:r w:rsidR="009C76E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>points</w:t>
      </w:r>
      <w:r w:rsidR="007C4CD5"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contre </w:t>
      </w:r>
      <w:r w:rsidR="003C1653">
        <w:rPr>
          <w:rFonts w:ascii="Times New Roman" w:hAnsi="Times New Roman" w:cs="Times New Roman"/>
          <w:color w:val="000000" w:themeColor="text1"/>
        </w:rPr>
        <w:t>77,1</w:t>
      </w:r>
      <w:r w:rsidR="009C76E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>points un trimestre auparavant</w:t>
      </w:r>
      <w:r w:rsidR="005A7C0B" w:rsidRPr="00C706A5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5A7C0B" w:rsidRPr="00C706A5">
        <w:rPr>
          <w:rFonts w:ascii="Times New Roman" w:hAnsi="Times New Roman" w:cs="Times New Roman"/>
          <w:color w:val="000000" w:themeColor="text1"/>
        </w:rPr>
        <w:t xml:space="preserve"> et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3C1653">
        <w:rPr>
          <w:rFonts w:ascii="Times New Roman" w:hAnsi="Times New Roman" w:cs="Times New Roman"/>
          <w:color w:val="000000" w:themeColor="text1"/>
        </w:rPr>
        <w:t>73,7</w:t>
      </w:r>
      <w:r w:rsidR="004F4A05">
        <w:rPr>
          <w:rFonts w:ascii="Times New Roman" w:hAnsi="Times New Roman" w:cs="Times New Roman"/>
          <w:color w:val="000000" w:themeColor="text1"/>
        </w:rPr>
        <w:t xml:space="preserve"> </w:t>
      </w:r>
      <w:r w:rsidR="00BE269D" w:rsidRPr="00C706A5">
        <w:rPr>
          <w:rFonts w:ascii="Times New Roman" w:hAnsi="Times New Roman" w:cs="Times New Roman"/>
          <w:color w:val="000000" w:themeColor="text1"/>
        </w:rPr>
        <w:t xml:space="preserve"> points le m</w:t>
      </w:r>
      <w:r w:rsidR="004834BC">
        <w:rPr>
          <w:rFonts w:ascii="Times New Roman" w:hAnsi="Times New Roman" w:cs="Times New Roman"/>
          <w:color w:val="000000" w:themeColor="text1"/>
        </w:rPr>
        <w:t xml:space="preserve">ême trimestre de l’année </w:t>
      </w:r>
      <w:r w:rsidR="004834BC" w:rsidRPr="004834BC">
        <w:rPr>
          <w:rFonts w:ascii="Times New Roman" w:hAnsi="Times New Roman" w:cs="Times New Roman"/>
          <w:color w:val="000000" w:themeColor="text1"/>
        </w:rPr>
        <w:t>passée</w:t>
      </w:r>
      <w:r w:rsidR="00CB09C6">
        <w:rPr>
          <w:rFonts w:ascii="Times New Roman" w:hAnsi="Times New Roman" w:cs="Times New Roman"/>
          <w:color w:val="000000" w:themeColor="text1"/>
        </w:rPr>
        <w:t>.</w:t>
      </w:r>
      <w:r w:rsidR="00BE269D"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430234" w:rsidRDefault="00430234" w:rsidP="001968E2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5224B" w:rsidRPr="00C706A5" w:rsidRDefault="005D3CAB" w:rsidP="001347D2">
      <w:pPr>
        <w:widowControl/>
        <w:tabs>
          <w:tab w:val="left" w:pos="567"/>
          <w:tab w:val="left" w:pos="709"/>
        </w:tabs>
        <w:spacing w:line="276" w:lineRule="auto"/>
        <w:jc w:val="center"/>
        <w:rPr>
          <w:rFonts w:ascii="Book Antiqua" w:hAnsi="Book Antiqua" w:cs="Times New Roman"/>
          <w:color w:val="000000" w:themeColor="text1"/>
        </w:rPr>
      </w:pPr>
      <w:r w:rsidRPr="005D3CAB">
        <w:rPr>
          <w:rFonts w:ascii="Book Antiqua" w:hAnsi="Book Antiqua" w:cs="Times New Roman"/>
          <w:noProof/>
          <w:color w:val="000000" w:themeColor="text1"/>
        </w:rPr>
        <w:drawing>
          <wp:inline distT="0" distB="0" distL="0" distR="0">
            <wp:extent cx="5972810" cy="2926080"/>
            <wp:effectExtent l="19050" t="0" r="27940" b="762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F5E6A" w:rsidRPr="00C706A5" w:rsidRDefault="00D26D39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13767" w:rsidRPr="00C706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8D3806" w:rsidRDefault="006F1D72" w:rsidP="002A18ED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636540" w:rsidRPr="003A3FCF" w:rsidRDefault="00636540" w:rsidP="00636540">
      <w:pPr>
        <w:pStyle w:val="Paragraphedeliste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D40C4" w:rsidRPr="007D40C4" w:rsidRDefault="007D40C4" w:rsidP="003C1653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40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Niveau de vie : </w:t>
      </w:r>
      <w:r w:rsidR="005E5EBF" w:rsidRPr="007D40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Ressenti d’une</w:t>
      </w:r>
      <w:r w:rsidR="00126B26" w:rsidRPr="007D40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forte </w:t>
      </w:r>
      <w:r w:rsidR="00F960F0" w:rsidRPr="007D40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détérioration</w:t>
      </w:r>
      <w:r w:rsidR="00133687" w:rsidRPr="007D40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7D40C4" w:rsidRDefault="007D40C4" w:rsidP="007D40C4">
      <w:pPr>
        <w:pStyle w:val="Paragraphedeliste"/>
        <w:spacing w:before="240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11470" w:rsidRPr="00417308" w:rsidRDefault="002C2BED" w:rsidP="007D40C4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3C1653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premier</w:t>
      </w:r>
      <w:r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trimestre de 201</w:t>
      </w:r>
      <w:r w:rsidR="003C1653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</w:t>
      </w:r>
      <w:r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 w:rsidR="00FD7C67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les perceptions par les ménages de </w:t>
      </w:r>
      <w:r w:rsidR="00BA05AF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l’évolution passée du niveau de vie </w:t>
      </w:r>
      <w:r w:rsidR="00FD7C67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se sont</w:t>
      </w:r>
      <w:r w:rsidR="00BA05AF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3C1653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détériorées</w:t>
      </w:r>
      <w:r w:rsidR="004A126D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de </w:t>
      </w:r>
      <w:r w:rsidR="007D40C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9,1</w:t>
      </w:r>
      <w:r w:rsidR="007B4AFC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3C1653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points</w:t>
      </w:r>
      <w:r w:rsidR="00A627E3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7A0E66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par rapport au trimestre précédent et </w:t>
      </w:r>
      <w:r w:rsidR="007B4AFC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de</w:t>
      </w:r>
      <w:r w:rsidR="00727A17" w:rsidRPr="00417308">
        <w:rPr>
          <w:rFonts w:ascii="Times New Roman" w:eastAsia="Times New Roman" w:hAnsi="Times New Roman" w:cs="Times New Roman" w:hint="cs"/>
          <w:color w:val="000000" w:themeColor="text1"/>
          <w:sz w:val="24"/>
          <w:szCs w:val="24"/>
          <w:rtl/>
          <w:lang w:eastAsia="fr-FR"/>
        </w:rPr>
        <w:t xml:space="preserve"> </w:t>
      </w:r>
      <w:r w:rsidR="003C1653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8,8</w:t>
      </w:r>
      <w:r w:rsidR="000656CB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7B4AFC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points par rapport au même trimestre de l’année passée</w:t>
      </w:r>
      <w:r w:rsidR="0011147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.</w:t>
      </w:r>
    </w:p>
    <w:p w:rsidR="00111470" w:rsidRDefault="007D40C4" w:rsidP="007D40C4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La même tendance a été enregistrée pour les </w:t>
      </w:r>
      <w:r w:rsidR="00FD7C67">
        <w:rPr>
          <w:rFonts w:ascii="Times New Roman" w:hAnsi="Times New Roman" w:cs="Times New Roman"/>
          <w:color w:val="000000" w:themeColor="text1"/>
        </w:rPr>
        <w:t xml:space="preserve">perspectives d’évolution </w:t>
      </w:r>
      <w:r w:rsidR="00111470" w:rsidRPr="00C706A5">
        <w:rPr>
          <w:rFonts w:ascii="Times New Roman" w:hAnsi="Times New Roman" w:cs="Times New Roman"/>
          <w:color w:val="000000" w:themeColor="text1"/>
        </w:rPr>
        <w:t>d</w:t>
      </w:r>
      <w:r w:rsidR="00265566">
        <w:rPr>
          <w:rFonts w:ascii="Times New Roman" w:hAnsi="Times New Roman" w:cs="Times New Roman"/>
          <w:color w:val="000000" w:themeColor="text1"/>
        </w:rPr>
        <w:t>u</w:t>
      </w:r>
      <w:r w:rsidR="00111470" w:rsidRPr="00C706A5">
        <w:rPr>
          <w:rFonts w:ascii="Times New Roman" w:hAnsi="Times New Roman" w:cs="Times New Roman"/>
          <w:color w:val="000000" w:themeColor="text1"/>
        </w:rPr>
        <w:t xml:space="preserve"> niveau de vie</w:t>
      </w:r>
      <w:r w:rsidR="00111470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qui</w:t>
      </w:r>
      <w:r w:rsidR="00390C2D">
        <w:rPr>
          <w:rFonts w:ascii="Times New Roman" w:hAnsi="Times New Roman" w:cs="Times New Roman"/>
          <w:color w:val="000000" w:themeColor="text1"/>
        </w:rPr>
        <w:t>, atteignant leurs niveau</w:t>
      </w:r>
      <w:r w:rsidR="000A1A01">
        <w:rPr>
          <w:rFonts w:ascii="Times New Roman" w:hAnsi="Times New Roman" w:cs="Times New Roman"/>
          <w:color w:val="000000" w:themeColor="text1"/>
        </w:rPr>
        <w:t>x le</w:t>
      </w:r>
      <w:r w:rsidR="00AA3CFD">
        <w:rPr>
          <w:rFonts w:ascii="Times New Roman" w:hAnsi="Times New Roman" w:cs="Times New Roman"/>
          <w:color w:val="000000" w:themeColor="text1"/>
        </w:rPr>
        <w:t>s</w:t>
      </w:r>
      <w:r w:rsidR="000A1A01">
        <w:rPr>
          <w:rFonts w:ascii="Times New Roman" w:hAnsi="Times New Roman" w:cs="Times New Roman"/>
          <w:color w:val="000000" w:themeColor="text1"/>
        </w:rPr>
        <w:t xml:space="preserve"> plus pessimistes depuis 2008,</w:t>
      </w:r>
      <w:r w:rsidR="007B4AFC">
        <w:rPr>
          <w:rFonts w:ascii="Times New Roman" w:hAnsi="Times New Roman" w:cs="Times New Roman"/>
          <w:color w:val="000000" w:themeColor="text1"/>
        </w:rPr>
        <w:t xml:space="preserve"> </w:t>
      </w:r>
      <w:r w:rsidR="00A95E94">
        <w:rPr>
          <w:rFonts w:ascii="Times New Roman" w:hAnsi="Times New Roman" w:cs="Times New Roman"/>
          <w:color w:val="000000" w:themeColor="text1"/>
        </w:rPr>
        <w:t>ont</w:t>
      </w:r>
      <w:r w:rsidR="00FD7C67">
        <w:rPr>
          <w:rFonts w:ascii="Times New Roman" w:hAnsi="Times New Roman" w:cs="Times New Roman"/>
          <w:color w:val="000000" w:themeColor="text1"/>
        </w:rPr>
        <w:t xml:space="preserve"> connu </w:t>
      </w:r>
      <w:r w:rsidR="00A627E3">
        <w:rPr>
          <w:rFonts w:ascii="Times New Roman" w:hAnsi="Times New Roman" w:cs="Times New Roman"/>
          <w:color w:val="000000" w:themeColor="text1"/>
        </w:rPr>
        <w:t>une détérioration</w:t>
      </w:r>
      <w:r w:rsidR="00111470">
        <w:rPr>
          <w:rFonts w:ascii="Times New Roman" w:hAnsi="Times New Roman" w:cs="Times New Roman"/>
          <w:color w:val="000000" w:themeColor="text1"/>
        </w:rPr>
        <w:t xml:space="preserve"> de </w:t>
      </w:r>
      <w:r w:rsidR="00F960F0">
        <w:rPr>
          <w:rFonts w:ascii="Times New Roman" w:hAnsi="Times New Roman" w:cs="Times New Roman"/>
          <w:color w:val="000000" w:themeColor="text1"/>
        </w:rPr>
        <w:t>6,1</w:t>
      </w:r>
      <w:r w:rsidR="00111470">
        <w:rPr>
          <w:rFonts w:ascii="Times New Roman" w:hAnsi="Times New Roman" w:cs="Times New Roman"/>
          <w:color w:val="000000" w:themeColor="text1"/>
        </w:rPr>
        <w:t xml:space="preserve"> point</w:t>
      </w:r>
      <w:r w:rsidR="00F960F0">
        <w:rPr>
          <w:rFonts w:ascii="Times New Roman" w:hAnsi="Times New Roman" w:cs="Times New Roman"/>
          <w:color w:val="000000" w:themeColor="text1"/>
        </w:rPr>
        <w:t>s</w:t>
      </w:r>
      <w:r w:rsidR="00111470">
        <w:rPr>
          <w:rFonts w:ascii="Times New Roman" w:hAnsi="Times New Roman" w:cs="Times New Roman"/>
          <w:color w:val="000000" w:themeColor="text1"/>
        </w:rPr>
        <w:t xml:space="preserve"> par rapport au trimestre précédent </w:t>
      </w:r>
      <w:r w:rsidR="00A160AD">
        <w:rPr>
          <w:rFonts w:ascii="Times New Roman" w:hAnsi="Times New Roman" w:cs="Times New Roman"/>
          <w:color w:val="000000" w:themeColor="text1"/>
        </w:rPr>
        <w:t xml:space="preserve">et </w:t>
      </w:r>
      <w:r w:rsidR="00A627E3">
        <w:rPr>
          <w:rFonts w:ascii="Times New Roman" w:hAnsi="Times New Roman" w:cs="Times New Roman"/>
          <w:color w:val="000000" w:themeColor="text1"/>
        </w:rPr>
        <w:t>de</w:t>
      </w:r>
      <w:r w:rsidR="00111470">
        <w:rPr>
          <w:rFonts w:ascii="Times New Roman" w:hAnsi="Times New Roman" w:cs="Times New Roman"/>
          <w:color w:val="000000" w:themeColor="text1"/>
        </w:rPr>
        <w:t xml:space="preserve"> </w:t>
      </w:r>
      <w:r w:rsidR="00F960F0">
        <w:rPr>
          <w:rFonts w:ascii="Times New Roman" w:hAnsi="Times New Roman" w:cs="Times New Roman"/>
          <w:color w:val="000000" w:themeColor="text1"/>
        </w:rPr>
        <w:t>5,4</w:t>
      </w:r>
      <w:r w:rsidR="00A627E3">
        <w:rPr>
          <w:rFonts w:ascii="Times New Roman" w:hAnsi="Times New Roman" w:cs="Times New Roman"/>
          <w:color w:val="000000" w:themeColor="text1"/>
        </w:rPr>
        <w:t xml:space="preserve"> </w:t>
      </w:r>
      <w:r w:rsidR="00111470">
        <w:rPr>
          <w:rFonts w:ascii="Times New Roman" w:hAnsi="Times New Roman" w:cs="Times New Roman"/>
          <w:color w:val="000000" w:themeColor="text1"/>
        </w:rPr>
        <w:t>points par rapport au même trimestre de l’année précédente.</w:t>
      </w:r>
    </w:p>
    <w:p w:rsidR="0092695A" w:rsidRDefault="0092695A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</w:rPr>
      </w:pPr>
    </w:p>
    <w:p w:rsidR="00B06E0C" w:rsidRDefault="00A72CD4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</w:rPr>
      </w:pPr>
      <w:r w:rsidRPr="00A72CD4">
        <w:rPr>
          <w:rFonts w:ascii="Book Antiqua" w:hAnsi="Book Antiqua" w:cs="Times New Roman"/>
          <w:noProof/>
          <w:color w:val="000000" w:themeColor="text1"/>
        </w:rPr>
        <w:drawing>
          <wp:inline distT="0" distB="0" distL="0" distR="0">
            <wp:extent cx="6334125" cy="3457575"/>
            <wp:effectExtent l="19050" t="0" r="9525" b="0"/>
            <wp:docPr id="6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6E0C" w:rsidRPr="00C706A5" w:rsidRDefault="00B06E0C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rtl/>
        </w:rPr>
      </w:pPr>
    </w:p>
    <w:p w:rsidR="000656CB" w:rsidRPr="00417308" w:rsidRDefault="00727A17" w:rsidP="00417308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du chômage : </w:t>
      </w:r>
      <w:r w:rsidR="007D40C4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attentes plus pessimistes</w:t>
      </w:r>
      <w:r w:rsidR="000656CB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9E0162" w:rsidRPr="00C706A5" w:rsidRDefault="009E0162" w:rsidP="00F556FF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D8421B" w:rsidRDefault="00C553B5" w:rsidP="007D40C4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Au</w:t>
      </w:r>
      <w:r w:rsidR="003C2D1C">
        <w:rPr>
          <w:rFonts w:ascii="Times New Roman" w:hAnsi="Times New Roman" w:cs="Times New Roman"/>
          <w:color w:val="000000" w:themeColor="text1"/>
        </w:rPr>
        <w:t xml:space="preserve"> </w:t>
      </w:r>
      <w:r w:rsidR="00F960F0">
        <w:rPr>
          <w:rFonts w:ascii="Times New Roman" w:hAnsi="Times New Roman" w:cs="Times New Roman"/>
          <w:color w:val="000000" w:themeColor="text1"/>
        </w:rPr>
        <w:t>premier</w:t>
      </w:r>
      <w:r w:rsidR="003C2D1C">
        <w:rPr>
          <w:rFonts w:ascii="Times New Roman" w:hAnsi="Times New Roman" w:cs="Times New Roman"/>
          <w:color w:val="000000" w:themeColor="text1"/>
        </w:rPr>
        <w:t xml:space="preserve"> </w:t>
      </w:r>
      <w:r w:rsidR="00F430E6">
        <w:rPr>
          <w:rFonts w:ascii="Times New Roman" w:hAnsi="Times New Roman" w:cs="Times New Roman"/>
          <w:color w:val="000000" w:themeColor="text1"/>
        </w:rPr>
        <w:t>trimestre</w:t>
      </w:r>
      <w:r w:rsidR="0055426F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F960F0">
        <w:rPr>
          <w:rFonts w:ascii="Times New Roman" w:hAnsi="Times New Roman" w:cs="Times New Roman"/>
          <w:color w:val="000000" w:themeColor="text1"/>
        </w:rPr>
        <w:t>6</w:t>
      </w:r>
      <w:r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F960F0">
        <w:rPr>
          <w:rFonts w:ascii="Times New Roman" w:hAnsi="Times New Roman" w:cs="Times New Roman"/>
          <w:color w:val="000000" w:themeColor="text1"/>
        </w:rPr>
        <w:t>75,2</w:t>
      </w:r>
      <w:r w:rsidR="00A3172A" w:rsidRPr="00C706A5">
        <w:rPr>
          <w:rFonts w:ascii="Times New Roman" w:hAnsi="Times New Roman" w:cs="Times New Roman"/>
          <w:color w:val="000000" w:themeColor="text1"/>
        </w:rPr>
        <w:t xml:space="preserve">% des ménages </w:t>
      </w:r>
      <w:r w:rsidR="00A3172A">
        <w:rPr>
          <w:rFonts w:ascii="Times New Roman" w:hAnsi="Times New Roman" w:cs="Times New Roman"/>
          <w:color w:val="000000" w:themeColor="text1"/>
        </w:rPr>
        <w:t>s’attendent à</w:t>
      </w:r>
      <w:r w:rsidR="00A3172A" w:rsidRPr="00C706A5">
        <w:rPr>
          <w:rFonts w:ascii="Times New Roman" w:hAnsi="Times New Roman" w:cs="Times New Roman"/>
          <w:color w:val="000000" w:themeColor="text1"/>
        </w:rPr>
        <w:t xml:space="preserve"> une hausse du nombre de chômeurs pour les 12 mois à venir contre </w:t>
      </w:r>
      <w:r w:rsidR="00F960F0">
        <w:rPr>
          <w:rFonts w:ascii="Times New Roman" w:hAnsi="Times New Roman" w:cs="Times New Roman"/>
          <w:color w:val="000000" w:themeColor="text1"/>
        </w:rPr>
        <w:t>7,5</w:t>
      </w:r>
      <w:r w:rsidR="00A3172A" w:rsidRPr="00C706A5">
        <w:rPr>
          <w:rFonts w:ascii="Times New Roman" w:hAnsi="Times New Roman" w:cs="Times New Roman"/>
          <w:color w:val="000000" w:themeColor="text1"/>
        </w:rPr>
        <w:t>%</w:t>
      </w:r>
      <w:r w:rsidR="00A3172A">
        <w:rPr>
          <w:rFonts w:ascii="Times New Roman" w:hAnsi="Times New Roman" w:cs="Times New Roman"/>
          <w:color w:val="000000" w:themeColor="text1"/>
        </w:rPr>
        <w:t xml:space="preserve"> qui pensent le contraire. </w:t>
      </w:r>
      <w:r w:rsidR="00A3172A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3172A">
        <w:rPr>
          <w:rFonts w:ascii="Times New Roman" w:hAnsi="Times New Roman" w:cs="Times New Roman"/>
          <w:color w:val="000000" w:themeColor="text1"/>
        </w:rPr>
        <w:t>Avec un niveau négatif de -</w:t>
      </w:r>
      <w:r w:rsidR="00B2066F">
        <w:rPr>
          <w:rFonts w:ascii="Times New Roman" w:hAnsi="Times New Roman" w:cs="Times New Roman"/>
          <w:color w:val="000000" w:themeColor="text1"/>
        </w:rPr>
        <w:t>6</w:t>
      </w:r>
      <w:r w:rsidR="00F960F0">
        <w:rPr>
          <w:rFonts w:ascii="Times New Roman" w:hAnsi="Times New Roman" w:cs="Times New Roman"/>
          <w:color w:val="000000" w:themeColor="text1"/>
        </w:rPr>
        <w:t>7,7</w:t>
      </w:r>
      <w:r w:rsidR="00A3172A" w:rsidRPr="00C706A5">
        <w:rPr>
          <w:rFonts w:ascii="Times New Roman" w:hAnsi="Times New Roman" w:cs="Times New Roman"/>
          <w:color w:val="000000" w:themeColor="text1"/>
        </w:rPr>
        <w:t xml:space="preserve"> points</w:t>
      </w:r>
      <w:r w:rsidR="00A3172A">
        <w:rPr>
          <w:rFonts w:ascii="Times New Roman" w:hAnsi="Times New Roman" w:cs="Times New Roman"/>
          <w:color w:val="000000" w:themeColor="text1"/>
        </w:rPr>
        <w:t>, l</w:t>
      </w:r>
      <w:r w:rsidR="00A3172A" w:rsidRPr="00C706A5">
        <w:rPr>
          <w:rFonts w:ascii="Times New Roman" w:hAnsi="Times New Roman" w:cs="Times New Roman"/>
          <w:color w:val="000000" w:themeColor="text1"/>
        </w:rPr>
        <w:t>e solde de cet indicateur</w:t>
      </w:r>
      <w:r w:rsidR="00534965">
        <w:rPr>
          <w:rFonts w:ascii="Times New Roman" w:hAnsi="Times New Roman" w:cs="Times New Roman"/>
          <w:color w:val="000000" w:themeColor="text1"/>
        </w:rPr>
        <w:t>,</w:t>
      </w:r>
      <w:r w:rsidR="00A160AD">
        <w:rPr>
          <w:rFonts w:ascii="Times New Roman" w:hAnsi="Times New Roman" w:cs="Times New Roman"/>
          <w:color w:val="000000" w:themeColor="text1"/>
        </w:rPr>
        <w:t xml:space="preserve"> </w:t>
      </w:r>
      <w:r w:rsidR="00F960F0">
        <w:rPr>
          <w:rFonts w:ascii="Times New Roman" w:hAnsi="Times New Roman" w:cs="Times New Roman"/>
          <w:color w:val="000000" w:themeColor="text1"/>
        </w:rPr>
        <w:t>s’est détérioré</w:t>
      </w:r>
      <w:r w:rsidR="007D40C4">
        <w:rPr>
          <w:rFonts w:ascii="Times New Roman" w:hAnsi="Times New Roman" w:cs="Times New Roman"/>
          <w:color w:val="000000" w:themeColor="text1"/>
        </w:rPr>
        <w:t xml:space="preserve"> de</w:t>
      </w:r>
      <w:r w:rsidR="00954471">
        <w:rPr>
          <w:rFonts w:ascii="Times New Roman" w:hAnsi="Times New Roman" w:cs="Times New Roman"/>
          <w:color w:val="000000" w:themeColor="text1"/>
        </w:rPr>
        <w:t xml:space="preserve"> </w:t>
      </w:r>
      <w:r w:rsidR="00F960F0">
        <w:rPr>
          <w:rFonts w:ascii="Times New Roman" w:hAnsi="Times New Roman" w:cs="Times New Roman"/>
          <w:color w:val="000000" w:themeColor="text1"/>
        </w:rPr>
        <w:t>3,6</w:t>
      </w:r>
      <w:r w:rsidR="00954471">
        <w:rPr>
          <w:rFonts w:ascii="Times New Roman" w:hAnsi="Times New Roman" w:cs="Times New Roman"/>
          <w:color w:val="000000" w:themeColor="text1"/>
        </w:rPr>
        <w:t xml:space="preserve"> points </w:t>
      </w:r>
      <w:r w:rsidR="003243FF">
        <w:rPr>
          <w:rFonts w:ascii="Times New Roman" w:hAnsi="Times New Roman" w:cs="Times New Roman"/>
          <w:color w:val="000000" w:themeColor="text1"/>
        </w:rPr>
        <w:t xml:space="preserve">par rapport à un trimestre auparavant </w:t>
      </w:r>
      <w:r w:rsidR="00954471">
        <w:rPr>
          <w:rFonts w:ascii="Times New Roman" w:hAnsi="Times New Roman" w:cs="Times New Roman"/>
          <w:color w:val="000000" w:themeColor="text1"/>
        </w:rPr>
        <w:t xml:space="preserve">et </w:t>
      </w:r>
      <w:r w:rsidR="00D141C7">
        <w:rPr>
          <w:rFonts w:ascii="Times New Roman" w:hAnsi="Times New Roman" w:cs="Times New Roman"/>
          <w:color w:val="000000" w:themeColor="text1"/>
        </w:rPr>
        <w:t xml:space="preserve">de </w:t>
      </w:r>
      <w:r w:rsidR="00F960F0">
        <w:rPr>
          <w:rFonts w:ascii="Times New Roman" w:hAnsi="Times New Roman" w:cs="Times New Roman"/>
          <w:color w:val="000000" w:themeColor="text1"/>
        </w:rPr>
        <w:t>2,</w:t>
      </w:r>
      <w:r w:rsidR="007D40C4">
        <w:rPr>
          <w:rFonts w:ascii="Times New Roman" w:hAnsi="Times New Roman" w:cs="Times New Roman"/>
          <w:color w:val="000000" w:themeColor="text1"/>
        </w:rPr>
        <w:t>5</w:t>
      </w:r>
      <w:r w:rsidR="00954471">
        <w:rPr>
          <w:rFonts w:ascii="Times New Roman" w:hAnsi="Times New Roman" w:cs="Times New Roman"/>
          <w:color w:val="000000" w:themeColor="text1"/>
        </w:rPr>
        <w:t xml:space="preserve"> points </w:t>
      </w:r>
      <w:r w:rsidR="003243FF">
        <w:rPr>
          <w:rFonts w:ascii="Times New Roman" w:hAnsi="Times New Roman" w:cs="Times New Roman"/>
          <w:color w:val="000000" w:themeColor="text1"/>
        </w:rPr>
        <w:t xml:space="preserve">par rapport à un an auparavant. </w:t>
      </w:r>
    </w:p>
    <w:p w:rsidR="00FE416E" w:rsidRPr="00B117F6" w:rsidRDefault="005B6FD5" w:rsidP="003C2D1C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B6FD5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2810" cy="2466340"/>
            <wp:effectExtent l="19050" t="0" r="27940" b="0"/>
            <wp:docPr id="7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E416E" w:rsidRDefault="00FE416E" w:rsidP="00FE416E">
      <w:pPr>
        <w:pStyle w:val="Paragraphedeliste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9219B6" w:rsidRDefault="009219B6" w:rsidP="00FE416E">
      <w:pPr>
        <w:pStyle w:val="Paragraphedeliste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9219B6" w:rsidRDefault="009219B6" w:rsidP="00FE416E">
      <w:pPr>
        <w:pStyle w:val="Paragraphedeliste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9219B6" w:rsidRDefault="009219B6" w:rsidP="00FE416E">
      <w:pPr>
        <w:pStyle w:val="Paragraphedeliste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9219B6" w:rsidRPr="00FE416E" w:rsidRDefault="009219B6" w:rsidP="00FE416E">
      <w:pPr>
        <w:pStyle w:val="Paragraphedeliste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EA1D6D" w:rsidRPr="00417308" w:rsidRDefault="003849A2" w:rsidP="00417308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656CB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Une conjoncture toujours perçue comme </w:t>
      </w:r>
      <w:r w:rsidR="009219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moins</w:t>
      </w:r>
      <w:r w:rsidR="000656CB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D40C4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propice</w:t>
      </w:r>
      <w:r w:rsidR="000656CB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à l’achat des biens durables </w:t>
      </w:r>
    </w:p>
    <w:p w:rsidR="009E0162" w:rsidRPr="00EA1D6D" w:rsidRDefault="009E0162" w:rsidP="0012794C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</w:rPr>
      </w:pPr>
    </w:p>
    <w:p w:rsidR="00F960F0" w:rsidRDefault="00FC1B5B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Un peu plus de 5</w:t>
      </w:r>
      <w:r w:rsidR="00F960F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9</w:t>
      </w:r>
      <w:r w:rsidR="002226A1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 d</w:t>
      </w:r>
      <w:r w:rsidR="002D297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es ménages marocains </w:t>
      </w:r>
      <w:r w:rsidR="00E265E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considèrent</w:t>
      </w:r>
      <w:r w:rsidR="002D297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E265E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2D297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F960F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premier</w:t>
      </w:r>
      <w:r w:rsidR="00F430E6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trimestre</w:t>
      </w:r>
      <w:r w:rsidR="00A161A9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2D297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de </w:t>
      </w:r>
      <w:r w:rsidR="0004211E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201</w:t>
      </w:r>
      <w:r w:rsidR="00F960F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</w:t>
      </w:r>
      <w:r w:rsidR="002D297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 w:rsidR="000F6CE8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que </w:t>
      </w:r>
      <w:r w:rsidR="0019435A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le moment </w:t>
      </w:r>
      <w:r w:rsidR="00E265E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n’est pas </w:t>
      </w:r>
      <w:r w:rsidR="00E9062C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opportun </w:t>
      </w:r>
      <w:r w:rsidR="00A7325E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pour</w:t>
      </w:r>
      <w:r w:rsidR="00E9062C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faire des achats </w:t>
      </w:r>
      <w:r w:rsidR="0019435A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de biens durables</w:t>
      </w:r>
      <w:r w:rsidR="0009730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9A2085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alors que</w:t>
      </w:r>
      <w:r w:rsidR="0038149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F960F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19</w:t>
      </w:r>
      <w:r w:rsidR="007D40C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,1</w:t>
      </w:r>
      <w:r w:rsidR="00F960F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</w:t>
      </w:r>
      <w:r w:rsidR="0038149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09730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pens</w:t>
      </w:r>
      <w:r w:rsidR="0038149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ent le contraire</w:t>
      </w:r>
      <w:r w:rsidR="00BC6D48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. </w:t>
      </w:r>
      <w:r w:rsidR="00E442A1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L</w:t>
      </w:r>
      <w:r w:rsidR="0038149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e solde re</w:t>
      </w:r>
      <w:r w:rsidR="003C425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latif à cet indicateur </w:t>
      </w:r>
      <w:r w:rsidR="00E442A1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s’établit à</w:t>
      </w:r>
      <w:r w:rsidR="00135D83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-</w:t>
      </w:r>
      <w:r w:rsidR="00F960F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40,2</w:t>
      </w:r>
      <w:r w:rsidR="00B2066F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135D83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points en</w:t>
      </w:r>
      <w:r w:rsidR="007C5542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dégradation </w:t>
      </w:r>
      <w:r w:rsidR="00B2066F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de </w:t>
      </w:r>
      <w:r w:rsidR="00F960F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2,7</w:t>
      </w:r>
      <w:r w:rsidR="00B2066F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</w:t>
      </w:r>
      <w:r w:rsidR="00AE2D48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s</w:t>
      </w:r>
      <w:r w:rsidR="002A7E1E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4E183B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par rapport au trimestre précédent</w:t>
      </w:r>
      <w:r w:rsidR="00F766B2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F960F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et </w:t>
      </w:r>
      <w:r w:rsidR="002A7E1E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de </w:t>
      </w:r>
      <w:r w:rsidR="00F960F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3,</w:t>
      </w:r>
      <w:r w:rsidR="007D40C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="002A7E1E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</w:t>
      </w:r>
      <w:r w:rsidR="00F960F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s</w:t>
      </w:r>
      <w:r w:rsidR="002A7E1E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D93D3C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par rapport</w:t>
      </w:r>
      <w:r w:rsidR="00335081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au même trimestre de l’année précédente</w:t>
      </w:r>
      <w:r w:rsidR="002A7E1E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.</w:t>
      </w:r>
      <w:r w:rsidR="002A18ED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17308" w:rsidRDefault="00417308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1D6D" w:rsidRPr="00417308" w:rsidRDefault="002C1D2E" w:rsidP="00417308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95E94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Situation financière des ménages : </w:t>
      </w:r>
      <w:r w:rsidR="007D40C4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en détérioration </w:t>
      </w:r>
    </w:p>
    <w:p w:rsidR="00C93EAA" w:rsidRPr="002A18ED" w:rsidRDefault="00CB3616" w:rsidP="00111FC4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417308">
        <w:rPr>
          <w:rFonts w:ascii="Times New Roman" w:hAnsi="Times New Roman" w:cs="Times New Roman"/>
          <w:color w:val="000000" w:themeColor="text1"/>
        </w:rPr>
        <w:t xml:space="preserve">Au </w:t>
      </w:r>
      <w:r w:rsidR="00F960F0" w:rsidRPr="00417308">
        <w:rPr>
          <w:rFonts w:ascii="Times New Roman" w:hAnsi="Times New Roman" w:cs="Times New Roman"/>
          <w:color w:val="000000" w:themeColor="text1"/>
        </w:rPr>
        <w:t>premier</w:t>
      </w:r>
      <w:r w:rsidR="00C95C1F" w:rsidRPr="00417308">
        <w:rPr>
          <w:rFonts w:ascii="Times New Roman" w:hAnsi="Times New Roman" w:cs="Times New Roman"/>
          <w:color w:val="000000" w:themeColor="text1"/>
        </w:rPr>
        <w:t xml:space="preserve"> </w:t>
      </w:r>
      <w:r w:rsidRPr="00417308">
        <w:rPr>
          <w:rFonts w:ascii="Times New Roman" w:hAnsi="Times New Roman" w:cs="Times New Roman"/>
          <w:color w:val="000000" w:themeColor="text1"/>
        </w:rPr>
        <w:t>trimestre de 201</w:t>
      </w:r>
      <w:r w:rsidR="00F960F0" w:rsidRPr="00417308">
        <w:rPr>
          <w:rFonts w:ascii="Times New Roman" w:hAnsi="Times New Roman" w:cs="Times New Roman"/>
          <w:color w:val="000000" w:themeColor="text1"/>
        </w:rPr>
        <w:t>6</w:t>
      </w:r>
      <w:r w:rsidRPr="00417308">
        <w:rPr>
          <w:rFonts w:ascii="Times New Roman" w:hAnsi="Times New Roman" w:cs="Times New Roman"/>
          <w:color w:val="000000" w:themeColor="text1"/>
        </w:rPr>
        <w:t xml:space="preserve">, </w:t>
      </w:r>
      <w:r w:rsidR="00111FC4" w:rsidRPr="00417308">
        <w:rPr>
          <w:rFonts w:ascii="Times New Roman" w:hAnsi="Times New Roman" w:cs="Times New Roman"/>
          <w:color w:val="000000" w:themeColor="text1"/>
        </w:rPr>
        <w:t>59,2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490E21" w:rsidRPr="00C706A5">
        <w:rPr>
          <w:rFonts w:ascii="Times New Roman" w:hAnsi="Times New Roman" w:cs="Times New Roman"/>
          <w:color w:val="000000" w:themeColor="text1"/>
        </w:rPr>
        <w:t>des ménages</w:t>
      </w:r>
      <w:r w:rsidR="00C229EC">
        <w:rPr>
          <w:rFonts w:ascii="Times New Roman" w:hAnsi="Times New Roman" w:cs="Times New Roman"/>
          <w:color w:val="000000" w:themeColor="text1"/>
        </w:rPr>
        <w:t xml:space="preserve"> considèrent que</w:t>
      </w:r>
      <w:r w:rsidR="00490E21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leurs revenus couvrent leurs dépenses, </w:t>
      </w:r>
      <w:r w:rsidR="00111FC4">
        <w:rPr>
          <w:rFonts w:ascii="Times New Roman" w:hAnsi="Times New Roman" w:cs="Times New Roman"/>
          <w:color w:val="000000" w:themeColor="text1"/>
        </w:rPr>
        <w:t>34,0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d’entre eux </w:t>
      </w:r>
      <w:r w:rsidR="00C229EC">
        <w:rPr>
          <w:rFonts w:ascii="Times New Roman" w:hAnsi="Times New Roman" w:cs="Times New Roman"/>
          <w:color w:val="000000" w:themeColor="text1"/>
        </w:rPr>
        <w:t xml:space="preserve">déclarent </w:t>
      </w:r>
      <w:r w:rsidR="001A6BB6" w:rsidRPr="00C706A5">
        <w:rPr>
          <w:rFonts w:ascii="Times New Roman" w:hAnsi="Times New Roman" w:cs="Times New Roman"/>
          <w:color w:val="000000" w:themeColor="text1"/>
        </w:rPr>
        <w:t>s’endette</w:t>
      </w:r>
      <w:r w:rsidR="00C229EC">
        <w:rPr>
          <w:rFonts w:ascii="Times New Roman" w:hAnsi="Times New Roman" w:cs="Times New Roman"/>
          <w:color w:val="000000" w:themeColor="text1"/>
        </w:rPr>
        <w:t>r</w:t>
      </w:r>
      <w:r w:rsidR="008D7E8B">
        <w:rPr>
          <w:rFonts w:ascii="Times New Roman" w:hAnsi="Times New Roman" w:cs="Times New Roman"/>
          <w:color w:val="000000" w:themeColor="text1"/>
        </w:rPr>
        <w:t xml:space="preserve"> </w:t>
      </w:r>
      <w:r w:rsidR="001A6BB6" w:rsidRPr="00C706A5">
        <w:rPr>
          <w:rFonts w:ascii="Times New Roman" w:hAnsi="Times New Roman" w:cs="Times New Roman"/>
          <w:color w:val="000000" w:themeColor="text1"/>
        </w:rPr>
        <w:t>ou puise</w:t>
      </w:r>
      <w:r w:rsidR="00C229EC">
        <w:rPr>
          <w:rFonts w:ascii="Times New Roman" w:hAnsi="Times New Roman" w:cs="Times New Roman"/>
          <w:color w:val="000000" w:themeColor="text1"/>
        </w:rPr>
        <w:t>r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 dans leur épargne</w:t>
      </w:r>
      <w:r w:rsidR="008941B1">
        <w:rPr>
          <w:rFonts w:ascii="Times New Roman" w:hAnsi="Times New Roman" w:cs="Times New Roman"/>
          <w:color w:val="000000" w:themeColor="text1"/>
        </w:rPr>
        <w:t xml:space="preserve"> et </w:t>
      </w:r>
      <w:r w:rsidR="00A1669E">
        <w:rPr>
          <w:rFonts w:ascii="Times New Roman" w:hAnsi="Times New Roman" w:cs="Times New Roman"/>
          <w:color w:val="000000" w:themeColor="text1"/>
        </w:rPr>
        <w:t>6</w:t>
      </w:r>
      <w:r w:rsidR="00EA2018">
        <w:rPr>
          <w:rFonts w:ascii="Times New Roman" w:hAnsi="Times New Roman" w:cs="Times New Roman"/>
          <w:color w:val="000000" w:themeColor="text1"/>
        </w:rPr>
        <w:t>,</w:t>
      </w:r>
      <w:r w:rsidR="00111FC4">
        <w:rPr>
          <w:rFonts w:ascii="Times New Roman" w:hAnsi="Times New Roman" w:cs="Times New Roman"/>
          <w:color w:val="000000" w:themeColor="text1"/>
        </w:rPr>
        <w:t>8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3E7065">
        <w:rPr>
          <w:rFonts w:ascii="Times New Roman" w:hAnsi="Times New Roman" w:cs="Times New Roman"/>
          <w:color w:val="000000" w:themeColor="text1"/>
        </w:rPr>
        <w:t>affirm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ent </w:t>
      </w:r>
      <w:r w:rsidR="00705867" w:rsidRPr="00C706A5">
        <w:rPr>
          <w:rFonts w:ascii="Times New Roman" w:hAnsi="Times New Roman" w:cs="Times New Roman"/>
          <w:color w:val="000000" w:themeColor="text1"/>
        </w:rPr>
        <w:t xml:space="preserve">pouvoir </w:t>
      </w:r>
      <w:r w:rsidR="004D3202" w:rsidRPr="00C706A5">
        <w:rPr>
          <w:rFonts w:ascii="Times New Roman" w:hAnsi="Times New Roman" w:cs="Times New Roman"/>
          <w:color w:val="000000" w:themeColor="text1"/>
        </w:rPr>
        <w:t>épargner</w:t>
      </w:r>
      <w:r w:rsidR="00705867" w:rsidRPr="00C706A5">
        <w:rPr>
          <w:rFonts w:ascii="Times New Roman" w:hAnsi="Times New Roman" w:cs="Times New Roman"/>
          <w:color w:val="000000" w:themeColor="text1"/>
        </w:rPr>
        <w:t xml:space="preserve"> une partie de leur revenu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. Le solde de </w:t>
      </w:r>
      <w:r w:rsidR="001A6BB6" w:rsidRPr="00C706A5">
        <w:rPr>
          <w:rFonts w:ascii="Times New Roman" w:hAnsi="Times New Roman" w:cs="Times New Roman"/>
          <w:color w:val="000000" w:themeColor="text1"/>
        </w:rPr>
        <w:t>l’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indicateur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relatif à la situation financière actuelle des ménages </w:t>
      </w:r>
      <w:r w:rsidR="004D3202" w:rsidRPr="00C706A5">
        <w:rPr>
          <w:rFonts w:ascii="Times New Roman" w:hAnsi="Times New Roman" w:cs="Times New Roman"/>
          <w:color w:val="000000" w:themeColor="text1"/>
        </w:rPr>
        <w:t>s’établit</w:t>
      </w:r>
      <w:r w:rsidR="002B7509">
        <w:rPr>
          <w:rFonts w:ascii="Times New Roman" w:hAnsi="Times New Roman" w:cs="Times New Roman"/>
          <w:color w:val="000000" w:themeColor="text1"/>
        </w:rPr>
        <w:t>,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ainsi</w:t>
      </w:r>
      <w:r w:rsidR="002B7509">
        <w:rPr>
          <w:rFonts w:ascii="Times New Roman" w:hAnsi="Times New Roman" w:cs="Times New Roman"/>
          <w:color w:val="000000" w:themeColor="text1"/>
        </w:rPr>
        <w:t>,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à un niveau négatif de </w:t>
      </w:r>
      <w:r w:rsidR="00857F10" w:rsidRPr="00C706A5">
        <w:rPr>
          <w:rFonts w:ascii="Times New Roman" w:hAnsi="Times New Roman" w:cs="Times New Roman"/>
          <w:color w:val="000000" w:themeColor="text1"/>
        </w:rPr>
        <w:t>-</w:t>
      </w:r>
      <w:r w:rsidR="00111FC4">
        <w:rPr>
          <w:rFonts w:ascii="Times New Roman" w:hAnsi="Times New Roman" w:cs="Times New Roman"/>
          <w:color w:val="000000" w:themeColor="text1"/>
        </w:rPr>
        <w:t>27,2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points, </w:t>
      </w:r>
      <w:r w:rsidR="006A0913" w:rsidRPr="00C706A5">
        <w:rPr>
          <w:rFonts w:ascii="Times New Roman" w:hAnsi="Times New Roman" w:cs="Times New Roman"/>
          <w:color w:val="000000" w:themeColor="text1"/>
        </w:rPr>
        <w:t xml:space="preserve">en </w:t>
      </w:r>
      <w:r w:rsidR="00A1669E">
        <w:rPr>
          <w:rFonts w:ascii="Times New Roman" w:hAnsi="Times New Roman" w:cs="Times New Roman"/>
          <w:color w:val="000000" w:themeColor="text1"/>
        </w:rPr>
        <w:t xml:space="preserve">dégradation de </w:t>
      </w:r>
      <w:r w:rsidR="00111FC4">
        <w:rPr>
          <w:rFonts w:ascii="Times New Roman" w:hAnsi="Times New Roman" w:cs="Times New Roman"/>
          <w:color w:val="000000" w:themeColor="text1"/>
        </w:rPr>
        <w:t>1,5</w:t>
      </w:r>
      <w:r w:rsidR="00A1669E">
        <w:rPr>
          <w:rFonts w:ascii="Times New Roman" w:hAnsi="Times New Roman" w:cs="Times New Roman"/>
          <w:color w:val="000000" w:themeColor="text1"/>
        </w:rPr>
        <w:t xml:space="preserve"> point par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ra</w:t>
      </w:r>
      <w:r w:rsidR="00C35BF2" w:rsidRPr="00C706A5">
        <w:rPr>
          <w:rFonts w:ascii="Times New Roman" w:hAnsi="Times New Roman" w:cs="Times New Roman"/>
          <w:color w:val="000000" w:themeColor="text1"/>
        </w:rPr>
        <w:t xml:space="preserve">pport </w:t>
      </w:r>
      <w:r w:rsidR="008B1424">
        <w:rPr>
          <w:rFonts w:ascii="Times New Roman" w:hAnsi="Times New Roman" w:cs="Times New Roman"/>
          <w:color w:val="000000" w:themeColor="text1"/>
        </w:rPr>
        <w:t xml:space="preserve">au trimestre précédent </w:t>
      </w:r>
      <w:r w:rsidR="00A1669E">
        <w:rPr>
          <w:rFonts w:ascii="Times New Roman" w:hAnsi="Times New Roman" w:cs="Times New Roman"/>
          <w:color w:val="000000" w:themeColor="text1"/>
        </w:rPr>
        <w:t xml:space="preserve">et en amélioration de </w:t>
      </w:r>
      <w:r w:rsidR="00111FC4">
        <w:rPr>
          <w:rFonts w:ascii="Times New Roman" w:hAnsi="Times New Roman" w:cs="Times New Roman"/>
          <w:color w:val="000000" w:themeColor="text1"/>
        </w:rPr>
        <w:t>5,2</w:t>
      </w:r>
      <w:r w:rsidR="002C211A" w:rsidRPr="00C706A5">
        <w:rPr>
          <w:rFonts w:ascii="Times New Roman" w:hAnsi="Times New Roman" w:cs="Times New Roman"/>
          <w:color w:val="000000" w:themeColor="text1"/>
        </w:rPr>
        <w:t xml:space="preserve"> point</w:t>
      </w:r>
      <w:r w:rsidR="00887488">
        <w:rPr>
          <w:rFonts w:ascii="Times New Roman" w:hAnsi="Times New Roman" w:cs="Times New Roman"/>
          <w:color w:val="000000" w:themeColor="text1"/>
        </w:rPr>
        <w:t>s</w:t>
      </w:r>
      <w:r w:rsidR="007F31D9">
        <w:rPr>
          <w:rFonts w:ascii="Times New Roman" w:hAnsi="Times New Roman" w:cs="Times New Roman"/>
          <w:color w:val="000000" w:themeColor="text1"/>
        </w:rPr>
        <w:t xml:space="preserve"> par rapport </w:t>
      </w:r>
      <w:r w:rsidR="008B1424" w:rsidRPr="00C706A5">
        <w:rPr>
          <w:rFonts w:ascii="Times New Roman" w:hAnsi="Times New Roman" w:cs="Times New Roman"/>
          <w:color w:val="000000" w:themeColor="text1"/>
        </w:rPr>
        <w:t>au</w:t>
      </w:r>
      <w:r w:rsidR="00C35BF2" w:rsidRPr="00C706A5">
        <w:rPr>
          <w:rFonts w:ascii="Times New Roman" w:hAnsi="Times New Roman" w:cs="Times New Roman"/>
          <w:color w:val="000000" w:themeColor="text1"/>
        </w:rPr>
        <w:t xml:space="preserve"> même trimestre de </w:t>
      </w:r>
      <w:r w:rsidR="00FF44FD">
        <w:rPr>
          <w:rFonts w:ascii="Times New Roman" w:hAnsi="Times New Roman" w:cs="Times New Roman"/>
          <w:color w:val="000000" w:themeColor="text1"/>
        </w:rPr>
        <w:t>201</w:t>
      </w:r>
      <w:r w:rsidR="00111FC4">
        <w:rPr>
          <w:rFonts w:ascii="Times New Roman" w:hAnsi="Times New Roman" w:cs="Times New Roman"/>
          <w:color w:val="000000" w:themeColor="text1"/>
        </w:rPr>
        <w:t>5</w:t>
      </w:r>
      <w:r w:rsidR="007F31D9">
        <w:rPr>
          <w:rFonts w:ascii="Times New Roman" w:hAnsi="Times New Roman" w:cs="Times New Roman"/>
          <w:color w:val="000000" w:themeColor="text1"/>
        </w:rPr>
        <w:t>.</w:t>
      </w:r>
    </w:p>
    <w:p w:rsidR="002A18ED" w:rsidRPr="00417308" w:rsidRDefault="00B2594D" w:rsidP="00111FC4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417308">
        <w:rPr>
          <w:rFonts w:ascii="Times New Roman" w:hAnsi="Times New Roman" w:cs="Times New Roman"/>
          <w:color w:val="000000" w:themeColor="text1"/>
        </w:rPr>
        <w:t xml:space="preserve">Quant aux </w:t>
      </w:r>
      <w:r w:rsidR="00C95C1F" w:rsidRPr="00417308">
        <w:rPr>
          <w:rFonts w:ascii="Times New Roman" w:hAnsi="Times New Roman" w:cs="Times New Roman"/>
          <w:color w:val="000000" w:themeColor="text1"/>
        </w:rPr>
        <w:t>perceptions des ménages sur l’évolution passée de leur situation financière personnelle</w:t>
      </w:r>
      <w:r w:rsidRPr="00417308">
        <w:rPr>
          <w:rFonts w:ascii="Times New Roman" w:hAnsi="Times New Roman" w:cs="Times New Roman"/>
          <w:color w:val="000000" w:themeColor="text1"/>
        </w:rPr>
        <w:t>, le solde d’opinion</w:t>
      </w:r>
      <w:r w:rsidR="000656CB" w:rsidRPr="00417308">
        <w:rPr>
          <w:rFonts w:ascii="Times New Roman" w:hAnsi="Times New Roman" w:cs="Times New Roman"/>
          <w:color w:val="000000" w:themeColor="text1"/>
        </w:rPr>
        <w:t xml:space="preserve"> </w:t>
      </w:r>
      <w:r w:rsidR="00727A17" w:rsidRPr="00417308">
        <w:rPr>
          <w:rFonts w:ascii="Times New Roman" w:hAnsi="Times New Roman" w:cs="Times New Roman"/>
          <w:color w:val="000000" w:themeColor="text1"/>
        </w:rPr>
        <w:t>atteste d’</w:t>
      </w:r>
      <w:r w:rsidRPr="00417308">
        <w:rPr>
          <w:rFonts w:ascii="Times New Roman" w:hAnsi="Times New Roman" w:cs="Times New Roman"/>
          <w:color w:val="000000" w:themeColor="text1"/>
        </w:rPr>
        <w:t xml:space="preserve">une </w:t>
      </w:r>
      <w:r w:rsidR="00111FC4" w:rsidRPr="00417308">
        <w:rPr>
          <w:rFonts w:ascii="Times New Roman" w:hAnsi="Times New Roman" w:cs="Times New Roman"/>
          <w:color w:val="000000" w:themeColor="text1"/>
        </w:rPr>
        <w:t>détérioration</w:t>
      </w:r>
      <w:r w:rsidRPr="00417308">
        <w:rPr>
          <w:rFonts w:ascii="Times New Roman" w:hAnsi="Times New Roman" w:cs="Times New Roman"/>
          <w:color w:val="000000" w:themeColor="text1"/>
        </w:rPr>
        <w:t xml:space="preserve"> aussi bien par rapport au trimestre </w:t>
      </w:r>
      <w:r w:rsidR="00E2206C" w:rsidRPr="00417308">
        <w:rPr>
          <w:rFonts w:ascii="Times New Roman" w:hAnsi="Times New Roman" w:cs="Times New Roman"/>
          <w:color w:val="000000" w:themeColor="text1"/>
        </w:rPr>
        <w:t>précédent</w:t>
      </w:r>
      <w:r w:rsidR="00100026" w:rsidRPr="00417308">
        <w:rPr>
          <w:rFonts w:ascii="Times New Roman" w:hAnsi="Times New Roman" w:cs="Times New Roman"/>
          <w:color w:val="000000" w:themeColor="text1"/>
        </w:rPr>
        <w:t xml:space="preserve"> </w:t>
      </w:r>
      <w:r w:rsidRPr="00417308">
        <w:rPr>
          <w:rFonts w:ascii="Times New Roman" w:hAnsi="Times New Roman" w:cs="Times New Roman"/>
          <w:color w:val="000000" w:themeColor="text1"/>
        </w:rPr>
        <w:t>(</w:t>
      </w:r>
      <w:r w:rsidR="00111FC4" w:rsidRPr="00417308">
        <w:rPr>
          <w:rFonts w:ascii="Times New Roman" w:hAnsi="Times New Roman" w:cs="Times New Roman"/>
          <w:color w:val="000000" w:themeColor="text1"/>
        </w:rPr>
        <w:t>-8,9</w:t>
      </w:r>
      <w:r w:rsidRPr="00417308">
        <w:rPr>
          <w:rFonts w:ascii="Times New Roman" w:hAnsi="Times New Roman" w:cs="Times New Roman"/>
          <w:color w:val="000000" w:themeColor="text1"/>
        </w:rPr>
        <w:t xml:space="preserve"> points) qu’au même trimestre de l’année précédente </w:t>
      </w:r>
      <w:r w:rsidR="00111FC4" w:rsidRPr="00417308">
        <w:rPr>
          <w:rFonts w:ascii="Times New Roman" w:hAnsi="Times New Roman" w:cs="Times New Roman"/>
          <w:color w:val="000000" w:themeColor="text1"/>
        </w:rPr>
        <w:t>(-0.4</w:t>
      </w:r>
      <w:r w:rsidR="000656CB" w:rsidRPr="00417308">
        <w:rPr>
          <w:rFonts w:ascii="Times New Roman" w:hAnsi="Times New Roman" w:cs="Times New Roman"/>
          <w:color w:val="000000" w:themeColor="text1"/>
        </w:rPr>
        <w:t xml:space="preserve"> </w:t>
      </w:r>
      <w:r w:rsidRPr="00417308">
        <w:rPr>
          <w:rFonts w:ascii="Times New Roman" w:hAnsi="Times New Roman" w:cs="Times New Roman"/>
          <w:color w:val="000000" w:themeColor="text1"/>
        </w:rPr>
        <w:t>point)</w:t>
      </w:r>
      <w:r w:rsidR="00F82FA0" w:rsidRPr="00417308">
        <w:rPr>
          <w:rFonts w:ascii="Times New Roman" w:hAnsi="Times New Roman" w:cs="Times New Roman"/>
          <w:color w:val="000000" w:themeColor="text1"/>
        </w:rPr>
        <w:t>.</w:t>
      </w:r>
    </w:p>
    <w:p w:rsidR="00480253" w:rsidRPr="00417308" w:rsidRDefault="00480253" w:rsidP="002A18ED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F369E" w:rsidRPr="00417308" w:rsidRDefault="00F76B9D" w:rsidP="007D40C4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417308">
        <w:rPr>
          <w:rFonts w:ascii="Times New Roman" w:hAnsi="Times New Roman" w:cs="Times New Roman"/>
          <w:color w:val="000000" w:themeColor="text1"/>
        </w:rPr>
        <w:t xml:space="preserve">De </w:t>
      </w:r>
      <w:r w:rsidR="000656CB" w:rsidRPr="00417308">
        <w:rPr>
          <w:rFonts w:ascii="Times New Roman" w:hAnsi="Times New Roman" w:cs="Times New Roman"/>
          <w:color w:val="000000" w:themeColor="text1"/>
        </w:rPr>
        <w:t xml:space="preserve">leurs </w:t>
      </w:r>
      <w:r w:rsidR="00B7305B" w:rsidRPr="00417308">
        <w:rPr>
          <w:rFonts w:ascii="Times New Roman" w:hAnsi="Times New Roman" w:cs="Times New Roman"/>
          <w:color w:val="000000" w:themeColor="text1"/>
        </w:rPr>
        <w:t>parts</w:t>
      </w:r>
      <w:r w:rsidRPr="00417308">
        <w:rPr>
          <w:rFonts w:ascii="Times New Roman" w:hAnsi="Times New Roman" w:cs="Times New Roman"/>
          <w:color w:val="000000" w:themeColor="text1"/>
        </w:rPr>
        <w:t>, les</w:t>
      </w:r>
      <w:r w:rsidRPr="00417308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Pr="00417308">
        <w:rPr>
          <w:rFonts w:ascii="Times New Roman" w:hAnsi="Times New Roman" w:cs="Times New Roman"/>
          <w:color w:val="000000" w:themeColor="text1"/>
        </w:rPr>
        <w:t xml:space="preserve">opinions des ménages sur </w:t>
      </w:r>
      <w:r w:rsidR="00763B79" w:rsidRPr="00417308">
        <w:rPr>
          <w:rFonts w:ascii="Times New Roman" w:hAnsi="Times New Roman" w:cs="Times New Roman"/>
          <w:color w:val="000000" w:themeColor="text1"/>
        </w:rPr>
        <w:t>l’</w:t>
      </w:r>
      <w:r w:rsidR="00DF369E" w:rsidRPr="00417308">
        <w:rPr>
          <w:rFonts w:ascii="Times New Roman" w:hAnsi="Times New Roman" w:cs="Times New Roman"/>
          <w:color w:val="000000" w:themeColor="text1"/>
        </w:rPr>
        <w:t xml:space="preserve">évolution future de leur situation financière personnelle </w:t>
      </w:r>
      <w:r w:rsidR="00D039D9" w:rsidRPr="00417308">
        <w:rPr>
          <w:rFonts w:ascii="Times New Roman" w:hAnsi="Times New Roman" w:cs="Times New Roman"/>
          <w:color w:val="000000" w:themeColor="text1"/>
        </w:rPr>
        <w:t xml:space="preserve">ont connu </w:t>
      </w:r>
      <w:r w:rsidR="00AE2D48" w:rsidRPr="00417308">
        <w:rPr>
          <w:rFonts w:ascii="Times New Roman" w:hAnsi="Times New Roman" w:cs="Times New Roman"/>
          <w:color w:val="000000" w:themeColor="text1"/>
        </w:rPr>
        <w:t xml:space="preserve">une </w:t>
      </w:r>
      <w:r w:rsidR="00111FC4" w:rsidRPr="00417308">
        <w:rPr>
          <w:rFonts w:ascii="Times New Roman" w:hAnsi="Times New Roman" w:cs="Times New Roman"/>
          <w:color w:val="000000" w:themeColor="text1"/>
        </w:rPr>
        <w:t>détérioration</w:t>
      </w:r>
      <w:r w:rsidR="00BF234A" w:rsidRPr="00417308">
        <w:rPr>
          <w:rFonts w:ascii="Times New Roman" w:hAnsi="Times New Roman" w:cs="Times New Roman"/>
          <w:color w:val="000000" w:themeColor="text1"/>
        </w:rPr>
        <w:t xml:space="preserve"> de </w:t>
      </w:r>
      <w:r w:rsidR="00111FC4" w:rsidRPr="00417308">
        <w:rPr>
          <w:rFonts w:ascii="Times New Roman" w:hAnsi="Times New Roman" w:cs="Times New Roman"/>
          <w:color w:val="000000" w:themeColor="text1"/>
        </w:rPr>
        <w:t>6,4</w:t>
      </w:r>
      <w:r w:rsidR="00D039D9" w:rsidRPr="00417308">
        <w:rPr>
          <w:rFonts w:ascii="Times New Roman" w:hAnsi="Times New Roman" w:cs="Times New Roman"/>
          <w:color w:val="000000" w:themeColor="text1"/>
        </w:rPr>
        <w:t xml:space="preserve"> </w:t>
      </w:r>
      <w:r w:rsidR="00A95E94" w:rsidRPr="00417308">
        <w:rPr>
          <w:rFonts w:ascii="Times New Roman" w:hAnsi="Times New Roman" w:cs="Times New Roman"/>
          <w:color w:val="000000" w:themeColor="text1"/>
        </w:rPr>
        <w:t>point</w:t>
      </w:r>
      <w:r w:rsidR="00BF234A" w:rsidRPr="00417308">
        <w:rPr>
          <w:rFonts w:ascii="Times New Roman" w:hAnsi="Times New Roman" w:cs="Times New Roman"/>
          <w:color w:val="000000" w:themeColor="text1"/>
        </w:rPr>
        <w:t>s</w:t>
      </w:r>
      <w:r w:rsidR="00DF369E" w:rsidRPr="00417308">
        <w:rPr>
          <w:rFonts w:ascii="Times New Roman" w:hAnsi="Times New Roman" w:cs="Times New Roman"/>
          <w:color w:val="000000" w:themeColor="text1"/>
        </w:rPr>
        <w:t xml:space="preserve"> par rapport au trimestre précédent et</w:t>
      </w:r>
      <w:r w:rsidR="00D039D9" w:rsidRPr="00417308">
        <w:rPr>
          <w:rFonts w:ascii="Times New Roman" w:hAnsi="Times New Roman" w:cs="Times New Roman"/>
          <w:color w:val="000000" w:themeColor="text1"/>
        </w:rPr>
        <w:t xml:space="preserve"> </w:t>
      </w:r>
      <w:r w:rsidR="00111FC4" w:rsidRPr="00417308">
        <w:rPr>
          <w:rFonts w:ascii="Times New Roman" w:hAnsi="Times New Roman" w:cs="Times New Roman"/>
          <w:color w:val="000000" w:themeColor="text1"/>
        </w:rPr>
        <w:t xml:space="preserve"> une amélioration </w:t>
      </w:r>
      <w:r w:rsidR="00BF4F5B" w:rsidRPr="00417308">
        <w:rPr>
          <w:rFonts w:ascii="Times New Roman" w:hAnsi="Times New Roman" w:cs="Times New Roman"/>
          <w:color w:val="000000" w:themeColor="text1"/>
        </w:rPr>
        <w:t>de</w:t>
      </w:r>
      <w:r w:rsidR="00BF234A" w:rsidRPr="00417308">
        <w:rPr>
          <w:rFonts w:ascii="Times New Roman" w:hAnsi="Times New Roman" w:cs="Times New Roman"/>
          <w:color w:val="000000" w:themeColor="text1"/>
        </w:rPr>
        <w:t xml:space="preserve"> </w:t>
      </w:r>
      <w:r w:rsidR="00B7305B" w:rsidRPr="00417308">
        <w:rPr>
          <w:rFonts w:ascii="Times New Roman" w:hAnsi="Times New Roman" w:cs="Times New Roman"/>
          <w:color w:val="000000" w:themeColor="text1"/>
        </w:rPr>
        <w:t>1</w:t>
      </w:r>
      <w:r w:rsidR="00111FC4" w:rsidRPr="00417308">
        <w:rPr>
          <w:rFonts w:ascii="Times New Roman" w:hAnsi="Times New Roman" w:cs="Times New Roman"/>
          <w:color w:val="000000" w:themeColor="text1"/>
        </w:rPr>
        <w:t>,</w:t>
      </w:r>
      <w:r w:rsidR="00B7305B" w:rsidRPr="00417308">
        <w:rPr>
          <w:rFonts w:ascii="Times New Roman" w:hAnsi="Times New Roman" w:cs="Times New Roman"/>
          <w:color w:val="000000" w:themeColor="text1"/>
        </w:rPr>
        <w:t>1</w:t>
      </w:r>
      <w:r w:rsidR="00837999" w:rsidRPr="00417308">
        <w:rPr>
          <w:rFonts w:ascii="Times New Roman" w:hAnsi="Times New Roman" w:cs="Times New Roman"/>
          <w:color w:val="000000" w:themeColor="text1"/>
        </w:rPr>
        <w:t xml:space="preserve"> </w:t>
      </w:r>
      <w:r w:rsidR="00DF369E" w:rsidRPr="00417308">
        <w:rPr>
          <w:rFonts w:ascii="Times New Roman" w:hAnsi="Times New Roman" w:cs="Times New Roman"/>
          <w:color w:val="000000" w:themeColor="text1"/>
        </w:rPr>
        <w:t>point par rapport</w:t>
      </w:r>
      <w:r w:rsidR="00F82FA0" w:rsidRPr="00417308">
        <w:rPr>
          <w:rFonts w:ascii="Times New Roman" w:hAnsi="Times New Roman" w:cs="Times New Roman"/>
          <w:color w:val="000000" w:themeColor="text1"/>
        </w:rPr>
        <w:t xml:space="preserve"> à un an auparavant.</w:t>
      </w:r>
    </w:p>
    <w:p w:rsidR="00FE416E" w:rsidRDefault="00FE416E" w:rsidP="00BF234A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C62F85" w:rsidRDefault="00594585" w:rsidP="00FB3249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594585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>
            <wp:extent cx="6191250" cy="4057650"/>
            <wp:effectExtent l="19050" t="0" r="19050" b="0"/>
            <wp:docPr id="8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E21A1" w:rsidRPr="003A3FCF" w:rsidRDefault="000E21A1" w:rsidP="00417308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421A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perception</w:t>
      </w:r>
      <w:r w:rsidR="00421A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  <w:r w:rsidR="00D75C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21A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par l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es ménages </w:t>
      </w:r>
    </w:p>
    <w:p w:rsidR="00A52030" w:rsidRPr="00C706A5" w:rsidRDefault="00A52030" w:rsidP="00837999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En plus des sept indicateurs composant l’ICM, l’enquête fournit des données trimestrielles sur l</w:t>
      </w:r>
      <w:r w:rsidR="00E531E7">
        <w:rPr>
          <w:rFonts w:ascii="Times New Roman" w:hAnsi="Times New Roman" w:cs="Times New Roman"/>
          <w:color w:val="000000" w:themeColor="text1"/>
        </w:rPr>
        <w:t>a</w:t>
      </w:r>
      <w:r w:rsidRPr="00C706A5">
        <w:rPr>
          <w:rFonts w:ascii="Times New Roman" w:hAnsi="Times New Roman" w:cs="Times New Roman"/>
          <w:color w:val="000000" w:themeColor="text1"/>
        </w:rPr>
        <w:t xml:space="preserve"> perception des ménages relatives à d’autres aspects de leurs conditions de vie. Il s’agit en particulier de la capacité d</w:t>
      </w:r>
      <w:r w:rsidR="00837999">
        <w:rPr>
          <w:rFonts w:ascii="Times New Roman" w:hAnsi="Times New Roman" w:cs="Times New Roman"/>
          <w:color w:val="000000" w:themeColor="text1"/>
        </w:rPr>
        <w:t xml:space="preserve">es ménages à épargner </w:t>
      </w:r>
      <w:r w:rsidRPr="00C706A5">
        <w:rPr>
          <w:rFonts w:ascii="Times New Roman" w:hAnsi="Times New Roman" w:cs="Times New Roman"/>
          <w:color w:val="000000" w:themeColor="text1"/>
        </w:rPr>
        <w:t xml:space="preserve">et de l’évolution des prix des produits alimentaires. </w:t>
      </w:r>
    </w:p>
    <w:p w:rsidR="00D57F34" w:rsidRPr="00417308" w:rsidRDefault="009219B6" w:rsidP="00417308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Capacité à épargner : m</w:t>
      </w:r>
      <w:r w:rsidR="008379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ême niveau de pessimisme</w:t>
      </w:r>
      <w:r w:rsidR="000656CB" w:rsidRPr="00D57F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9E0162" w:rsidRPr="00D57F34" w:rsidRDefault="009E0162" w:rsidP="009E0162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F66680" w:rsidRPr="00417308" w:rsidRDefault="000B09BA" w:rsidP="00837999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Au</w:t>
      </w:r>
      <w:r w:rsidR="00654BBD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111FC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premier</w:t>
      </w:r>
      <w:r w:rsidR="00F430E6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trimestre</w:t>
      </w:r>
      <w:r w:rsidR="00F406EF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de </w:t>
      </w:r>
      <w:r w:rsidR="0004211E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201</w:t>
      </w:r>
      <w:r w:rsidR="00111FC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</w:t>
      </w:r>
      <w:r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 w:rsidR="00BF4F5B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8</w:t>
      </w:r>
      <w:r w:rsidR="00654BBD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</w:t>
      </w:r>
      <w:r w:rsidR="00BF4F5B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111FC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9</w:t>
      </w:r>
      <w:r w:rsidR="00741C47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</w:t>
      </w:r>
      <w:r w:rsidR="00DE048F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des ménages</w:t>
      </w:r>
      <w:r w:rsidR="00511C57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F469DA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estiment</w:t>
      </w:r>
      <w:r w:rsidR="00511C57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ne pas pouvoir épargner au cours des 12 prochains mois</w:t>
      </w:r>
      <w:r w:rsidR="007F3847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contre </w:t>
      </w:r>
      <w:r w:rsidR="00BF4F5B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</w:t>
      </w:r>
      <w:r w:rsidR="00654BBD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5</w:t>
      </w:r>
      <w:r w:rsidR="00BF4F5B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111FC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</w:t>
      </w:r>
      <w:r w:rsidR="007F3847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</w:t>
      </w:r>
      <w:r w:rsidR="00735526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qui </w:t>
      </w:r>
      <w:r w:rsidR="00675156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affirment</w:t>
      </w:r>
      <w:r w:rsidR="00735526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le contraire</w:t>
      </w:r>
      <w:r w:rsidR="00507FF6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.</w:t>
      </w:r>
      <w:r w:rsidR="00BF4F5B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Le solde relatif à l</w:t>
      </w:r>
      <w:r w:rsidR="00F6668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’opinion des ménages sur leur capacité d’épargne</w:t>
      </w:r>
      <w:r w:rsidR="00654BBD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 qui est de -69,</w:t>
      </w:r>
      <w:r w:rsidR="00111FC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7</w:t>
      </w:r>
      <w:r w:rsidR="00654BBD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points, enregistre une </w:t>
      </w:r>
      <w:r w:rsidR="00111FC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détérioration</w:t>
      </w:r>
      <w:r w:rsidR="00654BBD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470219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de </w:t>
      </w:r>
      <w:r w:rsidR="00111FC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0,5</w:t>
      </w:r>
      <w:r w:rsidR="00470219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 p</w:t>
      </w:r>
      <w:r w:rsidR="00654BBD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ar rapport</w:t>
      </w:r>
      <w:r w:rsidR="00470219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a</w:t>
      </w:r>
      <w:r w:rsidR="00F6668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u trimestre précédent </w:t>
      </w:r>
      <w:r w:rsidR="00470219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et </w:t>
      </w:r>
      <w:r w:rsidR="00111FC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une amélioration </w:t>
      </w:r>
      <w:r w:rsidR="00BF4F5B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de </w:t>
      </w:r>
      <w:r w:rsidR="00111FC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0,1</w:t>
      </w:r>
      <w:r w:rsidR="00470219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BF4F5B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point par rapport </w:t>
      </w:r>
      <w:r w:rsidR="00F6668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au même t</w:t>
      </w:r>
      <w:r w:rsidR="00BF4F5B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rimestre de l’année précédente</w:t>
      </w:r>
      <w:r w:rsidR="001F597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.</w:t>
      </w:r>
    </w:p>
    <w:p w:rsidR="009E0162" w:rsidRPr="005D0680" w:rsidRDefault="009E0162" w:rsidP="00D57F34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999" w:rsidRPr="00417308" w:rsidRDefault="007A054C" w:rsidP="00417308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Augmentation attendue des </w:t>
      </w:r>
      <w:r w:rsidR="008379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prix des produits alimentaires</w:t>
      </w:r>
    </w:p>
    <w:p w:rsidR="00837999" w:rsidRDefault="00837999" w:rsidP="00837999">
      <w:pPr>
        <w:pStyle w:val="Paragraphedeliste"/>
        <w:spacing w:before="240"/>
        <w:ind w:left="-76"/>
        <w:jc w:val="both"/>
        <w:rPr>
          <w:rFonts w:ascii="Times New Roman" w:hAnsi="Times New Roman" w:cs="Times New Roman"/>
          <w:color w:val="000000" w:themeColor="text1"/>
        </w:rPr>
      </w:pPr>
    </w:p>
    <w:p w:rsidR="00A644C5" w:rsidRDefault="00985AB3" w:rsidP="00837999">
      <w:pPr>
        <w:pStyle w:val="Paragraphedeliste"/>
        <w:spacing w:before="240"/>
        <w:ind w:left="-7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111FC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premier</w:t>
      </w:r>
      <w:r w:rsidR="00F430E6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trimestre</w:t>
      </w:r>
      <w:r w:rsidR="006E004B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de </w:t>
      </w:r>
      <w:r w:rsidR="0004211E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201</w:t>
      </w:r>
      <w:r w:rsidR="00111FC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</w:t>
      </w:r>
      <w:r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 w:rsidR="002364B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8</w:t>
      </w:r>
      <w:r w:rsidR="00582436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</w:t>
      </w:r>
      <w:r w:rsidR="002364B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111FC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</w:t>
      </w:r>
      <w:r w:rsidR="00563170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</w:t>
      </w:r>
      <w:r w:rsidR="00742AC3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des ménages</w:t>
      </w:r>
      <w:r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F656E6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estiment </w:t>
      </w:r>
      <w:r w:rsidR="00A644C5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que les prix des produits alimentaires ont augmenté</w:t>
      </w:r>
      <w:r w:rsidR="00DC1E47" w:rsidRPr="00417308">
        <w:rPr>
          <w:rFonts w:ascii="Times New Roman" w:eastAsia="Times New Roman" w:hAnsi="Times New Roman" w:cs="Times New Roman" w:hint="cs"/>
          <w:color w:val="000000" w:themeColor="text1"/>
          <w:sz w:val="24"/>
          <w:szCs w:val="24"/>
          <w:rtl/>
          <w:lang w:eastAsia="fr-FR"/>
        </w:rPr>
        <w:t xml:space="preserve"> </w:t>
      </w:r>
      <w:r w:rsidR="00E009EE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durant les 12 derniers mois</w:t>
      </w:r>
      <w:r w:rsidR="00D77F27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 w:rsidR="00111FC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12,</w:t>
      </w:r>
      <w:r w:rsidR="00837999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7</w:t>
      </w:r>
      <w:r w:rsidR="00D77F27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</w:t>
      </w:r>
      <w:r w:rsidR="00F656E6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jugent </w:t>
      </w:r>
      <w:r w:rsidR="00D77F27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qu’ils ont stagné et 0,</w:t>
      </w:r>
      <w:r w:rsidR="00111FC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9</w:t>
      </w:r>
      <w:r w:rsidR="0023661B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173781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</w:t>
      </w:r>
      <w:r w:rsidR="0064773C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croient </w:t>
      </w:r>
      <w:r w:rsidR="00D77F27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qu’ils ont baissé. Avec un niveau de -</w:t>
      </w:r>
      <w:r w:rsidR="002364B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8</w:t>
      </w:r>
      <w:r w:rsidR="00582436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5</w:t>
      </w:r>
      <w:r w:rsidR="002364B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DF62C2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5</w:t>
      </w:r>
      <w:r w:rsidR="00D77F27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points, l</w:t>
      </w:r>
      <w:r w:rsidR="006B2086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e</w:t>
      </w:r>
      <w:r w:rsidR="00C17A37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solde d</w:t>
      </w:r>
      <w:r w:rsidR="00A644C5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e cet indicateur </w:t>
      </w:r>
      <w:r w:rsidR="00DF62C2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 </w:t>
      </w:r>
      <w:r w:rsidR="00837999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quasi </w:t>
      </w:r>
      <w:r w:rsidR="00DF62C2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stagné</w:t>
      </w:r>
      <w:r w:rsidR="00582436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75581F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par rapport au trimestre précédent </w:t>
      </w:r>
      <w:r w:rsidR="00DF62C2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mais s’est amélioré</w:t>
      </w:r>
      <w:r w:rsidR="00582436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D141C7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de </w:t>
      </w:r>
      <w:r w:rsidR="00DF62C2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1,</w:t>
      </w:r>
      <w:r w:rsidR="00837999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7</w:t>
      </w:r>
      <w:r w:rsidR="00582436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 </w:t>
      </w:r>
      <w:r w:rsidR="00A2105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par rapport au même trimestre de </w:t>
      </w:r>
      <w:r w:rsidR="00FF44FD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201</w:t>
      </w:r>
      <w:r w:rsidR="00DF62C2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5</w:t>
      </w:r>
      <w:r w:rsidR="00A2105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.</w:t>
      </w:r>
    </w:p>
    <w:p w:rsidR="00C9434B" w:rsidRDefault="006B2086" w:rsidP="00837999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D0680">
        <w:rPr>
          <w:rFonts w:ascii="Times New Roman" w:hAnsi="Times New Roman" w:cs="Times New Roman"/>
          <w:color w:val="000000" w:themeColor="text1"/>
        </w:rPr>
        <w:t>S’agissant des</w:t>
      </w:r>
      <w:r w:rsidR="00700954" w:rsidRPr="005D0680">
        <w:rPr>
          <w:rFonts w:ascii="Times New Roman" w:hAnsi="Times New Roman" w:cs="Times New Roman"/>
          <w:color w:val="000000" w:themeColor="text1"/>
        </w:rPr>
        <w:t xml:space="preserve"> perspectives d’évolution des prix des produits alimentaires, </w:t>
      </w:r>
      <w:r w:rsidR="00DF62C2">
        <w:rPr>
          <w:rFonts w:ascii="Times New Roman" w:hAnsi="Times New Roman" w:cs="Times New Roman"/>
          <w:color w:val="000000" w:themeColor="text1"/>
        </w:rPr>
        <w:t>80,2</w:t>
      </w:r>
      <w:r w:rsidR="002A7E5D" w:rsidRPr="005D0680">
        <w:rPr>
          <w:rFonts w:ascii="Times New Roman" w:hAnsi="Times New Roman" w:cs="Times New Roman"/>
          <w:color w:val="000000" w:themeColor="text1"/>
        </w:rPr>
        <w:t>%</w:t>
      </w:r>
      <w:r w:rsidR="002A1C56" w:rsidRPr="005D0680">
        <w:rPr>
          <w:rFonts w:ascii="Times New Roman" w:hAnsi="Times New Roman" w:cs="Times New Roman"/>
          <w:color w:val="000000" w:themeColor="text1"/>
        </w:rPr>
        <w:t xml:space="preserve"> </w:t>
      </w:r>
      <w:r w:rsidR="002A7E5D" w:rsidRPr="005D0680">
        <w:rPr>
          <w:rFonts w:ascii="Times New Roman" w:hAnsi="Times New Roman" w:cs="Times New Roman"/>
          <w:color w:val="000000" w:themeColor="text1"/>
        </w:rPr>
        <w:t xml:space="preserve">des ménages </w:t>
      </w:r>
      <w:r w:rsidR="002A1C56" w:rsidRPr="005D0680">
        <w:rPr>
          <w:rFonts w:ascii="Times New Roman" w:hAnsi="Times New Roman" w:cs="Times New Roman"/>
          <w:color w:val="000000" w:themeColor="text1"/>
        </w:rPr>
        <w:t>pensent qu</w:t>
      </w:r>
      <w:r w:rsidR="00B42576" w:rsidRPr="005D0680">
        <w:rPr>
          <w:rFonts w:ascii="Times New Roman" w:hAnsi="Times New Roman" w:cs="Times New Roman"/>
          <w:color w:val="000000" w:themeColor="text1"/>
        </w:rPr>
        <w:t xml:space="preserve">’ils </w:t>
      </w:r>
      <w:r w:rsidR="002A1C56" w:rsidRPr="005D0680">
        <w:rPr>
          <w:rFonts w:ascii="Times New Roman" w:hAnsi="Times New Roman" w:cs="Times New Roman"/>
          <w:color w:val="000000" w:themeColor="text1"/>
        </w:rPr>
        <w:t xml:space="preserve">continueront à augmenter dans le futur </w:t>
      </w:r>
      <w:r w:rsidR="00985AB3" w:rsidRPr="005D0680">
        <w:rPr>
          <w:rFonts w:ascii="Times New Roman" w:hAnsi="Times New Roman" w:cs="Times New Roman"/>
          <w:color w:val="000000" w:themeColor="text1"/>
        </w:rPr>
        <w:t xml:space="preserve">contre </w:t>
      </w:r>
      <w:r w:rsidR="00DF62C2">
        <w:rPr>
          <w:rFonts w:ascii="Times New Roman" w:hAnsi="Times New Roman" w:cs="Times New Roman"/>
          <w:color w:val="000000" w:themeColor="text1"/>
        </w:rPr>
        <w:t>18,8</w:t>
      </w:r>
      <w:r w:rsidR="00985AB3" w:rsidRPr="005D0680">
        <w:rPr>
          <w:rFonts w:ascii="Times New Roman" w:hAnsi="Times New Roman" w:cs="Times New Roman"/>
          <w:color w:val="000000" w:themeColor="text1"/>
        </w:rPr>
        <w:t xml:space="preserve">% </w:t>
      </w:r>
      <w:r w:rsidR="008D3987" w:rsidRPr="005D0680">
        <w:rPr>
          <w:rFonts w:ascii="Times New Roman" w:hAnsi="Times New Roman" w:cs="Times New Roman"/>
          <w:color w:val="000000" w:themeColor="text1"/>
        </w:rPr>
        <w:t xml:space="preserve">qui prévoient leur stagnation et </w:t>
      </w:r>
      <w:r w:rsidR="00DF62C2">
        <w:rPr>
          <w:rFonts w:ascii="Times New Roman" w:hAnsi="Times New Roman" w:cs="Times New Roman"/>
          <w:color w:val="000000" w:themeColor="text1"/>
        </w:rPr>
        <w:t>1</w:t>
      </w:r>
      <w:r w:rsidR="008D3987" w:rsidRPr="005D0680">
        <w:rPr>
          <w:rFonts w:ascii="Times New Roman" w:hAnsi="Times New Roman" w:cs="Times New Roman"/>
          <w:color w:val="000000" w:themeColor="text1"/>
        </w:rPr>
        <w:t xml:space="preserve">% </w:t>
      </w:r>
      <w:r w:rsidR="00B42576" w:rsidRPr="005D0680">
        <w:rPr>
          <w:rFonts w:ascii="Times New Roman" w:hAnsi="Times New Roman" w:cs="Times New Roman"/>
          <w:color w:val="000000" w:themeColor="text1"/>
        </w:rPr>
        <w:t>leur b</w:t>
      </w:r>
      <w:r w:rsidR="008D3987" w:rsidRPr="005D0680">
        <w:rPr>
          <w:rFonts w:ascii="Times New Roman" w:hAnsi="Times New Roman" w:cs="Times New Roman"/>
          <w:color w:val="000000" w:themeColor="text1"/>
        </w:rPr>
        <w:t xml:space="preserve">aisse. </w:t>
      </w:r>
    </w:p>
    <w:p w:rsidR="00BC5D13" w:rsidRPr="005D0680" w:rsidRDefault="00511BC9" w:rsidP="00837999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D0680">
        <w:rPr>
          <w:rFonts w:ascii="Times New Roman" w:hAnsi="Times New Roman" w:cs="Times New Roman"/>
          <w:color w:val="000000" w:themeColor="text1"/>
        </w:rPr>
        <w:t>Avec -</w:t>
      </w:r>
      <w:r w:rsidR="00DF62C2">
        <w:rPr>
          <w:rFonts w:ascii="Times New Roman" w:hAnsi="Times New Roman" w:cs="Times New Roman"/>
          <w:color w:val="000000" w:themeColor="text1"/>
        </w:rPr>
        <w:t>79</w:t>
      </w:r>
      <w:r w:rsidR="00837999">
        <w:rPr>
          <w:rFonts w:ascii="Times New Roman" w:hAnsi="Times New Roman" w:cs="Times New Roman"/>
          <w:color w:val="000000" w:themeColor="text1"/>
        </w:rPr>
        <w:t>,</w:t>
      </w:r>
      <w:r w:rsidR="00DF62C2">
        <w:rPr>
          <w:rFonts w:ascii="Times New Roman" w:hAnsi="Times New Roman" w:cs="Times New Roman"/>
          <w:color w:val="000000" w:themeColor="text1"/>
        </w:rPr>
        <w:t>3</w:t>
      </w:r>
      <w:r w:rsidRPr="005D0680">
        <w:rPr>
          <w:rFonts w:ascii="Times New Roman" w:hAnsi="Times New Roman" w:cs="Times New Roman"/>
          <w:color w:val="000000" w:themeColor="text1"/>
        </w:rPr>
        <w:t xml:space="preserve"> points</w:t>
      </w:r>
      <w:r w:rsidR="00AA3CFD">
        <w:rPr>
          <w:rFonts w:ascii="Times New Roman" w:hAnsi="Times New Roman" w:cs="Times New Roman"/>
          <w:color w:val="000000" w:themeColor="text1"/>
        </w:rPr>
        <w:t>, le niveau le plus bas depuis 2008</w:t>
      </w:r>
      <w:r w:rsidRPr="005D0680">
        <w:rPr>
          <w:rFonts w:ascii="Times New Roman" w:hAnsi="Times New Roman" w:cs="Times New Roman"/>
          <w:color w:val="000000" w:themeColor="text1"/>
        </w:rPr>
        <w:t>, l</w:t>
      </w:r>
      <w:r w:rsidR="002A1C56" w:rsidRPr="005D0680">
        <w:rPr>
          <w:rFonts w:ascii="Times New Roman" w:hAnsi="Times New Roman" w:cs="Times New Roman"/>
          <w:color w:val="000000" w:themeColor="text1"/>
        </w:rPr>
        <w:t>e solde</w:t>
      </w:r>
      <w:r w:rsidR="003A52E9" w:rsidRPr="005D0680">
        <w:rPr>
          <w:rFonts w:ascii="Times New Roman" w:hAnsi="Times New Roman" w:cs="Times New Roman"/>
          <w:color w:val="000000" w:themeColor="text1"/>
        </w:rPr>
        <w:t xml:space="preserve"> relatif aux perspectives d’évolution </w:t>
      </w:r>
      <w:r w:rsidR="002A1C56" w:rsidRPr="005D0680">
        <w:rPr>
          <w:rFonts w:ascii="Times New Roman" w:hAnsi="Times New Roman" w:cs="Times New Roman"/>
          <w:color w:val="000000" w:themeColor="text1"/>
        </w:rPr>
        <w:t>de</w:t>
      </w:r>
      <w:r w:rsidRPr="005D0680">
        <w:rPr>
          <w:rFonts w:ascii="Times New Roman" w:hAnsi="Times New Roman" w:cs="Times New Roman"/>
          <w:color w:val="000000" w:themeColor="text1"/>
        </w:rPr>
        <w:t xml:space="preserve">s </w:t>
      </w:r>
      <w:r w:rsidR="002A1C56" w:rsidRPr="005D0680">
        <w:rPr>
          <w:rFonts w:ascii="Times New Roman" w:hAnsi="Times New Roman" w:cs="Times New Roman"/>
          <w:color w:val="000000" w:themeColor="text1"/>
        </w:rPr>
        <w:t>prix</w:t>
      </w:r>
      <w:r w:rsidR="008D3987" w:rsidRPr="005D0680">
        <w:rPr>
          <w:rFonts w:ascii="Times New Roman" w:hAnsi="Times New Roman" w:cs="Times New Roman"/>
          <w:color w:val="000000" w:themeColor="text1"/>
        </w:rPr>
        <w:t xml:space="preserve"> </w:t>
      </w:r>
      <w:r w:rsidR="00DF62C2">
        <w:rPr>
          <w:rFonts w:ascii="Times New Roman" w:hAnsi="Times New Roman" w:cs="Times New Roman"/>
          <w:color w:val="000000" w:themeColor="text1"/>
        </w:rPr>
        <w:t>perd</w:t>
      </w:r>
      <w:r w:rsidR="002364B4" w:rsidRPr="005D0680">
        <w:rPr>
          <w:rFonts w:ascii="Times New Roman" w:hAnsi="Times New Roman" w:cs="Times New Roman"/>
          <w:color w:val="000000" w:themeColor="text1"/>
        </w:rPr>
        <w:t xml:space="preserve"> </w:t>
      </w:r>
      <w:r w:rsidR="00DF62C2">
        <w:rPr>
          <w:rFonts w:ascii="Times New Roman" w:hAnsi="Times New Roman" w:cs="Times New Roman"/>
          <w:color w:val="000000" w:themeColor="text1"/>
        </w:rPr>
        <w:t>4,1</w:t>
      </w:r>
      <w:r w:rsidR="00D04545" w:rsidRPr="005D0680">
        <w:rPr>
          <w:rFonts w:ascii="Times New Roman" w:hAnsi="Times New Roman" w:cs="Times New Roman"/>
          <w:color w:val="000000" w:themeColor="text1"/>
        </w:rPr>
        <w:t xml:space="preserve"> point</w:t>
      </w:r>
      <w:r w:rsidR="00DF62C2">
        <w:rPr>
          <w:rFonts w:ascii="Times New Roman" w:hAnsi="Times New Roman" w:cs="Times New Roman"/>
          <w:color w:val="000000" w:themeColor="text1"/>
        </w:rPr>
        <w:t>s</w:t>
      </w:r>
      <w:r w:rsidR="00D04545" w:rsidRPr="005D0680">
        <w:rPr>
          <w:rFonts w:ascii="Times New Roman" w:hAnsi="Times New Roman" w:cs="Times New Roman"/>
          <w:color w:val="000000" w:themeColor="text1"/>
        </w:rPr>
        <w:t xml:space="preserve"> </w:t>
      </w:r>
      <w:r w:rsidR="00C95A6B" w:rsidRPr="005D0680">
        <w:rPr>
          <w:rFonts w:ascii="Times New Roman" w:hAnsi="Times New Roman" w:cs="Times New Roman"/>
          <w:color w:val="000000" w:themeColor="text1"/>
        </w:rPr>
        <w:t xml:space="preserve">par rapport au trimestre précédent </w:t>
      </w:r>
      <w:r w:rsidR="002364B4" w:rsidRPr="005D0680">
        <w:rPr>
          <w:rFonts w:ascii="Times New Roman" w:hAnsi="Times New Roman" w:cs="Times New Roman"/>
          <w:color w:val="000000" w:themeColor="text1"/>
        </w:rPr>
        <w:t xml:space="preserve">et </w:t>
      </w:r>
      <w:r w:rsidR="0041772A" w:rsidRPr="005D0680">
        <w:rPr>
          <w:rFonts w:ascii="Times New Roman" w:hAnsi="Times New Roman" w:cs="Times New Roman"/>
          <w:color w:val="000000" w:themeColor="text1"/>
        </w:rPr>
        <w:t>2</w:t>
      </w:r>
      <w:r w:rsidR="00837999">
        <w:rPr>
          <w:rFonts w:ascii="Times New Roman" w:hAnsi="Times New Roman" w:cs="Times New Roman"/>
          <w:color w:val="000000" w:themeColor="text1"/>
        </w:rPr>
        <w:t>,1</w:t>
      </w:r>
      <w:r w:rsidR="00D04545" w:rsidRPr="005D0680">
        <w:rPr>
          <w:rFonts w:ascii="Times New Roman" w:hAnsi="Times New Roman" w:cs="Times New Roman"/>
          <w:color w:val="000000" w:themeColor="text1"/>
        </w:rPr>
        <w:t xml:space="preserve"> point</w:t>
      </w:r>
      <w:r w:rsidR="0041772A" w:rsidRPr="005D0680">
        <w:rPr>
          <w:rFonts w:ascii="Times New Roman" w:hAnsi="Times New Roman" w:cs="Times New Roman"/>
          <w:color w:val="000000" w:themeColor="text1"/>
        </w:rPr>
        <w:t>s</w:t>
      </w:r>
      <w:r w:rsidR="00D04545" w:rsidRPr="005D0680">
        <w:rPr>
          <w:rFonts w:ascii="Times New Roman" w:hAnsi="Times New Roman" w:cs="Times New Roman"/>
          <w:color w:val="000000" w:themeColor="text1"/>
        </w:rPr>
        <w:t xml:space="preserve"> par rapport </w:t>
      </w:r>
      <w:r w:rsidR="00C95A6B" w:rsidRPr="005D0680">
        <w:rPr>
          <w:rFonts w:ascii="Times New Roman" w:hAnsi="Times New Roman" w:cs="Times New Roman"/>
          <w:color w:val="000000" w:themeColor="text1"/>
        </w:rPr>
        <w:t xml:space="preserve">au même trimestre de l’année </w:t>
      </w:r>
      <w:r w:rsidR="00387270" w:rsidRPr="005D0680">
        <w:rPr>
          <w:rFonts w:ascii="Times New Roman" w:hAnsi="Times New Roman" w:cs="Times New Roman"/>
          <w:color w:val="000000" w:themeColor="text1"/>
        </w:rPr>
        <w:t>passée</w:t>
      </w:r>
      <w:r w:rsidR="00D04545" w:rsidRPr="005D0680">
        <w:rPr>
          <w:rFonts w:ascii="Times New Roman" w:hAnsi="Times New Roman" w:cs="Times New Roman"/>
          <w:color w:val="000000" w:themeColor="text1"/>
        </w:rPr>
        <w:t>.</w:t>
      </w:r>
      <w:r w:rsidR="00995616" w:rsidRPr="005D0680">
        <w:rPr>
          <w:rFonts w:ascii="Times New Roman" w:hAnsi="Times New Roman" w:cs="Times New Roman"/>
          <w:color w:val="000000" w:themeColor="text1"/>
        </w:rPr>
        <w:t xml:space="preserve"> </w:t>
      </w:r>
      <w:r w:rsidR="00BC5D13" w:rsidRPr="005D0680">
        <w:rPr>
          <w:rFonts w:ascii="Times New Roman" w:hAnsi="Times New Roman" w:cs="Times New Roman"/>
          <w:noProof/>
          <w:color w:val="000000" w:themeColor="text1"/>
        </w:rPr>
        <w:t xml:space="preserve">  </w:t>
      </w:r>
      <w:r w:rsidR="00C72318" w:rsidRPr="005D0680">
        <w:rPr>
          <w:noProof/>
          <w:color w:val="000000" w:themeColor="text1"/>
        </w:rPr>
        <w:t xml:space="preserve"> </w:t>
      </w:r>
      <w:r w:rsidR="00C21ABF" w:rsidRPr="005D0680">
        <w:rPr>
          <w:noProof/>
        </w:rPr>
        <w:t xml:space="preserve"> </w:t>
      </w:r>
    </w:p>
    <w:p w:rsidR="006013E0" w:rsidRDefault="0069760B" w:rsidP="00FE416E">
      <w:pPr>
        <w:widowControl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D068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57ECB" w:rsidRPr="005D0680">
        <w:rPr>
          <w:rFonts w:ascii="Times New Roman" w:hAnsi="Times New Roman" w:cs="Times New Roman"/>
          <w:color w:val="000000" w:themeColor="text1"/>
        </w:rPr>
        <w:t xml:space="preserve">              </w:t>
      </w:r>
      <w:r w:rsidRPr="005D0680">
        <w:rPr>
          <w:rFonts w:ascii="Times New Roman" w:hAnsi="Times New Roman" w:cs="Times New Roman"/>
          <w:color w:val="000000" w:themeColor="text1"/>
        </w:rPr>
        <w:t xml:space="preserve"> </w:t>
      </w:r>
      <w:r w:rsidR="00B57ECB" w:rsidRPr="005D0680">
        <w:rPr>
          <w:rFonts w:ascii="Times New Roman" w:hAnsi="Times New Roman" w:cs="Times New Roman"/>
          <w:color w:val="000000" w:themeColor="text1"/>
        </w:rPr>
        <w:t xml:space="preserve">   </w:t>
      </w:r>
    </w:p>
    <w:p w:rsidR="00DF62C2" w:rsidRPr="005D0680" w:rsidRDefault="00DF62C2" w:rsidP="00FE416E">
      <w:pPr>
        <w:widowControl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013E0" w:rsidRDefault="008533E4" w:rsidP="00B57ECB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8533E4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2810" cy="3117850"/>
            <wp:effectExtent l="19050" t="0" r="27940" b="6350"/>
            <wp:docPr id="9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F62C2" w:rsidRDefault="00DF62C2">
      <w:pPr>
        <w:widowControl/>
        <w:autoSpaceDE/>
        <w:autoSpaceDN/>
        <w:adjustRightInd/>
        <w:rPr>
          <w:rFonts w:ascii="Times New Roman" w:hAnsi="Times New Roman" w:cs="Times New Roman"/>
          <w:color w:val="000000" w:themeColor="text1"/>
        </w:rPr>
      </w:pPr>
    </w:p>
    <w:p w:rsidR="00C72318" w:rsidRPr="00C706A5" w:rsidRDefault="00C72318" w:rsidP="00B57ECB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Ci-joint  les détails des différents indicateurs et un rappel des principaux concepts.</w:t>
      </w:r>
    </w:p>
    <w:p w:rsidR="003A0725" w:rsidRPr="00C706A5" w:rsidRDefault="003A0725" w:rsidP="003A0725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horzAnchor="margin" w:tblpY="289"/>
        <w:tblW w:w="9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02"/>
      </w:tblGrid>
      <w:tr w:rsidR="003A0725" w:rsidRPr="00C706A5" w:rsidTr="003A0725">
        <w:trPr>
          <w:trHeight w:val="6662"/>
        </w:trPr>
        <w:tc>
          <w:tcPr>
            <w:tcW w:w="9802" w:type="dxa"/>
          </w:tcPr>
          <w:p w:rsidR="003A0725" w:rsidRDefault="003A0725" w:rsidP="003C165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A0725" w:rsidRPr="00C706A5" w:rsidRDefault="003A0725" w:rsidP="003C1653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 que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les questions abordées sont qualitatives à 3 modalités (amélioration, stagnation,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3A0725" w:rsidRPr="0074699A" w:rsidRDefault="003A0725" w:rsidP="00837999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Des tests statistiques de Fisher 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 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</w:t>
            </w:r>
            <w:r w:rsidR="00837999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5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, ont confirmé l’absence des variations saisonnières stables et mobiles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A0725" w:rsidRPr="00C706A5" w:rsidRDefault="003A0725" w:rsidP="003C1653">
            <w:pPr>
              <w:spacing w:line="276" w:lineRule="auto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3" w:history="1">
              <w:r w:rsidRPr="00C706A5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Pr="00C706A5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F5970" w:rsidRPr="00C706A5" w:rsidSect="005B1014">
          <w:footerReference w:type="default" r:id="rId14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422ACC" w:rsidRPr="00A160AD" w:rsidRDefault="005D5B33" w:rsidP="002F5E45">
      <w:pPr>
        <w:spacing w:line="360" w:lineRule="auto"/>
        <w:ind w:left="-14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>Evolution de l’I</w:t>
      </w:r>
      <w:r w:rsidR="00C35BF2"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ndice de </w:t>
      </w:r>
      <w:r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>C</w:t>
      </w:r>
      <w:r w:rsidR="00C35BF2"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onfiance des </w:t>
      </w:r>
      <w:r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>M</w:t>
      </w:r>
      <w:r w:rsidR="00C35BF2"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énages  (ICM) </w:t>
      </w:r>
      <w:r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>et de ses composantes</w:t>
      </w:r>
    </w:p>
    <w:tbl>
      <w:tblPr>
        <w:tblW w:w="4675" w:type="pct"/>
        <w:jc w:val="center"/>
        <w:tblCellMar>
          <w:left w:w="70" w:type="dxa"/>
          <w:right w:w="70" w:type="dxa"/>
        </w:tblCellMar>
        <w:tblLook w:val="04A0"/>
      </w:tblPr>
      <w:tblGrid>
        <w:gridCol w:w="4462"/>
        <w:gridCol w:w="391"/>
        <w:gridCol w:w="7"/>
        <w:gridCol w:w="368"/>
        <w:gridCol w:w="7"/>
        <w:gridCol w:w="365"/>
        <w:gridCol w:w="11"/>
        <w:gridCol w:w="380"/>
        <w:gridCol w:w="7"/>
        <w:gridCol w:w="380"/>
        <w:gridCol w:w="8"/>
        <w:gridCol w:w="377"/>
        <w:gridCol w:w="11"/>
        <w:gridCol w:w="377"/>
        <w:gridCol w:w="11"/>
        <w:gridCol w:w="383"/>
        <w:gridCol w:w="7"/>
        <w:gridCol w:w="383"/>
        <w:gridCol w:w="7"/>
        <w:gridCol w:w="383"/>
        <w:gridCol w:w="6"/>
        <w:gridCol w:w="384"/>
        <w:gridCol w:w="6"/>
        <w:gridCol w:w="404"/>
        <w:gridCol w:w="395"/>
        <w:gridCol w:w="395"/>
        <w:gridCol w:w="395"/>
        <w:gridCol w:w="407"/>
        <w:gridCol w:w="389"/>
        <w:gridCol w:w="389"/>
        <w:gridCol w:w="389"/>
        <w:gridCol w:w="398"/>
        <w:gridCol w:w="410"/>
        <w:gridCol w:w="389"/>
        <w:gridCol w:w="389"/>
        <w:gridCol w:w="474"/>
        <w:gridCol w:w="584"/>
      </w:tblGrid>
      <w:tr w:rsidR="00B92516" w:rsidRPr="0069760B" w:rsidTr="00E74ADC">
        <w:trPr>
          <w:trHeight w:val="730"/>
          <w:jc w:val="center"/>
        </w:trPr>
        <w:tc>
          <w:tcPr>
            <w:tcW w:w="1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516" w:rsidRPr="0069760B" w:rsidRDefault="00B92516" w:rsidP="002B79DC">
            <w:pPr>
              <w:widowControl/>
              <w:autoSpaceDE/>
              <w:autoSpaceDN/>
              <w:adjustRightInd/>
              <w:ind w:left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Indicateur</w:t>
            </w:r>
          </w:p>
        </w:tc>
        <w:tc>
          <w:tcPr>
            <w:tcW w:w="52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Default="00B92516" w:rsidP="000656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92516" w:rsidRPr="00262122" w:rsidRDefault="00B92516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2010</w:t>
            </w:r>
          </w:p>
          <w:p w:rsidR="00B92516" w:rsidRDefault="00B92516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16" w:rsidRDefault="00B92516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92516" w:rsidRDefault="00B92516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92516" w:rsidRDefault="00B92516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2011</w:t>
            </w:r>
          </w:p>
          <w:p w:rsidR="00B92516" w:rsidRDefault="00B92516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:rsidR="00B92516" w:rsidRDefault="00B92516" w:rsidP="000656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4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16" w:rsidRDefault="00B92516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2012</w:t>
            </w:r>
          </w:p>
        </w:tc>
        <w:tc>
          <w:tcPr>
            <w:tcW w:w="5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16" w:rsidRDefault="00B92516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5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16" w:rsidRDefault="00B92516" w:rsidP="000656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5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516" w:rsidRDefault="00B92516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516" w:rsidRDefault="00B92516" w:rsidP="00B925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2016</w:t>
            </w:r>
          </w:p>
        </w:tc>
      </w:tr>
      <w:tr w:rsidR="00B92516" w:rsidRPr="0069760B" w:rsidTr="00E74ADC">
        <w:trPr>
          <w:trHeight w:val="558"/>
          <w:jc w:val="center"/>
        </w:trPr>
        <w:tc>
          <w:tcPr>
            <w:tcW w:w="1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516" w:rsidRPr="0069760B" w:rsidRDefault="00B92516" w:rsidP="002B79DC">
            <w:pPr>
              <w:widowControl/>
              <w:autoSpaceDE/>
              <w:autoSpaceDN/>
              <w:adjustRightInd/>
              <w:ind w:left="1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T1/10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T2/10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T3/10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T4/10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T1/11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T2/11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T3/11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T4/11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T1/12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T2/12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T3/12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T4/12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T1/13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T2/13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T3/13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T4/13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T1/14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T2/14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T3/14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T4/14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T1/15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T2/15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A160AD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T3/15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A160AD" w:rsidRDefault="00B92516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T4/15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516" w:rsidRDefault="00B92516" w:rsidP="00B92516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T1/16</w:t>
            </w:r>
          </w:p>
        </w:tc>
      </w:tr>
      <w:tr w:rsidR="00B92516" w:rsidRPr="008325DA" w:rsidTr="00E74ADC">
        <w:trPr>
          <w:trHeight w:val="661"/>
          <w:jc w:val="center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69760B" w:rsidRDefault="00B92516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Indice de Confiance des Ménages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2B79DC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80,1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2B79DC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78,8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2B79DC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78,6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2B79DC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74,7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2B79DC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78,4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2B79DC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85,8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2B79DC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86,5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2B79DC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84,5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2B79DC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82,9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2B79DC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80,7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2B79DC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77,6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2B79DC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78,4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2B79DC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75,8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2B79DC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74,3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2B79DC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75,4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2B79DC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74,2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2B79DC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74,1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2B79DC" w:rsidRDefault="00B92516" w:rsidP="000656CB">
            <w:pPr>
              <w:ind w:left="-68"/>
              <w:jc w:val="center"/>
              <w:rPr>
                <w:rFonts w:ascii="Calibri" w:hAnsi="Calibri"/>
                <w:b/>
                <w:bCs/>
                <w:sz w:val="13"/>
                <w:szCs w:val="13"/>
              </w:rPr>
            </w:pPr>
            <w:r w:rsidRPr="002B79DC">
              <w:rPr>
                <w:rFonts w:ascii="Calibri" w:hAnsi="Calibri"/>
                <w:b/>
                <w:bCs/>
                <w:sz w:val="13"/>
                <w:szCs w:val="13"/>
              </w:rPr>
              <w:t>74,0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2B79DC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73,1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16" w:rsidRPr="002B79DC" w:rsidRDefault="00B92516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71,6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2B79DC" w:rsidRDefault="00B92516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73,7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2B79DC" w:rsidRDefault="00B92516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76,1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Pr="002B79DC" w:rsidRDefault="00B92516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76,3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516" w:rsidRDefault="00B92516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  <w:p w:rsidR="00B92516" w:rsidRPr="002D79AA" w:rsidRDefault="00B92516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D79A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77,1</w:t>
            </w:r>
          </w:p>
          <w:p w:rsidR="00B92516" w:rsidRPr="002B79DC" w:rsidRDefault="00B92516" w:rsidP="002D79A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516" w:rsidRDefault="008325DA" w:rsidP="008325D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71,6</w:t>
            </w:r>
          </w:p>
        </w:tc>
      </w:tr>
      <w:tr w:rsidR="00E74ADC" w:rsidRPr="0069760B" w:rsidTr="00E74ADC">
        <w:trPr>
          <w:trHeight w:val="661"/>
          <w:jc w:val="center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69760B" w:rsidRDefault="00E74ADC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Perspectives d'évolution du nombre de chômeurs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-59,2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-61,0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-56,1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-52,3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-52,4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-46,0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-41,0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-41,6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-44,1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-48,6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-56,7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-58,1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-61,7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-67,8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-69,8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-68,2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-69,1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-66,5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-68,8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-68,0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-65,2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-67,1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D93EB1" w:rsidRDefault="00E74ADC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-66,2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E74ADC" w:rsidRDefault="00E74ADC" w:rsidP="002D79AA">
            <w:pPr>
              <w:ind w:left="-6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74ADC">
              <w:rPr>
                <w:rFonts w:ascii="Times New Roman" w:hAnsi="Times New Roman" w:cs="Times New Roman"/>
                <w:sz w:val="13"/>
                <w:szCs w:val="13"/>
              </w:rPr>
              <w:t>-64,1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ADC" w:rsidRPr="00E74ADC" w:rsidRDefault="00E74ADC" w:rsidP="00E74ADC">
            <w:pPr>
              <w:ind w:left="-6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74ADC">
              <w:rPr>
                <w:rFonts w:ascii="Times New Roman" w:hAnsi="Times New Roman" w:cs="Times New Roman"/>
                <w:sz w:val="13"/>
                <w:szCs w:val="13"/>
              </w:rPr>
              <w:t>-67,7</w:t>
            </w:r>
          </w:p>
        </w:tc>
      </w:tr>
      <w:tr w:rsidR="00E74ADC" w:rsidRPr="0069760B" w:rsidTr="00E74ADC">
        <w:trPr>
          <w:trHeight w:val="661"/>
          <w:jc w:val="center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69760B" w:rsidRDefault="00E74ADC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 passée du niveau de vie en général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-25,7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-28,6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-27,9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-37,2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-26,1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-17,0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-13,4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-20,2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-26,2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-21,8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-27,9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-28,1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-29,2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-23,1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-21,2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-19,9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-18,1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-17,7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-17,4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-16,5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-14,1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-12,8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D93EB1" w:rsidRDefault="00E74ADC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D93EB1">
              <w:rPr>
                <w:rFonts w:ascii="Arial" w:hAnsi="Arial" w:cs="Arial"/>
                <w:color w:val="000000" w:themeColor="text1"/>
                <w:sz w:val="12"/>
                <w:szCs w:val="12"/>
              </w:rPr>
              <w:t>-15,1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E74ADC" w:rsidRDefault="00E74ADC" w:rsidP="002D79AA">
            <w:pPr>
              <w:ind w:left="-6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74ADC">
              <w:rPr>
                <w:rFonts w:ascii="Times New Roman" w:hAnsi="Times New Roman" w:cs="Times New Roman"/>
                <w:sz w:val="13"/>
                <w:szCs w:val="13"/>
              </w:rPr>
              <w:t>-13,8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ADC" w:rsidRPr="00E74ADC" w:rsidRDefault="00E74ADC" w:rsidP="00E74ADC">
            <w:pPr>
              <w:ind w:left="-6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74ADC">
              <w:rPr>
                <w:rFonts w:ascii="Times New Roman" w:hAnsi="Times New Roman" w:cs="Times New Roman"/>
                <w:sz w:val="13"/>
                <w:szCs w:val="13"/>
              </w:rPr>
              <w:t>-22,9</w:t>
            </w:r>
          </w:p>
        </w:tc>
      </w:tr>
      <w:tr w:rsidR="00E74ADC" w:rsidRPr="0069760B" w:rsidTr="00E74ADC">
        <w:trPr>
          <w:trHeight w:val="661"/>
          <w:jc w:val="center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69760B" w:rsidRDefault="00E74ADC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Perspectives d'évolution du niveau de vie en général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0,4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2,7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0,2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-11,4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-1,9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18,1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11,9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13,1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11,2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9,0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-3,2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-1,2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-5,1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-4,2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-3,1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-7,9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-11,4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-13,1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-13,1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-12,7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-8,8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-7,3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D93EB1" w:rsidRDefault="00E74ADC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D93EB1">
              <w:rPr>
                <w:rFonts w:ascii="Arial" w:hAnsi="Arial" w:cs="Arial"/>
                <w:color w:val="000000" w:themeColor="text1"/>
                <w:sz w:val="12"/>
                <w:szCs w:val="12"/>
              </w:rPr>
              <w:t>-7,7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E74ADC" w:rsidRDefault="00E74ADC" w:rsidP="002D79AA">
            <w:pPr>
              <w:ind w:left="-6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74ADC">
              <w:rPr>
                <w:rFonts w:ascii="Times New Roman" w:hAnsi="Times New Roman" w:cs="Times New Roman"/>
                <w:sz w:val="13"/>
                <w:szCs w:val="13"/>
              </w:rPr>
              <w:t>-8,1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ADC" w:rsidRPr="00E74ADC" w:rsidRDefault="00E74ADC" w:rsidP="00E74ADC">
            <w:pPr>
              <w:ind w:left="-6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74ADC">
              <w:rPr>
                <w:rFonts w:ascii="Times New Roman" w:hAnsi="Times New Roman" w:cs="Times New Roman"/>
                <w:sz w:val="13"/>
                <w:szCs w:val="13"/>
              </w:rPr>
              <w:t>-14,2</w:t>
            </w:r>
          </w:p>
        </w:tc>
      </w:tr>
      <w:tr w:rsidR="00E74ADC" w:rsidRPr="0069760B" w:rsidTr="00E74ADC">
        <w:trPr>
          <w:trHeight w:val="661"/>
          <w:jc w:val="center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69760B" w:rsidRDefault="00E74ADC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Opportunité d'achat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-34,8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-37,5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-36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-44,3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-39,9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-39,0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-36,4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-38,5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-32,5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-37,4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-29,5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-29,3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-28,3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-31,7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-29,5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-31,8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-31,3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-28,9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-33,1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-38,1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-37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-36,0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D93EB1" w:rsidRDefault="00E74ADC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D93EB1">
              <w:rPr>
                <w:rFonts w:ascii="Arial" w:hAnsi="Arial" w:cs="Arial"/>
                <w:color w:val="000000" w:themeColor="text1"/>
                <w:sz w:val="12"/>
                <w:szCs w:val="12"/>
              </w:rPr>
              <w:t>-34,2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E74ADC" w:rsidRDefault="00E74ADC" w:rsidP="002D79AA">
            <w:pPr>
              <w:ind w:left="-6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74ADC">
              <w:rPr>
                <w:rFonts w:ascii="Times New Roman" w:hAnsi="Times New Roman" w:cs="Times New Roman"/>
                <w:sz w:val="13"/>
                <w:szCs w:val="13"/>
              </w:rPr>
              <w:t>-37,5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ADC" w:rsidRPr="00E74ADC" w:rsidRDefault="00E74ADC" w:rsidP="00E74ADC">
            <w:pPr>
              <w:ind w:left="-6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74ADC">
              <w:rPr>
                <w:rFonts w:ascii="Times New Roman" w:hAnsi="Times New Roman" w:cs="Times New Roman"/>
                <w:sz w:val="13"/>
                <w:szCs w:val="13"/>
              </w:rPr>
              <w:t>-40,2</w:t>
            </w:r>
          </w:p>
        </w:tc>
      </w:tr>
      <w:tr w:rsidR="00E74ADC" w:rsidRPr="0069760B" w:rsidTr="00E74ADC">
        <w:trPr>
          <w:trHeight w:val="661"/>
          <w:jc w:val="center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69760B" w:rsidRDefault="00E74ADC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Situation financière actuelle des ménages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-27,5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-27,6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-30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-28,1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-30,6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-27,1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-24,3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-25,7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-25,4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-31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-30,8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-29,4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-29,8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-30,2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-29,5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-31,3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-29,7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-28,3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-30,6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-32,4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-28,0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D93EB1" w:rsidRDefault="00E74ADC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D93EB1">
              <w:rPr>
                <w:rFonts w:ascii="Arial" w:hAnsi="Arial" w:cs="Arial"/>
                <w:color w:val="000000" w:themeColor="text1"/>
                <w:sz w:val="12"/>
                <w:szCs w:val="12"/>
              </w:rPr>
              <w:t>-25,1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E74ADC" w:rsidRDefault="00E74ADC" w:rsidP="002D79AA">
            <w:pPr>
              <w:ind w:left="-6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74ADC">
              <w:rPr>
                <w:rFonts w:ascii="Times New Roman" w:hAnsi="Times New Roman" w:cs="Times New Roman"/>
                <w:sz w:val="13"/>
                <w:szCs w:val="13"/>
              </w:rPr>
              <w:t>-25,7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ADC" w:rsidRPr="00E74ADC" w:rsidRDefault="00E74ADC" w:rsidP="00E74ADC">
            <w:pPr>
              <w:ind w:left="-6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74ADC">
              <w:rPr>
                <w:rFonts w:ascii="Times New Roman" w:hAnsi="Times New Roman" w:cs="Times New Roman"/>
                <w:sz w:val="13"/>
                <w:szCs w:val="13"/>
              </w:rPr>
              <w:t>-27,2</w:t>
            </w:r>
          </w:p>
        </w:tc>
      </w:tr>
      <w:tr w:rsidR="00E74ADC" w:rsidRPr="0069760B" w:rsidTr="00E74ADC">
        <w:trPr>
          <w:trHeight w:val="661"/>
          <w:jc w:val="center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69760B" w:rsidRDefault="00E74ADC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 passée  de la situation financière des ménages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-10,0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-7,9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-7,5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-12,8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-10,5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-8,9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-6,4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-9,8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-14,1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-16,6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-16,7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-15,7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-19,6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-23,8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-21,9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-21,9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-21,3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-23,3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-25 ,8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-29,2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-27,0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-20.2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D93EB1" w:rsidRDefault="00E74ADC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D93EB1">
              <w:rPr>
                <w:rFonts w:ascii="Arial" w:hAnsi="Arial" w:cs="Arial"/>
                <w:color w:val="000000" w:themeColor="text1"/>
                <w:sz w:val="12"/>
                <w:szCs w:val="12"/>
              </w:rPr>
              <w:t>-20,8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E74ADC" w:rsidRDefault="00E74ADC" w:rsidP="002D79AA">
            <w:pPr>
              <w:ind w:left="-6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74ADC">
              <w:rPr>
                <w:rFonts w:ascii="Times New Roman" w:hAnsi="Times New Roman" w:cs="Times New Roman"/>
                <w:sz w:val="13"/>
                <w:szCs w:val="13"/>
              </w:rPr>
              <w:t>-18,5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ADC" w:rsidRPr="00E74ADC" w:rsidRDefault="00E74ADC" w:rsidP="00E74ADC">
            <w:pPr>
              <w:ind w:left="-6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74ADC">
              <w:rPr>
                <w:rFonts w:ascii="Times New Roman" w:hAnsi="Times New Roman" w:cs="Times New Roman"/>
                <w:sz w:val="13"/>
                <w:szCs w:val="13"/>
              </w:rPr>
              <w:t>-27,4</w:t>
            </w:r>
          </w:p>
        </w:tc>
      </w:tr>
      <w:tr w:rsidR="00E74ADC" w:rsidRPr="0069760B" w:rsidTr="00E74ADC">
        <w:trPr>
          <w:trHeight w:val="661"/>
          <w:jc w:val="center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69760B" w:rsidRDefault="00E74ADC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 future de la situation financière des ménages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17,8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11,8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7,8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9,4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10,2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20,4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15,1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14,0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11,2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11,1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7,7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10,6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4,5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0,7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2,8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-1,7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1,2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-2,7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-1,5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-3,9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0,1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4,2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D93EB1" w:rsidRDefault="00E74ADC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D93EB1">
              <w:rPr>
                <w:rFonts w:ascii="Arial" w:hAnsi="Arial" w:cs="Arial"/>
                <w:color w:val="000000" w:themeColor="text1"/>
                <w:sz w:val="12"/>
                <w:szCs w:val="12"/>
              </w:rPr>
              <w:t>3,3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E74ADC" w:rsidRDefault="00E74ADC" w:rsidP="002D79AA">
            <w:pPr>
              <w:ind w:left="-6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74ADC">
              <w:rPr>
                <w:rFonts w:ascii="Times New Roman" w:hAnsi="Times New Roman" w:cs="Times New Roman"/>
                <w:sz w:val="13"/>
                <w:szCs w:val="13"/>
              </w:rPr>
              <w:t>7,6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ADC" w:rsidRPr="00E74ADC" w:rsidRDefault="00E74ADC" w:rsidP="00E74ADC">
            <w:pPr>
              <w:ind w:left="-6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74ADC">
              <w:rPr>
                <w:rFonts w:ascii="Times New Roman" w:hAnsi="Times New Roman" w:cs="Times New Roman"/>
                <w:sz w:val="13"/>
                <w:szCs w:val="13"/>
              </w:rPr>
              <w:t>1,2</w:t>
            </w:r>
          </w:p>
        </w:tc>
      </w:tr>
      <w:tr w:rsidR="00B92516" w:rsidRPr="0069760B" w:rsidTr="00E74ADC">
        <w:trPr>
          <w:trHeight w:val="453"/>
          <w:jc w:val="center"/>
        </w:trPr>
        <w:tc>
          <w:tcPr>
            <w:tcW w:w="4797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16" w:rsidRDefault="00B92516" w:rsidP="002B79DC">
            <w:pPr>
              <w:widowControl/>
              <w:autoSpaceDE/>
              <w:autoSpaceDN/>
              <w:adjustRightInd/>
              <w:spacing w:line="276" w:lineRule="auto"/>
              <w:ind w:left="156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:rsidR="00B92516" w:rsidRPr="0028485A" w:rsidRDefault="00B92516" w:rsidP="0088145B">
            <w:pPr>
              <w:widowControl/>
              <w:autoSpaceDE/>
              <w:autoSpaceDN/>
              <w:adjustRightInd/>
              <w:spacing w:line="276" w:lineRule="auto"/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617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Autres soldes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16" w:rsidRPr="00B92516" w:rsidRDefault="00B92516" w:rsidP="00B92516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</w:tr>
      <w:tr w:rsidR="00E74ADC" w:rsidRPr="0069760B" w:rsidTr="00E74ADC">
        <w:trPr>
          <w:trHeight w:val="482"/>
          <w:jc w:val="center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69760B" w:rsidRDefault="00E74ADC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future des prix des produits alimentaires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-46,5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-56,8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-62,2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-70,2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-73,4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-58,8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-72,6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-73,0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-69,8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-71,5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-73,6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-70,0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-76,1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-73,4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-76,0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-76,0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-77,6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-78,0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-76,9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-77,2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-77,2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-75.6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-75,3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4C049D" w:rsidRDefault="00E74ADC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4C049D">
              <w:rPr>
                <w:rFonts w:ascii="Arial" w:hAnsi="Arial" w:cs="Arial"/>
                <w:color w:val="000000" w:themeColor="text1"/>
                <w:sz w:val="12"/>
                <w:szCs w:val="12"/>
              </w:rPr>
              <w:t>-75,2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ADC" w:rsidRPr="00E74ADC" w:rsidRDefault="00E74ADC" w:rsidP="00E74ADC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E74ADC">
              <w:rPr>
                <w:rFonts w:ascii="Arial" w:hAnsi="Arial" w:cs="Arial"/>
                <w:color w:val="000000" w:themeColor="text1"/>
                <w:sz w:val="12"/>
                <w:szCs w:val="12"/>
              </w:rPr>
              <w:t>-79,3</w:t>
            </w:r>
          </w:p>
        </w:tc>
      </w:tr>
      <w:tr w:rsidR="00E74ADC" w:rsidRPr="0069760B" w:rsidTr="00E74ADC">
        <w:trPr>
          <w:trHeight w:val="482"/>
          <w:jc w:val="center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69760B" w:rsidRDefault="00E74ADC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 passée des prix des produits alimentaires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-79,5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-87,8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-89,7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-90,9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-95,5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-87,2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-89,9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-92,5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-91,6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-91,1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-91,7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-90,6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-91,6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-89,0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-90,5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-90,8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-89,4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-84,1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-81,8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-84,5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-87,2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-85,3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-84,3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4C049D" w:rsidRDefault="00E74ADC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4C049D">
              <w:rPr>
                <w:rFonts w:ascii="Arial" w:hAnsi="Arial" w:cs="Arial"/>
                <w:color w:val="000000" w:themeColor="text1"/>
                <w:sz w:val="12"/>
                <w:szCs w:val="12"/>
              </w:rPr>
              <w:t>-85,4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ADC" w:rsidRPr="00E74ADC" w:rsidRDefault="00E74ADC" w:rsidP="00E74ADC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E74ADC">
              <w:rPr>
                <w:rFonts w:ascii="Arial" w:hAnsi="Arial" w:cs="Arial"/>
                <w:color w:val="000000" w:themeColor="text1"/>
                <w:sz w:val="12"/>
                <w:szCs w:val="12"/>
              </w:rPr>
              <w:t>-85,5</w:t>
            </w:r>
          </w:p>
        </w:tc>
      </w:tr>
      <w:tr w:rsidR="00E74ADC" w:rsidRPr="0069760B" w:rsidTr="00E74ADC">
        <w:trPr>
          <w:trHeight w:val="482"/>
          <w:jc w:val="center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ADC" w:rsidRPr="0069760B" w:rsidRDefault="00E74ADC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Capacité à épargner des ménages dans les mois à venir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-56,6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-61,1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-67,6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-66,6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-61,7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-63,3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-64,9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-64,7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-62,5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-63,5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-65,3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-64,5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-67,0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-70,3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-69,1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-66,7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-66,6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-70,2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-71,1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-69,8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-67,4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Pr="002B79DC" w:rsidRDefault="00E74ADC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-70,6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ADC" w:rsidRDefault="00E74ADC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  <w:p w:rsidR="00E74ADC" w:rsidRPr="004C049D" w:rsidRDefault="00E74ADC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4C049D">
              <w:rPr>
                <w:rFonts w:ascii="Arial" w:hAnsi="Arial" w:cs="Arial"/>
                <w:color w:val="000000" w:themeColor="text1"/>
                <w:sz w:val="12"/>
                <w:szCs w:val="12"/>
              </w:rPr>
              <w:t>-69,2</w:t>
            </w:r>
          </w:p>
          <w:p w:rsidR="00E74ADC" w:rsidRPr="004C049D" w:rsidRDefault="00E74ADC" w:rsidP="004C049D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ADC" w:rsidRPr="00E74ADC" w:rsidRDefault="00E74ADC" w:rsidP="00E74ADC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E74ADC">
              <w:rPr>
                <w:rFonts w:ascii="Arial" w:hAnsi="Arial" w:cs="Arial"/>
                <w:color w:val="000000" w:themeColor="text1"/>
                <w:sz w:val="12"/>
                <w:szCs w:val="12"/>
              </w:rPr>
              <w:t>-69,7</w:t>
            </w:r>
          </w:p>
        </w:tc>
      </w:tr>
    </w:tbl>
    <w:p w:rsidR="000F5A2E" w:rsidRDefault="000F5A2E">
      <w:pPr>
        <w:widowControl/>
        <w:autoSpaceDE/>
        <w:autoSpaceDN/>
        <w:adjustRightInd/>
        <w:rPr>
          <w:rFonts w:ascii="Times New Roman" w:hAnsi="Times New Roman" w:cs="Times New Roman"/>
          <w:color w:val="000000" w:themeColor="text1"/>
        </w:rPr>
      </w:pPr>
    </w:p>
    <w:p w:rsidR="0068173C" w:rsidRPr="00C706A5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68173C" w:rsidRPr="00C706A5" w:rsidSect="00337B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92A" w:rsidRDefault="008C792A" w:rsidP="00460705">
      <w:r>
        <w:separator/>
      </w:r>
    </w:p>
  </w:endnote>
  <w:endnote w:type="continuationSeparator" w:id="0">
    <w:p w:rsidR="008C792A" w:rsidRDefault="008C792A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3C1653" w:rsidRDefault="00550701">
        <w:pPr>
          <w:pStyle w:val="Pieddepage"/>
          <w:jc w:val="center"/>
        </w:pPr>
        <w:fldSimple w:instr=" PAGE   \* MERGEFORMAT ">
          <w:r w:rsidR="008C792A">
            <w:rPr>
              <w:noProof/>
            </w:rPr>
            <w:t>1</w:t>
          </w:r>
        </w:fldSimple>
      </w:p>
    </w:sdtContent>
  </w:sdt>
  <w:p w:rsidR="003C1653" w:rsidRDefault="003C165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92A" w:rsidRDefault="008C792A" w:rsidP="00460705">
      <w:r>
        <w:separator/>
      </w:r>
    </w:p>
  </w:footnote>
  <w:footnote w:type="continuationSeparator" w:id="0">
    <w:p w:rsidR="008C792A" w:rsidRDefault="008C792A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C3212"/>
    <w:multiLevelType w:val="hybridMultilevel"/>
    <w:tmpl w:val="A9D853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0"/>
  </w:num>
  <w:num w:numId="5">
    <w:abstractNumId w:val="7"/>
  </w:num>
  <w:num w:numId="6">
    <w:abstractNumId w:val="9"/>
  </w:num>
  <w:num w:numId="7">
    <w:abstractNumId w:val="0"/>
  </w:num>
  <w:num w:numId="8">
    <w:abstractNumId w:val="5"/>
  </w:num>
  <w:num w:numId="9">
    <w:abstractNumId w:val="12"/>
  </w:num>
  <w:num w:numId="10">
    <w:abstractNumId w:val="4"/>
  </w:num>
  <w:num w:numId="11">
    <w:abstractNumId w:val="14"/>
  </w:num>
  <w:num w:numId="12">
    <w:abstractNumId w:val="1"/>
  </w:num>
  <w:num w:numId="13">
    <w:abstractNumId w:val="13"/>
  </w:num>
  <w:num w:numId="14">
    <w:abstractNumId w:val="6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12704"/>
    <w:rsid w:val="000016A1"/>
    <w:rsid w:val="000023E0"/>
    <w:rsid w:val="00002F9B"/>
    <w:rsid w:val="00003F54"/>
    <w:rsid w:val="000060F8"/>
    <w:rsid w:val="000069AE"/>
    <w:rsid w:val="00011A0E"/>
    <w:rsid w:val="00011BC4"/>
    <w:rsid w:val="00011F4E"/>
    <w:rsid w:val="00014940"/>
    <w:rsid w:val="00015112"/>
    <w:rsid w:val="000151DD"/>
    <w:rsid w:val="0001623F"/>
    <w:rsid w:val="00016F90"/>
    <w:rsid w:val="000174FE"/>
    <w:rsid w:val="00017526"/>
    <w:rsid w:val="0001754D"/>
    <w:rsid w:val="00022644"/>
    <w:rsid w:val="00023A16"/>
    <w:rsid w:val="00023DE5"/>
    <w:rsid w:val="00024686"/>
    <w:rsid w:val="0002532B"/>
    <w:rsid w:val="00025F15"/>
    <w:rsid w:val="000265CF"/>
    <w:rsid w:val="000315FD"/>
    <w:rsid w:val="00031CFB"/>
    <w:rsid w:val="000324B4"/>
    <w:rsid w:val="00032AF9"/>
    <w:rsid w:val="00032ECD"/>
    <w:rsid w:val="000356C1"/>
    <w:rsid w:val="000364EF"/>
    <w:rsid w:val="00036F7C"/>
    <w:rsid w:val="0003703D"/>
    <w:rsid w:val="000370B6"/>
    <w:rsid w:val="0004211E"/>
    <w:rsid w:val="00042157"/>
    <w:rsid w:val="00043430"/>
    <w:rsid w:val="0004437F"/>
    <w:rsid w:val="000451AC"/>
    <w:rsid w:val="00046C56"/>
    <w:rsid w:val="00046EB3"/>
    <w:rsid w:val="00047B2B"/>
    <w:rsid w:val="00050145"/>
    <w:rsid w:val="00051534"/>
    <w:rsid w:val="000518A6"/>
    <w:rsid w:val="00051B80"/>
    <w:rsid w:val="00052C8E"/>
    <w:rsid w:val="00055B18"/>
    <w:rsid w:val="0005628D"/>
    <w:rsid w:val="000569E9"/>
    <w:rsid w:val="00056F4A"/>
    <w:rsid w:val="00057262"/>
    <w:rsid w:val="00057BC7"/>
    <w:rsid w:val="00057E1A"/>
    <w:rsid w:val="00061CA4"/>
    <w:rsid w:val="00062779"/>
    <w:rsid w:val="00064021"/>
    <w:rsid w:val="000646B0"/>
    <w:rsid w:val="000656CB"/>
    <w:rsid w:val="00066E22"/>
    <w:rsid w:val="00067347"/>
    <w:rsid w:val="00067D35"/>
    <w:rsid w:val="000706EE"/>
    <w:rsid w:val="000712A9"/>
    <w:rsid w:val="000720FD"/>
    <w:rsid w:val="00072708"/>
    <w:rsid w:val="00072CF2"/>
    <w:rsid w:val="00072EEA"/>
    <w:rsid w:val="00072F7C"/>
    <w:rsid w:val="00073079"/>
    <w:rsid w:val="000749D1"/>
    <w:rsid w:val="000779C2"/>
    <w:rsid w:val="00077CAA"/>
    <w:rsid w:val="00081434"/>
    <w:rsid w:val="0008224D"/>
    <w:rsid w:val="00082D2E"/>
    <w:rsid w:val="000836A6"/>
    <w:rsid w:val="0008574A"/>
    <w:rsid w:val="000877E9"/>
    <w:rsid w:val="00087DA2"/>
    <w:rsid w:val="00090FCF"/>
    <w:rsid w:val="00090FEC"/>
    <w:rsid w:val="00091D64"/>
    <w:rsid w:val="00091FB9"/>
    <w:rsid w:val="00093D84"/>
    <w:rsid w:val="00094BEF"/>
    <w:rsid w:val="00097300"/>
    <w:rsid w:val="00097799"/>
    <w:rsid w:val="0009797C"/>
    <w:rsid w:val="00097D75"/>
    <w:rsid w:val="000A0177"/>
    <w:rsid w:val="000A0881"/>
    <w:rsid w:val="000A14AD"/>
    <w:rsid w:val="000A158A"/>
    <w:rsid w:val="000A1A01"/>
    <w:rsid w:val="000A20DC"/>
    <w:rsid w:val="000A2DA9"/>
    <w:rsid w:val="000A40C3"/>
    <w:rsid w:val="000A5F4A"/>
    <w:rsid w:val="000A62F9"/>
    <w:rsid w:val="000B0844"/>
    <w:rsid w:val="000B09BA"/>
    <w:rsid w:val="000B1487"/>
    <w:rsid w:val="000B16D1"/>
    <w:rsid w:val="000B552C"/>
    <w:rsid w:val="000C0C01"/>
    <w:rsid w:val="000C3718"/>
    <w:rsid w:val="000C39F9"/>
    <w:rsid w:val="000C439F"/>
    <w:rsid w:val="000C4C0E"/>
    <w:rsid w:val="000C56EA"/>
    <w:rsid w:val="000C7F17"/>
    <w:rsid w:val="000D1CF5"/>
    <w:rsid w:val="000D24FA"/>
    <w:rsid w:val="000D2586"/>
    <w:rsid w:val="000D2E52"/>
    <w:rsid w:val="000D341B"/>
    <w:rsid w:val="000D367A"/>
    <w:rsid w:val="000D4077"/>
    <w:rsid w:val="000D54E1"/>
    <w:rsid w:val="000D5638"/>
    <w:rsid w:val="000D5AB2"/>
    <w:rsid w:val="000D5B0A"/>
    <w:rsid w:val="000D5B60"/>
    <w:rsid w:val="000E10E0"/>
    <w:rsid w:val="000E17D9"/>
    <w:rsid w:val="000E20BC"/>
    <w:rsid w:val="000E21A1"/>
    <w:rsid w:val="000E4DC7"/>
    <w:rsid w:val="000F0919"/>
    <w:rsid w:val="000F0DB1"/>
    <w:rsid w:val="000F184A"/>
    <w:rsid w:val="000F2945"/>
    <w:rsid w:val="000F2B60"/>
    <w:rsid w:val="000F5A2E"/>
    <w:rsid w:val="000F6CE8"/>
    <w:rsid w:val="000F70E8"/>
    <w:rsid w:val="000F74C5"/>
    <w:rsid w:val="000F7A57"/>
    <w:rsid w:val="000F7C4F"/>
    <w:rsid w:val="00100026"/>
    <w:rsid w:val="00101249"/>
    <w:rsid w:val="00102B5C"/>
    <w:rsid w:val="001037B3"/>
    <w:rsid w:val="00104221"/>
    <w:rsid w:val="00104438"/>
    <w:rsid w:val="00104463"/>
    <w:rsid w:val="00104CAC"/>
    <w:rsid w:val="001052BE"/>
    <w:rsid w:val="00105320"/>
    <w:rsid w:val="00106C84"/>
    <w:rsid w:val="00106E19"/>
    <w:rsid w:val="00106EC0"/>
    <w:rsid w:val="00106FA4"/>
    <w:rsid w:val="00107534"/>
    <w:rsid w:val="00107E17"/>
    <w:rsid w:val="00107F1E"/>
    <w:rsid w:val="001103D0"/>
    <w:rsid w:val="00110B90"/>
    <w:rsid w:val="00110BE5"/>
    <w:rsid w:val="00111470"/>
    <w:rsid w:val="001116C8"/>
    <w:rsid w:val="00111FC4"/>
    <w:rsid w:val="00113273"/>
    <w:rsid w:val="001133D2"/>
    <w:rsid w:val="00113767"/>
    <w:rsid w:val="0011495F"/>
    <w:rsid w:val="00115D48"/>
    <w:rsid w:val="001161C4"/>
    <w:rsid w:val="00116945"/>
    <w:rsid w:val="0011726A"/>
    <w:rsid w:val="00117A2F"/>
    <w:rsid w:val="00117F82"/>
    <w:rsid w:val="00121180"/>
    <w:rsid w:val="00121CCC"/>
    <w:rsid w:val="00122941"/>
    <w:rsid w:val="00123E79"/>
    <w:rsid w:val="00124827"/>
    <w:rsid w:val="00125161"/>
    <w:rsid w:val="001254E5"/>
    <w:rsid w:val="00125543"/>
    <w:rsid w:val="00126B26"/>
    <w:rsid w:val="00126E55"/>
    <w:rsid w:val="0012794C"/>
    <w:rsid w:val="00127D67"/>
    <w:rsid w:val="00131E2D"/>
    <w:rsid w:val="00133286"/>
    <w:rsid w:val="0013347C"/>
    <w:rsid w:val="00133687"/>
    <w:rsid w:val="00133860"/>
    <w:rsid w:val="001347D2"/>
    <w:rsid w:val="00135D83"/>
    <w:rsid w:val="00137D7D"/>
    <w:rsid w:val="001404A9"/>
    <w:rsid w:val="001414F3"/>
    <w:rsid w:val="001424D2"/>
    <w:rsid w:val="0014379B"/>
    <w:rsid w:val="001438AB"/>
    <w:rsid w:val="0014398F"/>
    <w:rsid w:val="00144320"/>
    <w:rsid w:val="001467F7"/>
    <w:rsid w:val="0014733D"/>
    <w:rsid w:val="00151C70"/>
    <w:rsid w:val="0015212E"/>
    <w:rsid w:val="001523D7"/>
    <w:rsid w:val="00152D59"/>
    <w:rsid w:val="00153ECF"/>
    <w:rsid w:val="00154339"/>
    <w:rsid w:val="001545AE"/>
    <w:rsid w:val="00154E44"/>
    <w:rsid w:val="00156587"/>
    <w:rsid w:val="00157CA9"/>
    <w:rsid w:val="0016005A"/>
    <w:rsid w:val="00161772"/>
    <w:rsid w:val="00162062"/>
    <w:rsid w:val="001638CE"/>
    <w:rsid w:val="001648E6"/>
    <w:rsid w:val="0016596E"/>
    <w:rsid w:val="001672BD"/>
    <w:rsid w:val="00173781"/>
    <w:rsid w:val="00174542"/>
    <w:rsid w:val="00174553"/>
    <w:rsid w:val="001757C5"/>
    <w:rsid w:val="001760CB"/>
    <w:rsid w:val="00181B72"/>
    <w:rsid w:val="00182E1E"/>
    <w:rsid w:val="00184023"/>
    <w:rsid w:val="00184250"/>
    <w:rsid w:val="00185207"/>
    <w:rsid w:val="00185ABC"/>
    <w:rsid w:val="00186530"/>
    <w:rsid w:val="001871C4"/>
    <w:rsid w:val="00187A5C"/>
    <w:rsid w:val="00187EB7"/>
    <w:rsid w:val="00190672"/>
    <w:rsid w:val="00191E08"/>
    <w:rsid w:val="00191F62"/>
    <w:rsid w:val="00193B35"/>
    <w:rsid w:val="00193B4D"/>
    <w:rsid w:val="0019435A"/>
    <w:rsid w:val="001956DC"/>
    <w:rsid w:val="00195D2E"/>
    <w:rsid w:val="001960E9"/>
    <w:rsid w:val="001968E2"/>
    <w:rsid w:val="00196D8E"/>
    <w:rsid w:val="00196DF3"/>
    <w:rsid w:val="001975D4"/>
    <w:rsid w:val="00197D9A"/>
    <w:rsid w:val="00197F64"/>
    <w:rsid w:val="001A048A"/>
    <w:rsid w:val="001A0F65"/>
    <w:rsid w:val="001A384F"/>
    <w:rsid w:val="001A4203"/>
    <w:rsid w:val="001A4BB7"/>
    <w:rsid w:val="001A648B"/>
    <w:rsid w:val="001A69DD"/>
    <w:rsid w:val="001A6BB6"/>
    <w:rsid w:val="001B0AB6"/>
    <w:rsid w:val="001B1130"/>
    <w:rsid w:val="001B1C9F"/>
    <w:rsid w:val="001B1E0E"/>
    <w:rsid w:val="001B2334"/>
    <w:rsid w:val="001B3593"/>
    <w:rsid w:val="001B3707"/>
    <w:rsid w:val="001B3CB2"/>
    <w:rsid w:val="001B50A1"/>
    <w:rsid w:val="001B561B"/>
    <w:rsid w:val="001B5B96"/>
    <w:rsid w:val="001B5F02"/>
    <w:rsid w:val="001B69A3"/>
    <w:rsid w:val="001B7322"/>
    <w:rsid w:val="001B7854"/>
    <w:rsid w:val="001C0839"/>
    <w:rsid w:val="001C4D54"/>
    <w:rsid w:val="001C5AA4"/>
    <w:rsid w:val="001C67D4"/>
    <w:rsid w:val="001C6846"/>
    <w:rsid w:val="001C6883"/>
    <w:rsid w:val="001D0C73"/>
    <w:rsid w:val="001D28DC"/>
    <w:rsid w:val="001D2D35"/>
    <w:rsid w:val="001D709D"/>
    <w:rsid w:val="001E0D0B"/>
    <w:rsid w:val="001E1901"/>
    <w:rsid w:val="001E36D5"/>
    <w:rsid w:val="001E42CC"/>
    <w:rsid w:val="001E4F55"/>
    <w:rsid w:val="001E6198"/>
    <w:rsid w:val="001E78BD"/>
    <w:rsid w:val="001F062E"/>
    <w:rsid w:val="001F14B0"/>
    <w:rsid w:val="001F20AF"/>
    <w:rsid w:val="001F321B"/>
    <w:rsid w:val="001F3646"/>
    <w:rsid w:val="001F4A3E"/>
    <w:rsid w:val="001F4FE4"/>
    <w:rsid w:val="001F5970"/>
    <w:rsid w:val="001F59E2"/>
    <w:rsid w:val="001F5D34"/>
    <w:rsid w:val="001F626D"/>
    <w:rsid w:val="001F6A9C"/>
    <w:rsid w:val="001F739C"/>
    <w:rsid w:val="001F7711"/>
    <w:rsid w:val="002021DE"/>
    <w:rsid w:val="002041E9"/>
    <w:rsid w:val="0020508E"/>
    <w:rsid w:val="00206A7F"/>
    <w:rsid w:val="0020711A"/>
    <w:rsid w:val="00207730"/>
    <w:rsid w:val="0021180E"/>
    <w:rsid w:val="0021213E"/>
    <w:rsid w:val="00212E56"/>
    <w:rsid w:val="00213786"/>
    <w:rsid w:val="00214D50"/>
    <w:rsid w:val="002163AF"/>
    <w:rsid w:val="002164DC"/>
    <w:rsid w:val="00216E7C"/>
    <w:rsid w:val="00221FC5"/>
    <w:rsid w:val="00222682"/>
    <w:rsid w:val="002226A1"/>
    <w:rsid w:val="00222815"/>
    <w:rsid w:val="00222831"/>
    <w:rsid w:val="00223178"/>
    <w:rsid w:val="00223808"/>
    <w:rsid w:val="0022467F"/>
    <w:rsid w:val="00226BE3"/>
    <w:rsid w:val="00227B1B"/>
    <w:rsid w:val="0023094A"/>
    <w:rsid w:val="00232556"/>
    <w:rsid w:val="00233531"/>
    <w:rsid w:val="002364B4"/>
    <w:rsid w:val="0023661B"/>
    <w:rsid w:val="00236927"/>
    <w:rsid w:val="0024028E"/>
    <w:rsid w:val="002431B9"/>
    <w:rsid w:val="002436BE"/>
    <w:rsid w:val="00243AE1"/>
    <w:rsid w:val="00245992"/>
    <w:rsid w:val="00246518"/>
    <w:rsid w:val="002478EF"/>
    <w:rsid w:val="00247A3B"/>
    <w:rsid w:val="002502C2"/>
    <w:rsid w:val="00251ABE"/>
    <w:rsid w:val="0025259C"/>
    <w:rsid w:val="00253166"/>
    <w:rsid w:val="002534E9"/>
    <w:rsid w:val="00254D8A"/>
    <w:rsid w:val="00256232"/>
    <w:rsid w:val="00256FBC"/>
    <w:rsid w:val="00257385"/>
    <w:rsid w:val="00260173"/>
    <w:rsid w:val="00260D98"/>
    <w:rsid w:val="0026141F"/>
    <w:rsid w:val="00262122"/>
    <w:rsid w:val="00262237"/>
    <w:rsid w:val="0026337D"/>
    <w:rsid w:val="002636A0"/>
    <w:rsid w:val="00263D54"/>
    <w:rsid w:val="0026440A"/>
    <w:rsid w:val="00264457"/>
    <w:rsid w:val="00265566"/>
    <w:rsid w:val="00265CFD"/>
    <w:rsid w:val="00266110"/>
    <w:rsid w:val="00267202"/>
    <w:rsid w:val="00267298"/>
    <w:rsid w:val="002672A0"/>
    <w:rsid w:val="0026748C"/>
    <w:rsid w:val="00267B6E"/>
    <w:rsid w:val="00270AD9"/>
    <w:rsid w:val="00270B31"/>
    <w:rsid w:val="0027263B"/>
    <w:rsid w:val="00272727"/>
    <w:rsid w:val="00272D28"/>
    <w:rsid w:val="0027471B"/>
    <w:rsid w:val="002751C2"/>
    <w:rsid w:val="00275256"/>
    <w:rsid w:val="00276077"/>
    <w:rsid w:val="00280072"/>
    <w:rsid w:val="0028098C"/>
    <w:rsid w:val="002821C5"/>
    <w:rsid w:val="0028239A"/>
    <w:rsid w:val="0028485A"/>
    <w:rsid w:val="00287EC1"/>
    <w:rsid w:val="00290113"/>
    <w:rsid w:val="002915B7"/>
    <w:rsid w:val="00291C4B"/>
    <w:rsid w:val="00292082"/>
    <w:rsid w:val="00293863"/>
    <w:rsid w:val="002941A3"/>
    <w:rsid w:val="00295A6D"/>
    <w:rsid w:val="00295DF0"/>
    <w:rsid w:val="00296645"/>
    <w:rsid w:val="00296E08"/>
    <w:rsid w:val="002A0DFB"/>
    <w:rsid w:val="002A18ED"/>
    <w:rsid w:val="002A1C56"/>
    <w:rsid w:val="002A1D28"/>
    <w:rsid w:val="002A1FD6"/>
    <w:rsid w:val="002A29D2"/>
    <w:rsid w:val="002A2E36"/>
    <w:rsid w:val="002A321D"/>
    <w:rsid w:val="002A4737"/>
    <w:rsid w:val="002A53E5"/>
    <w:rsid w:val="002A7486"/>
    <w:rsid w:val="002A7E1E"/>
    <w:rsid w:val="002A7E5D"/>
    <w:rsid w:val="002B15A7"/>
    <w:rsid w:val="002B15E6"/>
    <w:rsid w:val="002B2EC5"/>
    <w:rsid w:val="002B3D5B"/>
    <w:rsid w:val="002B4B64"/>
    <w:rsid w:val="002B51C3"/>
    <w:rsid w:val="002B7130"/>
    <w:rsid w:val="002B74FD"/>
    <w:rsid w:val="002B7509"/>
    <w:rsid w:val="002B799E"/>
    <w:rsid w:val="002B79DC"/>
    <w:rsid w:val="002C03DA"/>
    <w:rsid w:val="002C0743"/>
    <w:rsid w:val="002C0BC4"/>
    <w:rsid w:val="002C0E6A"/>
    <w:rsid w:val="002C10D7"/>
    <w:rsid w:val="002C18A0"/>
    <w:rsid w:val="002C1D2E"/>
    <w:rsid w:val="002C211A"/>
    <w:rsid w:val="002C26D4"/>
    <w:rsid w:val="002C2BED"/>
    <w:rsid w:val="002C3101"/>
    <w:rsid w:val="002C366D"/>
    <w:rsid w:val="002C5954"/>
    <w:rsid w:val="002C6A1C"/>
    <w:rsid w:val="002C768B"/>
    <w:rsid w:val="002C79A8"/>
    <w:rsid w:val="002C7EF2"/>
    <w:rsid w:val="002D112B"/>
    <w:rsid w:val="002D2100"/>
    <w:rsid w:val="002D2970"/>
    <w:rsid w:val="002D3C52"/>
    <w:rsid w:val="002D3E22"/>
    <w:rsid w:val="002D54C7"/>
    <w:rsid w:val="002D56C5"/>
    <w:rsid w:val="002D5AAA"/>
    <w:rsid w:val="002D6616"/>
    <w:rsid w:val="002D6FC3"/>
    <w:rsid w:val="002D79AA"/>
    <w:rsid w:val="002E3AEC"/>
    <w:rsid w:val="002E5787"/>
    <w:rsid w:val="002E5ABF"/>
    <w:rsid w:val="002E5BEC"/>
    <w:rsid w:val="002E6F5B"/>
    <w:rsid w:val="002E710F"/>
    <w:rsid w:val="002F08CD"/>
    <w:rsid w:val="002F1287"/>
    <w:rsid w:val="002F56E4"/>
    <w:rsid w:val="002F5CBB"/>
    <w:rsid w:val="002F5E45"/>
    <w:rsid w:val="002F5E6A"/>
    <w:rsid w:val="002F61B2"/>
    <w:rsid w:val="002F6AEC"/>
    <w:rsid w:val="002F7AAE"/>
    <w:rsid w:val="00300726"/>
    <w:rsid w:val="00301913"/>
    <w:rsid w:val="00302717"/>
    <w:rsid w:val="003043BE"/>
    <w:rsid w:val="00306F45"/>
    <w:rsid w:val="00307232"/>
    <w:rsid w:val="00307E20"/>
    <w:rsid w:val="00311292"/>
    <w:rsid w:val="00312C75"/>
    <w:rsid w:val="00313590"/>
    <w:rsid w:val="00313E26"/>
    <w:rsid w:val="00314363"/>
    <w:rsid w:val="00315331"/>
    <w:rsid w:val="00315FDD"/>
    <w:rsid w:val="0032273E"/>
    <w:rsid w:val="0032393A"/>
    <w:rsid w:val="00323DD3"/>
    <w:rsid w:val="00324379"/>
    <w:rsid w:val="003243FF"/>
    <w:rsid w:val="0032457C"/>
    <w:rsid w:val="00325F2B"/>
    <w:rsid w:val="00326439"/>
    <w:rsid w:val="0032654E"/>
    <w:rsid w:val="003266B8"/>
    <w:rsid w:val="00326D4A"/>
    <w:rsid w:val="00327D2D"/>
    <w:rsid w:val="0033159D"/>
    <w:rsid w:val="003325C2"/>
    <w:rsid w:val="00333CD8"/>
    <w:rsid w:val="00335081"/>
    <w:rsid w:val="00335AA7"/>
    <w:rsid w:val="00337515"/>
    <w:rsid w:val="00337BE3"/>
    <w:rsid w:val="00342196"/>
    <w:rsid w:val="00344737"/>
    <w:rsid w:val="00346706"/>
    <w:rsid w:val="003514ED"/>
    <w:rsid w:val="00351C1F"/>
    <w:rsid w:val="00351E1C"/>
    <w:rsid w:val="00352106"/>
    <w:rsid w:val="0035217E"/>
    <w:rsid w:val="00352D33"/>
    <w:rsid w:val="00353CB2"/>
    <w:rsid w:val="00354A18"/>
    <w:rsid w:val="00354E92"/>
    <w:rsid w:val="003559FA"/>
    <w:rsid w:val="00360176"/>
    <w:rsid w:val="00360720"/>
    <w:rsid w:val="0036132C"/>
    <w:rsid w:val="00362A0D"/>
    <w:rsid w:val="0036400D"/>
    <w:rsid w:val="003658EF"/>
    <w:rsid w:val="00365FDC"/>
    <w:rsid w:val="003670AA"/>
    <w:rsid w:val="00370A60"/>
    <w:rsid w:val="003713F9"/>
    <w:rsid w:val="003719C4"/>
    <w:rsid w:val="003724EE"/>
    <w:rsid w:val="00373C93"/>
    <w:rsid w:val="0037636A"/>
    <w:rsid w:val="00377971"/>
    <w:rsid w:val="00380461"/>
    <w:rsid w:val="003812CC"/>
    <w:rsid w:val="00381490"/>
    <w:rsid w:val="00381936"/>
    <w:rsid w:val="00384704"/>
    <w:rsid w:val="0038490E"/>
    <w:rsid w:val="003849A2"/>
    <w:rsid w:val="00385E59"/>
    <w:rsid w:val="00386E22"/>
    <w:rsid w:val="00387270"/>
    <w:rsid w:val="00390C2D"/>
    <w:rsid w:val="00391350"/>
    <w:rsid w:val="00393479"/>
    <w:rsid w:val="003937BF"/>
    <w:rsid w:val="003960C1"/>
    <w:rsid w:val="003A0725"/>
    <w:rsid w:val="003A1290"/>
    <w:rsid w:val="003A18CF"/>
    <w:rsid w:val="003A3105"/>
    <w:rsid w:val="003A32A5"/>
    <w:rsid w:val="003A35D3"/>
    <w:rsid w:val="003A3FCF"/>
    <w:rsid w:val="003A4987"/>
    <w:rsid w:val="003A50A2"/>
    <w:rsid w:val="003A5110"/>
    <w:rsid w:val="003A5245"/>
    <w:rsid w:val="003A52E9"/>
    <w:rsid w:val="003A5304"/>
    <w:rsid w:val="003A5AEB"/>
    <w:rsid w:val="003A6EC4"/>
    <w:rsid w:val="003A70BA"/>
    <w:rsid w:val="003A7ECC"/>
    <w:rsid w:val="003B092A"/>
    <w:rsid w:val="003B0EDF"/>
    <w:rsid w:val="003B12AD"/>
    <w:rsid w:val="003B27AF"/>
    <w:rsid w:val="003B330D"/>
    <w:rsid w:val="003B478B"/>
    <w:rsid w:val="003B6387"/>
    <w:rsid w:val="003B6E43"/>
    <w:rsid w:val="003B7237"/>
    <w:rsid w:val="003C0E95"/>
    <w:rsid w:val="003C1028"/>
    <w:rsid w:val="003C1653"/>
    <w:rsid w:val="003C205E"/>
    <w:rsid w:val="003C2158"/>
    <w:rsid w:val="003C2208"/>
    <w:rsid w:val="003C2924"/>
    <w:rsid w:val="003C2D1C"/>
    <w:rsid w:val="003C3114"/>
    <w:rsid w:val="003C4254"/>
    <w:rsid w:val="003C79A0"/>
    <w:rsid w:val="003D554F"/>
    <w:rsid w:val="003D5D63"/>
    <w:rsid w:val="003D6DF2"/>
    <w:rsid w:val="003D76D8"/>
    <w:rsid w:val="003E04DE"/>
    <w:rsid w:val="003E1044"/>
    <w:rsid w:val="003E22C4"/>
    <w:rsid w:val="003E3A1D"/>
    <w:rsid w:val="003E470E"/>
    <w:rsid w:val="003E4DD3"/>
    <w:rsid w:val="003E657B"/>
    <w:rsid w:val="003E7065"/>
    <w:rsid w:val="003E7485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400110"/>
    <w:rsid w:val="00400526"/>
    <w:rsid w:val="00400983"/>
    <w:rsid w:val="00401990"/>
    <w:rsid w:val="0040459B"/>
    <w:rsid w:val="00404C21"/>
    <w:rsid w:val="00405940"/>
    <w:rsid w:val="004074DD"/>
    <w:rsid w:val="00407696"/>
    <w:rsid w:val="004105E0"/>
    <w:rsid w:val="0041160A"/>
    <w:rsid w:val="00412740"/>
    <w:rsid w:val="00413F4D"/>
    <w:rsid w:val="0041457A"/>
    <w:rsid w:val="004158F0"/>
    <w:rsid w:val="00416547"/>
    <w:rsid w:val="00416870"/>
    <w:rsid w:val="00417308"/>
    <w:rsid w:val="0041772A"/>
    <w:rsid w:val="0042017B"/>
    <w:rsid w:val="00420913"/>
    <w:rsid w:val="00420B43"/>
    <w:rsid w:val="00420D3C"/>
    <w:rsid w:val="004211F6"/>
    <w:rsid w:val="00421A81"/>
    <w:rsid w:val="00422883"/>
    <w:rsid w:val="00422ACC"/>
    <w:rsid w:val="00424E25"/>
    <w:rsid w:val="0042529A"/>
    <w:rsid w:val="00426845"/>
    <w:rsid w:val="00427219"/>
    <w:rsid w:val="004274C1"/>
    <w:rsid w:val="00430234"/>
    <w:rsid w:val="00431767"/>
    <w:rsid w:val="00431E4B"/>
    <w:rsid w:val="0043296A"/>
    <w:rsid w:val="00434700"/>
    <w:rsid w:val="00434E44"/>
    <w:rsid w:val="00435604"/>
    <w:rsid w:val="00435631"/>
    <w:rsid w:val="00435C79"/>
    <w:rsid w:val="0043688A"/>
    <w:rsid w:val="0043785F"/>
    <w:rsid w:val="00437CA2"/>
    <w:rsid w:val="00440B2D"/>
    <w:rsid w:val="00440D16"/>
    <w:rsid w:val="004421AE"/>
    <w:rsid w:val="004421E3"/>
    <w:rsid w:val="004422DA"/>
    <w:rsid w:val="004430BB"/>
    <w:rsid w:val="0044331B"/>
    <w:rsid w:val="00443831"/>
    <w:rsid w:val="00445B5E"/>
    <w:rsid w:val="00446EA3"/>
    <w:rsid w:val="00450950"/>
    <w:rsid w:val="00450EFF"/>
    <w:rsid w:val="00451104"/>
    <w:rsid w:val="00451534"/>
    <w:rsid w:val="00452F6C"/>
    <w:rsid w:val="00454144"/>
    <w:rsid w:val="0045422F"/>
    <w:rsid w:val="0045433C"/>
    <w:rsid w:val="0045471C"/>
    <w:rsid w:val="00457115"/>
    <w:rsid w:val="00460705"/>
    <w:rsid w:val="00460A24"/>
    <w:rsid w:val="00460BC9"/>
    <w:rsid w:val="0046151F"/>
    <w:rsid w:val="00462AA7"/>
    <w:rsid w:val="00464052"/>
    <w:rsid w:val="00465799"/>
    <w:rsid w:val="0046586B"/>
    <w:rsid w:val="004660F5"/>
    <w:rsid w:val="0046675F"/>
    <w:rsid w:val="004674F7"/>
    <w:rsid w:val="00470219"/>
    <w:rsid w:val="00470256"/>
    <w:rsid w:val="004708C0"/>
    <w:rsid w:val="00471039"/>
    <w:rsid w:val="00471447"/>
    <w:rsid w:val="00471B70"/>
    <w:rsid w:val="00471D1D"/>
    <w:rsid w:val="0047220A"/>
    <w:rsid w:val="0047271F"/>
    <w:rsid w:val="00472EDA"/>
    <w:rsid w:val="004732C6"/>
    <w:rsid w:val="004744E1"/>
    <w:rsid w:val="00474682"/>
    <w:rsid w:val="00475AE3"/>
    <w:rsid w:val="00475F4B"/>
    <w:rsid w:val="004769C3"/>
    <w:rsid w:val="00477159"/>
    <w:rsid w:val="00477B88"/>
    <w:rsid w:val="00480253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31A3"/>
    <w:rsid w:val="00493412"/>
    <w:rsid w:val="00495348"/>
    <w:rsid w:val="0049640D"/>
    <w:rsid w:val="00497168"/>
    <w:rsid w:val="00497732"/>
    <w:rsid w:val="00497984"/>
    <w:rsid w:val="00497D4F"/>
    <w:rsid w:val="004A126D"/>
    <w:rsid w:val="004A2333"/>
    <w:rsid w:val="004A33E9"/>
    <w:rsid w:val="004A3EA6"/>
    <w:rsid w:val="004A3ECA"/>
    <w:rsid w:val="004A4BF6"/>
    <w:rsid w:val="004A5001"/>
    <w:rsid w:val="004A590B"/>
    <w:rsid w:val="004A69AD"/>
    <w:rsid w:val="004B04C6"/>
    <w:rsid w:val="004B35F7"/>
    <w:rsid w:val="004B4273"/>
    <w:rsid w:val="004B4E32"/>
    <w:rsid w:val="004B5383"/>
    <w:rsid w:val="004B64B5"/>
    <w:rsid w:val="004B7076"/>
    <w:rsid w:val="004C049D"/>
    <w:rsid w:val="004C26B8"/>
    <w:rsid w:val="004C26D2"/>
    <w:rsid w:val="004C612A"/>
    <w:rsid w:val="004C7237"/>
    <w:rsid w:val="004D03FA"/>
    <w:rsid w:val="004D07E5"/>
    <w:rsid w:val="004D14A8"/>
    <w:rsid w:val="004D2992"/>
    <w:rsid w:val="004D3202"/>
    <w:rsid w:val="004D469E"/>
    <w:rsid w:val="004D4741"/>
    <w:rsid w:val="004D48A5"/>
    <w:rsid w:val="004D4E20"/>
    <w:rsid w:val="004D7FEA"/>
    <w:rsid w:val="004E0C6B"/>
    <w:rsid w:val="004E0D06"/>
    <w:rsid w:val="004E183B"/>
    <w:rsid w:val="004E2497"/>
    <w:rsid w:val="004E24BC"/>
    <w:rsid w:val="004E2DFB"/>
    <w:rsid w:val="004E3363"/>
    <w:rsid w:val="004E3D51"/>
    <w:rsid w:val="004E3F63"/>
    <w:rsid w:val="004E4F5A"/>
    <w:rsid w:val="004E5131"/>
    <w:rsid w:val="004E5520"/>
    <w:rsid w:val="004E55BA"/>
    <w:rsid w:val="004E67DD"/>
    <w:rsid w:val="004E7840"/>
    <w:rsid w:val="004F07EF"/>
    <w:rsid w:val="004F0AE6"/>
    <w:rsid w:val="004F18F6"/>
    <w:rsid w:val="004F1AD1"/>
    <w:rsid w:val="004F344E"/>
    <w:rsid w:val="004F3CFC"/>
    <w:rsid w:val="004F4A05"/>
    <w:rsid w:val="004F59BE"/>
    <w:rsid w:val="004F63DF"/>
    <w:rsid w:val="004F6CAB"/>
    <w:rsid w:val="005010D2"/>
    <w:rsid w:val="005016B0"/>
    <w:rsid w:val="00501D0E"/>
    <w:rsid w:val="0050202E"/>
    <w:rsid w:val="00502774"/>
    <w:rsid w:val="00503DFC"/>
    <w:rsid w:val="00503F34"/>
    <w:rsid w:val="005041F1"/>
    <w:rsid w:val="00504C1B"/>
    <w:rsid w:val="0050642C"/>
    <w:rsid w:val="00506B0A"/>
    <w:rsid w:val="00506B3B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F62"/>
    <w:rsid w:val="00515560"/>
    <w:rsid w:val="00517831"/>
    <w:rsid w:val="005216FD"/>
    <w:rsid w:val="00522383"/>
    <w:rsid w:val="005228C3"/>
    <w:rsid w:val="0052315E"/>
    <w:rsid w:val="005231BF"/>
    <w:rsid w:val="005234AF"/>
    <w:rsid w:val="00525787"/>
    <w:rsid w:val="00530E86"/>
    <w:rsid w:val="00530E90"/>
    <w:rsid w:val="00531247"/>
    <w:rsid w:val="005314AC"/>
    <w:rsid w:val="00531A41"/>
    <w:rsid w:val="005325CC"/>
    <w:rsid w:val="005346FE"/>
    <w:rsid w:val="00534965"/>
    <w:rsid w:val="0054064D"/>
    <w:rsid w:val="0054089B"/>
    <w:rsid w:val="00540AC5"/>
    <w:rsid w:val="005426C2"/>
    <w:rsid w:val="005429BE"/>
    <w:rsid w:val="00545A36"/>
    <w:rsid w:val="005465E0"/>
    <w:rsid w:val="005467EB"/>
    <w:rsid w:val="00546AA5"/>
    <w:rsid w:val="00547601"/>
    <w:rsid w:val="0055015D"/>
    <w:rsid w:val="0055058D"/>
    <w:rsid w:val="00550701"/>
    <w:rsid w:val="00550895"/>
    <w:rsid w:val="00551FFF"/>
    <w:rsid w:val="00553EB0"/>
    <w:rsid w:val="0055426F"/>
    <w:rsid w:val="00554678"/>
    <w:rsid w:val="00555222"/>
    <w:rsid w:val="00557809"/>
    <w:rsid w:val="00557C85"/>
    <w:rsid w:val="00560C19"/>
    <w:rsid w:val="00561B7D"/>
    <w:rsid w:val="00562D36"/>
    <w:rsid w:val="00562E23"/>
    <w:rsid w:val="00563170"/>
    <w:rsid w:val="00565E32"/>
    <w:rsid w:val="005665B1"/>
    <w:rsid w:val="0056722B"/>
    <w:rsid w:val="00567CDC"/>
    <w:rsid w:val="00570BDD"/>
    <w:rsid w:val="00573060"/>
    <w:rsid w:val="0057388C"/>
    <w:rsid w:val="0057657D"/>
    <w:rsid w:val="00576614"/>
    <w:rsid w:val="005768F3"/>
    <w:rsid w:val="00576E52"/>
    <w:rsid w:val="00577957"/>
    <w:rsid w:val="00581039"/>
    <w:rsid w:val="005814AC"/>
    <w:rsid w:val="00581D56"/>
    <w:rsid w:val="00582246"/>
    <w:rsid w:val="00582436"/>
    <w:rsid w:val="0058309C"/>
    <w:rsid w:val="0058369E"/>
    <w:rsid w:val="00584093"/>
    <w:rsid w:val="0058425B"/>
    <w:rsid w:val="00585AB6"/>
    <w:rsid w:val="00585AD7"/>
    <w:rsid w:val="00585C38"/>
    <w:rsid w:val="00586FA1"/>
    <w:rsid w:val="005879B7"/>
    <w:rsid w:val="005926A9"/>
    <w:rsid w:val="005926FE"/>
    <w:rsid w:val="00593A64"/>
    <w:rsid w:val="00593B3D"/>
    <w:rsid w:val="00594585"/>
    <w:rsid w:val="005950FE"/>
    <w:rsid w:val="00596CE0"/>
    <w:rsid w:val="00597CC7"/>
    <w:rsid w:val="005A0745"/>
    <w:rsid w:val="005A23B8"/>
    <w:rsid w:val="005A27B6"/>
    <w:rsid w:val="005A2E34"/>
    <w:rsid w:val="005A3289"/>
    <w:rsid w:val="005A36A6"/>
    <w:rsid w:val="005A4BB0"/>
    <w:rsid w:val="005A5697"/>
    <w:rsid w:val="005A5FB6"/>
    <w:rsid w:val="005A60A1"/>
    <w:rsid w:val="005A6B2B"/>
    <w:rsid w:val="005A7C0B"/>
    <w:rsid w:val="005B0A27"/>
    <w:rsid w:val="005B1014"/>
    <w:rsid w:val="005B1521"/>
    <w:rsid w:val="005B325E"/>
    <w:rsid w:val="005B33EC"/>
    <w:rsid w:val="005B445D"/>
    <w:rsid w:val="005B4CDD"/>
    <w:rsid w:val="005B6912"/>
    <w:rsid w:val="005B6C42"/>
    <w:rsid w:val="005B6FD5"/>
    <w:rsid w:val="005B77A5"/>
    <w:rsid w:val="005C01F5"/>
    <w:rsid w:val="005C029D"/>
    <w:rsid w:val="005C1110"/>
    <w:rsid w:val="005C1739"/>
    <w:rsid w:val="005C331A"/>
    <w:rsid w:val="005C41EB"/>
    <w:rsid w:val="005C473B"/>
    <w:rsid w:val="005C68C9"/>
    <w:rsid w:val="005D0118"/>
    <w:rsid w:val="005D0483"/>
    <w:rsid w:val="005D0680"/>
    <w:rsid w:val="005D07D9"/>
    <w:rsid w:val="005D1941"/>
    <w:rsid w:val="005D1BE9"/>
    <w:rsid w:val="005D238E"/>
    <w:rsid w:val="005D2895"/>
    <w:rsid w:val="005D3CAB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733B"/>
    <w:rsid w:val="005D7830"/>
    <w:rsid w:val="005D7D69"/>
    <w:rsid w:val="005D7E3C"/>
    <w:rsid w:val="005E180C"/>
    <w:rsid w:val="005E1963"/>
    <w:rsid w:val="005E1D4B"/>
    <w:rsid w:val="005E2815"/>
    <w:rsid w:val="005E2EB3"/>
    <w:rsid w:val="005E3E9B"/>
    <w:rsid w:val="005E5415"/>
    <w:rsid w:val="005E5D06"/>
    <w:rsid w:val="005E5EBF"/>
    <w:rsid w:val="005E6632"/>
    <w:rsid w:val="005F0D2E"/>
    <w:rsid w:val="005F1F0E"/>
    <w:rsid w:val="005F1FC0"/>
    <w:rsid w:val="005F2467"/>
    <w:rsid w:val="005F2E1B"/>
    <w:rsid w:val="005F3E46"/>
    <w:rsid w:val="005F4616"/>
    <w:rsid w:val="005F5357"/>
    <w:rsid w:val="00600D77"/>
    <w:rsid w:val="00600D95"/>
    <w:rsid w:val="006013E0"/>
    <w:rsid w:val="006031AF"/>
    <w:rsid w:val="00607796"/>
    <w:rsid w:val="006078F5"/>
    <w:rsid w:val="00613A81"/>
    <w:rsid w:val="00615041"/>
    <w:rsid w:val="006170EF"/>
    <w:rsid w:val="00617A67"/>
    <w:rsid w:val="00617BEB"/>
    <w:rsid w:val="00621856"/>
    <w:rsid w:val="00622CF0"/>
    <w:rsid w:val="00623440"/>
    <w:rsid w:val="00623925"/>
    <w:rsid w:val="00624CE0"/>
    <w:rsid w:val="00625499"/>
    <w:rsid w:val="00626C37"/>
    <w:rsid w:val="00627948"/>
    <w:rsid w:val="006279EF"/>
    <w:rsid w:val="00627C24"/>
    <w:rsid w:val="0063078B"/>
    <w:rsid w:val="006318E1"/>
    <w:rsid w:val="006332C7"/>
    <w:rsid w:val="00633518"/>
    <w:rsid w:val="00633DBA"/>
    <w:rsid w:val="00633F5E"/>
    <w:rsid w:val="00634247"/>
    <w:rsid w:val="00634856"/>
    <w:rsid w:val="00634C05"/>
    <w:rsid w:val="00636540"/>
    <w:rsid w:val="00637056"/>
    <w:rsid w:val="0064120B"/>
    <w:rsid w:val="00641433"/>
    <w:rsid w:val="00641937"/>
    <w:rsid w:val="00642021"/>
    <w:rsid w:val="0064218D"/>
    <w:rsid w:val="0064322F"/>
    <w:rsid w:val="006443A8"/>
    <w:rsid w:val="00645377"/>
    <w:rsid w:val="0064643D"/>
    <w:rsid w:val="00646954"/>
    <w:rsid w:val="006473DB"/>
    <w:rsid w:val="0064773C"/>
    <w:rsid w:val="00647BE8"/>
    <w:rsid w:val="0065045C"/>
    <w:rsid w:val="00651154"/>
    <w:rsid w:val="00651A47"/>
    <w:rsid w:val="00652533"/>
    <w:rsid w:val="0065300A"/>
    <w:rsid w:val="00653B79"/>
    <w:rsid w:val="00654BBD"/>
    <w:rsid w:val="006550AF"/>
    <w:rsid w:val="006551E0"/>
    <w:rsid w:val="006559CC"/>
    <w:rsid w:val="00655B47"/>
    <w:rsid w:val="00655B8C"/>
    <w:rsid w:val="006575AC"/>
    <w:rsid w:val="00657DDA"/>
    <w:rsid w:val="0066027B"/>
    <w:rsid w:val="00660A7D"/>
    <w:rsid w:val="0066108F"/>
    <w:rsid w:val="0066175C"/>
    <w:rsid w:val="00661A4E"/>
    <w:rsid w:val="006620AD"/>
    <w:rsid w:val="00663397"/>
    <w:rsid w:val="00663FAD"/>
    <w:rsid w:val="00665ECF"/>
    <w:rsid w:val="0066619E"/>
    <w:rsid w:val="00667089"/>
    <w:rsid w:val="00671777"/>
    <w:rsid w:val="006717A3"/>
    <w:rsid w:val="00671ECF"/>
    <w:rsid w:val="0067261D"/>
    <w:rsid w:val="00672A2B"/>
    <w:rsid w:val="00672FEF"/>
    <w:rsid w:val="00675156"/>
    <w:rsid w:val="006754A3"/>
    <w:rsid w:val="0068033A"/>
    <w:rsid w:val="0068173C"/>
    <w:rsid w:val="006817AF"/>
    <w:rsid w:val="006820FF"/>
    <w:rsid w:val="00682795"/>
    <w:rsid w:val="00683592"/>
    <w:rsid w:val="00683796"/>
    <w:rsid w:val="00684477"/>
    <w:rsid w:val="00684C07"/>
    <w:rsid w:val="0068542B"/>
    <w:rsid w:val="00685467"/>
    <w:rsid w:val="006864D5"/>
    <w:rsid w:val="00686596"/>
    <w:rsid w:val="00686868"/>
    <w:rsid w:val="00687307"/>
    <w:rsid w:val="0069013E"/>
    <w:rsid w:val="00690E47"/>
    <w:rsid w:val="00691370"/>
    <w:rsid w:val="0069195E"/>
    <w:rsid w:val="00691E3B"/>
    <w:rsid w:val="00692444"/>
    <w:rsid w:val="006934E4"/>
    <w:rsid w:val="00693D6C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433"/>
    <w:rsid w:val="006A0757"/>
    <w:rsid w:val="006A0913"/>
    <w:rsid w:val="006A1512"/>
    <w:rsid w:val="006A15E9"/>
    <w:rsid w:val="006A230B"/>
    <w:rsid w:val="006A3B5A"/>
    <w:rsid w:val="006A552D"/>
    <w:rsid w:val="006A5708"/>
    <w:rsid w:val="006A5A1C"/>
    <w:rsid w:val="006A77FC"/>
    <w:rsid w:val="006A7BD0"/>
    <w:rsid w:val="006B11E8"/>
    <w:rsid w:val="006B12D2"/>
    <w:rsid w:val="006B14FF"/>
    <w:rsid w:val="006B2086"/>
    <w:rsid w:val="006B3C2A"/>
    <w:rsid w:val="006B695F"/>
    <w:rsid w:val="006B6E07"/>
    <w:rsid w:val="006B7ED4"/>
    <w:rsid w:val="006C0202"/>
    <w:rsid w:val="006C0438"/>
    <w:rsid w:val="006C0465"/>
    <w:rsid w:val="006C0877"/>
    <w:rsid w:val="006C09E5"/>
    <w:rsid w:val="006C0CD4"/>
    <w:rsid w:val="006C1139"/>
    <w:rsid w:val="006C15C1"/>
    <w:rsid w:val="006C15D0"/>
    <w:rsid w:val="006C1ABB"/>
    <w:rsid w:val="006C2CF5"/>
    <w:rsid w:val="006C31B7"/>
    <w:rsid w:val="006C39DF"/>
    <w:rsid w:val="006C4C14"/>
    <w:rsid w:val="006C60A7"/>
    <w:rsid w:val="006C6BFF"/>
    <w:rsid w:val="006C7006"/>
    <w:rsid w:val="006D0BD2"/>
    <w:rsid w:val="006D0E54"/>
    <w:rsid w:val="006D3119"/>
    <w:rsid w:val="006D5C60"/>
    <w:rsid w:val="006D68DC"/>
    <w:rsid w:val="006D7C72"/>
    <w:rsid w:val="006E004B"/>
    <w:rsid w:val="006E1197"/>
    <w:rsid w:val="006E15E3"/>
    <w:rsid w:val="006E2BE2"/>
    <w:rsid w:val="006E2F48"/>
    <w:rsid w:val="006E3028"/>
    <w:rsid w:val="006E51CE"/>
    <w:rsid w:val="006E54CD"/>
    <w:rsid w:val="006E743A"/>
    <w:rsid w:val="006F0D13"/>
    <w:rsid w:val="006F0E4F"/>
    <w:rsid w:val="006F193E"/>
    <w:rsid w:val="006F1D72"/>
    <w:rsid w:val="006F2FA8"/>
    <w:rsid w:val="006F62E6"/>
    <w:rsid w:val="006F6A79"/>
    <w:rsid w:val="006F794A"/>
    <w:rsid w:val="0070068D"/>
    <w:rsid w:val="00700954"/>
    <w:rsid w:val="007034D0"/>
    <w:rsid w:val="00705867"/>
    <w:rsid w:val="007067B6"/>
    <w:rsid w:val="00706F3D"/>
    <w:rsid w:val="00707120"/>
    <w:rsid w:val="00707602"/>
    <w:rsid w:val="00710424"/>
    <w:rsid w:val="00710591"/>
    <w:rsid w:val="007119A5"/>
    <w:rsid w:val="007122EA"/>
    <w:rsid w:val="007125AF"/>
    <w:rsid w:val="00712B97"/>
    <w:rsid w:val="007137CC"/>
    <w:rsid w:val="00714273"/>
    <w:rsid w:val="007143DA"/>
    <w:rsid w:val="00714E60"/>
    <w:rsid w:val="00715DF7"/>
    <w:rsid w:val="00716AC6"/>
    <w:rsid w:val="00717305"/>
    <w:rsid w:val="00717A01"/>
    <w:rsid w:val="00720767"/>
    <w:rsid w:val="00722189"/>
    <w:rsid w:val="00723882"/>
    <w:rsid w:val="00724CEF"/>
    <w:rsid w:val="00725C97"/>
    <w:rsid w:val="00727A17"/>
    <w:rsid w:val="007325A2"/>
    <w:rsid w:val="00732857"/>
    <w:rsid w:val="007328CF"/>
    <w:rsid w:val="00732D99"/>
    <w:rsid w:val="0073492C"/>
    <w:rsid w:val="00735526"/>
    <w:rsid w:val="007355D2"/>
    <w:rsid w:val="007360D9"/>
    <w:rsid w:val="00740BD9"/>
    <w:rsid w:val="00741BD7"/>
    <w:rsid w:val="00741C47"/>
    <w:rsid w:val="00742AC3"/>
    <w:rsid w:val="00742C5C"/>
    <w:rsid w:val="00743347"/>
    <w:rsid w:val="00743C10"/>
    <w:rsid w:val="00744469"/>
    <w:rsid w:val="00745483"/>
    <w:rsid w:val="00745AD8"/>
    <w:rsid w:val="0074699A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3124"/>
    <w:rsid w:val="00763B79"/>
    <w:rsid w:val="007645FF"/>
    <w:rsid w:val="00765A34"/>
    <w:rsid w:val="00766BC9"/>
    <w:rsid w:val="00766FB9"/>
    <w:rsid w:val="0076762A"/>
    <w:rsid w:val="0076780C"/>
    <w:rsid w:val="00770188"/>
    <w:rsid w:val="00772D6A"/>
    <w:rsid w:val="00773421"/>
    <w:rsid w:val="00773FE4"/>
    <w:rsid w:val="007745FE"/>
    <w:rsid w:val="00774BE8"/>
    <w:rsid w:val="00774E22"/>
    <w:rsid w:val="0077630F"/>
    <w:rsid w:val="00777AFE"/>
    <w:rsid w:val="00777F87"/>
    <w:rsid w:val="00780E61"/>
    <w:rsid w:val="00781DEE"/>
    <w:rsid w:val="0078348A"/>
    <w:rsid w:val="00784FCF"/>
    <w:rsid w:val="0078567D"/>
    <w:rsid w:val="007909B3"/>
    <w:rsid w:val="007926D5"/>
    <w:rsid w:val="007937C5"/>
    <w:rsid w:val="007A00D5"/>
    <w:rsid w:val="007A02DF"/>
    <w:rsid w:val="007A0429"/>
    <w:rsid w:val="007A054C"/>
    <w:rsid w:val="007A0E66"/>
    <w:rsid w:val="007A106F"/>
    <w:rsid w:val="007A2498"/>
    <w:rsid w:val="007A3C20"/>
    <w:rsid w:val="007A4238"/>
    <w:rsid w:val="007A430C"/>
    <w:rsid w:val="007A7334"/>
    <w:rsid w:val="007B2E46"/>
    <w:rsid w:val="007B348B"/>
    <w:rsid w:val="007B4778"/>
    <w:rsid w:val="007B4AFC"/>
    <w:rsid w:val="007B4F7A"/>
    <w:rsid w:val="007B601C"/>
    <w:rsid w:val="007B6A7F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7142"/>
    <w:rsid w:val="007C7AFB"/>
    <w:rsid w:val="007D01A0"/>
    <w:rsid w:val="007D04AD"/>
    <w:rsid w:val="007D0D66"/>
    <w:rsid w:val="007D40C4"/>
    <w:rsid w:val="007D41E2"/>
    <w:rsid w:val="007D4ED5"/>
    <w:rsid w:val="007D6641"/>
    <w:rsid w:val="007D7349"/>
    <w:rsid w:val="007D76C4"/>
    <w:rsid w:val="007D7FDE"/>
    <w:rsid w:val="007E05B5"/>
    <w:rsid w:val="007E06E3"/>
    <w:rsid w:val="007E0752"/>
    <w:rsid w:val="007E0D7B"/>
    <w:rsid w:val="007E656C"/>
    <w:rsid w:val="007E6919"/>
    <w:rsid w:val="007E79BB"/>
    <w:rsid w:val="007F09E0"/>
    <w:rsid w:val="007F2CA7"/>
    <w:rsid w:val="007F2FA3"/>
    <w:rsid w:val="007F31D9"/>
    <w:rsid w:val="007F353D"/>
    <w:rsid w:val="007F3847"/>
    <w:rsid w:val="007F3975"/>
    <w:rsid w:val="007F3DDC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C60"/>
    <w:rsid w:val="00820E63"/>
    <w:rsid w:val="00822F6F"/>
    <w:rsid w:val="00823DE5"/>
    <w:rsid w:val="00823EFA"/>
    <w:rsid w:val="008246A6"/>
    <w:rsid w:val="00825C9C"/>
    <w:rsid w:val="00825F06"/>
    <w:rsid w:val="0082604B"/>
    <w:rsid w:val="0082661B"/>
    <w:rsid w:val="00826B58"/>
    <w:rsid w:val="00827634"/>
    <w:rsid w:val="00827916"/>
    <w:rsid w:val="00827C0D"/>
    <w:rsid w:val="00827DE2"/>
    <w:rsid w:val="008325C4"/>
    <w:rsid w:val="008325DA"/>
    <w:rsid w:val="00832D5A"/>
    <w:rsid w:val="00833A0C"/>
    <w:rsid w:val="00833A84"/>
    <w:rsid w:val="008344F7"/>
    <w:rsid w:val="00834762"/>
    <w:rsid w:val="00834825"/>
    <w:rsid w:val="00834D94"/>
    <w:rsid w:val="0083547E"/>
    <w:rsid w:val="00835BBC"/>
    <w:rsid w:val="00837999"/>
    <w:rsid w:val="008379F4"/>
    <w:rsid w:val="0084029C"/>
    <w:rsid w:val="008407EE"/>
    <w:rsid w:val="00842AB8"/>
    <w:rsid w:val="0084366E"/>
    <w:rsid w:val="0084390C"/>
    <w:rsid w:val="00844D2C"/>
    <w:rsid w:val="00845B57"/>
    <w:rsid w:val="00845E27"/>
    <w:rsid w:val="00846510"/>
    <w:rsid w:val="008473C5"/>
    <w:rsid w:val="00851068"/>
    <w:rsid w:val="00852392"/>
    <w:rsid w:val="00853079"/>
    <w:rsid w:val="008533E4"/>
    <w:rsid w:val="00853CBC"/>
    <w:rsid w:val="00855149"/>
    <w:rsid w:val="008557C6"/>
    <w:rsid w:val="008577BA"/>
    <w:rsid w:val="00857F10"/>
    <w:rsid w:val="00860E74"/>
    <w:rsid w:val="00860E86"/>
    <w:rsid w:val="00862AF0"/>
    <w:rsid w:val="0086425D"/>
    <w:rsid w:val="00865A29"/>
    <w:rsid w:val="008660BF"/>
    <w:rsid w:val="00866C9F"/>
    <w:rsid w:val="00867752"/>
    <w:rsid w:val="008704DD"/>
    <w:rsid w:val="008735A9"/>
    <w:rsid w:val="0087393D"/>
    <w:rsid w:val="00874D53"/>
    <w:rsid w:val="008750A7"/>
    <w:rsid w:val="00876C88"/>
    <w:rsid w:val="008770F6"/>
    <w:rsid w:val="00877221"/>
    <w:rsid w:val="0088145B"/>
    <w:rsid w:val="00881FD0"/>
    <w:rsid w:val="008824D7"/>
    <w:rsid w:val="00882754"/>
    <w:rsid w:val="008840E8"/>
    <w:rsid w:val="00884DDB"/>
    <w:rsid w:val="0088505E"/>
    <w:rsid w:val="00885A0C"/>
    <w:rsid w:val="00886365"/>
    <w:rsid w:val="008870BF"/>
    <w:rsid w:val="0088731E"/>
    <w:rsid w:val="00887488"/>
    <w:rsid w:val="00887F4C"/>
    <w:rsid w:val="00890C24"/>
    <w:rsid w:val="00892A7A"/>
    <w:rsid w:val="00892D30"/>
    <w:rsid w:val="00892EE4"/>
    <w:rsid w:val="008931AC"/>
    <w:rsid w:val="00893809"/>
    <w:rsid w:val="008941B1"/>
    <w:rsid w:val="00894425"/>
    <w:rsid w:val="008944F4"/>
    <w:rsid w:val="00894BC8"/>
    <w:rsid w:val="0089529F"/>
    <w:rsid w:val="008962BE"/>
    <w:rsid w:val="00896312"/>
    <w:rsid w:val="00896515"/>
    <w:rsid w:val="00897342"/>
    <w:rsid w:val="008A0C9C"/>
    <w:rsid w:val="008A184F"/>
    <w:rsid w:val="008A1CBA"/>
    <w:rsid w:val="008A3AF4"/>
    <w:rsid w:val="008A448E"/>
    <w:rsid w:val="008A4DF1"/>
    <w:rsid w:val="008A6651"/>
    <w:rsid w:val="008A6CD6"/>
    <w:rsid w:val="008B0864"/>
    <w:rsid w:val="008B1424"/>
    <w:rsid w:val="008B1F2A"/>
    <w:rsid w:val="008B4A63"/>
    <w:rsid w:val="008B4AC5"/>
    <w:rsid w:val="008B4FD3"/>
    <w:rsid w:val="008B50A5"/>
    <w:rsid w:val="008B595A"/>
    <w:rsid w:val="008B6246"/>
    <w:rsid w:val="008B725E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7124"/>
    <w:rsid w:val="008C792A"/>
    <w:rsid w:val="008D14A9"/>
    <w:rsid w:val="008D1AAF"/>
    <w:rsid w:val="008D27B7"/>
    <w:rsid w:val="008D2E6F"/>
    <w:rsid w:val="008D37EC"/>
    <w:rsid w:val="008D3806"/>
    <w:rsid w:val="008D3987"/>
    <w:rsid w:val="008D449D"/>
    <w:rsid w:val="008D45C1"/>
    <w:rsid w:val="008D4C14"/>
    <w:rsid w:val="008D51E7"/>
    <w:rsid w:val="008D56B0"/>
    <w:rsid w:val="008D7771"/>
    <w:rsid w:val="008D7E8B"/>
    <w:rsid w:val="008E0A82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2722"/>
    <w:rsid w:val="008F3C1D"/>
    <w:rsid w:val="008F4F52"/>
    <w:rsid w:val="008F617D"/>
    <w:rsid w:val="008F649D"/>
    <w:rsid w:val="008F7AF7"/>
    <w:rsid w:val="00900152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769B"/>
    <w:rsid w:val="00907B6A"/>
    <w:rsid w:val="0091058F"/>
    <w:rsid w:val="00911F1B"/>
    <w:rsid w:val="00912426"/>
    <w:rsid w:val="00912704"/>
    <w:rsid w:val="00912A95"/>
    <w:rsid w:val="009130EC"/>
    <w:rsid w:val="00913D87"/>
    <w:rsid w:val="00915686"/>
    <w:rsid w:val="00916F2D"/>
    <w:rsid w:val="00917757"/>
    <w:rsid w:val="00920825"/>
    <w:rsid w:val="009208FB"/>
    <w:rsid w:val="009219B6"/>
    <w:rsid w:val="00922AF0"/>
    <w:rsid w:val="009251D3"/>
    <w:rsid w:val="00925C4D"/>
    <w:rsid w:val="0092631F"/>
    <w:rsid w:val="009264E7"/>
    <w:rsid w:val="0092695A"/>
    <w:rsid w:val="00927831"/>
    <w:rsid w:val="00927ECD"/>
    <w:rsid w:val="0093047E"/>
    <w:rsid w:val="00930FD8"/>
    <w:rsid w:val="009314EC"/>
    <w:rsid w:val="009326A8"/>
    <w:rsid w:val="009342AC"/>
    <w:rsid w:val="009407CD"/>
    <w:rsid w:val="00941491"/>
    <w:rsid w:val="00943520"/>
    <w:rsid w:val="00943EDF"/>
    <w:rsid w:val="0094475D"/>
    <w:rsid w:val="00945AD3"/>
    <w:rsid w:val="00946866"/>
    <w:rsid w:val="00947733"/>
    <w:rsid w:val="00950395"/>
    <w:rsid w:val="009508D9"/>
    <w:rsid w:val="00950B72"/>
    <w:rsid w:val="00950CC4"/>
    <w:rsid w:val="00951B74"/>
    <w:rsid w:val="0095365D"/>
    <w:rsid w:val="00953D66"/>
    <w:rsid w:val="00954235"/>
    <w:rsid w:val="00954470"/>
    <w:rsid w:val="00954471"/>
    <w:rsid w:val="00954845"/>
    <w:rsid w:val="009559E4"/>
    <w:rsid w:val="00955B9E"/>
    <w:rsid w:val="009563BB"/>
    <w:rsid w:val="009576E4"/>
    <w:rsid w:val="00957E37"/>
    <w:rsid w:val="00957FC4"/>
    <w:rsid w:val="009603D0"/>
    <w:rsid w:val="00960BF0"/>
    <w:rsid w:val="0096486F"/>
    <w:rsid w:val="00965AF2"/>
    <w:rsid w:val="00966D00"/>
    <w:rsid w:val="009716F2"/>
    <w:rsid w:val="00975C25"/>
    <w:rsid w:val="009766A1"/>
    <w:rsid w:val="00976C98"/>
    <w:rsid w:val="00981872"/>
    <w:rsid w:val="00983D5F"/>
    <w:rsid w:val="00985AB3"/>
    <w:rsid w:val="00985DD2"/>
    <w:rsid w:val="0098660E"/>
    <w:rsid w:val="009874E6"/>
    <w:rsid w:val="00987987"/>
    <w:rsid w:val="00991EC1"/>
    <w:rsid w:val="009921AC"/>
    <w:rsid w:val="00995616"/>
    <w:rsid w:val="00996593"/>
    <w:rsid w:val="009969D7"/>
    <w:rsid w:val="009974CC"/>
    <w:rsid w:val="00997739"/>
    <w:rsid w:val="009978D4"/>
    <w:rsid w:val="00997EF3"/>
    <w:rsid w:val="00997F9E"/>
    <w:rsid w:val="009A19F3"/>
    <w:rsid w:val="009A1F5D"/>
    <w:rsid w:val="009A1FF0"/>
    <w:rsid w:val="009A2085"/>
    <w:rsid w:val="009A3696"/>
    <w:rsid w:val="009A4775"/>
    <w:rsid w:val="009A47E3"/>
    <w:rsid w:val="009A55CF"/>
    <w:rsid w:val="009A67C9"/>
    <w:rsid w:val="009A6BC1"/>
    <w:rsid w:val="009A6D05"/>
    <w:rsid w:val="009A7820"/>
    <w:rsid w:val="009A7F14"/>
    <w:rsid w:val="009B04AF"/>
    <w:rsid w:val="009B0755"/>
    <w:rsid w:val="009B20AD"/>
    <w:rsid w:val="009B31E6"/>
    <w:rsid w:val="009B4A71"/>
    <w:rsid w:val="009B4BFB"/>
    <w:rsid w:val="009B4C6F"/>
    <w:rsid w:val="009B563C"/>
    <w:rsid w:val="009B5D6E"/>
    <w:rsid w:val="009B764C"/>
    <w:rsid w:val="009B7955"/>
    <w:rsid w:val="009B7B83"/>
    <w:rsid w:val="009C09FE"/>
    <w:rsid w:val="009C2B2F"/>
    <w:rsid w:val="009C5A25"/>
    <w:rsid w:val="009C6033"/>
    <w:rsid w:val="009C6D75"/>
    <w:rsid w:val="009C76E3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0162"/>
    <w:rsid w:val="009E1083"/>
    <w:rsid w:val="009E2221"/>
    <w:rsid w:val="009E2A58"/>
    <w:rsid w:val="009E3156"/>
    <w:rsid w:val="009E52D7"/>
    <w:rsid w:val="009E682C"/>
    <w:rsid w:val="009E7131"/>
    <w:rsid w:val="009F7A1C"/>
    <w:rsid w:val="00A000CA"/>
    <w:rsid w:val="00A00639"/>
    <w:rsid w:val="00A0221A"/>
    <w:rsid w:val="00A0394D"/>
    <w:rsid w:val="00A0414C"/>
    <w:rsid w:val="00A04837"/>
    <w:rsid w:val="00A064CC"/>
    <w:rsid w:val="00A104FC"/>
    <w:rsid w:val="00A124D9"/>
    <w:rsid w:val="00A129F3"/>
    <w:rsid w:val="00A137F7"/>
    <w:rsid w:val="00A13982"/>
    <w:rsid w:val="00A13B42"/>
    <w:rsid w:val="00A147DB"/>
    <w:rsid w:val="00A14DE7"/>
    <w:rsid w:val="00A15A25"/>
    <w:rsid w:val="00A15B7C"/>
    <w:rsid w:val="00A160AD"/>
    <w:rsid w:val="00A161A9"/>
    <w:rsid w:val="00A1669E"/>
    <w:rsid w:val="00A16D17"/>
    <w:rsid w:val="00A16EFD"/>
    <w:rsid w:val="00A20BC5"/>
    <w:rsid w:val="00A21054"/>
    <w:rsid w:val="00A21497"/>
    <w:rsid w:val="00A22750"/>
    <w:rsid w:val="00A231DE"/>
    <w:rsid w:val="00A24DA0"/>
    <w:rsid w:val="00A25B0F"/>
    <w:rsid w:val="00A26209"/>
    <w:rsid w:val="00A271B5"/>
    <w:rsid w:val="00A276D8"/>
    <w:rsid w:val="00A27CEB"/>
    <w:rsid w:val="00A3041C"/>
    <w:rsid w:val="00A3172A"/>
    <w:rsid w:val="00A34F03"/>
    <w:rsid w:val="00A374B1"/>
    <w:rsid w:val="00A400D9"/>
    <w:rsid w:val="00A413F7"/>
    <w:rsid w:val="00A41973"/>
    <w:rsid w:val="00A420CE"/>
    <w:rsid w:val="00A42774"/>
    <w:rsid w:val="00A43410"/>
    <w:rsid w:val="00A43DB9"/>
    <w:rsid w:val="00A44630"/>
    <w:rsid w:val="00A44E07"/>
    <w:rsid w:val="00A45128"/>
    <w:rsid w:val="00A4517E"/>
    <w:rsid w:val="00A502E5"/>
    <w:rsid w:val="00A51B13"/>
    <w:rsid w:val="00A51DC1"/>
    <w:rsid w:val="00A52030"/>
    <w:rsid w:val="00A521F4"/>
    <w:rsid w:val="00A5313B"/>
    <w:rsid w:val="00A53B08"/>
    <w:rsid w:val="00A544A4"/>
    <w:rsid w:val="00A54563"/>
    <w:rsid w:val="00A547C5"/>
    <w:rsid w:val="00A604A4"/>
    <w:rsid w:val="00A627E3"/>
    <w:rsid w:val="00A6296B"/>
    <w:rsid w:val="00A63363"/>
    <w:rsid w:val="00A644C5"/>
    <w:rsid w:val="00A654CA"/>
    <w:rsid w:val="00A675BA"/>
    <w:rsid w:val="00A67EC1"/>
    <w:rsid w:val="00A70962"/>
    <w:rsid w:val="00A70B4A"/>
    <w:rsid w:val="00A71977"/>
    <w:rsid w:val="00A71B9D"/>
    <w:rsid w:val="00A72622"/>
    <w:rsid w:val="00A72CD4"/>
    <w:rsid w:val="00A7325E"/>
    <w:rsid w:val="00A7345B"/>
    <w:rsid w:val="00A7352E"/>
    <w:rsid w:val="00A76613"/>
    <w:rsid w:val="00A77DC2"/>
    <w:rsid w:val="00A82F5A"/>
    <w:rsid w:val="00A83E10"/>
    <w:rsid w:val="00A84468"/>
    <w:rsid w:val="00A861D2"/>
    <w:rsid w:val="00A8649F"/>
    <w:rsid w:val="00A90165"/>
    <w:rsid w:val="00A90C4D"/>
    <w:rsid w:val="00A90F20"/>
    <w:rsid w:val="00A91DBE"/>
    <w:rsid w:val="00A938F3"/>
    <w:rsid w:val="00A948E9"/>
    <w:rsid w:val="00A950DB"/>
    <w:rsid w:val="00A95D14"/>
    <w:rsid w:val="00A95E94"/>
    <w:rsid w:val="00A95F76"/>
    <w:rsid w:val="00A978EA"/>
    <w:rsid w:val="00A97CE2"/>
    <w:rsid w:val="00AA2C91"/>
    <w:rsid w:val="00AA3CFD"/>
    <w:rsid w:val="00AA3F50"/>
    <w:rsid w:val="00AA42D6"/>
    <w:rsid w:val="00AA42EB"/>
    <w:rsid w:val="00AA4B9B"/>
    <w:rsid w:val="00AA7979"/>
    <w:rsid w:val="00AB1B38"/>
    <w:rsid w:val="00AB2E25"/>
    <w:rsid w:val="00AB33B7"/>
    <w:rsid w:val="00AB3C59"/>
    <w:rsid w:val="00AB4418"/>
    <w:rsid w:val="00AB4E95"/>
    <w:rsid w:val="00AB5E04"/>
    <w:rsid w:val="00AB6D2A"/>
    <w:rsid w:val="00AB717C"/>
    <w:rsid w:val="00AB72BA"/>
    <w:rsid w:val="00AB7AC9"/>
    <w:rsid w:val="00AC0073"/>
    <w:rsid w:val="00AC0FC8"/>
    <w:rsid w:val="00AC18C7"/>
    <w:rsid w:val="00AC22CF"/>
    <w:rsid w:val="00AC3986"/>
    <w:rsid w:val="00AC66D2"/>
    <w:rsid w:val="00AD1582"/>
    <w:rsid w:val="00AD272E"/>
    <w:rsid w:val="00AD2999"/>
    <w:rsid w:val="00AD370F"/>
    <w:rsid w:val="00AD3812"/>
    <w:rsid w:val="00AD4377"/>
    <w:rsid w:val="00AD4F26"/>
    <w:rsid w:val="00AD5BB6"/>
    <w:rsid w:val="00AD6880"/>
    <w:rsid w:val="00AD736B"/>
    <w:rsid w:val="00AE068C"/>
    <w:rsid w:val="00AE0D89"/>
    <w:rsid w:val="00AE1C32"/>
    <w:rsid w:val="00AE2082"/>
    <w:rsid w:val="00AE27A6"/>
    <w:rsid w:val="00AE2ABD"/>
    <w:rsid w:val="00AE2D48"/>
    <w:rsid w:val="00AE3F60"/>
    <w:rsid w:val="00AE553B"/>
    <w:rsid w:val="00AE5E67"/>
    <w:rsid w:val="00AE67F8"/>
    <w:rsid w:val="00AE779F"/>
    <w:rsid w:val="00AF015F"/>
    <w:rsid w:val="00AF09F9"/>
    <w:rsid w:val="00AF162A"/>
    <w:rsid w:val="00AF3096"/>
    <w:rsid w:val="00AF4665"/>
    <w:rsid w:val="00AF5E0B"/>
    <w:rsid w:val="00AF6349"/>
    <w:rsid w:val="00AF6C57"/>
    <w:rsid w:val="00AF6EFE"/>
    <w:rsid w:val="00B01809"/>
    <w:rsid w:val="00B01E6B"/>
    <w:rsid w:val="00B0283E"/>
    <w:rsid w:val="00B02BDD"/>
    <w:rsid w:val="00B033F4"/>
    <w:rsid w:val="00B04FEC"/>
    <w:rsid w:val="00B0688B"/>
    <w:rsid w:val="00B06DB1"/>
    <w:rsid w:val="00B06E0C"/>
    <w:rsid w:val="00B10786"/>
    <w:rsid w:val="00B10909"/>
    <w:rsid w:val="00B10F10"/>
    <w:rsid w:val="00B11331"/>
    <w:rsid w:val="00B117F6"/>
    <w:rsid w:val="00B12201"/>
    <w:rsid w:val="00B14433"/>
    <w:rsid w:val="00B16CE4"/>
    <w:rsid w:val="00B16D1D"/>
    <w:rsid w:val="00B16E69"/>
    <w:rsid w:val="00B20494"/>
    <w:rsid w:val="00B2066F"/>
    <w:rsid w:val="00B226CD"/>
    <w:rsid w:val="00B2336A"/>
    <w:rsid w:val="00B234AD"/>
    <w:rsid w:val="00B2594D"/>
    <w:rsid w:val="00B2778E"/>
    <w:rsid w:val="00B3257C"/>
    <w:rsid w:val="00B33398"/>
    <w:rsid w:val="00B33DDD"/>
    <w:rsid w:val="00B36132"/>
    <w:rsid w:val="00B3617A"/>
    <w:rsid w:val="00B36214"/>
    <w:rsid w:val="00B36E89"/>
    <w:rsid w:val="00B42576"/>
    <w:rsid w:val="00B446BF"/>
    <w:rsid w:val="00B44ADE"/>
    <w:rsid w:val="00B453A5"/>
    <w:rsid w:val="00B4597A"/>
    <w:rsid w:val="00B45A8F"/>
    <w:rsid w:val="00B50AB7"/>
    <w:rsid w:val="00B50EDD"/>
    <w:rsid w:val="00B531DA"/>
    <w:rsid w:val="00B55B9F"/>
    <w:rsid w:val="00B570D1"/>
    <w:rsid w:val="00B57E11"/>
    <w:rsid w:val="00B57ECB"/>
    <w:rsid w:val="00B600A7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54C"/>
    <w:rsid w:val="00B635C0"/>
    <w:rsid w:val="00B639AE"/>
    <w:rsid w:val="00B63BC5"/>
    <w:rsid w:val="00B64FE9"/>
    <w:rsid w:val="00B66ADA"/>
    <w:rsid w:val="00B70A77"/>
    <w:rsid w:val="00B70FEA"/>
    <w:rsid w:val="00B7208B"/>
    <w:rsid w:val="00B7305B"/>
    <w:rsid w:val="00B73F50"/>
    <w:rsid w:val="00B73F56"/>
    <w:rsid w:val="00B7423F"/>
    <w:rsid w:val="00B744FD"/>
    <w:rsid w:val="00B74770"/>
    <w:rsid w:val="00B750B3"/>
    <w:rsid w:val="00B7692B"/>
    <w:rsid w:val="00B772A4"/>
    <w:rsid w:val="00B80B06"/>
    <w:rsid w:val="00B817CC"/>
    <w:rsid w:val="00B82E10"/>
    <w:rsid w:val="00B851E2"/>
    <w:rsid w:val="00B85C21"/>
    <w:rsid w:val="00B85F87"/>
    <w:rsid w:val="00B86C71"/>
    <w:rsid w:val="00B87925"/>
    <w:rsid w:val="00B87AC9"/>
    <w:rsid w:val="00B87C77"/>
    <w:rsid w:val="00B92516"/>
    <w:rsid w:val="00B94BD5"/>
    <w:rsid w:val="00BA05AF"/>
    <w:rsid w:val="00BA05CB"/>
    <w:rsid w:val="00BA1CE0"/>
    <w:rsid w:val="00BA20BF"/>
    <w:rsid w:val="00BA3DCF"/>
    <w:rsid w:val="00BA72B1"/>
    <w:rsid w:val="00BA7DC0"/>
    <w:rsid w:val="00BA7DFB"/>
    <w:rsid w:val="00BB0D2B"/>
    <w:rsid w:val="00BB1F54"/>
    <w:rsid w:val="00BB3C65"/>
    <w:rsid w:val="00BB47D6"/>
    <w:rsid w:val="00BB4BB2"/>
    <w:rsid w:val="00BC0290"/>
    <w:rsid w:val="00BC1675"/>
    <w:rsid w:val="00BC1AA8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7770"/>
    <w:rsid w:val="00BD0705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F03"/>
    <w:rsid w:val="00BD713D"/>
    <w:rsid w:val="00BD79F2"/>
    <w:rsid w:val="00BE052F"/>
    <w:rsid w:val="00BE0F84"/>
    <w:rsid w:val="00BE269D"/>
    <w:rsid w:val="00BE26EE"/>
    <w:rsid w:val="00BE2C7E"/>
    <w:rsid w:val="00BE3EBD"/>
    <w:rsid w:val="00BE4D50"/>
    <w:rsid w:val="00BE5779"/>
    <w:rsid w:val="00BE681E"/>
    <w:rsid w:val="00BF011D"/>
    <w:rsid w:val="00BF0E04"/>
    <w:rsid w:val="00BF0F38"/>
    <w:rsid w:val="00BF14F4"/>
    <w:rsid w:val="00BF15FE"/>
    <w:rsid w:val="00BF1D74"/>
    <w:rsid w:val="00BF234A"/>
    <w:rsid w:val="00BF28A9"/>
    <w:rsid w:val="00BF2C8B"/>
    <w:rsid w:val="00BF332E"/>
    <w:rsid w:val="00BF3780"/>
    <w:rsid w:val="00BF3E41"/>
    <w:rsid w:val="00BF4F5B"/>
    <w:rsid w:val="00BF54EF"/>
    <w:rsid w:val="00BF7AFA"/>
    <w:rsid w:val="00C00EC9"/>
    <w:rsid w:val="00C013B4"/>
    <w:rsid w:val="00C016BD"/>
    <w:rsid w:val="00C01B45"/>
    <w:rsid w:val="00C02059"/>
    <w:rsid w:val="00C0250F"/>
    <w:rsid w:val="00C02639"/>
    <w:rsid w:val="00C02A7D"/>
    <w:rsid w:val="00C046B1"/>
    <w:rsid w:val="00C049EB"/>
    <w:rsid w:val="00C0692C"/>
    <w:rsid w:val="00C070B3"/>
    <w:rsid w:val="00C077F1"/>
    <w:rsid w:val="00C10A05"/>
    <w:rsid w:val="00C10BA4"/>
    <w:rsid w:val="00C10C88"/>
    <w:rsid w:val="00C12EDB"/>
    <w:rsid w:val="00C13086"/>
    <w:rsid w:val="00C166F9"/>
    <w:rsid w:val="00C179F7"/>
    <w:rsid w:val="00C17A37"/>
    <w:rsid w:val="00C200F7"/>
    <w:rsid w:val="00C21058"/>
    <w:rsid w:val="00C21104"/>
    <w:rsid w:val="00C217BA"/>
    <w:rsid w:val="00C21ABF"/>
    <w:rsid w:val="00C229EC"/>
    <w:rsid w:val="00C22F96"/>
    <w:rsid w:val="00C24351"/>
    <w:rsid w:val="00C268CF"/>
    <w:rsid w:val="00C26D09"/>
    <w:rsid w:val="00C26D53"/>
    <w:rsid w:val="00C2764E"/>
    <w:rsid w:val="00C305AE"/>
    <w:rsid w:val="00C307A8"/>
    <w:rsid w:val="00C30E83"/>
    <w:rsid w:val="00C334F9"/>
    <w:rsid w:val="00C3468B"/>
    <w:rsid w:val="00C34A2C"/>
    <w:rsid w:val="00C359BC"/>
    <w:rsid w:val="00C35BF2"/>
    <w:rsid w:val="00C35F99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33EA"/>
    <w:rsid w:val="00C476FD"/>
    <w:rsid w:val="00C51C29"/>
    <w:rsid w:val="00C5433E"/>
    <w:rsid w:val="00C54C3D"/>
    <w:rsid w:val="00C55103"/>
    <w:rsid w:val="00C553B5"/>
    <w:rsid w:val="00C60EE9"/>
    <w:rsid w:val="00C62F85"/>
    <w:rsid w:val="00C63C71"/>
    <w:rsid w:val="00C6435B"/>
    <w:rsid w:val="00C64827"/>
    <w:rsid w:val="00C649B2"/>
    <w:rsid w:val="00C65929"/>
    <w:rsid w:val="00C67698"/>
    <w:rsid w:val="00C701B3"/>
    <w:rsid w:val="00C706A5"/>
    <w:rsid w:val="00C70A4B"/>
    <w:rsid w:val="00C71138"/>
    <w:rsid w:val="00C72080"/>
    <w:rsid w:val="00C72318"/>
    <w:rsid w:val="00C73AF1"/>
    <w:rsid w:val="00C73C35"/>
    <w:rsid w:val="00C744C3"/>
    <w:rsid w:val="00C76249"/>
    <w:rsid w:val="00C77FF2"/>
    <w:rsid w:val="00C80E65"/>
    <w:rsid w:val="00C814E3"/>
    <w:rsid w:val="00C823BD"/>
    <w:rsid w:val="00C82FA2"/>
    <w:rsid w:val="00C85227"/>
    <w:rsid w:val="00C85F79"/>
    <w:rsid w:val="00C87EFC"/>
    <w:rsid w:val="00C91677"/>
    <w:rsid w:val="00C929CE"/>
    <w:rsid w:val="00C93EAA"/>
    <w:rsid w:val="00C93FD8"/>
    <w:rsid w:val="00C9434B"/>
    <w:rsid w:val="00C94A80"/>
    <w:rsid w:val="00C94E38"/>
    <w:rsid w:val="00C94F63"/>
    <w:rsid w:val="00C95A6B"/>
    <w:rsid w:val="00C95C1F"/>
    <w:rsid w:val="00C968CC"/>
    <w:rsid w:val="00C976F1"/>
    <w:rsid w:val="00C97B9F"/>
    <w:rsid w:val="00CA482A"/>
    <w:rsid w:val="00CA49CC"/>
    <w:rsid w:val="00CA5870"/>
    <w:rsid w:val="00CA6364"/>
    <w:rsid w:val="00CA6989"/>
    <w:rsid w:val="00CA6F5A"/>
    <w:rsid w:val="00CA6F70"/>
    <w:rsid w:val="00CA71DA"/>
    <w:rsid w:val="00CA7EF6"/>
    <w:rsid w:val="00CB00C5"/>
    <w:rsid w:val="00CB09C6"/>
    <w:rsid w:val="00CB1696"/>
    <w:rsid w:val="00CB2C1A"/>
    <w:rsid w:val="00CB3616"/>
    <w:rsid w:val="00CB3C08"/>
    <w:rsid w:val="00CB3CA9"/>
    <w:rsid w:val="00CB45B8"/>
    <w:rsid w:val="00CB592A"/>
    <w:rsid w:val="00CB6356"/>
    <w:rsid w:val="00CB6AA0"/>
    <w:rsid w:val="00CC30D7"/>
    <w:rsid w:val="00CC3DB6"/>
    <w:rsid w:val="00CC4490"/>
    <w:rsid w:val="00CC5917"/>
    <w:rsid w:val="00CC665B"/>
    <w:rsid w:val="00CC77E4"/>
    <w:rsid w:val="00CD00FA"/>
    <w:rsid w:val="00CD1559"/>
    <w:rsid w:val="00CD1E97"/>
    <w:rsid w:val="00CD259B"/>
    <w:rsid w:val="00CD3A9A"/>
    <w:rsid w:val="00CD3C0D"/>
    <w:rsid w:val="00CD4181"/>
    <w:rsid w:val="00CD7B38"/>
    <w:rsid w:val="00CE0A3F"/>
    <w:rsid w:val="00CE24DD"/>
    <w:rsid w:val="00CE27F5"/>
    <w:rsid w:val="00CE2B11"/>
    <w:rsid w:val="00CE4D13"/>
    <w:rsid w:val="00CE5396"/>
    <w:rsid w:val="00CE555C"/>
    <w:rsid w:val="00CE7872"/>
    <w:rsid w:val="00CF0163"/>
    <w:rsid w:val="00CF09A5"/>
    <w:rsid w:val="00CF3082"/>
    <w:rsid w:val="00CF3268"/>
    <w:rsid w:val="00CF3541"/>
    <w:rsid w:val="00CF38B5"/>
    <w:rsid w:val="00CF490A"/>
    <w:rsid w:val="00CF5E47"/>
    <w:rsid w:val="00CF6BB4"/>
    <w:rsid w:val="00CF6E6C"/>
    <w:rsid w:val="00CF6E70"/>
    <w:rsid w:val="00CF7444"/>
    <w:rsid w:val="00D002B7"/>
    <w:rsid w:val="00D00FB0"/>
    <w:rsid w:val="00D035C0"/>
    <w:rsid w:val="00D039D9"/>
    <w:rsid w:val="00D039E6"/>
    <w:rsid w:val="00D03E2E"/>
    <w:rsid w:val="00D04545"/>
    <w:rsid w:val="00D04DAB"/>
    <w:rsid w:val="00D05527"/>
    <w:rsid w:val="00D05A1E"/>
    <w:rsid w:val="00D05E8E"/>
    <w:rsid w:val="00D063DF"/>
    <w:rsid w:val="00D0784E"/>
    <w:rsid w:val="00D1034E"/>
    <w:rsid w:val="00D1059C"/>
    <w:rsid w:val="00D10EF1"/>
    <w:rsid w:val="00D1103E"/>
    <w:rsid w:val="00D1110F"/>
    <w:rsid w:val="00D113DE"/>
    <w:rsid w:val="00D11897"/>
    <w:rsid w:val="00D11FA6"/>
    <w:rsid w:val="00D12F92"/>
    <w:rsid w:val="00D138F5"/>
    <w:rsid w:val="00D139C9"/>
    <w:rsid w:val="00D13B8F"/>
    <w:rsid w:val="00D13E89"/>
    <w:rsid w:val="00D141C7"/>
    <w:rsid w:val="00D16D05"/>
    <w:rsid w:val="00D17130"/>
    <w:rsid w:val="00D17758"/>
    <w:rsid w:val="00D21428"/>
    <w:rsid w:val="00D22CE6"/>
    <w:rsid w:val="00D23E6D"/>
    <w:rsid w:val="00D23F6C"/>
    <w:rsid w:val="00D243B7"/>
    <w:rsid w:val="00D25B22"/>
    <w:rsid w:val="00D268A1"/>
    <w:rsid w:val="00D26D39"/>
    <w:rsid w:val="00D302B4"/>
    <w:rsid w:val="00D31987"/>
    <w:rsid w:val="00D319FE"/>
    <w:rsid w:val="00D323D1"/>
    <w:rsid w:val="00D33B2C"/>
    <w:rsid w:val="00D33BC0"/>
    <w:rsid w:val="00D33DDC"/>
    <w:rsid w:val="00D34415"/>
    <w:rsid w:val="00D35B9B"/>
    <w:rsid w:val="00D35EAD"/>
    <w:rsid w:val="00D37DFB"/>
    <w:rsid w:val="00D40078"/>
    <w:rsid w:val="00D4022D"/>
    <w:rsid w:val="00D414F5"/>
    <w:rsid w:val="00D41F51"/>
    <w:rsid w:val="00D454E7"/>
    <w:rsid w:val="00D45527"/>
    <w:rsid w:val="00D46097"/>
    <w:rsid w:val="00D46521"/>
    <w:rsid w:val="00D53275"/>
    <w:rsid w:val="00D54358"/>
    <w:rsid w:val="00D553C6"/>
    <w:rsid w:val="00D5577E"/>
    <w:rsid w:val="00D55F1F"/>
    <w:rsid w:val="00D5614A"/>
    <w:rsid w:val="00D563AD"/>
    <w:rsid w:val="00D5679E"/>
    <w:rsid w:val="00D567AA"/>
    <w:rsid w:val="00D57F34"/>
    <w:rsid w:val="00D604DA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13A0"/>
    <w:rsid w:val="00D7152A"/>
    <w:rsid w:val="00D720AD"/>
    <w:rsid w:val="00D7233D"/>
    <w:rsid w:val="00D724DC"/>
    <w:rsid w:val="00D741FC"/>
    <w:rsid w:val="00D7524D"/>
    <w:rsid w:val="00D75C4F"/>
    <w:rsid w:val="00D76CA5"/>
    <w:rsid w:val="00D76ED3"/>
    <w:rsid w:val="00D77DC1"/>
    <w:rsid w:val="00D77E85"/>
    <w:rsid w:val="00D77F27"/>
    <w:rsid w:val="00D80A2B"/>
    <w:rsid w:val="00D80D6A"/>
    <w:rsid w:val="00D83DDB"/>
    <w:rsid w:val="00D84084"/>
    <w:rsid w:val="00D8421B"/>
    <w:rsid w:val="00D85054"/>
    <w:rsid w:val="00D851B0"/>
    <w:rsid w:val="00D90594"/>
    <w:rsid w:val="00D90AA2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7C8"/>
    <w:rsid w:val="00DA244B"/>
    <w:rsid w:val="00DA3198"/>
    <w:rsid w:val="00DA3867"/>
    <w:rsid w:val="00DA3E9A"/>
    <w:rsid w:val="00DA65F6"/>
    <w:rsid w:val="00DA6F31"/>
    <w:rsid w:val="00DA706E"/>
    <w:rsid w:val="00DA7137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49B6"/>
    <w:rsid w:val="00DB5B40"/>
    <w:rsid w:val="00DB6DA6"/>
    <w:rsid w:val="00DC1302"/>
    <w:rsid w:val="00DC13E1"/>
    <w:rsid w:val="00DC1E47"/>
    <w:rsid w:val="00DC2397"/>
    <w:rsid w:val="00DC364B"/>
    <w:rsid w:val="00DC4B35"/>
    <w:rsid w:val="00DC4FBE"/>
    <w:rsid w:val="00DC5A31"/>
    <w:rsid w:val="00DC676B"/>
    <w:rsid w:val="00DD2648"/>
    <w:rsid w:val="00DD2A1E"/>
    <w:rsid w:val="00DD79E3"/>
    <w:rsid w:val="00DE048F"/>
    <w:rsid w:val="00DE215D"/>
    <w:rsid w:val="00DE491D"/>
    <w:rsid w:val="00DE552A"/>
    <w:rsid w:val="00DE5A78"/>
    <w:rsid w:val="00DE5D94"/>
    <w:rsid w:val="00DE7FFC"/>
    <w:rsid w:val="00DF0119"/>
    <w:rsid w:val="00DF171F"/>
    <w:rsid w:val="00DF1AB3"/>
    <w:rsid w:val="00DF1AB5"/>
    <w:rsid w:val="00DF221E"/>
    <w:rsid w:val="00DF369E"/>
    <w:rsid w:val="00DF62C2"/>
    <w:rsid w:val="00E0008D"/>
    <w:rsid w:val="00E009EE"/>
    <w:rsid w:val="00E00CDF"/>
    <w:rsid w:val="00E0120D"/>
    <w:rsid w:val="00E01521"/>
    <w:rsid w:val="00E016C4"/>
    <w:rsid w:val="00E02398"/>
    <w:rsid w:val="00E0246A"/>
    <w:rsid w:val="00E02A34"/>
    <w:rsid w:val="00E030B1"/>
    <w:rsid w:val="00E040F3"/>
    <w:rsid w:val="00E0420B"/>
    <w:rsid w:val="00E042F5"/>
    <w:rsid w:val="00E07170"/>
    <w:rsid w:val="00E0719F"/>
    <w:rsid w:val="00E07465"/>
    <w:rsid w:val="00E11853"/>
    <w:rsid w:val="00E11BB7"/>
    <w:rsid w:val="00E11D10"/>
    <w:rsid w:val="00E11EBD"/>
    <w:rsid w:val="00E1447C"/>
    <w:rsid w:val="00E1484A"/>
    <w:rsid w:val="00E14DE9"/>
    <w:rsid w:val="00E163A1"/>
    <w:rsid w:val="00E16DF8"/>
    <w:rsid w:val="00E16EEC"/>
    <w:rsid w:val="00E1715A"/>
    <w:rsid w:val="00E204D1"/>
    <w:rsid w:val="00E2206C"/>
    <w:rsid w:val="00E2269E"/>
    <w:rsid w:val="00E234D4"/>
    <w:rsid w:val="00E25030"/>
    <w:rsid w:val="00E265E4"/>
    <w:rsid w:val="00E3029E"/>
    <w:rsid w:val="00E30F1C"/>
    <w:rsid w:val="00E32127"/>
    <w:rsid w:val="00E3351C"/>
    <w:rsid w:val="00E33A89"/>
    <w:rsid w:val="00E3427F"/>
    <w:rsid w:val="00E34506"/>
    <w:rsid w:val="00E345E9"/>
    <w:rsid w:val="00E36F48"/>
    <w:rsid w:val="00E40EFD"/>
    <w:rsid w:val="00E41784"/>
    <w:rsid w:val="00E41E05"/>
    <w:rsid w:val="00E41E0C"/>
    <w:rsid w:val="00E42A8D"/>
    <w:rsid w:val="00E44128"/>
    <w:rsid w:val="00E442A1"/>
    <w:rsid w:val="00E443E4"/>
    <w:rsid w:val="00E45315"/>
    <w:rsid w:val="00E45773"/>
    <w:rsid w:val="00E461FA"/>
    <w:rsid w:val="00E477A6"/>
    <w:rsid w:val="00E47D6F"/>
    <w:rsid w:val="00E50D58"/>
    <w:rsid w:val="00E5131F"/>
    <w:rsid w:val="00E5224B"/>
    <w:rsid w:val="00E531E7"/>
    <w:rsid w:val="00E53AD3"/>
    <w:rsid w:val="00E543BB"/>
    <w:rsid w:val="00E555EA"/>
    <w:rsid w:val="00E55C95"/>
    <w:rsid w:val="00E55FB3"/>
    <w:rsid w:val="00E56009"/>
    <w:rsid w:val="00E56675"/>
    <w:rsid w:val="00E571CC"/>
    <w:rsid w:val="00E57400"/>
    <w:rsid w:val="00E60F25"/>
    <w:rsid w:val="00E619E4"/>
    <w:rsid w:val="00E61B27"/>
    <w:rsid w:val="00E627F6"/>
    <w:rsid w:val="00E62E41"/>
    <w:rsid w:val="00E638BD"/>
    <w:rsid w:val="00E640FA"/>
    <w:rsid w:val="00E6458A"/>
    <w:rsid w:val="00E66872"/>
    <w:rsid w:val="00E67510"/>
    <w:rsid w:val="00E67EE4"/>
    <w:rsid w:val="00E7052B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794"/>
    <w:rsid w:val="00E74ADC"/>
    <w:rsid w:val="00E7611D"/>
    <w:rsid w:val="00E7678D"/>
    <w:rsid w:val="00E772C0"/>
    <w:rsid w:val="00E8457A"/>
    <w:rsid w:val="00E85462"/>
    <w:rsid w:val="00E85929"/>
    <w:rsid w:val="00E865C9"/>
    <w:rsid w:val="00E870DB"/>
    <w:rsid w:val="00E87D24"/>
    <w:rsid w:val="00E905BD"/>
    <w:rsid w:val="00E9062C"/>
    <w:rsid w:val="00E90BFC"/>
    <w:rsid w:val="00E92BE9"/>
    <w:rsid w:val="00E92F9F"/>
    <w:rsid w:val="00E94716"/>
    <w:rsid w:val="00E9473C"/>
    <w:rsid w:val="00E94AC2"/>
    <w:rsid w:val="00E95525"/>
    <w:rsid w:val="00E959E8"/>
    <w:rsid w:val="00E96060"/>
    <w:rsid w:val="00E96E14"/>
    <w:rsid w:val="00E9702D"/>
    <w:rsid w:val="00E974FA"/>
    <w:rsid w:val="00E97A41"/>
    <w:rsid w:val="00EA1D6D"/>
    <w:rsid w:val="00EA1EEC"/>
    <w:rsid w:val="00EA2018"/>
    <w:rsid w:val="00EA205A"/>
    <w:rsid w:val="00EA3C3C"/>
    <w:rsid w:val="00EA4C22"/>
    <w:rsid w:val="00EA5580"/>
    <w:rsid w:val="00EA57D0"/>
    <w:rsid w:val="00EB078A"/>
    <w:rsid w:val="00EB0D9D"/>
    <w:rsid w:val="00EB1F10"/>
    <w:rsid w:val="00EB284E"/>
    <w:rsid w:val="00EB2FF9"/>
    <w:rsid w:val="00EB35F3"/>
    <w:rsid w:val="00EB41C4"/>
    <w:rsid w:val="00EB4313"/>
    <w:rsid w:val="00EB54B3"/>
    <w:rsid w:val="00EB5745"/>
    <w:rsid w:val="00EB5E7C"/>
    <w:rsid w:val="00EB61C0"/>
    <w:rsid w:val="00EB676E"/>
    <w:rsid w:val="00EB68B6"/>
    <w:rsid w:val="00EB6BE8"/>
    <w:rsid w:val="00EB6C77"/>
    <w:rsid w:val="00EB752B"/>
    <w:rsid w:val="00EC04CA"/>
    <w:rsid w:val="00EC1D43"/>
    <w:rsid w:val="00EC42FA"/>
    <w:rsid w:val="00EC5534"/>
    <w:rsid w:val="00EC578A"/>
    <w:rsid w:val="00EC6555"/>
    <w:rsid w:val="00EC6F5C"/>
    <w:rsid w:val="00EC75B2"/>
    <w:rsid w:val="00EC7956"/>
    <w:rsid w:val="00ED0791"/>
    <w:rsid w:val="00ED0ED5"/>
    <w:rsid w:val="00ED2CEA"/>
    <w:rsid w:val="00ED3373"/>
    <w:rsid w:val="00ED602D"/>
    <w:rsid w:val="00ED6E53"/>
    <w:rsid w:val="00ED7023"/>
    <w:rsid w:val="00ED71A4"/>
    <w:rsid w:val="00EE0397"/>
    <w:rsid w:val="00EE0655"/>
    <w:rsid w:val="00EE1923"/>
    <w:rsid w:val="00EE3490"/>
    <w:rsid w:val="00EE571A"/>
    <w:rsid w:val="00EE7131"/>
    <w:rsid w:val="00EE7955"/>
    <w:rsid w:val="00EF0475"/>
    <w:rsid w:val="00EF136E"/>
    <w:rsid w:val="00EF1E54"/>
    <w:rsid w:val="00EF24E6"/>
    <w:rsid w:val="00EF2C03"/>
    <w:rsid w:val="00EF2FA6"/>
    <w:rsid w:val="00EF2FFA"/>
    <w:rsid w:val="00EF3BCC"/>
    <w:rsid w:val="00EF4D2C"/>
    <w:rsid w:val="00EF5A96"/>
    <w:rsid w:val="00EF772F"/>
    <w:rsid w:val="00F04758"/>
    <w:rsid w:val="00F06A6A"/>
    <w:rsid w:val="00F06B39"/>
    <w:rsid w:val="00F06F28"/>
    <w:rsid w:val="00F07166"/>
    <w:rsid w:val="00F078CD"/>
    <w:rsid w:val="00F10829"/>
    <w:rsid w:val="00F109BA"/>
    <w:rsid w:val="00F11462"/>
    <w:rsid w:val="00F119B5"/>
    <w:rsid w:val="00F12B69"/>
    <w:rsid w:val="00F16BDC"/>
    <w:rsid w:val="00F17B9D"/>
    <w:rsid w:val="00F20644"/>
    <w:rsid w:val="00F20E5B"/>
    <w:rsid w:val="00F21FD0"/>
    <w:rsid w:val="00F2296F"/>
    <w:rsid w:val="00F23039"/>
    <w:rsid w:val="00F24882"/>
    <w:rsid w:val="00F24E95"/>
    <w:rsid w:val="00F27A8A"/>
    <w:rsid w:val="00F35575"/>
    <w:rsid w:val="00F3570E"/>
    <w:rsid w:val="00F35DBC"/>
    <w:rsid w:val="00F3620D"/>
    <w:rsid w:val="00F37379"/>
    <w:rsid w:val="00F37422"/>
    <w:rsid w:val="00F406EF"/>
    <w:rsid w:val="00F409B1"/>
    <w:rsid w:val="00F40FCE"/>
    <w:rsid w:val="00F40FEE"/>
    <w:rsid w:val="00F430E6"/>
    <w:rsid w:val="00F44BD0"/>
    <w:rsid w:val="00F44CD1"/>
    <w:rsid w:val="00F4574D"/>
    <w:rsid w:val="00F469DA"/>
    <w:rsid w:val="00F50003"/>
    <w:rsid w:val="00F50CB9"/>
    <w:rsid w:val="00F52F0C"/>
    <w:rsid w:val="00F53CD4"/>
    <w:rsid w:val="00F5423D"/>
    <w:rsid w:val="00F556FF"/>
    <w:rsid w:val="00F56124"/>
    <w:rsid w:val="00F566D3"/>
    <w:rsid w:val="00F57895"/>
    <w:rsid w:val="00F6021D"/>
    <w:rsid w:val="00F60885"/>
    <w:rsid w:val="00F60DDE"/>
    <w:rsid w:val="00F61D79"/>
    <w:rsid w:val="00F625E1"/>
    <w:rsid w:val="00F6278E"/>
    <w:rsid w:val="00F628B0"/>
    <w:rsid w:val="00F62B6E"/>
    <w:rsid w:val="00F65398"/>
    <w:rsid w:val="00F654BE"/>
    <w:rsid w:val="00F656E6"/>
    <w:rsid w:val="00F65FAF"/>
    <w:rsid w:val="00F663A6"/>
    <w:rsid w:val="00F66680"/>
    <w:rsid w:val="00F66E42"/>
    <w:rsid w:val="00F671C6"/>
    <w:rsid w:val="00F70FE5"/>
    <w:rsid w:val="00F71ED3"/>
    <w:rsid w:val="00F727CB"/>
    <w:rsid w:val="00F733C9"/>
    <w:rsid w:val="00F752D4"/>
    <w:rsid w:val="00F766B2"/>
    <w:rsid w:val="00F76B9D"/>
    <w:rsid w:val="00F80F35"/>
    <w:rsid w:val="00F81337"/>
    <w:rsid w:val="00F81E59"/>
    <w:rsid w:val="00F82FA0"/>
    <w:rsid w:val="00F8335D"/>
    <w:rsid w:val="00F83AD4"/>
    <w:rsid w:val="00F83EC5"/>
    <w:rsid w:val="00F8477B"/>
    <w:rsid w:val="00F86A23"/>
    <w:rsid w:val="00F86EAC"/>
    <w:rsid w:val="00F86FF5"/>
    <w:rsid w:val="00F90C09"/>
    <w:rsid w:val="00F90E31"/>
    <w:rsid w:val="00F93158"/>
    <w:rsid w:val="00F9424E"/>
    <w:rsid w:val="00F95AB9"/>
    <w:rsid w:val="00F960F0"/>
    <w:rsid w:val="00F96227"/>
    <w:rsid w:val="00FA00D7"/>
    <w:rsid w:val="00FA110B"/>
    <w:rsid w:val="00FA12E0"/>
    <w:rsid w:val="00FA1489"/>
    <w:rsid w:val="00FA174F"/>
    <w:rsid w:val="00FA1EC3"/>
    <w:rsid w:val="00FA2D27"/>
    <w:rsid w:val="00FA2E00"/>
    <w:rsid w:val="00FA2E08"/>
    <w:rsid w:val="00FA3097"/>
    <w:rsid w:val="00FA338A"/>
    <w:rsid w:val="00FA33E5"/>
    <w:rsid w:val="00FA37C6"/>
    <w:rsid w:val="00FA3D42"/>
    <w:rsid w:val="00FA5F0F"/>
    <w:rsid w:val="00FB3249"/>
    <w:rsid w:val="00FB444E"/>
    <w:rsid w:val="00FB45CC"/>
    <w:rsid w:val="00FB52FD"/>
    <w:rsid w:val="00FB5856"/>
    <w:rsid w:val="00FB5EC3"/>
    <w:rsid w:val="00FB5FAD"/>
    <w:rsid w:val="00FB6069"/>
    <w:rsid w:val="00FB60D3"/>
    <w:rsid w:val="00FB6CFF"/>
    <w:rsid w:val="00FB7CD3"/>
    <w:rsid w:val="00FC12D6"/>
    <w:rsid w:val="00FC1B5B"/>
    <w:rsid w:val="00FC2160"/>
    <w:rsid w:val="00FC2218"/>
    <w:rsid w:val="00FC2BA0"/>
    <w:rsid w:val="00FC336F"/>
    <w:rsid w:val="00FC370A"/>
    <w:rsid w:val="00FC4BB0"/>
    <w:rsid w:val="00FC4E57"/>
    <w:rsid w:val="00FC7126"/>
    <w:rsid w:val="00FC7143"/>
    <w:rsid w:val="00FC7C7F"/>
    <w:rsid w:val="00FD2441"/>
    <w:rsid w:val="00FD3616"/>
    <w:rsid w:val="00FD3A4D"/>
    <w:rsid w:val="00FD44AB"/>
    <w:rsid w:val="00FD4A4B"/>
    <w:rsid w:val="00FD511B"/>
    <w:rsid w:val="00FD5C41"/>
    <w:rsid w:val="00FD5E2D"/>
    <w:rsid w:val="00FD7AD8"/>
    <w:rsid w:val="00FD7BFC"/>
    <w:rsid w:val="00FD7C67"/>
    <w:rsid w:val="00FD7CAB"/>
    <w:rsid w:val="00FE0E04"/>
    <w:rsid w:val="00FE0FCA"/>
    <w:rsid w:val="00FE1AEA"/>
    <w:rsid w:val="00FE20AE"/>
    <w:rsid w:val="00FE3CBE"/>
    <w:rsid w:val="00FE416E"/>
    <w:rsid w:val="00FE4BDD"/>
    <w:rsid w:val="00FE639A"/>
    <w:rsid w:val="00FE6B1B"/>
    <w:rsid w:val="00FF1F1D"/>
    <w:rsid w:val="00FF2FF6"/>
    <w:rsid w:val="00FF31FB"/>
    <w:rsid w:val="00FF392F"/>
    <w:rsid w:val="00FF44FD"/>
    <w:rsid w:val="00FF45B1"/>
    <w:rsid w:val="00FF53E4"/>
    <w:rsid w:val="00FF662E"/>
    <w:rsid w:val="00FF7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www.hcp.m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6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6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6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6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6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en-US"/>
              <a:t>Evolution de l'Indice de Confiance des Ménages</a:t>
            </a:r>
            <a:endParaRPr lang="fr-FR"/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'graphe fr'!$A$17</c:f>
              <c:strCache>
                <c:ptCount val="1"/>
                <c:pt idx="0">
                  <c:v>ICM</c:v>
                </c:pt>
              </c:strCache>
            </c:strRef>
          </c:tx>
          <c:dLbls>
            <c:dLbl>
              <c:idx val="28"/>
              <c:layout/>
              <c:showVal val="1"/>
            </c:dLbl>
            <c:dLbl>
              <c:idx val="31"/>
              <c:layout/>
              <c:showVal val="1"/>
            </c:dLbl>
            <c:dLbl>
              <c:idx val="32"/>
              <c:layout>
                <c:manualLayout>
                  <c:x val="1.0631511800978101E-2"/>
                  <c:y val="0"/>
                </c:manualLayout>
              </c:layout>
              <c:showVal val="1"/>
            </c:dLbl>
            <c:delete val="1"/>
          </c:dLbls>
          <c:cat>
            <c:strRef>
              <c:f>'graphe fr'!$B$8:$AH$8</c:f>
              <c:strCache>
                <c:ptCount val="3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</c:strCache>
            </c:strRef>
          </c:cat>
          <c:val>
            <c:numRef>
              <c:f>'graphe fr'!$B$17:$AH$17</c:f>
              <c:numCache>
                <c:formatCode>#,##0.0</c:formatCode>
                <c:ptCount val="33"/>
                <c:pt idx="0">
                  <c:v>85.866502294191648</c:v>
                </c:pt>
                <c:pt idx="1">
                  <c:v>77.678707955852971</c:v>
                </c:pt>
                <c:pt idx="2">
                  <c:v>75.552480635756325</c:v>
                </c:pt>
                <c:pt idx="3">
                  <c:v>80.136884034904426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80.136086093619085</c:v>
                </c:pt>
                <c:pt idx="9">
                  <c:v>78.833388330574124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78.406406130604708</c:v>
                </c:pt>
                <c:pt idx="13">
                  <c:v>85.789532632532499</c:v>
                </c:pt>
                <c:pt idx="14">
                  <c:v>86.506225251482533</c:v>
                </c:pt>
                <c:pt idx="15">
                  <c:v>84.47721469487719</c:v>
                </c:pt>
                <c:pt idx="16">
                  <c:v>82.880478542821422</c:v>
                </c:pt>
                <c:pt idx="17">
                  <c:v>80.673652783725359</c:v>
                </c:pt>
                <c:pt idx="18">
                  <c:v>77.553867036569258</c:v>
                </c:pt>
                <c:pt idx="19">
                  <c:v>78.403353681349671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74.014553099961688</c:v>
                </c:pt>
                <c:pt idx="26">
                  <c:v>73.148145370690258</c:v>
                </c:pt>
                <c:pt idx="27">
                  <c:v>71.583460003653656</c:v>
                </c:pt>
                <c:pt idx="28">
                  <c:v>73.659282965035374</c:v>
                </c:pt>
                <c:pt idx="29">
                  <c:v>76.126311562996037</c:v>
                </c:pt>
                <c:pt idx="30">
                  <c:v>76.315005733685894</c:v>
                </c:pt>
                <c:pt idx="31">
                  <c:v>77.131028825386352</c:v>
                </c:pt>
                <c:pt idx="32">
                  <c:v>71.648499016392478</c:v>
                </c:pt>
              </c:numCache>
            </c:numRef>
          </c:val>
        </c:ser>
        <c:axId val="112141056"/>
        <c:axId val="112143744"/>
      </c:barChart>
      <c:catAx>
        <c:axId val="112141056"/>
        <c:scaling>
          <c:orientation val="minMax"/>
        </c:scaling>
        <c:axPos val="b"/>
        <c:tickLblPos val="nextTo"/>
        <c:crossAx val="112143744"/>
        <c:crosses val="autoZero"/>
        <c:auto val="1"/>
        <c:lblAlgn val="ctr"/>
        <c:lblOffset val="100"/>
      </c:catAx>
      <c:valAx>
        <c:axId val="112143744"/>
        <c:scaling>
          <c:orientation val="minMax"/>
        </c:scaling>
        <c:axPos val="l"/>
        <c:majorGridlines/>
        <c:numFmt formatCode="#,##0.0" sourceLinked="1"/>
        <c:tickLblPos val="nextTo"/>
        <c:crossAx val="112141056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fr-FR" sz="1600" b="1" i="0" baseline="0"/>
              <a:t>Perception de l'évolution passée et future </a:t>
            </a:r>
          </a:p>
          <a:p>
            <a:pPr algn="ctr">
              <a:defRPr/>
            </a:pPr>
            <a:r>
              <a:rPr lang="fr-FR" sz="1600" b="1" i="0" baseline="0"/>
              <a:t>du niveau de vie (soldes d'opinions) </a:t>
            </a:r>
          </a:p>
        </c:rich>
      </c:tx>
    </c:title>
    <c:plotArea>
      <c:layout>
        <c:manualLayout>
          <c:layoutTarget val="inner"/>
          <c:xMode val="edge"/>
          <c:yMode val="edge"/>
          <c:x val="7.3264894519763979E-2"/>
          <c:y val="0.29040498036918966"/>
          <c:w val="0.90467996763562464"/>
          <c:h val="0.59876821182476148"/>
        </c:manualLayout>
      </c:layout>
      <c:lineChart>
        <c:grouping val="standard"/>
        <c:ser>
          <c:idx val="0"/>
          <c:order val="0"/>
          <c:tx>
            <c:strRef>
              <c:f>'graphe fr'!$A$10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fr'!$B$8:$AH$8</c:f>
              <c:strCache>
                <c:ptCount val="3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</c:strCache>
            </c:strRef>
          </c:cat>
          <c:val>
            <c:numRef>
              <c:f>'graphe fr'!$B$10:$AH$10</c:f>
              <c:numCache>
                <c:formatCode>#,##0.0</c:formatCode>
                <c:ptCount val="33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-31.141291421499741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-25.723634629572995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-37.236760344983423</c:v>
                </c:pt>
                <c:pt idx="12">
                  <c:v>-26.050959167650056</c:v>
                </c:pt>
                <c:pt idx="13">
                  <c:v>-16.961438303130873</c:v>
                </c:pt>
                <c:pt idx="14">
                  <c:v>-13.439142519852021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-28.088708351168663</c:v>
                </c:pt>
                <c:pt idx="20">
                  <c:v>-29.212341127418195</c:v>
                </c:pt>
                <c:pt idx="21">
                  <c:v>-23.102864483982081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-17.387590506775616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 formatCode="###0.0">
                  <c:v>-22.864633579953775</c:v>
                </c:pt>
              </c:numCache>
            </c:numRef>
          </c:val>
        </c:ser>
        <c:ser>
          <c:idx val="1"/>
          <c:order val="1"/>
          <c:tx>
            <c:strRef>
              <c:f>'graphe fr'!$A$11</c:f>
              <c:strCache>
                <c:ptCount val="1"/>
                <c:pt idx="0">
                  <c:v>Evolution future du niveau de vie</c:v>
                </c:pt>
              </c:strCache>
            </c:strRef>
          </c:tx>
          <c:cat>
            <c:strRef>
              <c:f>'graphe fr'!$B$8:$AH$8</c:f>
              <c:strCache>
                <c:ptCount val="3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</c:strCache>
            </c:strRef>
          </c:cat>
          <c:val>
            <c:numRef>
              <c:f>'graphe fr'!$B$11:$AH$11</c:f>
              <c:numCache>
                <c:formatCode>#,##0.0</c:formatCode>
                <c:ptCount val="33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8.4334302751112963E-2</c:v>
                </c:pt>
                <c:pt idx="7">
                  <c:v>2.1853913991610052</c:v>
                </c:pt>
                <c:pt idx="8">
                  <c:v>0.39154986438085676</c:v>
                </c:pt>
                <c:pt idx="9">
                  <c:v>2.7314646872285109</c:v>
                </c:pt>
                <c:pt idx="10">
                  <c:v>0.19418325799955105</c:v>
                </c:pt>
                <c:pt idx="11">
                  <c:v>-11.371112777150765</c:v>
                </c:pt>
                <c:pt idx="12">
                  <c:v>-1.8875512037963251</c:v>
                </c:pt>
                <c:pt idx="13">
                  <c:v>18.132139936578788</c:v>
                </c:pt>
                <c:pt idx="14">
                  <c:v>11.870106120928298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-4.206860844830647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-11.389732068783616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-12.672429336417762</c:v>
                </c:pt>
                <c:pt idx="28">
                  <c:v>-8.8537661336825266</c:v>
                </c:pt>
                <c:pt idx="29">
                  <c:v>-7.2727206831161837</c:v>
                </c:pt>
                <c:pt idx="30">
                  <c:v>-7.7131091840762114</c:v>
                </c:pt>
                <c:pt idx="31">
                  <c:v>-8.0828133778612727</c:v>
                </c:pt>
                <c:pt idx="32" formatCode="###0.0">
                  <c:v>-14.22824639578895</c:v>
                </c:pt>
              </c:numCache>
            </c:numRef>
          </c:val>
        </c:ser>
        <c:marker val="1"/>
        <c:axId val="122624256"/>
        <c:axId val="127602688"/>
      </c:lineChart>
      <c:catAx>
        <c:axId val="122624256"/>
        <c:scaling>
          <c:orientation val="minMax"/>
        </c:scaling>
        <c:axPos val="b"/>
        <c:majorTickMark val="none"/>
        <c:tickLblPos val="nextTo"/>
        <c:crossAx val="127602688"/>
        <c:crosses val="autoZero"/>
        <c:auto val="1"/>
        <c:lblAlgn val="ctr"/>
        <c:lblOffset val="100"/>
      </c:catAx>
      <c:valAx>
        <c:axId val="127602688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12262425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fr-FR" sz="1600"/>
              <a:t>Perspective d'évolution du nombre de chômeurs</a:t>
            </a:r>
            <a:r>
              <a:rPr lang="fr-FR" sz="1600" baseline="0"/>
              <a:t> </a:t>
            </a:r>
            <a:r>
              <a:rPr lang="fr-FR" sz="1600" b="1" i="0" u="none" strike="noStrike" baseline="0"/>
              <a:t>(soldes d'opinions) </a:t>
            </a:r>
            <a:endParaRPr lang="fr-FR" sz="1600"/>
          </a:p>
          <a:p>
            <a:pPr>
              <a:defRPr/>
            </a:pPr>
            <a:endParaRPr lang="fr-FR"/>
          </a:p>
        </c:rich>
      </c:tx>
      <c:layout>
        <c:manualLayout>
          <c:xMode val="edge"/>
          <c:yMode val="edge"/>
          <c:x val="0.11743567935360422"/>
          <c:y val="0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'graphe fr'!$A$9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'graphe fr'!$B$8:$AH$8</c:f>
              <c:strCache>
                <c:ptCount val="3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</c:strCache>
            </c:strRef>
          </c:cat>
          <c:val>
            <c:numRef>
              <c:f>'graphe fr'!$B$9:$AH$9</c:f>
              <c:numCache>
                <c:formatCode>#,##0.0</c:formatCode>
                <c:ptCount val="33"/>
                <c:pt idx="0">
                  <c:v>-52.095692279179239</c:v>
                </c:pt>
                <c:pt idx="1">
                  <c:v>-56.601297669293238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-57.930600458568442</c:v>
                </c:pt>
                <c:pt idx="7">
                  <c:v>-57.517749523976484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-52.335316844022486</c:v>
                </c:pt>
                <c:pt idx="12">
                  <c:v>-52.408437207990346</c:v>
                </c:pt>
                <c:pt idx="13">
                  <c:v>-45.98227848623344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-66.493969881109308</c:v>
                </c:pt>
                <c:pt idx="26">
                  <c:v>-68.825577821249809</c:v>
                </c:pt>
                <c:pt idx="27">
                  <c:v>-68.019160185663324</c:v>
                </c:pt>
                <c:pt idx="28">
                  <c:v>-65.155740215393564</c:v>
                </c:pt>
                <c:pt idx="29">
                  <c:v>-67.056481822589518</c:v>
                </c:pt>
                <c:pt idx="30">
                  <c:v>-66.189276460398091</c:v>
                </c:pt>
                <c:pt idx="31">
                  <c:v>-64.100777949741683</c:v>
                </c:pt>
                <c:pt idx="32" formatCode="###0.0">
                  <c:v>-67.734442836360884</c:v>
                </c:pt>
              </c:numCache>
            </c:numRef>
          </c:val>
        </c:ser>
        <c:marker val="1"/>
        <c:axId val="128247296"/>
        <c:axId val="128577536"/>
      </c:lineChart>
      <c:catAx>
        <c:axId val="128247296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28577536"/>
        <c:crosses val="autoZero"/>
        <c:auto val="1"/>
        <c:lblAlgn val="ctr"/>
        <c:lblOffset val="100"/>
      </c:catAx>
      <c:valAx>
        <c:axId val="128577536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28247296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fr-FR" sz="1600" b="1" i="0" baseline="0"/>
              <a:t>Perceptions  par les ménages de leur situation financière</a:t>
            </a:r>
          </a:p>
          <a:p>
            <a:pPr algn="ctr">
              <a:defRPr/>
            </a:pPr>
            <a:r>
              <a:rPr lang="fr-FR" sz="1600" b="1" i="0" baseline="0"/>
              <a:t> (soldes d'opinions) 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fr'!$A$13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fr'!$B$8:$AH$8</c:f>
              <c:strCache>
                <c:ptCount val="3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</c:strCache>
            </c:strRef>
          </c:cat>
          <c:val>
            <c:numRef>
              <c:f>'graphe fr'!$B$13:$AH$13</c:f>
              <c:numCache>
                <c:formatCode>#,##0.0</c:formatCode>
                <c:ptCount val="33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-28.062624892496302</c:v>
                </c:pt>
                <c:pt idx="12">
                  <c:v>-30.64549893190372</c:v>
                </c:pt>
                <c:pt idx="13">
                  <c:v>-27.092549889444303</c:v>
                </c:pt>
                <c:pt idx="14">
                  <c:v>-24.28899054728441</c:v>
                </c:pt>
                <c:pt idx="15">
                  <c:v>-25.66971218134972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-30.846093343724188</c:v>
                </c:pt>
                <c:pt idx="19">
                  <c:v>-29.426966691861256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-29.484131282651209</c:v>
                </c:pt>
                <c:pt idx="23">
                  <c:v>-29.485585569479941</c:v>
                </c:pt>
                <c:pt idx="24">
                  <c:v>-31.290770339915035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-30.637429411694061</c:v>
                </c:pt>
                <c:pt idx="28">
                  <c:v>-32.404955656558201</c:v>
                </c:pt>
                <c:pt idx="29">
                  <c:v>-27.991516068681907</c:v>
                </c:pt>
                <c:pt idx="30">
                  <c:v>-25.071467645625653</c:v>
                </c:pt>
                <c:pt idx="31">
                  <c:v>-25.699936983325859</c:v>
                </c:pt>
                <c:pt idx="32" formatCode="###0.0">
                  <c:v>-27.232686212381406</c:v>
                </c:pt>
              </c:numCache>
            </c:numRef>
          </c:val>
        </c:ser>
        <c:ser>
          <c:idx val="1"/>
          <c:order val="1"/>
          <c:tx>
            <c:strRef>
              <c:f>'graphe fr'!$A$14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cat>
            <c:strRef>
              <c:f>'graphe fr'!$B$8:$AH$8</c:f>
              <c:strCache>
                <c:ptCount val="3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</c:strCache>
            </c:strRef>
          </c:cat>
          <c:val>
            <c:numRef>
              <c:f>'graphe fr'!$B$14:$AH$14</c:f>
              <c:numCache>
                <c:formatCode>#,##0.0</c:formatCode>
                <c:ptCount val="33"/>
                <c:pt idx="0">
                  <c:v>-11.760493904860514</c:v>
                </c:pt>
                <c:pt idx="1">
                  <c:v>-11.376439540974181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-18.438210074457348</c:v>
                </c:pt>
                <c:pt idx="5">
                  <c:v>-13.353492384896771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-9.8004349690184114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-21.891965579068515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-26.965288381475755</c:v>
                </c:pt>
                <c:pt idx="29">
                  <c:v>-20.216971341645095</c:v>
                </c:pt>
                <c:pt idx="30">
                  <c:v>-20.789363149769265</c:v>
                </c:pt>
                <c:pt idx="31">
                  <c:v>-18.50333400384844</c:v>
                </c:pt>
                <c:pt idx="32" formatCode="###0.0">
                  <c:v>-27.39802285641521</c:v>
                </c:pt>
              </c:numCache>
            </c:numRef>
          </c:val>
        </c:ser>
        <c:ser>
          <c:idx val="2"/>
          <c:order val="2"/>
          <c:tx>
            <c:strRef>
              <c:f>'graphe fr'!$A$15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cat>
            <c:strRef>
              <c:f>'graphe fr'!$B$8:$AH$8</c:f>
              <c:strCache>
                <c:ptCount val="3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</c:strCache>
            </c:strRef>
          </c:cat>
          <c:val>
            <c:numRef>
              <c:f>'graphe fr'!$B$15:$AH$15</c:f>
              <c:numCache>
                <c:formatCode>#,##0.0</c:formatCode>
                <c:ptCount val="33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26.705941849103173</c:v>
                </c:pt>
                <c:pt idx="4">
                  <c:v>26.769154239001914</c:v>
                </c:pt>
                <c:pt idx="5">
                  <c:v>21.986954089697061</c:v>
                </c:pt>
                <c:pt idx="6">
                  <c:v>17.532817766676509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11.776375704730492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11.230833640450321</c:v>
                </c:pt>
                <c:pt idx="17">
                  <c:v>11.136340416980383</c:v>
                </c:pt>
                <c:pt idx="18">
                  <c:v>7.6658451594012913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-1.7003971659207209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-3.9139038482871595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 formatCode="###0.0">
                  <c:v>1.2373351928093994</c:v>
                </c:pt>
              </c:numCache>
            </c:numRef>
          </c:val>
        </c:ser>
        <c:marker val="1"/>
        <c:axId val="51648384"/>
        <c:axId val="51649920"/>
      </c:lineChart>
      <c:catAx>
        <c:axId val="51648384"/>
        <c:scaling>
          <c:orientation val="minMax"/>
        </c:scaling>
        <c:axPos val="b"/>
        <c:majorTickMark val="none"/>
        <c:tickLblPos val="nextTo"/>
        <c:crossAx val="51649920"/>
        <c:crosses val="autoZero"/>
        <c:auto val="1"/>
        <c:lblAlgn val="ctr"/>
        <c:lblOffset val="100"/>
      </c:catAx>
      <c:valAx>
        <c:axId val="51649920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5164838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fr-FR" sz="1800" b="1" i="0" baseline="0"/>
              <a:t>Perception des évolutions passée et future des prix des produits alimentaires (soldes d'opinions)</a:t>
            </a:r>
            <a:endParaRPr lang="fr-FR"/>
          </a:p>
        </c:rich>
      </c:tx>
      <c:layout>
        <c:manualLayout>
          <c:xMode val="edge"/>
          <c:yMode val="edge"/>
          <c:x val="0.12986201378082754"/>
          <c:y val="3.8095238095238099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'graphe fr'!$A$19</c:f>
              <c:strCache>
                <c:ptCount val="1"/>
                <c:pt idx="0">
                  <c:v>Evolution  future des prix des produits alimentaires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fr'!$B$8:$AH$8</c:f>
              <c:strCache>
                <c:ptCount val="3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</c:strCache>
            </c:strRef>
          </c:cat>
          <c:val>
            <c:numRef>
              <c:f>'graphe fr'!$B$19:$AH$19</c:f>
              <c:numCache>
                <c:formatCode>#,##0.0</c:formatCode>
                <c:ptCount val="33"/>
                <c:pt idx="0">
                  <c:v>-74.061389031284818</c:v>
                </c:pt>
                <c:pt idx="1">
                  <c:v>-77.716574651610415</c:v>
                </c:pt>
                <c:pt idx="2">
                  <c:v>-78.940542419693813</c:v>
                </c:pt>
                <c:pt idx="3">
                  <c:v>-49.653420650313493</c:v>
                </c:pt>
                <c:pt idx="4">
                  <c:v>-34.869529990694446</c:v>
                </c:pt>
                <c:pt idx="5">
                  <c:v>-33.523065681383336</c:v>
                </c:pt>
                <c:pt idx="6">
                  <c:v>-50.919242344766445</c:v>
                </c:pt>
                <c:pt idx="7">
                  <c:v>-47.871947864454548</c:v>
                </c:pt>
                <c:pt idx="8">
                  <c:v>-46.515022811525846</c:v>
                </c:pt>
                <c:pt idx="9">
                  <c:v>-56.83293201142795</c:v>
                </c:pt>
                <c:pt idx="10">
                  <c:v>-62.176731306136944</c:v>
                </c:pt>
                <c:pt idx="11">
                  <c:v>-70.131788082404086</c:v>
                </c:pt>
                <c:pt idx="12">
                  <c:v>-73.412747182583786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-72.965887012434891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-73.578371466433779</c:v>
                </c:pt>
                <c:pt idx="19">
                  <c:v>-70.049698245525676</c:v>
                </c:pt>
                <c:pt idx="20">
                  <c:v>-76.096296687300708</c:v>
                </c:pt>
                <c:pt idx="21">
                  <c:v>-73.375476646911494</c:v>
                </c:pt>
                <c:pt idx="22">
                  <c:v>-76.007455926126042</c:v>
                </c:pt>
                <c:pt idx="23">
                  <c:v>-76.048555842624424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-76.898841721729696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</c:numCache>
            </c:numRef>
          </c:val>
        </c:ser>
        <c:ser>
          <c:idx val="1"/>
          <c:order val="1"/>
          <c:tx>
            <c:strRef>
              <c:f>'graphe fr'!$A$20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cat>
            <c:strRef>
              <c:f>'graphe fr'!$B$8:$AH$8</c:f>
              <c:strCache>
                <c:ptCount val="3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</c:strCache>
            </c:strRef>
          </c:cat>
          <c:val>
            <c:numRef>
              <c:f>'graphe fr'!$B$20:$AH$20</c:f>
              <c:numCache>
                <c:formatCode>#,##0.0</c:formatCode>
                <c:ptCount val="33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-83.278098478101384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-90.967802162493456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-89.924388392525955</c:v>
                </c:pt>
                <c:pt idx="15">
                  <c:v>-92.495216554147817</c:v>
                </c:pt>
                <c:pt idx="16">
                  <c:v>-91.625316584481681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-91.630328830979565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-84.135715875788975</c:v>
                </c:pt>
                <c:pt idx="26">
                  <c:v>-81.763249669623818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-84.284507159523685</c:v>
                </c:pt>
                <c:pt idx="31">
                  <c:v>-85.427496568127424</c:v>
                </c:pt>
                <c:pt idx="32">
                  <c:v>-85.452277394276848</c:v>
                </c:pt>
              </c:numCache>
            </c:numRef>
          </c:val>
        </c:ser>
        <c:marker val="1"/>
        <c:axId val="51684480"/>
        <c:axId val="51686016"/>
      </c:lineChart>
      <c:catAx>
        <c:axId val="5168448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51686016"/>
        <c:crosses val="autoZero"/>
        <c:auto val="1"/>
        <c:lblAlgn val="ctr"/>
        <c:lblOffset val="100"/>
      </c:catAx>
      <c:valAx>
        <c:axId val="51686016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5168448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63874-FB38-4E71-87F1-11F0D88BA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1378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8941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3</cp:revision>
  <cp:lastPrinted>2015-11-05T09:39:00Z</cp:lastPrinted>
  <dcterms:created xsi:type="dcterms:W3CDTF">2016-05-10T19:36:00Z</dcterms:created>
  <dcterms:modified xsi:type="dcterms:W3CDTF">2016-05-10T19:38:00Z</dcterms:modified>
</cp:coreProperties>
</file>