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8C2800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</w:t>
      </w:r>
      <w:r w:rsidR="00A064CC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462AA7" w:rsidP="00462AA7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Quatrième</w:t>
      </w:r>
      <w:r w:rsidR="00F430E6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</w:t>
      </w:r>
      <w:r w:rsidR="0030191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2015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462AA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</w:t>
      </w:r>
      <w:r w:rsidR="003658EF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3658EF">
        <w:rPr>
          <w:rFonts w:ascii="Times New Roman" w:hAnsi="Times New Roman" w:cs="Times New Roman"/>
          <w:b/>
          <w:color w:val="000000" w:themeColor="text1"/>
        </w:rPr>
        <w:t>’au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62AA7">
        <w:rPr>
          <w:rFonts w:ascii="Times New Roman" w:hAnsi="Times New Roman" w:cs="Times New Roman"/>
          <w:b/>
          <w:color w:val="000000" w:themeColor="text1"/>
        </w:rPr>
        <w:t>quatr</w:t>
      </w:r>
      <w:r w:rsidR="00B33DDD">
        <w:rPr>
          <w:rFonts w:ascii="Times New Roman" w:hAnsi="Times New Roman" w:cs="Times New Roman"/>
          <w:b/>
          <w:color w:val="000000" w:themeColor="text1"/>
        </w:rPr>
        <w:t>ième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 de 2015,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</w:t>
      </w:r>
      <w:r w:rsidR="00A45128" w:rsidRPr="00BD71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Confiance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 des Ménages (ICM) 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continue sa tendance haussière entamée depuis le quatrième trimestre de 2014. Il </w:t>
      </w:r>
      <w:r w:rsidR="003658EF">
        <w:rPr>
          <w:rFonts w:ascii="Times New Roman" w:hAnsi="Times New Roman" w:cs="Times New Roman"/>
          <w:b/>
          <w:bCs/>
          <w:color w:val="000000" w:themeColor="text1"/>
        </w:rPr>
        <w:t xml:space="preserve">aura enregistré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une hausse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4A126D">
        <w:rPr>
          <w:rFonts w:ascii="Times New Roman" w:hAnsi="Times New Roman" w:cs="Times New Roman"/>
          <w:b/>
          <w:bCs/>
          <w:color w:val="000000" w:themeColor="text1"/>
        </w:rPr>
        <w:t>0,</w:t>
      </w:r>
      <w:r w:rsidR="00462AA7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point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462AA7">
        <w:rPr>
          <w:rFonts w:ascii="Times New Roman" w:hAnsi="Times New Roman" w:cs="Times New Roman"/>
          <w:b/>
          <w:bCs/>
          <w:color w:val="000000" w:themeColor="text1"/>
        </w:rPr>
        <w:t>troisi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>ème</w:t>
      </w:r>
      <w:r w:rsidR="00F430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430E6" w:rsidRPr="00E56675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741BD7" w:rsidRPr="00E5667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6031AF" w:rsidRPr="00E56675">
        <w:rPr>
          <w:rFonts w:ascii="Times New Roman" w:hAnsi="Times New Roman" w:cs="Times New Roman" w:hint="cs"/>
          <w:b/>
          <w:bCs/>
          <w:color w:val="000000" w:themeColor="text1"/>
          <w:rtl/>
        </w:rPr>
        <w:t>2015</w:t>
      </w:r>
      <w:r w:rsidR="00741BD7" w:rsidRPr="00E5667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E5779" w:rsidRPr="00E56675">
        <w:rPr>
          <w:rFonts w:ascii="Times New Roman" w:hAnsi="Times New Roman" w:cs="Times New Roman"/>
          <w:b/>
          <w:color w:val="000000" w:themeColor="text1"/>
        </w:rPr>
        <w:t>et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62AA7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4A126D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462AA7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EB4313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même trimestre de l’année 2014.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F2296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F2296F">
        <w:rPr>
          <w:rFonts w:ascii="Times New Roman" w:hAnsi="Times New Roman" w:cs="Times New Roman"/>
          <w:color w:val="000000" w:themeColor="text1"/>
        </w:rPr>
        <w:t xml:space="preserve">quatrième </w:t>
      </w:r>
      <w:r w:rsidR="00F430E6">
        <w:rPr>
          <w:rFonts w:ascii="Times New Roman" w:hAnsi="Times New Roman" w:cs="Times New Roman"/>
          <w:color w:val="000000" w:themeColor="text1"/>
        </w:rPr>
        <w:t>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301913">
        <w:rPr>
          <w:rFonts w:ascii="Times New Roman" w:hAnsi="Times New Roman" w:cs="Times New Roman"/>
          <w:color w:val="000000" w:themeColor="text1"/>
        </w:rPr>
        <w:t>5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462AA7">
        <w:rPr>
          <w:rFonts w:ascii="Times New Roman" w:hAnsi="Times New Roman" w:cs="Times New Roman"/>
          <w:color w:val="000000" w:themeColor="text1"/>
        </w:rPr>
        <w:t>7</w:t>
      </w:r>
      <w:r w:rsidR="00301913">
        <w:rPr>
          <w:rFonts w:ascii="Times New Roman" w:hAnsi="Times New Roman" w:cs="Times New Roman"/>
          <w:color w:val="000000" w:themeColor="text1"/>
        </w:rPr>
        <w:t>,</w:t>
      </w:r>
      <w:r w:rsidR="00462AA7">
        <w:rPr>
          <w:rFonts w:ascii="Times New Roman" w:hAnsi="Times New Roman" w:cs="Times New Roman"/>
          <w:color w:val="000000" w:themeColor="text1"/>
        </w:rPr>
        <w:t>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B33DDD">
        <w:rPr>
          <w:rFonts w:ascii="Times New Roman" w:hAnsi="Times New Roman" w:cs="Times New Roman"/>
          <w:color w:val="000000" w:themeColor="text1"/>
        </w:rPr>
        <w:t>6,</w:t>
      </w:r>
      <w:r w:rsidR="00462AA7">
        <w:rPr>
          <w:rFonts w:ascii="Times New Roman" w:hAnsi="Times New Roman" w:cs="Times New Roman"/>
          <w:color w:val="000000" w:themeColor="text1"/>
        </w:rPr>
        <w:t>3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B33DDD">
        <w:rPr>
          <w:rFonts w:ascii="Times New Roman" w:hAnsi="Times New Roman" w:cs="Times New Roman"/>
          <w:color w:val="000000" w:themeColor="text1"/>
        </w:rPr>
        <w:t>7</w:t>
      </w:r>
      <w:r w:rsidR="00462AA7">
        <w:rPr>
          <w:rFonts w:ascii="Times New Roman" w:hAnsi="Times New Roman" w:cs="Times New Roman"/>
          <w:color w:val="000000" w:themeColor="text1"/>
        </w:rPr>
        <w:t>1</w:t>
      </w:r>
      <w:r w:rsidR="00B33DDD">
        <w:rPr>
          <w:rFonts w:ascii="Times New Roman" w:hAnsi="Times New Roman" w:cs="Times New Roman"/>
          <w:color w:val="000000" w:themeColor="text1"/>
        </w:rPr>
        <w:t>,</w:t>
      </w:r>
      <w:r w:rsidR="00462AA7">
        <w:rPr>
          <w:rFonts w:ascii="Times New Roman" w:hAnsi="Times New Roman" w:cs="Times New Roman"/>
          <w:color w:val="000000" w:themeColor="text1"/>
        </w:rPr>
        <w:t>6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1968E2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FE416E" w:rsidP="000D54E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FE41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926080"/>
            <wp:effectExtent l="19050" t="0" r="27940" b="762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636540" w:rsidRPr="003A3FCF" w:rsidRDefault="00636540" w:rsidP="00636540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1D6D" w:rsidRPr="00EA1D6D" w:rsidRDefault="005E5EBF" w:rsidP="00F2296F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Ressenti d’une</w:t>
      </w:r>
      <w:r w:rsidR="00126B26"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20AD"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amélio</w:t>
      </w:r>
      <w:r w:rsidR="00A627E3"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ration</w:t>
      </w:r>
      <w:r w:rsidR="00133687"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A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 niveau de vie </w:t>
      </w:r>
    </w:p>
    <w:p w:rsidR="00111470" w:rsidRPr="005D0680" w:rsidRDefault="002C2BED" w:rsidP="00727A1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quatrième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 de 2015, </w:t>
      </w:r>
      <w:r w:rsidR="00FD7C6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perceptions par les ménages de </w:t>
      </w:r>
      <w:r w:rsidR="00BA05A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l’évolution passée du niveau de vie </w:t>
      </w:r>
      <w:r w:rsidR="00FD7C6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se sont</w:t>
      </w:r>
      <w:r w:rsidR="00BA05A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amélio</w:t>
      </w:r>
      <w:r w:rsidR="00FD7C6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rées</w:t>
      </w:r>
      <w:r w:rsidR="004A126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04CA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3 point</w:t>
      </w:r>
      <w:r w:rsidR="00A627E3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E6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rapport au trimestre précédent et 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727A17" w:rsidRPr="005D0680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</w:t>
      </w:r>
      <w:r w:rsidR="000656C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2,7 </w:t>
      </w:r>
      <w:r w:rsidR="007B4AF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points par rapport au même trimestre de l’année passée</w:t>
      </w:r>
      <w:r w:rsidR="001114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1470" w:rsidRDefault="007B4AFC" w:rsidP="007B4AF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L</w:t>
      </w:r>
      <w:r w:rsidR="00FD7C67">
        <w:rPr>
          <w:rFonts w:ascii="Times New Roman" w:hAnsi="Times New Roman" w:cs="Times New Roman"/>
          <w:color w:val="000000" w:themeColor="text1"/>
        </w:rPr>
        <w:t xml:space="preserve">es perspectives d’évolution </w:t>
      </w:r>
      <w:r w:rsidR="00111470" w:rsidRPr="00C706A5">
        <w:rPr>
          <w:rFonts w:ascii="Times New Roman" w:hAnsi="Times New Roman" w:cs="Times New Roman"/>
          <w:color w:val="000000" w:themeColor="text1"/>
        </w:rPr>
        <w:t>d</w:t>
      </w:r>
      <w:r w:rsidR="00265566">
        <w:rPr>
          <w:rFonts w:ascii="Times New Roman" w:hAnsi="Times New Roman" w:cs="Times New Roman"/>
          <w:color w:val="000000" w:themeColor="text1"/>
        </w:rPr>
        <w:t>u</w:t>
      </w:r>
      <w:r w:rsidR="00111470" w:rsidRPr="00C706A5">
        <w:rPr>
          <w:rFonts w:ascii="Times New Roman" w:hAnsi="Times New Roman" w:cs="Times New Roman"/>
          <w:color w:val="000000" w:themeColor="text1"/>
        </w:rPr>
        <w:t xml:space="preserve"> niveau de vie</w:t>
      </w:r>
      <w:r w:rsidR="000656CB">
        <w:rPr>
          <w:rFonts w:ascii="Times New Roman" w:hAnsi="Times New Roman" w:cs="Times New Roman"/>
          <w:color w:val="000000" w:themeColor="text1"/>
        </w:rPr>
        <w:t>,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quant à elles, </w:t>
      </w:r>
      <w:r w:rsidR="00A95E94">
        <w:rPr>
          <w:rFonts w:ascii="Times New Roman" w:hAnsi="Times New Roman" w:cs="Times New Roman"/>
          <w:color w:val="000000" w:themeColor="text1"/>
        </w:rPr>
        <w:t>ont</w:t>
      </w:r>
      <w:r w:rsidR="00FD7C67">
        <w:rPr>
          <w:rFonts w:ascii="Times New Roman" w:hAnsi="Times New Roman" w:cs="Times New Roman"/>
          <w:color w:val="000000" w:themeColor="text1"/>
        </w:rPr>
        <w:t xml:space="preserve"> connu </w:t>
      </w:r>
      <w:r w:rsidR="00A627E3">
        <w:rPr>
          <w:rFonts w:ascii="Times New Roman" w:hAnsi="Times New Roman" w:cs="Times New Roman"/>
          <w:color w:val="000000" w:themeColor="text1"/>
        </w:rPr>
        <w:t>une détérioration</w:t>
      </w:r>
      <w:r w:rsidR="00111470">
        <w:rPr>
          <w:rFonts w:ascii="Times New Roman" w:hAnsi="Times New Roman" w:cs="Times New Roman"/>
          <w:color w:val="000000" w:themeColor="text1"/>
        </w:rPr>
        <w:t xml:space="preserve"> de </w:t>
      </w:r>
      <w:r w:rsidR="00A627E3">
        <w:rPr>
          <w:rFonts w:ascii="Times New Roman" w:hAnsi="Times New Roman" w:cs="Times New Roman"/>
          <w:color w:val="000000" w:themeColor="text1"/>
        </w:rPr>
        <w:t>0,4</w:t>
      </w:r>
      <w:r w:rsidR="00111470">
        <w:rPr>
          <w:rFonts w:ascii="Times New Roman" w:hAnsi="Times New Roman" w:cs="Times New Roman"/>
          <w:color w:val="000000" w:themeColor="text1"/>
        </w:rPr>
        <w:t xml:space="preserve"> point par rapport au trimestre précédent </w:t>
      </w:r>
      <w:r w:rsidR="00A160AD">
        <w:rPr>
          <w:rFonts w:ascii="Times New Roman" w:hAnsi="Times New Roman" w:cs="Times New Roman"/>
          <w:color w:val="000000" w:themeColor="text1"/>
        </w:rPr>
        <w:t xml:space="preserve">et </w:t>
      </w:r>
      <w:r w:rsidR="00A627E3">
        <w:rPr>
          <w:rFonts w:ascii="Times New Roman" w:hAnsi="Times New Roman" w:cs="Times New Roman"/>
          <w:color w:val="000000" w:themeColor="text1"/>
        </w:rPr>
        <w:t>une amélioration de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  <w:r w:rsidR="00A627E3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6</w:t>
      </w:r>
      <w:r w:rsidR="00A627E3">
        <w:rPr>
          <w:rFonts w:ascii="Times New Roman" w:hAnsi="Times New Roman" w:cs="Times New Roman"/>
          <w:color w:val="000000" w:themeColor="text1"/>
        </w:rPr>
        <w:t xml:space="preserve"> </w:t>
      </w:r>
      <w:r w:rsidR="00111470">
        <w:rPr>
          <w:rFonts w:ascii="Times New Roman" w:hAnsi="Times New Roman" w:cs="Times New Roman"/>
          <w:color w:val="000000" w:themeColor="text1"/>
        </w:rPr>
        <w:t>points par rapport au même trimestre de l’année précédente.</w:t>
      </w:r>
    </w:p>
    <w:p w:rsidR="0092695A" w:rsidRDefault="0092695A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</w:p>
    <w:p w:rsidR="00B06E0C" w:rsidRDefault="00FE416E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  <w:r w:rsidRPr="00FE416E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230344" cy="2934031"/>
            <wp:effectExtent l="19050" t="0" r="18056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0C" w:rsidRPr="00C706A5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0656CB" w:rsidRDefault="000656CB" w:rsidP="00727A1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727A17">
        <w:rPr>
          <w:rFonts w:ascii="Times New Roman" w:hAnsi="Times New Roman" w:cs="Times New Roman"/>
          <w:b/>
          <w:bCs/>
          <w:color w:val="000000" w:themeColor="text1"/>
        </w:rPr>
        <w:t>Evolution du chômage : anticipation d’une hausse</w:t>
      </w:r>
      <w:r w:rsidR="00727A17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27A17">
        <w:rPr>
          <w:rFonts w:ascii="Times New Roman" w:hAnsi="Times New Roman" w:cs="Times New Roman"/>
          <w:b/>
          <w:bCs/>
          <w:color w:val="000000" w:themeColor="text1"/>
        </w:rPr>
        <w:t>moins prononcée</w:t>
      </w:r>
      <w:r w:rsidRPr="00C706A5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:rsidR="009E0162" w:rsidRPr="00C706A5" w:rsidRDefault="009E0162" w:rsidP="00F556F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8421B" w:rsidRDefault="00C553B5" w:rsidP="00F556F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Au</w:t>
      </w:r>
      <w:r w:rsidR="003C2D1C">
        <w:rPr>
          <w:rFonts w:ascii="Times New Roman" w:hAnsi="Times New Roman" w:cs="Times New Roman"/>
          <w:color w:val="000000" w:themeColor="text1"/>
        </w:rPr>
        <w:t xml:space="preserve"> quatrième </w:t>
      </w:r>
      <w:r w:rsidR="00F430E6">
        <w:rPr>
          <w:rFonts w:ascii="Times New Roman" w:hAnsi="Times New Roman" w:cs="Times New Roman"/>
          <w:color w:val="000000" w:themeColor="text1"/>
        </w:rPr>
        <w:t>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E163A1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2066F" w:rsidRPr="00B2066F">
        <w:rPr>
          <w:rFonts w:ascii="Times New Roman" w:hAnsi="Times New Roman" w:cs="Times New Roman"/>
          <w:color w:val="000000" w:themeColor="text1"/>
        </w:rPr>
        <w:t>7</w:t>
      </w:r>
      <w:r w:rsidR="003C2D1C">
        <w:rPr>
          <w:rFonts w:ascii="Times New Roman" w:hAnsi="Times New Roman" w:cs="Times New Roman"/>
          <w:color w:val="000000" w:themeColor="text1"/>
        </w:rPr>
        <w:t>2</w:t>
      </w:r>
      <w:r w:rsidR="00B2066F" w:rsidRPr="00B2066F">
        <w:rPr>
          <w:rFonts w:ascii="Times New Roman" w:hAnsi="Times New Roman" w:cs="Times New Roman"/>
          <w:color w:val="000000" w:themeColor="text1"/>
        </w:rPr>
        <w:t>,</w:t>
      </w:r>
      <w:r w:rsidR="003C2D1C">
        <w:rPr>
          <w:rFonts w:ascii="Times New Roman" w:hAnsi="Times New Roman" w:cs="Times New Roman"/>
          <w:color w:val="000000" w:themeColor="text1"/>
        </w:rPr>
        <w:t>8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A3172A">
        <w:rPr>
          <w:rFonts w:ascii="Times New Roman" w:hAnsi="Times New Roman" w:cs="Times New Roman"/>
          <w:color w:val="000000" w:themeColor="text1"/>
        </w:rPr>
        <w:t>s’attendent à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une hausse du nombre de chômeurs pour les 12 mois à venir contre </w:t>
      </w:r>
      <w:r w:rsidR="00B2066F">
        <w:rPr>
          <w:rFonts w:ascii="Times New Roman" w:hAnsi="Times New Roman" w:cs="Times New Roman"/>
          <w:color w:val="000000" w:themeColor="text1"/>
        </w:rPr>
        <w:t>8,</w:t>
      </w:r>
      <w:r w:rsidR="003C2D1C">
        <w:rPr>
          <w:rFonts w:ascii="Times New Roman" w:hAnsi="Times New Roman" w:cs="Times New Roman"/>
          <w:color w:val="000000" w:themeColor="text1"/>
        </w:rPr>
        <w:t>7</w:t>
      </w:r>
      <w:r w:rsidR="00A3172A" w:rsidRPr="00C706A5">
        <w:rPr>
          <w:rFonts w:ascii="Times New Roman" w:hAnsi="Times New Roman" w:cs="Times New Roman"/>
          <w:color w:val="000000" w:themeColor="text1"/>
        </w:rPr>
        <w:t>%</w:t>
      </w:r>
      <w:r w:rsidR="00A3172A">
        <w:rPr>
          <w:rFonts w:ascii="Times New Roman" w:hAnsi="Times New Roman" w:cs="Times New Roman"/>
          <w:color w:val="000000" w:themeColor="text1"/>
        </w:rPr>
        <w:t xml:space="preserve"> qui pensent le contraire. 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3172A">
        <w:rPr>
          <w:rFonts w:ascii="Times New Roman" w:hAnsi="Times New Roman" w:cs="Times New Roman"/>
          <w:color w:val="000000" w:themeColor="text1"/>
        </w:rPr>
        <w:t>Avec un niveau négatif de -</w:t>
      </w:r>
      <w:r w:rsidR="00B2066F">
        <w:rPr>
          <w:rFonts w:ascii="Times New Roman" w:hAnsi="Times New Roman" w:cs="Times New Roman"/>
          <w:color w:val="000000" w:themeColor="text1"/>
        </w:rPr>
        <w:t>6</w:t>
      </w:r>
      <w:r w:rsidR="003C2D1C">
        <w:rPr>
          <w:rFonts w:ascii="Times New Roman" w:hAnsi="Times New Roman" w:cs="Times New Roman"/>
          <w:color w:val="000000" w:themeColor="text1"/>
        </w:rPr>
        <w:t>4</w:t>
      </w:r>
      <w:r w:rsidR="00B2066F">
        <w:rPr>
          <w:rFonts w:ascii="Times New Roman" w:hAnsi="Times New Roman" w:cs="Times New Roman"/>
          <w:color w:val="000000" w:themeColor="text1"/>
        </w:rPr>
        <w:t>,</w:t>
      </w:r>
      <w:r w:rsidR="003C2D1C">
        <w:rPr>
          <w:rFonts w:ascii="Times New Roman" w:hAnsi="Times New Roman" w:cs="Times New Roman"/>
          <w:color w:val="000000" w:themeColor="text1"/>
        </w:rPr>
        <w:t>1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A3172A">
        <w:rPr>
          <w:rFonts w:ascii="Times New Roman" w:hAnsi="Times New Roman" w:cs="Times New Roman"/>
          <w:color w:val="000000" w:themeColor="text1"/>
        </w:rPr>
        <w:t>, l</w:t>
      </w:r>
      <w:r w:rsidR="00A3172A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534965">
        <w:rPr>
          <w:rFonts w:ascii="Times New Roman" w:hAnsi="Times New Roman" w:cs="Times New Roman"/>
          <w:color w:val="000000" w:themeColor="text1"/>
        </w:rPr>
        <w:t>,</w:t>
      </w:r>
      <w:r w:rsidR="00A160AD">
        <w:rPr>
          <w:rFonts w:ascii="Times New Roman" w:hAnsi="Times New Roman" w:cs="Times New Roman"/>
          <w:color w:val="000000" w:themeColor="text1"/>
        </w:rPr>
        <w:t xml:space="preserve"> </w:t>
      </w:r>
      <w:r w:rsidR="00954471">
        <w:rPr>
          <w:rFonts w:ascii="Times New Roman" w:hAnsi="Times New Roman" w:cs="Times New Roman"/>
          <w:color w:val="000000" w:themeColor="text1"/>
        </w:rPr>
        <w:t xml:space="preserve">poursuit son amélioration </w:t>
      </w:r>
      <w:r w:rsidR="00534965">
        <w:rPr>
          <w:rFonts w:ascii="Times New Roman" w:hAnsi="Times New Roman" w:cs="Times New Roman"/>
          <w:color w:val="000000" w:themeColor="text1"/>
        </w:rPr>
        <w:t xml:space="preserve">en </w:t>
      </w:r>
      <w:r w:rsidR="00954471">
        <w:rPr>
          <w:rFonts w:ascii="Times New Roman" w:hAnsi="Times New Roman" w:cs="Times New Roman"/>
          <w:color w:val="000000" w:themeColor="text1"/>
        </w:rPr>
        <w:t xml:space="preserve">gagnant 2,1 points </w:t>
      </w:r>
      <w:r w:rsidR="003243FF">
        <w:rPr>
          <w:rFonts w:ascii="Times New Roman" w:hAnsi="Times New Roman" w:cs="Times New Roman"/>
          <w:color w:val="000000" w:themeColor="text1"/>
        </w:rPr>
        <w:t xml:space="preserve">par rapport à un trimestre auparavant </w:t>
      </w:r>
      <w:r w:rsidR="00954471">
        <w:rPr>
          <w:rFonts w:ascii="Times New Roman" w:hAnsi="Times New Roman" w:cs="Times New Roman"/>
          <w:color w:val="000000" w:themeColor="text1"/>
        </w:rPr>
        <w:t xml:space="preserve">et 3,9 points </w:t>
      </w:r>
      <w:r w:rsidR="003243FF">
        <w:rPr>
          <w:rFonts w:ascii="Times New Roman" w:hAnsi="Times New Roman" w:cs="Times New Roman"/>
          <w:color w:val="000000" w:themeColor="text1"/>
        </w:rPr>
        <w:t xml:space="preserve">par rapport à un an auparavant. </w:t>
      </w:r>
    </w:p>
    <w:p w:rsidR="00FE416E" w:rsidRPr="00B117F6" w:rsidRDefault="00FE416E" w:rsidP="003C2D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E41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136775"/>
            <wp:effectExtent l="19050" t="0" r="2794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16E" w:rsidRPr="00FE416E" w:rsidRDefault="00FE416E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A1D6D" w:rsidRPr="009E0162" w:rsidRDefault="003849A2" w:rsidP="00FC1B5B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EA1D6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656CB" w:rsidRPr="00EA1D6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Une conjoncture </w:t>
      </w:r>
      <w:r w:rsidR="000656CB" w:rsidRPr="00EA1D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toujours perçue comme peu favorable à l’achat des biens durables </w:t>
      </w:r>
    </w:p>
    <w:p w:rsidR="009E0162" w:rsidRPr="00EA1D6D" w:rsidRDefault="009E0162" w:rsidP="0012794C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FD2441" w:rsidRPr="005D0680" w:rsidRDefault="00FC1B5B" w:rsidP="00727A17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Un peu plus de 57</w:t>
      </w:r>
      <w:r w:rsidR="002226A1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% d</w:t>
      </w:r>
      <w:r w:rsidR="002D2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ménages marocains </w:t>
      </w:r>
      <w:r w:rsidR="00E265E4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considèrent</w:t>
      </w:r>
      <w:r w:rsidR="002D2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65E4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2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quatri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ème</w:t>
      </w:r>
      <w:r w:rsidR="00F430E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A161A9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2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421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DE552A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D2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6CE8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19435A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moment </w:t>
      </w:r>
      <w:r w:rsidR="00E265E4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n’est pas </w:t>
      </w:r>
      <w:r w:rsidR="00E9062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opportun </w:t>
      </w:r>
      <w:r w:rsidR="00A7325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pour</w:t>
      </w:r>
      <w:r w:rsidR="00E9062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faire des achats </w:t>
      </w:r>
      <w:r w:rsidR="0019435A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de biens durables</w:t>
      </w:r>
      <w:r w:rsidR="0009730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085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alors que</w:t>
      </w:r>
      <w:r w:rsidR="0038149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A1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près de 20</w:t>
      </w:r>
      <w:r w:rsidR="0038149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09730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pens</w:t>
      </w:r>
      <w:r w:rsidR="0038149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ent le contraire</w:t>
      </w:r>
      <w:r w:rsidR="00BC6D48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442A1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8149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e solde re</w:t>
      </w:r>
      <w:r w:rsidR="003C4254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latif à cet indicateur </w:t>
      </w:r>
      <w:r w:rsidR="00E442A1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s’établit à</w:t>
      </w:r>
      <w:r w:rsidR="00135D83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D83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points en</w:t>
      </w:r>
      <w:r w:rsidR="007C5542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dégradation 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</w:t>
      </w:r>
      <w:r w:rsidR="00AE2D48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A7E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83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par rapport au trimestre précédent</w:t>
      </w:r>
      <w:r w:rsidR="00F766B2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D3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en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amélioration </w:t>
      </w:r>
      <w:r w:rsidR="002A7E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2066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A7E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 </w:t>
      </w:r>
      <w:r w:rsidR="00D93D3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par rapport</w:t>
      </w:r>
      <w:r w:rsidR="00335081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même trimestre de l’année précédente</w:t>
      </w:r>
      <w:r w:rsidR="002A7E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18E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1D6D" w:rsidRDefault="00EA1D6D" w:rsidP="006C0CD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A1D6D" w:rsidRDefault="00222682" w:rsidP="00EA1D6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E2D48">
        <w:rPr>
          <w:rFonts w:ascii="Times New Roman" w:hAnsi="Times New Roman" w:cs="Times New Roman"/>
          <w:b/>
          <w:bCs/>
        </w:rPr>
        <w:t>•</w:t>
      </w:r>
      <w:r w:rsidR="002C1D2E" w:rsidRPr="00AE2D48">
        <w:rPr>
          <w:rFonts w:ascii="Times New Roman" w:hAnsi="Times New Roman" w:cs="Times New Roman"/>
          <w:b/>
          <w:bCs/>
        </w:rPr>
        <w:t xml:space="preserve"> </w:t>
      </w:r>
      <w:r w:rsidR="00A95E94" w:rsidRPr="00AE2D48">
        <w:rPr>
          <w:rFonts w:ascii="Times New Roman" w:hAnsi="Times New Roman" w:cs="Times New Roman"/>
          <w:b/>
          <w:bCs/>
        </w:rPr>
        <w:t xml:space="preserve">Situation financière des ménages : </w:t>
      </w:r>
      <w:r w:rsidR="00AE2D48" w:rsidRPr="00AE2D48">
        <w:rPr>
          <w:rFonts w:ascii="Times New Roman" w:hAnsi="Times New Roman" w:cs="Times New Roman"/>
          <w:b/>
          <w:bCs/>
        </w:rPr>
        <w:t xml:space="preserve">perceptions </w:t>
      </w:r>
      <w:r w:rsidR="006C0CD4">
        <w:rPr>
          <w:rFonts w:ascii="Times New Roman" w:hAnsi="Times New Roman" w:cs="Times New Roman"/>
          <w:b/>
          <w:bCs/>
        </w:rPr>
        <w:t>plus favorables</w:t>
      </w:r>
      <w:r w:rsidR="00892A7A">
        <w:rPr>
          <w:rFonts w:ascii="Times New Roman" w:hAnsi="Times New Roman" w:cs="Times New Roman"/>
          <w:b/>
          <w:bCs/>
        </w:rPr>
        <w:t xml:space="preserve"> </w:t>
      </w:r>
    </w:p>
    <w:p w:rsidR="009E0162" w:rsidRDefault="009E0162" w:rsidP="00EA1D6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93EAA" w:rsidRPr="002A18ED" w:rsidRDefault="00CB3616" w:rsidP="00EA1D6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Au </w:t>
      </w:r>
      <w:r w:rsidR="00A1669E">
        <w:rPr>
          <w:rFonts w:ascii="Times New Roman" w:hAnsi="Times New Roman" w:cs="Simplified Arabic"/>
          <w:lang w:bidi="ar-MA"/>
        </w:rPr>
        <w:t>quatr</w:t>
      </w:r>
      <w:r w:rsidR="00C95C1F">
        <w:rPr>
          <w:rFonts w:ascii="Times New Roman" w:hAnsi="Times New Roman" w:cs="Simplified Arabic"/>
          <w:lang w:bidi="ar-MA"/>
        </w:rPr>
        <w:t xml:space="preserve">ième </w:t>
      </w:r>
      <w:r>
        <w:rPr>
          <w:rFonts w:ascii="Times New Roman" w:hAnsi="Times New Roman" w:cs="Simplified Arabic"/>
          <w:lang w:bidi="ar-MA"/>
        </w:rPr>
        <w:t xml:space="preserve">trimestre de 2015, </w:t>
      </w:r>
      <w:r w:rsidR="00B2066F">
        <w:rPr>
          <w:rFonts w:ascii="Times New Roman" w:hAnsi="Times New Roman" w:cs="Simplified Arabic"/>
          <w:lang w:bidi="ar-MA"/>
        </w:rPr>
        <w:t>6</w:t>
      </w:r>
      <w:r w:rsidR="00A1669E">
        <w:rPr>
          <w:rFonts w:ascii="Times New Roman" w:hAnsi="Times New Roman" w:cs="Simplified Arabic"/>
          <w:lang w:bidi="ar-MA"/>
        </w:rPr>
        <w:t>1</w:t>
      </w:r>
      <w:r w:rsidR="00887488">
        <w:rPr>
          <w:rFonts w:ascii="Times New Roman" w:hAnsi="Times New Roman" w:cs="Simplified Arabic"/>
          <w:lang w:bidi="ar-MA"/>
        </w:rPr>
        <w:t>,</w:t>
      </w:r>
      <w:r w:rsidR="00B2066F">
        <w:rPr>
          <w:rFonts w:ascii="Times New Roman" w:hAnsi="Times New Roman" w:cs="Simplified Arabic"/>
          <w:lang w:bidi="ar-MA"/>
        </w:rPr>
        <w:t>5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</w:t>
      </w:r>
      <w:r w:rsidR="00B2066F">
        <w:rPr>
          <w:rFonts w:ascii="Times New Roman" w:hAnsi="Times New Roman" w:cs="Times New Roman"/>
          <w:color w:val="000000" w:themeColor="text1"/>
        </w:rPr>
        <w:t>32,</w:t>
      </w:r>
      <w:r w:rsidR="00A1669E">
        <w:rPr>
          <w:rFonts w:ascii="Times New Roman" w:hAnsi="Times New Roman" w:cs="Times New Roman"/>
          <w:color w:val="000000" w:themeColor="text1"/>
        </w:rPr>
        <w:t>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8D7E8B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>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 épargne</w:t>
      </w:r>
      <w:r w:rsidR="008941B1">
        <w:rPr>
          <w:rFonts w:ascii="Times New Roman" w:hAnsi="Times New Roman" w:cs="Times New Roman"/>
          <w:color w:val="000000" w:themeColor="text1"/>
        </w:rPr>
        <w:t xml:space="preserve"> et </w:t>
      </w:r>
      <w:r w:rsidR="00A1669E">
        <w:rPr>
          <w:rFonts w:ascii="Times New Roman" w:hAnsi="Times New Roman" w:cs="Times New Roman"/>
          <w:color w:val="000000" w:themeColor="text1"/>
        </w:rPr>
        <w:t>6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A1669E">
        <w:rPr>
          <w:rFonts w:ascii="Times New Roman" w:hAnsi="Times New Roman" w:cs="Times New Roman"/>
          <w:color w:val="000000" w:themeColor="text1"/>
        </w:rPr>
        <w:t>4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B2066F">
        <w:rPr>
          <w:rFonts w:ascii="Times New Roman" w:hAnsi="Times New Roman" w:cs="Times New Roman"/>
          <w:color w:val="000000" w:themeColor="text1"/>
        </w:rPr>
        <w:t>25,</w:t>
      </w:r>
      <w:r w:rsidR="00A1669E">
        <w:rPr>
          <w:rFonts w:ascii="Times New Roman" w:hAnsi="Times New Roman" w:cs="Times New Roman"/>
          <w:color w:val="000000" w:themeColor="text1"/>
        </w:rPr>
        <w:t>7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A1669E">
        <w:rPr>
          <w:rFonts w:ascii="Times New Roman" w:hAnsi="Times New Roman" w:cs="Times New Roman"/>
          <w:color w:val="000000" w:themeColor="text1"/>
        </w:rPr>
        <w:t>dégradation de 0,6 point par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A1669E">
        <w:rPr>
          <w:rFonts w:ascii="Times New Roman" w:hAnsi="Times New Roman" w:cs="Times New Roman"/>
          <w:color w:val="000000" w:themeColor="text1"/>
        </w:rPr>
        <w:t>et en amélioration de 4,</w:t>
      </w:r>
      <w:r w:rsidR="00BF4F5B">
        <w:rPr>
          <w:rFonts w:ascii="Times New Roman" w:hAnsi="Times New Roman" w:cs="Times New Roman"/>
          <w:color w:val="000000" w:themeColor="text1"/>
        </w:rPr>
        <w:t>9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87488">
        <w:rPr>
          <w:rFonts w:ascii="Times New Roman" w:hAnsi="Times New Roman" w:cs="Times New Roman"/>
          <w:color w:val="000000" w:themeColor="text1"/>
        </w:rPr>
        <w:t>s</w:t>
      </w:r>
      <w:r w:rsidR="007F31D9">
        <w:rPr>
          <w:rFonts w:ascii="Times New Roman" w:hAnsi="Times New Roman" w:cs="Times New Roman"/>
          <w:color w:val="000000" w:themeColor="text1"/>
        </w:rPr>
        <w:t xml:space="preserve"> par rapport 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4</w:t>
      </w:r>
      <w:r w:rsidR="007F31D9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B2594D" w:rsidP="00727A1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aux </w:t>
      </w:r>
      <w:r w:rsidR="00C95C1F">
        <w:rPr>
          <w:rFonts w:ascii="Times New Roman" w:hAnsi="Times New Roman" w:cs="Times New Roman"/>
          <w:color w:val="000000"/>
        </w:rPr>
        <w:t>perceptions des ménages sur l’évolution passée de l</w:t>
      </w:r>
      <w:r w:rsidR="00C95C1F"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>, le solde d’opinion</w:t>
      </w:r>
      <w:r w:rsidR="000656CB">
        <w:rPr>
          <w:rFonts w:ascii="Times New Roman" w:hAnsi="Times New Roman" w:cs="Times New Roman"/>
          <w:color w:val="000000"/>
        </w:rPr>
        <w:t xml:space="preserve"> </w:t>
      </w:r>
      <w:r w:rsidR="00727A17">
        <w:rPr>
          <w:rFonts w:ascii="Times New Roman" w:hAnsi="Times New Roman" w:cs="Times New Roman"/>
          <w:color w:val="000000"/>
        </w:rPr>
        <w:t>atteste d’</w:t>
      </w:r>
      <w:r>
        <w:rPr>
          <w:rFonts w:ascii="Times New Roman" w:hAnsi="Times New Roman" w:cs="Times New Roman"/>
          <w:color w:val="000000"/>
        </w:rPr>
        <w:t xml:space="preserve">une amélioration aussi bien par rapport au trimestre </w:t>
      </w:r>
      <w:r w:rsidR="00E2206C">
        <w:rPr>
          <w:rFonts w:ascii="Times New Roman" w:hAnsi="Times New Roman" w:cs="Times New Roman"/>
          <w:color w:val="000000"/>
        </w:rPr>
        <w:t>précédent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(+2,3 points) qu’au même trimestre de l’année précédente (</w:t>
      </w:r>
      <w:r w:rsidR="00B7305B">
        <w:rPr>
          <w:rFonts w:ascii="Times New Roman" w:hAnsi="Times New Roman" w:cs="Times New Roman"/>
          <w:color w:val="000000"/>
        </w:rPr>
        <w:t>+10,</w:t>
      </w:r>
      <w:r w:rsidR="000656CB">
        <w:rPr>
          <w:rFonts w:ascii="Times New Roman" w:hAnsi="Times New Roman" w:cs="Times New Roman"/>
          <w:color w:val="000000"/>
        </w:rPr>
        <w:t xml:space="preserve">7 </w:t>
      </w:r>
      <w:r>
        <w:rPr>
          <w:rFonts w:ascii="Times New Roman" w:hAnsi="Times New Roman" w:cs="Times New Roman"/>
          <w:color w:val="000000"/>
        </w:rPr>
        <w:t>points)</w:t>
      </w:r>
      <w:r w:rsidR="00F82FA0">
        <w:rPr>
          <w:rFonts w:ascii="Times New Roman" w:hAnsi="Times New Roman" w:cs="Times New Roman"/>
          <w:color w:val="000000"/>
        </w:rPr>
        <w:t>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F369E" w:rsidRDefault="00F76B9D" w:rsidP="00EA1D6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 </w:t>
      </w:r>
      <w:r w:rsidR="000656CB">
        <w:rPr>
          <w:rFonts w:ascii="Times New Roman" w:hAnsi="Times New Roman" w:cs="Times New Roman"/>
          <w:color w:val="000000"/>
        </w:rPr>
        <w:t xml:space="preserve">leurs </w:t>
      </w:r>
      <w:r w:rsidR="00B7305B">
        <w:rPr>
          <w:rFonts w:ascii="Times New Roman" w:hAnsi="Times New Roman" w:cs="Times New Roman"/>
          <w:color w:val="000000"/>
        </w:rPr>
        <w:t>parts</w:t>
      </w:r>
      <w:r>
        <w:rPr>
          <w:rFonts w:ascii="Times New Roman" w:hAnsi="Times New Roman" w:cs="Times New Roman"/>
          <w:color w:val="000000"/>
        </w:rPr>
        <w:t>, les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opinions des ménages sur </w:t>
      </w:r>
      <w:r w:rsidR="00763B79">
        <w:rPr>
          <w:rFonts w:ascii="Times New Roman" w:hAnsi="Times New Roman" w:cs="Times New Roman"/>
          <w:color w:val="000000"/>
        </w:rPr>
        <w:t>l’</w:t>
      </w:r>
      <w:r w:rsidR="00DF369E">
        <w:rPr>
          <w:rFonts w:ascii="Times New Roman" w:hAnsi="Times New Roman" w:cs="Times New Roman"/>
          <w:color w:val="000000"/>
        </w:rPr>
        <w:t>évolution future de l</w:t>
      </w:r>
      <w:r w:rsidR="00DF369E"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039D9">
        <w:rPr>
          <w:rFonts w:ascii="Times New Roman" w:hAnsi="Times New Roman" w:cs="Times New Roman"/>
          <w:color w:val="000000"/>
        </w:rPr>
        <w:t xml:space="preserve">ont connu la même tendance avec </w:t>
      </w:r>
      <w:r w:rsidR="00AE2D48">
        <w:rPr>
          <w:rFonts w:ascii="Times New Roman" w:hAnsi="Times New Roman" w:cs="Times New Roman"/>
          <w:color w:val="000000"/>
        </w:rPr>
        <w:t xml:space="preserve">une </w:t>
      </w:r>
      <w:r w:rsidR="00BF234A">
        <w:rPr>
          <w:rFonts w:ascii="Times New Roman" w:hAnsi="Times New Roman" w:cs="Times New Roman"/>
          <w:color w:val="000000"/>
        </w:rPr>
        <w:t>amélioration de 4</w:t>
      </w:r>
      <w:r w:rsidR="00BF4F5B">
        <w:rPr>
          <w:rFonts w:ascii="Times New Roman" w:hAnsi="Times New Roman" w:cs="Times New Roman"/>
          <w:color w:val="000000"/>
        </w:rPr>
        <w:t>,</w:t>
      </w:r>
      <w:r w:rsidR="00BF234A">
        <w:rPr>
          <w:rFonts w:ascii="Times New Roman" w:hAnsi="Times New Roman" w:cs="Times New Roman"/>
          <w:color w:val="000000"/>
        </w:rPr>
        <w:t>3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A95E94">
        <w:rPr>
          <w:rFonts w:ascii="Times New Roman" w:hAnsi="Times New Roman" w:cs="Times New Roman"/>
          <w:color w:val="000000"/>
        </w:rPr>
        <w:t>point</w:t>
      </w:r>
      <w:r w:rsidR="00BF234A">
        <w:rPr>
          <w:rFonts w:ascii="Times New Roman" w:hAnsi="Times New Roman" w:cs="Times New Roman"/>
          <w:color w:val="000000"/>
        </w:rPr>
        <w:t>s</w:t>
      </w:r>
      <w:r w:rsidR="00DF369E">
        <w:rPr>
          <w:rFonts w:ascii="Times New Roman" w:hAnsi="Times New Roman" w:cs="Times New Roman"/>
          <w:color w:val="000000"/>
        </w:rPr>
        <w:t xml:space="preserve"> par rapport au trimestre précédent et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BF4F5B">
        <w:rPr>
          <w:rFonts w:ascii="Times New Roman" w:hAnsi="Times New Roman" w:cs="Times New Roman"/>
          <w:color w:val="000000"/>
        </w:rPr>
        <w:t>de</w:t>
      </w:r>
      <w:r w:rsidR="00BF234A">
        <w:rPr>
          <w:rFonts w:ascii="Times New Roman" w:hAnsi="Times New Roman" w:cs="Times New Roman"/>
          <w:color w:val="000000"/>
        </w:rPr>
        <w:t xml:space="preserve"> </w:t>
      </w:r>
      <w:r w:rsidR="00B7305B">
        <w:rPr>
          <w:rFonts w:ascii="Times New Roman" w:hAnsi="Times New Roman" w:cs="Times New Roman"/>
          <w:color w:val="000000"/>
        </w:rPr>
        <w:t>11,</w:t>
      </w:r>
      <w:r w:rsidR="000656CB">
        <w:rPr>
          <w:rFonts w:ascii="Times New Roman" w:hAnsi="Times New Roman" w:cs="Times New Roman"/>
          <w:color w:val="000000"/>
        </w:rPr>
        <w:t xml:space="preserve">5 </w:t>
      </w:r>
      <w:r w:rsidR="00DF369E">
        <w:rPr>
          <w:rFonts w:ascii="Times New Roman" w:hAnsi="Times New Roman" w:cs="Times New Roman"/>
          <w:color w:val="000000"/>
        </w:rPr>
        <w:t>point</w:t>
      </w:r>
      <w:r w:rsidR="00420913">
        <w:rPr>
          <w:rFonts w:ascii="Times New Roman" w:hAnsi="Times New Roman" w:cs="Times New Roman"/>
          <w:color w:val="000000"/>
        </w:rPr>
        <w:t>s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F369E" w:rsidRPr="00B10F10">
        <w:rPr>
          <w:rFonts w:ascii="Times New Roman" w:hAnsi="Times New Roman" w:cs="Times New Roman"/>
          <w:color w:val="000000"/>
        </w:rPr>
        <w:t>par rapport</w:t>
      </w:r>
      <w:r w:rsidR="00F82FA0" w:rsidRPr="00F82FA0">
        <w:rPr>
          <w:rFonts w:ascii="Times New Roman" w:hAnsi="Times New Roman" w:cs="Times New Roman"/>
          <w:color w:val="000000"/>
        </w:rPr>
        <w:t xml:space="preserve"> </w:t>
      </w:r>
      <w:r w:rsidR="00F82FA0" w:rsidRPr="00B10F10">
        <w:rPr>
          <w:rFonts w:ascii="Times New Roman" w:hAnsi="Times New Roman" w:cs="Times New Roman"/>
          <w:color w:val="000000"/>
        </w:rPr>
        <w:t xml:space="preserve">à un </w:t>
      </w:r>
      <w:r w:rsidR="00F82FA0">
        <w:rPr>
          <w:rFonts w:ascii="Times New Roman" w:hAnsi="Times New Roman" w:cs="Times New Roman"/>
          <w:color w:val="000000"/>
        </w:rPr>
        <w:t xml:space="preserve">an </w:t>
      </w:r>
      <w:r w:rsidR="00F82FA0" w:rsidRPr="00B10F10">
        <w:rPr>
          <w:rFonts w:ascii="Times New Roman" w:hAnsi="Times New Roman" w:cs="Times New Roman"/>
          <w:color w:val="000000"/>
        </w:rPr>
        <w:t>auparavant</w:t>
      </w:r>
      <w:r w:rsidR="00F82FA0">
        <w:rPr>
          <w:rFonts w:ascii="Times New Roman" w:hAnsi="Times New Roman" w:cs="Times New Roman"/>
          <w:color w:val="000000"/>
        </w:rPr>
        <w:t>.</w:t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62F85" w:rsidRDefault="00FE416E" w:rsidP="00FB3249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E416E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095503" cy="3013545"/>
            <wp:effectExtent l="19050" t="0" r="19547" b="0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D75C4F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l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 ménages </w:t>
      </w:r>
    </w:p>
    <w:p w:rsidR="00A52030" w:rsidRPr="00C706A5" w:rsidRDefault="00A52030" w:rsidP="00E531E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En plus des sept indicateurs composant l’ICM, l’enquête fournit des données trimestrielles sur l</w:t>
      </w:r>
      <w:r w:rsidR="00E531E7">
        <w:rPr>
          <w:rFonts w:ascii="Times New Roman" w:hAnsi="Times New Roman" w:cs="Times New Roman"/>
          <w:color w:val="000000" w:themeColor="text1"/>
        </w:rPr>
        <w:t>a</w:t>
      </w:r>
      <w:r w:rsidRPr="00C706A5">
        <w:rPr>
          <w:rFonts w:ascii="Times New Roman" w:hAnsi="Times New Roman" w:cs="Times New Roman"/>
          <w:color w:val="000000" w:themeColor="text1"/>
        </w:rPr>
        <w:t xml:space="preserve"> perception des ménages relatives à d’autres aspects de leurs conditions de vie. Il s’agit en particulier de la capacité d’épargne et de l’évolution des prix des produits alimentaires. </w:t>
      </w:r>
    </w:p>
    <w:p w:rsidR="00A52030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Default="009E0162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Default="009E0162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Default="009E0162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Default="009E0162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Pr="00C706A5" w:rsidRDefault="009E0162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57F34" w:rsidRPr="009E0162" w:rsidRDefault="00727A17" w:rsidP="00727A1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Les ménages sont moins p</w:t>
      </w:r>
      <w:r w:rsidR="000656CB"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essimis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tes</w:t>
      </w:r>
      <w:r w:rsidR="000656CB"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quant à leur capacité future d’épargner   </w:t>
      </w:r>
    </w:p>
    <w:p w:rsidR="009E0162" w:rsidRPr="00D57F34" w:rsidRDefault="009E0162" w:rsidP="009E0162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66680" w:rsidRPr="005D0680" w:rsidRDefault="000B09BA" w:rsidP="00D57F3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quatri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ème</w:t>
      </w:r>
      <w:r w:rsidR="00F430E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F406E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4211E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D93D3C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41C4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DE048F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ménages</w:t>
      </w:r>
      <w:r w:rsidR="00511C5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9DA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estiment</w:t>
      </w:r>
      <w:r w:rsidR="00511C5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pas pouvoir épargner au cours des 12 prochains mois</w:t>
      </w:r>
      <w:r w:rsidR="007F384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contre 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F3847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73552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 </w:t>
      </w:r>
      <w:r w:rsidR="0067515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affirment</w:t>
      </w:r>
      <w:r w:rsidR="0073552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contraire</w:t>
      </w:r>
      <w:r w:rsidR="00507FF6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solde relatif à l</w:t>
      </w:r>
      <w:r w:rsidR="00F6668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’opinion des ménages sur leur capacité d’épargne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qui est de -69,2 points, enregistre une amélioration </w:t>
      </w:r>
      <w:r w:rsidR="00470219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de 1,4 point p</w:t>
      </w:r>
      <w:r w:rsidR="00654BB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ar rapport</w:t>
      </w:r>
      <w:r w:rsidR="00470219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F6668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trimestre précédent </w:t>
      </w:r>
      <w:r w:rsidR="00470219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70219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1,9 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par rapport </w:t>
      </w:r>
      <w:r w:rsidR="00F6668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au même t</w:t>
      </w:r>
      <w:r w:rsidR="00BF4F5B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rimestre de l’année précédente</w:t>
      </w:r>
      <w:r w:rsidR="001F5970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0162" w:rsidRPr="005D0680" w:rsidRDefault="009E0162" w:rsidP="00D57F3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F34" w:rsidRPr="00D57F34" w:rsidRDefault="000656CB" w:rsidP="00727A1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</w:t>
      </w:r>
      <w:r w:rsidR="0072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l’évolution </w:t>
      </w:r>
      <w:r w:rsidR="00727A17"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prix des produits alimentaires</w:t>
      </w:r>
      <w:r w:rsidR="0072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: en dégradation pour le passé et en amélioration pour le futur</w:t>
      </w:r>
      <w:r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644C5" w:rsidRPr="005D0680" w:rsidRDefault="00985AB3" w:rsidP="00416547">
      <w:pPr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color w:val="000000" w:themeColor="text1"/>
        </w:rPr>
        <w:t xml:space="preserve">Au </w:t>
      </w:r>
      <w:r w:rsidR="003C2158" w:rsidRPr="005D0680">
        <w:rPr>
          <w:rFonts w:ascii="Times New Roman" w:hAnsi="Times New Roman" w:cs="Times New Roman"/>
          <w:color w:val="000000" w:themeColor="text1"/>
        </w:rPr>
        <w:t>quatr</w:t>
      </w:r>
      <w:r w:rsidR="002364B4" w:rsidRPr="005D0680">
        <w:rPr>
          <w:rFonts w:ascii="Times New Roman" w:hAnsi="Times New Roman" w:cs="Times New Roman"/>
          <w:color w:val="000000" w:themeColor="text1"/>
        </w:rPr>
        <w:t>ième</w:t>
      </w:r>
      <w:r w:rsidR="00F430E6" w:rsidRPr="005D0680">
        <w:rPr>
          <w:rFonts w:ascii="Times New Roman" w:hAnsi="Times New Roman" w:cs="Times New Roman"/>
          <w:color w:val="000000" w:themeColor="text1"/>
        </w:rPr>
        <w:t xml:space="preserve"> trimestre</w:t>
      </w:r>
      <w:r w:rsidR="006E004B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Pr="005D0680">
        <w:rPr>
          <w:rFonts w:ascii="Times New Roman" w:hAnsi="Times New Roman" w:cs="Times New Roman"/>
          <w:color w:val="000000" w:themeColor="text1"/>
        </w:rPr>
        <w:t xml:space="preserve">de </w:t>
      </w:r>
      <w:r w:rsidR="0004211E" w:rsidRPr="005D0680">
        <w:rPr>
          <w:rFonts w:ascii="Times New Roman" w:hAnsi="Times New Roman" w:cs="Times New Roman"/>
          <w:color w:val="000000" w:themeColor="text1"/>
        </w:rPr>
        <w:t>201</w:t>
      </w:r>
      <w:r w:rsidR="00107E17" w:rsidRPr="005D0680">
        <w:rPr>
          <w:rFonts w:ascii="Times New Roman" w:hAnsi="Times New Roman" w:cs="Times New Roman"/>
          <w:color w:val="000000" w:themeColor="text1"/>
        </w:rPr>
        <w:t>5</w:t>
      </w:r>
      <w:r w:rsidRPr="005D0680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5D0680">
        <w:rPr>
          <w:rFonts w:ascii="Times New Roman" w:hAnsi="Times New Roman" w:cs="Times New Roman"/>
          <w:color w:val="000000" w:themeColor="text1"/>
        </w:rPr>
        <w:t>8</w:t>
      </w:r>
      <w:r w:rsidR="00582436" w:rsidRPr="005D0680">
        <w:rPr>
          <w:rFonts w:ascii="Times New Roman" w:hAnsi="Times New Roman" w:cs="Times New Roman"/>
          <w:color w:val="000000" w:themeColor="text1"/>
        </w:rPr>
        <w:t>6</w:t>
      </w:r>
      <w:r w:rsidR="002364B4" w:rsidRPr="005D0680">
        <w:rPr>
          <w:rFonts w:ascii="Times New Roman" w:hAnsi="Times New Roman" w:cs="Times New Roman"/>
          <w:color w:val="000000" w:themeColor="text1"/>
        </w:rPr>
        <w:t>,</w:t>
      </w:r>
      <w:r w:rsidR="00582436" w:rsidRPr="005D0680">
        <w:rPr>
          <w:rFonts w:ascii="Times New Roman" w:hAnsi="Times New Roman" w:cs="Times New Roman"/>
          <w:color w:val="000000" w:themeColor="text1"/>
        </w:rPr>
        <w:t>2</w:t>
      </w:r>
      <w:r w:rsidR="00563170" w:rsidRPr="005D0680">
        <w:rPr>
          <w:rFonts w:ascii="Times New Roman" w:hAnsi="Times New Roman" w:cs="Times New Roman"/>
          <w:color w:val="000000" w:themeColor="text1"/>
        </w:rPr>
        <w:t>%</w:t>
      </w:r>
      <w:r w:rsidR="00742AC3" w:rsidRPr="005D0680">
        <w:rPr>
          <w:rFonts w:ascii="Times New Roman" w:hAnsi="Times New Roman" w:cs="Times New Roman"/>
          <w:color w:val="000000" w:themeColor="text1"/>
        </w:rPr>
        <w:t xml:space="preserve"> des ménages</w:t>
      </w:r>
      <w:r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F656E6" w:rsidRPr="005D0680">
        <w:rPr>
          <w:rFonts w:ascii="Times New Roman" w:hAnsi="Times New Roman" w:cs="Times New Roman"/>
          <w:color w:val="000000" w:themeColor="text1"/>
        </w:rPr>
        <w:t xml:space="preserve">estiment </w:t>
      </w:r>
      <w:r w:rsidR="00A644C5" w:rsidRPr="005D0680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5D0680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009EE" w:rsidRPr="005D0680">
        <w:rPr>
          <w:rFonts w:ascii="Times New Roman" w:hAnsi="Times New Roman" w:cs="Times New Roman"/>
          <w:color w:val="000000" w:themeColor="text1"/>
        </w:rPr>
        <w:t>durant les 12 derniers mois</w:t>
      </w:r>
      <w:r w:rsidR="00D77F27" w:rsidRPr="005D0680">
        <w:rPr>
          <w:rFonts w:ascii="Times New Roman" w:hAnsi="Times New Roman" w:cs="Times New Roman"/>
          <w:color w:val="000000" w:themeColor="text1"/>
        </w:rPr>
        <w:t xml:space="preserve">, </w:t>
      </w:r>
      <w:r w:rsidR="00582436" w:rsidRPr="005D0680">
        <w:rPr>
          <w:rFonts w:ascii="Times New Roman" w:hAnsi="Times New Roman" w:cs="Times New Roman"/>
          <w:color w:val="000000" w:themeColor="text1"/>
        </w:rPr>
        <w:t>13</w:t>
      </w:r>
      <w:r w:rsidR="00D77F27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F656E6" w:rsidRPr="005D0680">
        <w:rPr>
          <w:rFonts w:ascii="Times New Roman" w:hAnsi="Times New Roman" w:cs="Times New Roman"/>
          <w:color w:val="000000" w:themeColor="text1"/>
        </w:rPr>
        <w:t xml:space="preserve">jugent </w:t>
      </w:r>
      <w:r w:rsidR="00D77F27" w:rsidRPr="005D0680">
        <w:rPr>
          <w:rFonts w:ascii="Times New Roman" w:hAnsi="Times New Roman" w:cs="Times New Roman"/>
          <w:color w:val="000000" w:themeColor="text1"/>
        </w:rPr>
        <w:t>qu’ils ont stagné et 0,</w:t>
      </w:r>
      <w:r w:rsidR="00582436" w:rsidRPr="005D0680">
        <w:rPr>
          <w:rFonts w:ascii="Times New Roman" w:hAnsi="Times New Roman" w:cs="Times New Roman"/>
          <w:color w:val="000000" w:themeColor="text1"/>
        </w:rPr>
        <w:t>8</w:t>
      </w:r>
      <w:r w:rsidR="0023661B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173781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64773C" w:rsidRPr="005D0680">
        <w:rPr>
          <w:rFonts w:ascii="Times New Roman" w:hAnsi="Times New Roman" w:cs="Times New Roman"/>
          <w:color w:val="000000" w:themeColor="text1"/>
        </w:rPr>
        <w:t xml:space="preserve">croient </w:t>
      </w:r>
      <w:r w:rsidR="00D77F27" w:rsidRPr="005D0680">
        <w:rPr>
          <w:rFonts w:ascii="Times New Roman" w:hAnsi="Times New Roman" w:cs="Times New Roman"/>
          <w:color w:val="000000" w:themeColor="text1"/>
        </w:rPr>
        <w:t>qu’ils ont baissé. Avec un niveau de -</w:t>
      </w:r>
      <w:r w:rsidR="002364B4" w:rsidRPr="005D0680">
        <w:rPr>
          <w:rFonts w:ascii="Times New Roman" w:hAnsi="Times New Roman" w:cs="Times New Roman"/>
          <w:color w:val="000000" w:themeColor="text1"/>
        </w:rPr>
        <w:t>8</w:t>
      </w:r>
      <w:r w:rsidR="00582436" w:rsidRPr="005D0680">
        <w:rPr>
          <w:rFonts w:ascii="Times New Roman" w:hAnsi="Times New Roman" w:cs="Times New Roman"/>
          <w:color w:val="000000" w:themeColor="text1"/>
        </w:rPr>
        <w:t>5</w:t>
      </w:r>
      <w:r w:rsidR="002364B4" w:rsidRPr="005D0680">
        <w:rPr>
          <w:rFonts w:ascii="Times New Roman" w:hAnsi="Times New Roman" w:cs="Times New Roman"/>
          <w:color w:val="000000" w:themeColor="text1"/>
        </w:rPr>
        <w:t>,</w:t>
      </w:r>
      <w:r w:rsidR="00582436" w:rsidRPr="005D0680">
        <w:rPr>
          <w:rFonts w:ascii="Times New Roman" w:hAnsi="Times New Roman" w:cs="Times New Roman"/>
          <w:color w:val="000000" w:themeColor="text1"/>
        </w:rPr>
        <w:t>4</w:t>
      </w:r>
      <w:r w:rsidR="00D77F27" w:rsidRPr="005D0680">
        <w:rPr>
          <w:rFonts w:ascii="Times New Roman" w:hAnsi="Times New Roman" w:cs="Times New Roman"/>
          <w:color w:val="000000" w:themeColor="text1"/>
        </w:rPr>
        <w:t xml:space="preserve"> points, l</w:t>
      </w:r>
      <w:r w:rsidR="006B2086" w:rsidRPr="005D0680">
        <w:rPr>
          <w:rFonts w:ascii="Times New Roman" w:hAnsi="Times New Roman" w:cs="Times New Roman"/>
          <w:color w:val="000000" w:themeColor="text1"/>
        </w:rPr>
        <w:t>e</w:t>
      </w:r>
      <w:r w:rsidR="00C17A37" w:rsidRPr="005D0680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5D0680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 w:rsidRPr="005D0680">
        <w:rPr>
          <w:rFonts w:ascii="Times New Roman" w:hAnsi="Times New Roman" w:cs="Times New Roman"/>
          <w:color w:val="000000" w:themeColor="text1"/>
        </w:rPr>
        <w:t xml:space="preserve">s’est </w:t>
      </w:r>
      <w:r w:rsidR="00582436" w:rsidRPr="005D0680">
        <w:rPr>
          <w:rFonts w:ascii="Times New Roman" w:hAnsi="Times New Roman" w:cs="Times New Roman"/>
          <w:color w:val="000000" w:themeColor="text1"/>
        </w:rPr>
        <w:t xml:space="preserve">dégradé de 1,1 point </w:t>
      </w:r>
      <w:r w:rsidR="0075581F" w:rsidRPr="005D0680">
        <w:rPr>
          <w:rFonts w:ascii="Times New Roman" w:hAnsi="Times New Roman" w:cs="Times New Roman"/>
          <w:color w:val="000000" w:themeColor="text1"/>
        </w:rPr>
        <w:t xml:space="preserve">par rapport au trimestre précédent et </w:t>
      </w:r>
      <w:r w:rsidR="00582436" w:rsidRPr="005D0680">
        <w:rPr>
          <w:rFonts w:ascii="Times New Roman" w:hAnsi="Times New Roman" w:cs="Times New Roman"/>
          <w:color w:val="000000" w:themeColor="text1"/>
        </w:rPr>
        <w:t xml:space="preserve">de 0,9 point </w:t>
      </w:r>
      <w:r w:rsidR="00A21054" w:rsidRPr="005D0680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 w:rsidRPr="005D0680">
        <w:rPr>
          <w:rFonts w:ascii="Times New Roman" w:hAnsi="Times New Roman" w:cs="Times New Roman"/>
          <w:color w:val="000000" w:themeColor="text1"/>
        </w:rPr>
        <w:t>201</w:t>
      </w:r>
      <w:r w:rsidR="00107E17" w:rsidRPr="005D0680">
        <w:rPr>
          <w:rFonts w:ascii="Times New Roman" w:hAnsi="Times New Roman" w:cs="Times New Roman"/>
          <w:color w:val="000000" w:themeColor="text1"/>
        </w:rPr>
        <w:t>4</w:t>
      </w:r>
      <w:r w:rsidR="00A21054" w:rsidRPr="005D0680">
        <w:rPr>
          <w:rFonts w:ascii="Times New Roman" w:hAnsi="Times New Roman" w:cs="Times New Roman"/>
          <w:color w:val="000000" w:themeColor="text1"/>
        </w:rPr>
        <w:t>.</w:t>
      </w:r>
    </w:p>
    <w:p w:rsidR="00BC5D13" w:rsidRPr="005D0680" w:rsidRDefault="006B2086" w:rsidP="00094BE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color w:val="000000" w:themeColor="text1"/>
        </w:rPr>
        <w:t>S’agissant des</w:t>
      </w:r>
      <w:r w:rsidR="00700954" w:rsidRPr="005D0680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 w:rsidRPr="005D0680">
        <w:rPr>
          <w:rFonts w:ascii="Times New Roman" w:hAnsi="Times New Roman" w:cs="Times New Roman"/>
          <w:color w:val="000000" w:themeColor="text1"/>
        </w:rPr>
        <w:t>7</w:t>
      </w:r>
      <w:r w:rsidR="002364B4" w:rsidRPr="005D0680">
        <w:rPr>
          <w:rFonts w:ascii="Times New Roman" w:hAnsi="Times New Roman" w:cs="Times New Roman"/>
          <w:color w:val="000000" w:themeColor="text1"/>
        </w:rPr>
        <w:t>6</w:t>
      </w:r>
      <w:r w:rsidR="00582436" w:rsidRPr="005D0680">
        <w:rPr>
          <w:rFonts w:ascii="Times New Roman" w:hAnsi="Times New Roman" w:cs="Times New Roman"/>
          <w:color w:val="000000" w:themeColor="text1"/>
        </w:rPr>
        <w:t>,1</w:t>
      </w:r>
      <w:r w:rsidR="002A7E5D" w:rsidRPr="005D0680">
        <w:rPr>
          <w:rFonts w:ascii="Times New Roman" w:hAnsi="Times New Roman" w:cs="Times New Roman"/>
          <w:color w:val="000000" w:themeColor="text1"/>
        </w:rPr>
        <w:t>%</w:t>
      </w:r>
      <w:r w:rsidR="002A1C56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5D0680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5D0680">
        <w:rPr>
          <w:rFonts w:ascii="Times New Roman" w:hAnsi="Times New Roman" w:cs="Times New Roman"/>
          <w:color w:val="000000" w:themeColor="text1"/>
        </w:rPr>
        <w:t>pensent qu</w:t>
      </w:r>
      <w:r w:rsidR="00B42576" w:rsidRPr="005D0680">
        <w:rPr>
          <w:rFonts w:ascii="Times New Roman" w:hAnsi="Times New Roman" w:cs="Times New Roman"/>
          <w:color w:val="000000" w:themeColor="text1"/>
        </w:rPr>
        <w:t xml:space="preserve">’ils </w:t>
      </w:r>
      <w:r w:rsidR="002A1C56" w:rsidRPr="005D0680">
        <w:rPr>
          <w:rFonts w:ascii="Times New Roman" w:hAnsi="Times New Roman" w:cs="Times New Roman"/>
          <w:color w:val="000000" w:themeColor="text1"/>
        </w:rPr>
        <w:t xml:space="preserve">continueront à augmenter dans le futur </w:t>
      </w:r>
      <w:r w:rsidR="00985AB3" w:rsidRPr="005D0680">
        <w:rPr>
          <w:rFonts w:ascii="Times New Roman" w:hAnsi="Times New Roman" w:cs="Times New Roman"/>
          <w:color w:val="000000" w:themeColor="text1"/>
        </w:rPr>
        <w:t xml:space="preserve">contre </w:t>
      </w:r>
      <w:r w:rsidR="002364B4" w:rsidRPr="005D0680">
        <w:rPr>
          <w:rFonts w:ascii="Times New Roman" w:hAnsi="Times New Roman" w:cs="Times New Roman"/>
          <w:color w:val="000000" w:themeColor="text1"/>
        </w:rPr>
        <w:t>23,</w:t>
      </w:r>
      <w:r w:rsidR="00582436" w:rsidRPr="005D0680">
        <w:rPr>
          <w:rFonts w:ascii="Times New Roman" w:hAnsi="Times New Roman" w:cs="Times New Roman"/>
          <w:color w:val="000000" w:themeColor="text1"/>
        </w:rPr>
        <w:t>0</w:t>
      </w:r>
      <w:r w:rsidR="00985AB3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qui prévoient leur stagnation et </w:t>
      </w:r>
      <w:r w:rsidR="002364B4" w:rsidRPr="005D0680">
        <w:rPr>
          <w:rFonts w:ascii="Times New Roman" w:hAnsi="Times New Roman" w:cs="Times New Roman"/>
          <w:color w:val="000000" w:themeColor="text1"/>
        </w:rPr>
        <w:t>0,</w:t>
      </w:r>
      <w:r w:rsidR="00582436" w:rsidRPr="005D0680">
        <w:rPr>
          <w:rFonts w:ascii="Times New Roman" w:hAnsi="Times New Roman" w:cs="Times New Roman"/>
          <w:color w:val="000000" w:themeColor="text1"/>
        </w:rPr>
        <w:t>9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B42576" w:rsidRPr="005D0680">
        <w:rPr>
          <w:rFonts w:ascii="Times New Roman" w:hAnsi="Times New Roman" w:cs="Times New Roman"/>
          <w:color w:val="000000" w:themeColor="text1"/>
        </w:rPr>
        <w:t>leur b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aisse. </w:t>
      </w:r>
      <w:r w:rsidR="00511BC9" w:rsidRPr="005D0680">
        <w:rPr>
          <w:rFonts w:ascii="Times New Roman" w:hAnsi="Times New Roman" w:cs="Times New Roman"/>
          <w:color w:val="000000" w:themeColor="text1"/>
        </w:rPr>
        <w:t>Avec -7</w:t>
      </w:r>
      <w:r w:rsidR="00995616" w:rsidRPr="005D0680">
        <w:rPr>
          <w:rFonts w:ascii="Times New Roman" w:hAnsi="Times New Roman" w:cs="Times New Roman"/>
          <w:color w:val="000000" w:themeColor="text1"/>
        </w:rPr>
        <w:t>5</w:t>
      </w:r>
      <w:r w:rsidR="00511BC9" w:rsidRPr="005D0680">
        <w:rPr>
          <w:rFonts w:ascii="Times New Roman" w:hAnsi="Times New Roman" w:cs="Times New Roman"/>
          <w:color w:val="000000" w:themeColor="text1"/>
        </w:rPr>
        <w:t>,</w:t>
      </w:r>
      <w:r w:rsidR="0041772A" w:rsidRPr="005D0680">
        <w:rPr>
          <w:rFonts w:ascii="Times New Roman" w:hAnsi="Times New Roman" w:cs="Times New Roman"/>
          <w:color w:val="000000" w:themeColor="text1"/>
        </w:rPr>
        <w:t>2</w:t>
      </w:r>
      <w:r w:rsidR="00511BC9" w:rsidRPr="005D0680">
        <w:rPr>
          <w:rFonts w:ascii="Times New Roman" w:hAnsi="Times New Roman" w:cs="Times New Roman"/>
          <w:color w:val="000000" w:themeColor="text1"/>
        </w:rPr>
        <w:t xml:space="preserve"> points, l</w:t>
      </w:r>
      <w:r w:rsidR="002A1C56" w:rsidRPr="005D0680">
        <w:rPr>
          <w:rFonts w:ascii="Times New Roman" w:hAnsi="Times New Roman" w:cs="Times New Roman"/>
          <w:color w:val="000000" w:themeColor="text1"/>
        </w:rPr>
        <w:t>e solde</w:t>
      </w:r>
      <w:r w:rsidR="003A52E9" w:rsidRPr="005D0680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5D0680">
        <w:rPr>
          <w:rFonts w:ascii="Times New Roman" w:hAnsi="Times New Roman" w:cs="Times New Roman"/>
          <w:color w:val="000000" w:themeColor="text1"/>
        </w:rPr>
        <w:t>de</w:t>
      </w:r>
      <w:r w:rsidR="00511BC9" w:rsidRPr="005D0680">
        <w:rPr>
          <w:rFonts w:ascii="Times New Roman" w:hAnsi="Times New Roman" w:cs="Times New Roman"/>
          <w:color w:val="000000" w:themeColor="text1"/>
        </w:rPr>
        <w:t xml:space="preserve">s </w:t>
      </w:r>
      <w:r w:rsidR="002A1C56" w:rsidRPr="005D0680">
        <w:rPr>
          <w:rFonts w:ascii="Times New Roman" w:hAnsi="Times New Roman" w:cs="Times New Roman"/>
          <w:color w:val="000000" w:themeColor="text1"/>
        </w:rPr>
        <w:t>prix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2364B4" w:rsidRPr="005D0680">
        <w:rPr>
          <w:rFonts w:ascii="Times New Roman" w:hAnsi="Times New Roman" w:cs="Times New Roman"/>
          <w:color w:val="000000" w:themeColor="text1"/>
        </w:rPr>
        <w:t>gagne 0,</w:t>
      </w:r>
      <w:r w:rsidR="0041772A" w:rsidRPr="005D0680">
        <w:rPr>
          <w:rFonts w:ascii="Times New Roman" w:hAnsi="Times New Roman" w:cs="Times New Roman"/>
          <w:color w:val="000000" w:themeColor="text1"/>
        </w:rPr>
        <w:t>1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point </w:t>
      </w:r>
      <w:r w:rsidR="00C95A6B" w:rsidRPr="005D0680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2364B4" w:rsidRPr="005D0680">
        <w:rPr>
          <w:rFonts w:ascii="Times New Roman" w:hAnsi="Times New Roman" w:cs="Times New Roman"/>
          <w:color w:val="000000" w:themeColor="text1"/>
        </w:rPr>
        <w:t xml:space="preserve">et </w:t>
      </w:r>
      <w:r w:rsidR="0041772A" w:rsidRPr="005D0680">
        <w:rPr>
          <w:rFonts w:ascii="Times New Roman" w:hAnsi="Times New Roman" w:cs="Times New Roman"/>
          <w:color w:val="000000" w:themeColor="text1"/>
        </w:rPr>
        <w:t>2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point</w:t>
      </w:r>
      <w:r w:rsidR="0041772A" w:rsidRPr="005D0680">
        <w:rPr>
          <w:rFonts w:ascii="Times New Roman" w:hAnsi="Times New Roman" w:cs="Times New Roman"/>
          <w:color w:val="000000" w:themeColor="text1"/>
        </w:rPr>
        <w:t>s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par rapport </w:t>
      </w:r>
      <w:r w:rsidR="00C95A6B" w:rsidRPr="005D0680">
        <w:rPr>
          <w:rFonts w:ascii="Times New Roman" w:hAnsi="Times New Roman" w:cs="Times New Roman"/>
          <w:color w:val="000000" w:themeColor="text1"/>
        </w:rPr>
        <w:t xml:space="preserve">au même trimestre de l’année </w:t>
      </w:r>
      <w:r w:rsidR="00387270" w:rsidRPr="005D0680">
        <w:rPr>
          <w:rFonts w:ascii="Times New Roman" w:hAnsi="Times New Roman" w:cs="Times New Roman"/>
          <w:color w:val="000000" w:themeColor="text1"/>
        </w:rPr>
        <w:t>passée</w:t>
      </w:r>
      <w:r w:rsidR="00D04545" w:rsidRPr="005D0680">
        <w:rPr>
          <w:rFonts w:ascii="Times New Roman" w:hAnsi="Times New Roman" w:cs="Times New Roman"/>
          <w:color w:val="000000" w:themeColor="text1"/>
        </w:rPr>
        <w:t>.</w:t>
      </w:r>
      <w:r w:rsidR="00995616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C5D13" w:rsidRPr="005D0680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5D0680">
        <w:rPr>
          <w:noProof/>
          <w:color w:val="000000" w:themeColor="text1"/>
        </w:rPr>
        <w:t xml:space="preserve"> </w:t>
      </w:r>
      <w:r w:rsidR="00C21ABF" w:rsidRPr="005D0680">
        <w:rPr>
          <w:noProof/>
        </w:rPr>
        <w:t xml:space="preserve"> </w:t>
      </w:r>
    </w:p>
    <w:p w:rsidR="006013E0" w:rsidRPr="005D0680" w:rsidRDefault="0069760B" w:rsidP="00FE416E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</w:t>
      </w:r>
    </w:p>
    <w:p w:rsidR="006013E0" w:rsidRDefault="00FE416E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E416E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117850"/>
            <wp:effectExtent l="19050" t="0" r="27940" b="6350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636A" w:rsidRPr="00C706A5" w:rsidRDefault="0037636A" w:rsidP="0037636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37636A" w:rsidRPr="009E0162" w:rsidRDefault="0037636A" w:rsidP="009E0162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E0162">
        <w:rPr>
          <w:rFonts w:ascii="Times New Roman" w:hAnsi="Times New Roman" w:cs="Times New Roman"/>
          <w:b/>
          <w:bCs/>
          <w:color w:val="000000" w:themeColor="text1"/>
        </w:rPr>
        <w:t xml:space="preserve">Evolution des indicateurs annuels de la perception par les ménages de la conjoncture </w:t>
      </w:r>
    </w:p>
    <w:p w:rsidR="009E0162" w:rsidRPr="009E0162" w:rsidRDefault="009E0162" w:rsidP="009E0162">
      <w:pPr>
        <w:pStyle w:val="Paragraphedelist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7636A" w:rsidRPr="00DB06E9" w:rsidRDefault="0037636A" w:rsidP="00E619E4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</w:t>
      </w:r>
      <w:r w:rsidR="00E619E4">
        <w:rPr>
          <w:rFonts w:ascii="Times New Roman" w:hAnsi="Times New Roman" w:cs="Times New Roman"/>
          <w:color w:val="000000"/>
        </w:rPr>
        <w:t xml:space="preserve">ment. </w:t>
      </w:r>
      <w:r>
        <w:rPr>
          <w:rFonts w:ascii="Times New Roman" w:hAnsi="Times New Roman" w:cs="Times New Roman"/>
          <w:color w:val="000000"/>
        </w:rPr>
        <w:t>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201</w:t>
      </w:r>
      <w:r>
        <w:rPr>
          <w:rFonts w:ascii="Times New Roman" w:hAnsi="Times New Roman" w:cs="Times New Roman"/>
          <w:color w:val="000000"/>
        </w:rPr>
        <w:t>4</w:t>
      </w:r>
      <w:r w:rsidRPr="00DB06E9">
        <w:rPr>
          <w:rFonts w:ascii="Times New Roman" w:hAnsi="Times New Roman" w:cs="Times New Roman"/>
          <w:color w:val="000000"/>
        </w:rPr>
        <w:t xml:space="preserve"> et 201</w:t>
      </w:r>
      <w:r>
        <w:rPr>
          <w:rFonts w:ascii="Times New Roman" w:hAnsi="Times New Roman" w:cs="Times New Roman"/>
          <w:color w:val="000000"/>
        </w:rPr>
        <w:t>5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B7305B" w:rsidRDefault="00B7305B" w:rsidP="0037636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E0162" w:rsidRDefault="009E0162" w:rsidP="0037636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E0162" w:rsidRDefault="009E0162" w:rsidP="0037636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7636A" w:rsidRDefault="0037636A" w:rsidP="00B122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12201">
        <w:rPr>
          <w:rFonts w:ascii="Times New Roman" w:hAnsi="Times New Roman" w:cs="Times New Roman"/>
          <w:b/>
          <w:bCs/>
          <w:color w:val="000000"/>
        </w:rPr>
        <w:lastRenderedPageBreak/>
        <w:t xml:space="preserve">• Situation des droits de l’Homme : opinion </w:t>
      </w:r>
      <w:r w:rsidR="00B12201" w:rsidRPr="00B12201">
        <w:rPr>
          <w:rFonts w:ascii="Times New Roman" w:hAnsi="Times New Roman" w:cs="Times New Roman"/>
          <w:b/>
          <w:bCs/>
          <w:color w:val="000000"/>
        </w:rPr>
        <w:t xml:space="preserve">moins </w:t>
      </w:r>
      <w:r w:rsidRPr="00B12201">
        <w:rPr>
          <w:rFonts w:ascii="Times New Roman" w:hAnsi="Times New Roman" w:cs="Times New Roman"/>
          <w:b/>
          <w:bCs/>
          <w:color w:val="000000"/>
        </w:rPr>
        <w:t xml:space="preserve">positive </w:t>
      </w:r>
    </w:p>
    <w:p w:rsidR="009E0162" w:rsidRPr="00B12201" w:rsidRDefault="009E0162" w:rsidP="00B122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7636A" w:rsidRDefault="0037636A" w:rsidP="00E619E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B12201">
        <w:rPr>
          <w:rFonts w:ascii="Times New Roman" w:hAnsi="Times New Roman" w:cs="Times New Roman"/>
          <w:color w:val="000000"/>
        </w:rPr>
        <w:t>En 201</w:t>
      </w:r>
      <w:r w:rsidR="004A5001" w:rsidRPr="00B12201">
        <w:rPr>
          <w:rFonts w:ascii="Times New Roman" w:hAnsi="Times New Roman" w:cs="Times New Roman"/>
          <w:color w:val="000000"/>
        </w:rPr>
        <w:t>5</w:t>
      </w:r>
      <w:r w:rsidRPr="00B12201">
        <w:rPr>
          <w:rFonts w:ascii="Times New Roman" w:hAnsi="Times New Roman" w:cs="Times New Roman"/>
          <w:color w:val="000000"/>
        </w:rPr>
        <w:t xml:space="preserve">, </w:t>
      </w:r>
      <w:r w:rsidR="004A5001" w:rsidRPr="00B12201">
        <w:rPr>
          <w:rFonts w:ascii="Times New Roman" w:hAnsi="Times New Roman" w:cs="Times New Roman"/>
          <w:color w:val="000000"/>
        </w:rPr>
        <w:t xml:space="preserve">près de </w:t>
      </w:r>
      <w:r w:rsidRPr="00B12201">
        <w:rPr>
          <w:rFonts w:ascii="Times New Roman" w:hAnsi="Times New Roman" w:cs="Times New Roman"/>
          <w:color w:val="000000"/>
        </w:rPr>
        <w:t>60% des ménages  pensent que la situation des droits de l’Homme au Maroc s’est améliorée</w:t>
      </w:r>
      <w:r w:rsidR="00E619E4">
        <w:rPr>
          <w:rFonts w:ascii="Times New Roman" w:hAnsi="Times New Roman" w:cs="Times New Roman"/>
          <w:color w:val="000000"/>
        </w:rPr>
        <w:t>,</w:t>
      </w:r>
      <w:r w:rsidRPr="00B12201">
        <w:rPr>
          <w:rFonts w:ascii="Times New Roman" w:hAnsi="Times New Roman" w:cs="Times New Roman"/>
          <w:color w:val="000000"/>
        </w:rPr>
        <w:t xml:space="preserve"> 2</w:t>
      </w:r>
      <w:r w:rsidR="004A5001" w:rsidRPr="00B12201">
        <w:rPr>
          <w:rFonts w:ascii="Times New Roman" w:hAnsi="Times New Roman" w:cs="Times New Roman"/>
          <w:color w:val="000000"/>
        </w:rPr>
        <w:t>5</w:t>
      </w:r>
      <w:r w:rsidRPr="00B12201">
        <w:rPr>
          <w:rFonts w:ascii="Times New Roman" w:hAnsi="Times New Roman" w:cs="Times New Roman"/>
          <w:color w:val="000000"/>
        </w:rPr>
        <w:t>,</w:t>
      </w:r>
      <w:r w:rsidR="004A5001" w:rsidRPr="00B12201">
        <w:rPr>
          <w:rFonts w:ascii="Times New Roman" w:hAnsi="Times New Roman" w:cs="Times New Roman"/>
          <w:color w:val="000000"/>
        </w:rPr>
        <w:t>5</w:t>
      </w:r>
      <w:r w:rsidRPr="00B12201">
        <w:rPr>
          <w:rFonts w:ascii="Times New Roman" w:hAnsi="Times New Roman" w:cs="Times New Roman"/>
          <w:color w:val="000000"/>
        </w:rPr>
        <w:t>% d</w:t>
      </w:r>
      <w:r w:rsidR="000656CB">
        <w:rPr>
          <w:rFonts w:ascii="Times New Roman" w:hAnsi="Times New Roman" w:cs="Times New Roman"/>
          <w:color w:val="000000"/>
        </w:rPr>
        <w:t xml:space="preserve">’entre eux </w:t>
      </w:r>
      <w:r w:rsidRPr="00B12201">
        <w:rPr>
          <w:rFonts w:ascii="Times New Roman" w:hAnsi="Times New Roman" w:cs="Times New Roman"/>
          <w:color w:val="000000"/>
        </w:rPr>
        <w:t xml:space="preserve">considèrent qu’elle n’a pas connu de changement et </w:t>
      </w:r>
      <w:r w:rsidR="004A5001" w:rsidRPr="00B12201">
        <w:rPr>
          <w:rFonts w:ascii="Times New Roman" w:hAnsi="Times New Roman" w:cs="Times New Roman"/>
          <w:color w:val="000000"/>
        </w:rPr>
        <w:t>12</w:t>
      </w:r>
      <w:r w:rsidRPr="00B12201">
        <w:rPr>
          <w:rFonts w:ascii="Times New Roman" w:hAnsi="Times New Roman" w:cs="Times New Roman"/>
          <w:color w:val="000000"/>
        </w:rPr>
        <w:t>,6% qu’elle aurait régressée. Le solde relatif à cet indicateur,</w:t>
      </w:r>
      <w:r w:rsidR="000656CB">
        <w:rPr>
          <w:rFonts w:ascii="Times New Roman" w:hAnsi="Times New Roman" w:cs="Times New Roman"/>
          <w:color w:val="000000"/>
        </w:rPr>
        <w:t xml:space="preserve"> gardant</w:t>
      </w:r>
      <w:r w:rsidRPr="00B12201">
        <w:rPr>
          <w:rFonts w:ascii="Times New Roman" w:hAnsi="Times New Roman" w:cs="Times New Roman"/>
          <w:color w:val="000000"/>
        </w:rPr>
        <w:t xml:space="preserve"> le </w:t>
      </w:r>
      <w:r w:rsidR="00E619E4">
        <w:rPr>
          <w:rFonts w:ascii="Times New Roman" w:hAnsi="Times New Roman" w:cs="Times New Roman"/>
          <w:color w:val="000000"/>
        </w:rPr>
        <w:t xml:space="preserve">niveau le </w:t>
      </w:r>
      <w:r w:rsidRPr="00B12201">
        <w:rPr>
          <w:rFonts w:ascii="Times New Roman" w:hAnsi="Times New Roman" w:cs="Times New Roman"/>
          <w:color w:val="000000"/>
        </w:rPr>
        <w:t xml:space="preserve">plus élevé parmi tous les indicateurs de </w:t>
      </w:r>
      <w:r w:rsidR="00E619E4">
        <w:rPr>
          <w:rFonts w:ascii="Times New Roman" w:hAnsi="Times New Roman" w:cs="Times New Roman"/>
          <w:color w:val="000000"/>
        </w:rPr>
        <w:t xml:space="preserve">la </w:t>
      </w:r>
      <w:r w:rsidRPr="00B12201">
        <w:rPr>
          <w:rFonts w:ascii="Times New Roman" w:hAnsi="Times New Roman" w:cs="Times New Roman"/>
          <w:color w:val="000000"/>
        </w:rPr>
        <w:t>conjoncture</w:t>
      </w:r>
      <w:r w:rsidR="000656CB">
        <w:rPr>
          <w:rFonts w:ascii="Times New Roman" w:hAnsi="Times New Roman" w:cs="Times New Roman"/>
          <w:color w:val="000000"/>
        </w:rPr>
        <w:t xml:space="preserve"> en s’établissant à</w:t>
      </w:r>
      <w:r w:rsidR="004E3363">
        <w:rPr>
          <w:rFonts w:ascii="Times New Roman" w:hAnsi="Times New Roman" w:cs="Times New Roman"/>
          <w:color w:val="000000"/>
        </w:rPr>
        <w:t xml:space="preserve"> </w:t>
      </w:r>
      <w:r w:rsidR="004A5001" w:rsidRPr="00B12201">
        <w:rPr>
          <w:rFonts w:ascii="Times New Roman" w:hAnsi="Times New Roman" w:cs="Times New Roman"/>
          <w:color w:val="000000"/>
        </w:rPr>
        <w:t>47,4</w:t>
      </w:r>
      <w:r w:rsidRPr="00B12201">
        <w:rPr>
          <w:rFonts w:ascii="Times New Roman" w:hAnsi="Times New Roman" w:cs="Times New Roman"/>
          <w:color w:val="000000"/>
        </w:rPr>
        <w:t xml:space="preserve"> points, a enregistré une </w:t>
      </w:r>
      <w:r w:rsidR="004A5001" w:rsidRPr="00B12201">
        <w:rPr>
          <w:rFonts w:ascii="Times New Roman" w:hAnsi="Times New Roman" w:cs="Times New Roman"/>
          <w:color w:val="000000"/>
        </w:rPr>
        <w:t>baisse</w:t>
      </w:r>
      <w:r w:rsidRPr="00B12201">
        <w:rPr>
          <w:rFonts w:ascii="Times New Roman" w:hAnsi="Times New Roman" w:cs="Times New Roman"/>
          <w:color w:val="000000"/>
        </w:rPr>
        <w:t xml:space="preserve"> de </w:t>
      </w:r>
      <w:r w:rsidR="004A5001" w:rsidRPr="00B12201">
        <w:rPr>
          <w:rFonts w:ascii="Times New Roman" w:hAnsi="Times New Roman" w:cs="Times New Roman"/>
          <w:color w:val="000000"/>
        </w:rPr>
        <w:t>3</w:t>
      </w:r>
      <w:r w:rsidRPr="00B12201">
        <w:rPr>
          <w:rFonts w:ascii="Times New Roman" w:hAnsi="Times New Roman" w:cs="Times New Roman"/>
          <w:color w:val="000000"/>
        </w:rPr>
        <w:t>,</w:t>
      </w:r>
      <w:r w:rsidR="004A5001" w:rsidRPr="00B12201">
        <w:rPr>
          <w:rFonts w:ascii="Times New Roman" w:hAnsi="Times New Roman" w:cs="Times New Roman"/>
          <w:color w:val="000000"/>
        </w:rPr>
        <w:t>7</w:t>
      </w:r>
      <w:r w:rsidRPr="00B12201">
        <w:rPr>
          <w:rFonts w:ascii="Times New Roman" w:hAnsi="Times New Roman" w:cs="Times New Roman"/>
          <w:color w:val="000000"/>
        </w:rPr>
        <w:t xml:space="preserve"> point</w:t>
      </w:r>
      <w:r w:rsidR="004A5001" w:rsidRPr="00B12201">
        <w:rPr>
          <w:rFonts w:ascii="Times New Roman" w:hAnsi="Times New Roman" w:cs="Times New Roman"/>
          <w:color w:val="000000"/>
        </w:rPr>
        <w:t>s</w:t>
      </w:r>
      <w:r w:rsidRPr="00B12201">
        <w:rPr>
          <w:rFonts w:ascii="Times New Roman" w:hAnsi="Times New Roman" w:cs="Times New Roman"/>
          <w:color w:val="000000"/>
        </w:rPr>
        <w:t xml:space="preserve"> par rapport à son niveau de 201</w:t>
      </w:r>
      <w:r w:rsidR="004A5001" w:rsidRPr="00B12201">
        <w:rPr>
          <w:rFonts w:ascii="Times New Roman" w:hAnsi="Times New Roman" w:cs="Times New Roman"/>
          <w:color w:val="000000"/>
        </w:rPr>
        <w:t>4</w:t>
      </w:r>
      <w:r w:rsidRPr="00B12201">
        <w:rPr>
          <w:rFonts w:ascii="Times New Roman" w:hAnsi="Times New Roman" w:cs="Times New Roman"/>
          <w:color w:val="000000"/>
        </w:rPr>
        <w:t>.</w:t>
      </w:r>
    </w:p>
    <w:p w:rsidR="00B12201" w:rsidRDefault="00B12201" w:rsidP="004A500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7636A" w:rsidRDefault="0037636A" w:rsidP="00B12201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12201">
        <w:rPr>
          <w:rFonts w:ascii="Times New Roman" w:hAnsi="Times New Roman" w:cs="Times New Roman"/>
          <w:b/>
          <w:bCs/>
          <w:color w:val="000000"/>
        </w:rPr>
        <w:t xml:space="preserve">• Qualité des prestations administratives : ressenti d’une </w:t>
      </w:r>
      <w:r w:rsidR="00B12201" w:rsidRPr="00B12201">
        <w:rPr>
          <w:rFonts w:ascii="Times New Roman" w:hAnsi="Times New Roman" w:cs="Times New Roman"/>
          <w:b/>
          <w:bCs/>
          <w:color w:val="000000"/>
        </w:rPr>
        <w:t>dégradation</w:t>
      </w:r>
    </w:p>
    <w:p w:rsidR="0037636A" w:rsidRPr="00B12201" w:rsidRDefault="0037636A" w:rsidP="00FA3D4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22CE6">
        <w:rPr>
          <w:rFonts w:ascii="Times New Roman" w:hAnsi="Times New Roman" w:cs="Times New Roman"/>
          <w:color w:val="000000"/>
        </w:rPr>
        <w:t>En 201</w:t>
      </w:r>
      <w:r w:rsidR="00B12201" w:rsidRPr="00D22CE6">
        <w:rPr>
          <w:rFonts w:ascii="Times New Roman" w:hAnsi="Times New Roman" w:cs="Times New Roman"/>
          <w:color w:val="000000"/>
        </w:rPr>
        <w:t>5</w:t>
      </w:r>
      <w:r w:rsidRPr="00D22CE6">
        <w:rPr>
          <w:rFonts w:ascii="Times New Roman" w:hAnsi="Times New Roman" w:cs="Times New Roman"/>
          <w:color w:val="000000"/>
        </w:rPr>
        <w:t xml:space="preserve">, les ménages sont </w:t>
      </w:r>
      <w:r w:rsidR="006F0D13" w:rsidRPr="00D22CE6">
        <w:rPr>
          <w:rFonts w:ascii="Times New Roman" w:hAnsi="Times New Roman" w:cs="Times New Roman"/>
          <w:color w:val="000000"/>
        </w:rPr>
        <w:t xml:space="preserve">moins </w:t>
      </w:r>
      <w:r w:rsidRPr="00D22CE6">
        <w:rPr>
          <w:rFonts w:ascii="Times New Roman" w:hAnsi="Times New Roman" w:cs="Times New Roman"/>
          <w:color w:val="000000"/>
        </w:rPr>
        <w:t>nombreux, à percevoir une amélioration de la qualité des prestations administratives (5</w:t>
      </w:r>
      <w:r w:rsidR="00B12201" w:rsidRPr="00D22CE6">
        <w:rPr>
          <w:rFonts w:ascii="Times New Roman" w:hAnsi="Times New Roman" w:cs="Times New Roman"/>
          <w:color w:val="000000"/>
        </w:rPr>
        <w:t>3</w:t>
      </w:r>
      <w:r w:rsidRPr="00D22CE6">
        <w:rPr>
          <w:rFonts w:ascii="Times New Roman" w:hAnsi="Times New Roman" w:cs="Times New Roman"/>
          <w:color w:val="000000"/>
        </w:rPr>
        <w:t>,</w:t>
      </w:r>
      <w:r w:rsidR="00B12201" w:rsidRPr="00D22CE6">
        <w:rPr>
          <w:rFonts w:ascii="Times New Roman" w:hAnsi="Times New Roman" w:cs="Times New Roman"/>
          <w:color w:val="000000"/>
        </w:rPr>
        <w:t>6</w:t>
      </w:r>
      <w:r w:rsidRPr="00D22CE6">
        <w:rPr>
          <w:rFonts w:ascii="Times New Roman" w:hAnsi="Times New Roman" w:cs="Times New Roman"/>
          <w:color w:val="000000"/>
        </w:rPr>
        <w:t xml:space="preserve">% contre </w:t>
      </w:r>
      <w:r w:rsidR="006F0D13" w:rsidRPr="00D22CE6">
        <w:rPr>
          <w:rFonts w:ascii="Times New Roman" w:hAnsi="Times New Roman" w:cs="Times New Roman"/>
          <w:color w:val="000000"/>
        </w:rPr>
        <w:t>55,5% en 2014</w:t>
      </w:r>
      <w:r w:rsidR="004C26B8" w:rsidRPr="00D22CE6">
        <w:rPr>
          <w:rFonts w:ascii="Times New Roman" w:hAnsi="Times New Roman" w:cs="Times New Roman"/>
          <w:color w:val="000000"/>
        </w:rPr>
        <w:t>)</w:t>
      </w:r>
      <w:r w:rsidR="006F0D13" w:rsidRPr="00D22CE6">
        <w:rPr>
          <w:rFonts w:ascii="Times New Roman" w:hAnsi="Times New Roman" w:cs="Times New Roman"/>
          <w:color w:val="000000"/>
        </w:rPr>
        <w:t xml:space="preserve">. Inversement, </w:t>
      </w:r>
      <w:r w:rsidR="009E0162" w:rsidRPr="00D22CE6">
        <w:rPr>
          <w:rFonts w:ascii="Times New Roman" w:hAnsi="Times New Roman" w:cs="Times New Roman"/>
          <w:color w:val="000000"/>
        </w:rPr>
        <w:t xml:space="preserve">ils sont plus </w:t>
      </w:r>
      <w:r w:rsidR="00A63363" w:rsidRPr="00D22CE6">
        <w:rPr>
          <w:rFonts w:ascii="Times New Roman" w:hAnsi="Times New Roman" w:cs="Times New Roman"/>
          <w:color w:val="000000"/>
        </w:rPr>
        <w:t xml:space="preserve">nombreux à </w:t>
      </w:r>
      <w:r w:rsidR="00D22CE6" w:rsidRPr="00D22CE6">
        <w:rPr>
          <w:rFonts w:ascii="Times New Roman" w:hAnsi="Times New Roman" w:cs="Times New Roman"/>
          <w:color w:val="000000"/>
        </w:rPr>
        <w:t>res</w:t>
      </w:r>
      <w:r w:rsidR="00A63363" w:rsidRPr="00D22CE6">
        <w:rPr>
          <w:rFonts w:ascii="Times New Roman" w:hAnsi="Times New Roman" w:cs="Times New Roman"/>
          <w:color w:val="000000"/>
        </w:rPr>
        <w:t xml:space="preserve">sentir </w:t>
      </w:r>
      <w:r w:rsidR="004C26B8" w:rsidRPr="00D22CE6">
        <w:rPr>
          <w:rFonts w:ascii="Times New Roman" w:hAnsi="Times New Roman" w:cs="Times New Roman"/>
          <w:color w:val="000000"/>
        </w:rPr>
        <w:t>sa</w:t>
      </w:r>
      <w:r w:rsidR="006F0D13" w:rsidRPr="00D22CE6">
        <w:rPr>
          <w:rFonts w:ascii="Times New Roman" w:hAnsi="Times New Roman" w:cs="Times New Roman"/>
          <w:color w:val="000000"/>
        </w:rPr>
        <w:t xml:space="preserve"> dégradation </w:t>
      </w:r>
      <w:r w:rsidR="004C26B8" w:rsidRPr="00D22CE6">
        <w:rPr>
          <w:rFonts w:ascii="Times New Roman" w:hAnsi="Times New Roman" w:cs="Times New Roman"/>
          <w:color w:val="000000"/>
        </w:rPr>
        <w:t>(18,8% contre 14,9% en 2014)</w:t>
      </w:r>
      <w:r w:rsidRPr="00D22CE6">
        <w:rPr>
          <w:rFonts w:ascii="Times New Roman" w:hAnsi="Times New Roman" w:cs="Times New Roman"/>
          <w:color w:val="000000"/>
        </w:rPr>
        <w:t xml:space="preserve">. </w:t>
      </w:r>
      <w:r w:rsidR="00C34A2C" w:rsidRPr="00D22CE6">
        <w:rPr>
          <w:rFonts w:ascii="Times New Roman" w:hAnsi="Times New Roman" w:cs="Times New Roman"/>
          <w:color w:val="000000"/>
        </w:rPr>
        <w:t xml:space="preserve"> </w:t>
      </w:r>
      <w:r w:rsidRPr="00D22CE6">
        <w:rPr>
          <w:rFonts w:ascii="Times New Roman" w:hAnsi="Times New Roman" w:cs="Times New Roman"/>
          <w:color w:val="000000"/>
        </w:rPr>
        <w:t xml:space="preserve">Le solde qui résume cette opinion s’est </w:t>
      </w:r>
      <w:r w:rsidR="006F0D13" w:rsidRPr="00D22CE6">
        <w:rPr>
          <w:rFonts w:ascii="Times New Roman" w:hAnsi="Times New Roman" w:cs="Times New Roman"/>
          <w:color w:val="000000"/>
        </w:rPr>
        <w:t xml:space="preserve">ainsi </w:t>
      </w:r>
      <w:r w:rsidR="00B12201" w:rsidRPr="00D22CE6">
        <w:rPr>
          <w:rFonts w:ascii="Times New Roman" w:hAnsi="Times New Roman" w:cs="Times New Roman"/>
          <w:color w:val="000000"/>
        </w:rPr>
        <w:t>détérioré</w:t>
      </w:r>
      <w:r w:rsidRPr="00D22CE6">
        <w:rPr>
          <w:rFonts w:ascii="Times New Roman" w:hAnsi="Times New Roman" w:cs="Times New Roman"/>
          <w:color w:val="000000"/>
        </w:rPr>
        <w:t xml:space="preserve"> de </w:t>
      </w:r>
      <w:r w:rsidR="00B12201" w:rsidRPr="00D22CE6">
        <w:rPr>
          <w:rFonts w:ascii="Times New Roman" w:hAnsi="Times New Roman" w:cs="Times New Roman"/>
          <w:color w:val="000000"/>
        </w:rPr>
        <w:t>5</w:t>
      </w:r>
      <w:r w:rsidRPr="00D22CE6">
        <w:rPr>
          <w:rFonts w:ascii="Times New Roman" w:hAnsi="Times New Roman" w:cs="Times New Roman"/>
          <w:color w:val="000000"/>
        </w:rPr>
        <w:t>,</w:t>
      </w:r>
      <w:r w:rsidR="00B12201" w:rsidRPr="00D22CE6">
        <w:rPr>
          <w:rFonts w:ascii="Times New Roman" w:hAnsi="Times New Roman" w:cs="Times New Roman"/>
          <w:color w:val="000000"/>
        </w:rPr>
        <w:t>7</w:t>
      </w:r>
      <w:r w:rsidR="00FA110B" w:rsidRPr="00D22CE6">
        <w:rPr>
          <w:rFonts w:ascii="Times New Roman" w:hAnsi="Times New Roman" w:cs="Times New Roman"/>
          <w:color w:val="000000"/>
        </w:rPr>
        <w:t xml:space="preserve"> points </w:t>
      </w:r>
      <w:r w:rsidR="006F0D13" w:rsidRPr="00D22CE6">
        <w:rPr>
          <w:rFonts w:ascii="Times New Roman" w:hAnsi="Times New Roman" w:cs="Times New Roman"/>
          <w:color w:val="000000"/>
        </w:rPr>
        <w:t xml:space="preserve">durant cette </w:t>
      </w:r>
      <w:r w:rsidR="000A2DA9" w:rsidRPr="00D22CE6">
        <w:rPr>
          <w:rFonts w:ascii="Times New Roman" w:hAnsi="Times New Roman" w:cs="Times New Roman"/>
          <w:color w:val="000000"/>
        </w:rPr>
        <w:t>période.</w:t>
      </w:r>
    </w:p>
    <w:p w:rsidR="00B12201" w:rsidRDefault="00B12201" w:rsidP="0037636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37636A" w:rsidRDefault="0037636A" w:rsidP="009E0162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12201">
        <w:rPr>
          <w:rFonts w:ascii="Times New Roman" w:hAnsi="Times New Roman" w:cs="Times New Roman"/>
          <w:b/>
          <w:bCs/>
          <w:color w:val="000000"/>
        </w:rPr>
        <w:t xml:space="preserve">• Qualité de l’environnement : </w:t>
      </w:r>
      <w:r w:rsidR="006F0D13">
        <w:rPr>
          <w:rFonts w:ascii="Times New Roman" w:hAnsi="Times New Roman" w:cs="Times New Roman"/>
          <w:b/>
          <w:bCs/>
          <w:color w:val="000000"/>
        </w:rPr>
        <w:t xml:space="preserve">perception d’une détérioration </w:t>
      </w:r>
      <w:r w:rsidRPr="00B12201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9E0162" w:rsidRPr="00B12201" w:rsidRDefault="009E0162" w:rsidP="009E0162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7636A" w:rsidRPr="00B12201" w:rsidRDefault="000A2DA9" w:rsidP="00922AF0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</w:t>
      </w:r>
      <w:r w:rsidR="0037636A" w:rsidRPr="00B12201">
        <w:rPr>
          <w:rFonts w:ascii="Times New Roman" w:hAnsi="Times New Roman" w:cs="Times New Roman"/>
          <w:color w:val="000000"/>
        </w:rPr>
        <w:t>’opinion des ménages sur l’évolution de la qualité de la situation en matière de protection de l’environnement</w:t>
      </w:r>
      <w:r w:rsidR="00B12201" w:rsidRPr="00B1220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s’</w:t>
      </w:r>
      <w:r w:rsidR="00B12201" w:rsidRPr="00B12201">
        <w:rPr>
          <w:rFonts w:ascii="Times New Roman" w:hAnsi="Times New Roman" w:cs="Times New Roman"/>
          <w:color w:val="000000"/>
        </w:rPr>
        <w:t xml:space="preserve">est </w:t>
      </w:r>
      <w:r>
        <w:rPr>
          <w:rFonts w:ascii="Times New Roman" w:hAnsi="Times New Roman" w:cs="Times New Roman"/>
          <w:color w:val="000000"/>
        </w:rPr>
        <w:t>détérioré</w:t>
      </w:r>
      <w:r w:rsidR="00FA110B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="00B12201" w:rsidRPr="00B12201">
        <w:rPr>
          <w:rFonts w:ascii="Times New Roman" w:hAnsi="Times New Roman" w:cs="Times New Roman"/>
          <w:color w:val="000000"/>
        </w:rPr>
        <w:t xml:space="preserve">en 2015 </w:t>
      </w:r>
      <w:r>
        <w:rPr>
          <w:rFonts w:ascii="Times New Roman" w:hAnsi="Times New Roman" w:cs="Times New Roman"/>
          <w:color w:val="000000"/>
        </w:rPr>
        <w:t xml:space="preserve">par rapport à </w:t>
      </w:r>
      <w:r w:rsidR="00B12201" w:rsidRPr="00B12201">
        <w:rPr>
          <w:rFonts w:ascii="Times New Roman" w:hAnsi="Times New Roman" w:cs="Times New Roman"/>
          <w:color w:val="000000"/>
        </w:rPr>
        <w:t xml:space="preserve">2014. </w:t>
      </w:r>
      <w:r>
        <w:rPr>
          <w:rFonts w:ascii="Times New Roman" w:hAnsi="Times New Roman" w:cs="Times New Roman"/>
          <w:color w:val="000000"/>
        </w:rPr>
        <w:t>L</w:t>
      </w:r>
      <w:r w:rsidR="0037636A" w:rsidRPr="00B12201">
        <w:rPr>
          <w:rFonts w:ascii="Times New Roman" w:hAnsi="Times New Roman" w:cs="Times New Roman"/>
          <w:color w:val="000000"/>
        </w:rPr>
        <w:t>e solde relatif à cet indicateur</w:t>
      </w:r>
      <w:r>
        <w:rPr>
          <w:rFonts w:ascii="Times New Roman" w:hAnsi="Times New Roman" w:cs="Times New Roman"/>
          <w:color w:val="000000"/>
        </w:rPr>
        <w:t>,</w:t>
      </w:r>
      <w:r w:rsidR="0037636A" w:rsidRPr="00B12201">
        <w:rPr>
          <w:rFonts w:ascii="Times New Roman" w:hAnsi="Times New Roman" w:cs="Times New Roman"/>
          <w:color w:val="000000"/>
        </w:rPr>
        <w:t xml:space="preserve"> enregistrant +2</w:t>
      </w:r>
      <w:r w:rsidR="00B12201" w:rsidRPr="00B12201">
        <w:rPr>
          <w:rFonts w:ascii="Times New Roman" w:hAnsi="Times New Roman" w:cs="Times New Roman"/>
          <w:color w:val="000000"/>
        </w:rPr>
        <w:t>4</w:t>
      </w:r>
      <w:r w:rsidR="0037636A" w:rsidRPr="00B12201">
        <w:rPr>
          <w:rFonts w:ascii="Times New Roman" w:hAnsi="Times New Roman" w:cs="Times New Roman"/>
          <w:color w:val="000000"/>
        </w:rPr>
        <w:t>,</w:t>
      </w:r>
      <w:r w:rsidR="00B12201" w:rsidRPr="00B12201">
        <w:rPr>
          <w:rFonts w:ascii="Times New Roman" w:hAnsi="Times New Roman" w:cs="Times New Roman"/>
          <w:color w:val="000000"/>
        </w:rPr>
        <w:t>9</w:t>
      </w:r>
      <w:r w:rsidR="0037636A" w:rsidRPr="00B12201">
        <w:rPr>
          <w:rFonts w:ascii="Times New Roman" w:hAnsi="Times New Roman" w:cs="Times New Roman"/>
          <w:color w:val="000000"/>
        </w:rPr>
        <w:t xml:space="preserve"> points,  a </w:t>
      </w:r>
      <w:r w:rsidR="00B12201" w:rsidRPr="00B12201">
        <w:rPr>
          <w:rFonts w:ascii="Times New Roman" w:hAnsi="Times New Roman" w:cs="Times New Roman"/>
          <w:color w:val="000000"/>
        </w:rPr>
        <w:t xml:space="preserve">perdu </w:t>
      </w:r>
      <w:r w:rsidR="00FA110B">
        <w:rPr>
          <w:rFonts w:ascii="Times New Roman" w:hAnsi="Times New Roman" w:cs="Times New Roman"/>
          <w:color w:val="000000"/>
        </w:rPr>
        <w:t>2,</w:t>
      </w:r>
      <w:r>
        <w:rPr>
          <w:rFonts w:ascii="Times New Roman" w:hAnsi="Times New Roman" w:cs="Times New Roman"/>
          <w:color w:val="000000"/>
        </w:rPr>
        <w:t>6</w:t>
      </w:r>
      <w:r w:rsidR="0037636A" w:rsidRPr="00B12201">
        <w:rPr>
          <w:rFonts w:ascii="Times New Roman" w:hAnsi="Times New Roman" w:cs="Times New Roman"/>
          <w:color w:val="000000"/>
        </w:rPr>
        <w:t xml:space="preserve"> point</w:t>
      </w:r>
      <w:r w:rsidR="00B12201" w:rsidRPr="00B12201">
        <w:rPr>
          <w:rFonts w:ascii="Times New Roman" w:hAnsi="Times New Roman" w:cs="Times New Roman"/>
          <w:color w:val="000000"/>
        </w:rPr>
        <w:t>s</w:t>
      </w:r>
      <w:r w:rsidR="0037636A" w:rsidRPr="00B12201">
        <w:rPr>
          <w:rFonts w:ascii="Times New Roman" w:hAnsi="Times New Roman" w:cs="Times New Roman"/>
          <w:color w:val="000000"/>
        </w:rPr>
        <w:t xml:space="preserve"> durant cette période.  </w:t>
      </w:r>
    </w:p>
    <w:p w:rsidR="0037636A" w:rsidRPr="00104221" w:rsidRDefault="0037636A" w:rsidP="0037636A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37636A" w:rsidRPr="00E90BFC" w:rsidRDefault="0037636A" w:rsidP="00E90BFC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90BFC">
        <w:rPr>
          <w:rFonts w:ascii="Times New Roman" w:hAnsi="Times New Roman" w:cs="Times New Roman"/>
          <w:b/>
          <w:bCs/>
          <w:color w:val="000000"/>
        </w:rPr>
        <w:t xml:space="preserve">• Qualité des services de l’éducation: </w:t>
      </w:r>
      <w:r w:rsidR="00E90BFC">
        <w:rPr>
          <w:rFonts w:ascii="Times New Roman" w:hAnsi="Times New Roman" w:cs="Times New Roman"/>
          <w:b/>
          <w:bCs/>
          <w:color w:val="000000"/>
        </w:rPr>
        <w:t>sentiment d’une forte dégradation</w:t>
      </w:r>
      <w:r w:rsidRPr="00E90BFC"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:rsidR="0037636A" w:rsidRPr="00E90BFC" w:rsidRDefault="006A0433" w:rsidP="00D22CE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22CE6">
        <w:rPr>
          <w:rFonts w:ascii="Times New Roman" w:hAnsi="Times New Roman" w:cs="Times New Roman"/>
          <w:color w:val="000000"/>
        </w:rPr>
        <w:t xml:space="preserve">Près de trois ménages sur dix </w:t>
      </w:r>
      <w:r w:rsidR="00C22F96" w:rsidRPr="00D22CE6">
        <w:rPr>
          <w:rFonts w:ascii="Times New Roman" w:hAnsi="Times New Roman" w:cs="Times New Roman"/>
          <w:color w:val="000000"/>
        </w:rPr>
        <w:t xml:space="preserve">(30,3%) </w:t>
      </w:r>
      <w:r w:rsidR="0037636A" w:rsidRPr="00D22CE6">
        <w:rPr>
          <w:rFonts w:ascii="Times New Roman" w:hAnsi="Times New Roman" w:cs="Times New Roman"/>
          <w:color w:val="000000"/>
        </w:rPr>
        <w:t>pensent que la qualité des services de</w:t>
      </w:r>
      <w:r w:rsidR="00D22CE6">
        <w:rPr>
          <w:rFonts w:ascii="Times New Roman" w:hAnsi="Times New Roman" w:cs="Times New Roman"/>
          <w:color w:val="000000"/>
        </w:rPr>
        <w:t xml:space="preserve"> </w:t>
      </w:r>
      <w:r w:rsidR="0037636A" w:rsidRPr="00D22CE6">
        <w:rPr>
          <w:rFonts w:ascii="Times New Roman" w:hAnsi="Times New Roman" w:cs="Times New Roman"/>
          <w:color w:val="000000"/>
        </w:rPr>
        <w:t>l’enseignement s’est améliorée, 3</w:t>
      </w:r>
      <w:r w:rsidR="00B12201" w:rsidRPr="00D22CE6">
        <w:rPr>
          <w:rFonts w:ascii="Times New Roman" w:hAnsi="Times New Roman" w:cs="Times New Roman"/>
          <w:color w:val="000000"/>
        </w:rPr>
        <w:t>4</w:t>
      </w:r>
      <w:r w:rsidR="0037636A" w:rsidRPr="00D22CE6">
        <w:rPr>
          <w:rFonts w:ascii="Times New Roman" w:hAnsi="Times New Roman" w:cs="Times New Roman"/>
          <w:color w:val="000000"/>
        </w:rPr>
        <w:t>,</w:t>
      </w:r>
      <w:r w:rsidR="00B12201" w:rsidRPr="00D22CE6">
        <w:rPr>
          <w:rFonts w:ascii="Times New Roman" w:hAnsi="Times New Roman" w:cs="Times New Roman"/>
          <w:color w:val="000000"/>
        </w:rPr>
        <w:t>3</w:t>
      </w:r>
      <w:r w:rsidR="0037636A" w:rsidRPr="00D22CE6">
        <w:rPr>
          <w:rFonts w:ascii="Times New Roman" w:hAnsi="Times New Roman" w:cs="Times New Roman"/>
          <w:color w:val="000000"/>
        </w:rPr>
        <w:t xml:space="preserve">% qu’elle n’a pas connu de changement et </w:t>
      </w:r>
      <w:r w:rsidR="00B12201" w:rsidRPr="00D22CE6">
        <w:rPr>
          <w:rFonts w:ascii="Times New Roman" w:hAnsi="Times New Roman" w:cs="Times New Roman"/>
          <w:color w:val="000000"/>
        </w:rPr>
        <w:t>35</w:t>
      </w:r>
      <w:r w:rsidR="0037636A" w:rsidRPr="00D22CE6">
        <w:rPr>
          <w:rFonts w:ascii="Times New Roman" w:hAnsi="Times New Roman" w:cs="Times New Roman"/>
          <w:color w:val="000000"/>
        </w:rPr>
        <w:t>,</w:t>
      </w:r>
      <w:r w:rsidR="00B12201" w:rsidRPr="00D22CE6">
        <w:rPr>
          <w:rFonts w:ascii="Times New Roman" w:hAnsi="Times New Roman" w:cs="Times New Roman"/>
          <w:color w:val="000000"/>
        </w:rPr>
        <w:t>4</w:t>
      </w:r>
      <w:r w:rsidR="0037636A" w:rsidRPr="00D22CE6">
        <w:rPr>
          <w:rFonts w:ascii="Times New Roman" w:hAnsi="Times New Roman" w:cs="Times New Roman"/>
          <w:color w:val="000000"/>
        </w:rPr>
        <w:t xml:space="preserve">% pensent qu’elle s’est plutôt détériorée. Le solde </w:t>
      </w:r>
      <w:r w:rsidRPr="00D22CE6">
        <w:rPr>
          <w:rFonts w:ascii="Times New Roman" w:hAnsi="Times New Roman" w:cs="Times New Roman"/>
          <w:color w:val="000000"/>
        </w:rPr>
        <w:t>de cet indicateur</w:t>
      </w:r>
      <w:r w:rsidR="00C70A4B">
        <w:rPr>
          <w:rFonts w:ascii="Times New Roman" w:hAnsi="Times New Roman" w:cs="Times New Roman"/>
          <w:color w:val="000000"/>
        </w:rPr>
        <w:t xml:space="preserve">, </w:t>
      </w:r>
      <w:r w:rsidR="00D22CE6">
        <w:rPr>
          <w:rFonts w:ascii="Times New Roman" w:hAnsi="Times New Roman" w:cs="Times New Roman"/>
          <w:color w:val="000000"/>
        </w:rPr>
        <w:t xml:space="preserve">devenu </w:t>
      </w:r>
      <w:r w:rsidR="00C22F96" w:rsidRPr="00D22CE6">
        <w:rPr>
          <w:rFonts w:ascii="Times New Roman" w:hAnsi="Times New Roman" w:cs="Times New Roman"/>
          <w:color w:val="000000"/>
        </w:rPr>
        <w:t>positif</w:t>
      </w:r>
      <w:r w:rsidR="00D22CE6">
        <w:rPr>
          <w:rFonts w:ascii="Times New Roman" w:hAnsi="Times New Roman" w:cs="Times New Roman"/>
          <w:color w:val="000000"/>
        </w:rPr>
        <w:t xml:space="preserve"> depuis deux années, </w:t>
      </w:r>
      <w:r w:rsidR="00C22F96" w:rsidRPr="00D22CE6">
        <w:rPr>
          <w:rFonts w:ascii="Times New Roman" w:hAnsi="Times New Roman" w:cs="Times New Roman"/>
          <w:color w:val="000000"/>
        </w:rPr>
        <w:t xml:space="preserve"> </w:t>
      </w:r>
      <w:r w:rsidR="0037636A" w:rsidRPr="00D22CE6">
        <w:rPr>
          <w:rFonts w:ascii="Times New Roman" w:hAnsi="Times New Roman" w:cs="Times New Roman"/>
          <w:color w:val="000000"/>
        </w:rPr>
        <w:t xml:space="preserve">s’établit </w:t>
      </w:r>
      <w:r w:rsidR="00D22CE6">
        <w:rPr>
          <w:rFonts w:ascii="Times New Roman" w:hAnsi="Times New Roman" w:cs="Times New Roman"/>
          <w:color w:val="000000"/>
        </w:rPr>
        <w:t xml:space="preserve">de nouveau à un niveau négatif </w:t>
      </w:r>
      <w:r w:rsidR="00D22CE6" w:rsidRPr="00D22CE6">
        <w:rPr>
          <w:rFonts w:ascii="Times New Roman" w:hAnsi="Times New Roman" w:cs="Times New Roman"/>
          <w:color w:val="000000"/>
        </w:rPr>
        <w:t>en 2015</w:t>
      </w:r>
      <w:r w:rsidR="00D22CE6">
        <w:rPr>
          <w:rFonts w:ascii="Times New Roman" w:hAnsi="Times New Roman" w:cs="Times New Roman"/>
          <w:color w:val="000000"/>
        </w:rPr>
        <w:t xml:space="preserve"> </w:t>
      </w:r>
      <w:r w:rsidR="0037636A" w:rsidRPr="00D22CE6">
        <w:rPr>
          <w:rFonts w:ascii="Times New Roman" w:hAnsi="Times New Roman" w:cs="Times New Roman"/>
          <w:color w:val="000000"/>
        </w:rPr>
        <w:t xml:space="preserve">enregistrant une baisse de </w:t>
      </w:r>
      <w:r w:rsidR="00C22F96" w:rsidRPr="00D22CE6">
        <w:rPr>
          <w:rFonts w:ascii="Times New Roman" w:hAnsi="Times New Roman" w:cs="Times New Roman"/>
          <w:color w:val="000000"/>
        </w:rPr>
        <w:t>13,5 poi</w:t>
      </w:r>
      <w:r w:rsidR="0037636A" w:rsidRPr="00D22CE6">
        <w:rPr>
          <w:rFonts w:ascii="Times New Roman" w:hAnsi="Times New Roman" w:cs="Times New Roman"/>
          <w:color w:val="000000"/>
        </w:rPr>
        <w:t>nt</w:t>
      </w:r>
      <w:r w:rsidR="00C22F96" w:rsidRPr="00D22CE6">
        <w:rPr>
          <w:rFonts w:ascii="Times New Roman" w:hAnsi="Times New Roman" w:cs="Times New Roman"/>
          <w:color w:val="000000"/>
        </w:rPr>
        <w:t>s</w:t>
      </w:r>
      <w:r w:rsidR="00D22CE6">
        <w:rPr>
          <w:rFonts w:ascii="Times New Roman" w:hAnsi="Times New Roman" w:cs="Times New Roman"/>
          <w:color w:val="000000"/>
        </w:rPr>
        <w:t xml:space="preserve"> </w:t>
      </w:r>
      <w:r w:rsidRPr="00D22CE6">
        <w:rPr>
          <w:rFonts w:ascii="Times New Roman" w:hAnsi="Times New Roman" w:cs="Times New Roman"/>
          <w:color w:val="000000"/>
        </w:rPr>
        <w:t>passant de +8,3 points à -5,2 points</w:t>
      </w:r>
      <w:r w:rsidRPr="00D22CE6" w:rsidDel="006A0433">
        <w:rPr>
          <w:rFonts w:ascii="Times New Roman" w:hAnsi="Times New Roman" w:cs="Times New Roman"/>
          <w:color w:val="000000"/>
        </w:rPr>
        <w:t xml:space="preserve"> </w:t>
      </w:r>
      <w:r w:rsidR="0037636A" w:rsidRPr="00D22CE6">
        <w:rPr>
          <w:rFonts w:ascii="Times New Roman" w:hAnsi="Times New Roman" w:cs="Times New Roman"/>
          <w:color w:val="000000"/>
        </w:rPr>
        <w:t>entre 201</w:t>
      </w:r>
      <w:r w:rsidR="00C22F96" w:rsidRPr="00D22CE6">
        <w:rPr>
          <w:rFonts w:ascii="Times New Roman" w:hAnsi="Times New Roman" w:cs="Times New Roman"/>
          <w:color w:val="000000"/>
        </w:rPr>
        <w:t>4</w:t>
      </w:r>
      <w:r w:rsidR="0037636A" w:rsidRPr="00D22CE6">
        <w:rPr>
          <w:rFonts w:ascii="Times New Roman" w:hAnsi="Times New Roman" w:cs="Times New Roman"/>
          <w:color w:val="000000"/>
        </w:rPr>
        <w:t xml:space="preserve"> et 201</w:t>
      </w:r>
      <w:r w:rsidR="00C22F96" w:rsidRPr="00D22CE6">
        <w:rPr>
          <w:rFonts w:ascii="Times New Roman" w:hAnsi="Times New Roman" w:cs="Times New Roman"/>
          <w:color w:val="000000"/>
        </w:rPr>
        <w:t>5</w:t>
      </w:r>
      <w:r w:rsidR="00D22CE6">
        <w:rPr>
          <w:rFonts w:ascii="Times New Roman" w:hAnsi="Times New Roman" w:cs="Times New Roman"/>
          <w:color w:val="000000"/>
        </w:rPr>
        <w:t>.</w:t>
      </w:r>
    </w:p>
    <w:p w:rsidR="0037636A" w:rsidRDefault="0037636A" w:rsidP="0037636A">
      <w:pPr>
        <w:spacing w:line="276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050145" w:rsidRPr="00050145" w:rsidRDefault="00050145" w:rsidP="003A0725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50145">
        <w:rPr>
          <w:rFonts w:ascii="Times New Roman" w:hAnsi="Times New Roman" w:cs="Times New Roman"/>
          <w:b/>
          <w:bCs/>
          <w:color w:val="000000"/>
        </w:rPr>
        <w:t xml:space="preserve">• Qualité des services de santé : persistance d’une </w:t>
      </w:r>
      <w:r w:rsidR="006A0433">
        <w:rPr>
          <w:rFonts w:ascii="Times New Roman" w:hAnsi="Times New Roman" w:cs="Times New Roman"/>
          <w:b/>
          <w:bCs/>
          <w:color w:val="000000"/>
        </w:rPr>
        <w:t>opinion négative</w:t>
      </w:r>
      <w:r w:rsidRPr="00050145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050145" w:rsidRPr="000A14AD" w:rsidRDefault="00050145" w:rsidP="00050145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50145">
        <w:rPr>
          <w:rFonts w:ascii="Times New Roman" w:hAnsi="Times New Roman" w:cs="Times New Roman"/>
          <w:color w:val="000000"/>
        </w:rPr>
        <w:t xml:space="preserve">L’opinion des ménages concernant la qualité des soins de santé est plus négative en 2015 qu’en 2014.  </w:t>
      </w:r>
      <w:r w:rsidR="006A0433">
        <w:rPr>
          <w:rFonts w:ascii="Times New Roman" w:hAnsi="Times New Roman" w:cs="Times New Roman"/>
          <w:color w:val="000000"/>
        </w:rPr>
        <w:t>Un peu plus d’un ménage sur sept (</w:t>
      </w:r>
      <w:r w:rsidRPr="00050145">
        <w:rPr>
          <w:rFonts w:ascii="Times New Roman" w:hAnsi="Times New Roman" w:cs="Times New Roman"/>
          <w:color w:val="000000"/>
        </w:rPr>
        <w:t>15%</w:t>
      </w:r>
      <w:r w:rsidR="006A0433">
        <w:rPr>
          <w:rFonts w:ascii="Times New Roman" w:hAnsi="Times New Roman" w:cs="Times New Roman"/>
          <w:color w:val="000000"/>
        </w:rPr>
        <w:t>)</w:t>
      </w:r>
      <w:r w:rsidRPr="00050145">
        <w:rPr>
          <w:rFonts w:ascii="Times New Roman" w:hAnsi="Times New Roman" w:cs="Times New Roman"/>
          <w:color w:val="000000"/>
        </w:rPr>
        <w:t xml:space="preserve">  pensent que les prestations sanitaires se sont améliorées</w:t>
      </w:r>
      <w:r w:rsidR="006A0433">
        <w:rPr>
          <w:rFonts w:ascii="Times New Roman" w:hAnsi="Times New Roman" w:cs="Times New Roman"/>
          <w:color w:val="000000"/>
        </w:rPr>
        <w:t xml:space="preserve"> </w:t>
      </w:r>
      <w:r w:rsidR="00FA110B">
        <w:rPr>
          <w:rFonts w:ascii="Times New Roman" w:hAnsi="Times New Roman" w:cs="Times New Roman"/>
          <w:color w:val="000000"/>
        </w:rPr>
        <w:t>(contre</w:t>
      </w:r>
      <w:r w:rsidR="006A0433">
        <w:rPr>
          <w:rFonts w:ascii="Times New Roman" w:hAnsi="Times New Roman" w:cs="Times New Roman"/>
          <w:color w:val="000000"/>
        </w:rPr>
        <w:t xml:space="preserve"> </w:t>
      </w:r>
      <w:r w:rsidR="00161772">
        <w:rPr>
          <w:rFonts w:ascii="Times New Roman" w:hAnsi="Times New Roman" w:cs="Times New Roman"/>
          <w:color w:val="000000"/>
        </w:rPr>
        <w:t>19,1% en 2014)</w:t>
      </w:r>
      <w:r w:rsidRPr="00050145">
        <w:rPr>
          <w:rFonts w:ascii="Times New Roman" w:hAnsi="Times New Roman" w:cs="Times New Roman"/>
          <w:color w:val="000000"/>
        </w:rPr>
        <w:t xml:space="preserve">,  33,6% qu’elles sont restées au même niveau </w:t>
      </w:r>
      <w:r w:rsidR="00FA110B">
        <w:rPr>
          <w:rFonts w:ascii="Times New Roman" w:hAnsi="Times New Roman" w:cs="Times New Roman"/>
          <w:color w:val="000000"/>
        </w:rPr>
        <w:t>(contre</w:t>
      </w:r>
      <w:r w:rsidR="00161772">
        <w:rPr>
          <w:rFonts w:ascii="Times New Roman" w:hAnsi="Times New Roman" w:cs="Times New Roman"/>
          <w:color w:val="000000"/>
        </w:rPr>
        <w:t xml:space="preserve"> 38,4% en 2014) </w:t>
      </w:r>
      <w:r w:rsidRPr="00050145">
        <w:rPr>
          <w:rFonts w:ascii="Times New Roman" w:hAnsi="Times New Roman" w:cs="Times New Roman"/>
          <w:color w:val="000000"/>
        </w:rPr>
        <w:t>alors que plus de la moitié (51,4%) affirment qu’elles se sont plutôt détériorées</w:t>
      </w:r>
      <w:r w:rsidR="00161772">
        <w:rPr>
          <w:rFonts w:ascii="Times New Roman" w:hAnsi="Times New Roman" w:cs="Times New Roman"/>
          <w:color w:val="000000"/>
        </w:rPr>
        <w:t xml:space="preserve"> </w:t>
      </w:r>
      <w:r w:rsidR="00FA110B">
        <w:rPr>
          <w:rFonts w:ascii="Times New Roman" w:hAnsi="Times New Roman" w:cs="Times New Roman"/>
          <w:color w:val="000000"/>
        </w:rPr>
        <w:t>(contre</w:t>
      </w:r>
      <w:r w:rsidR="00161772">
        <w:rPr>
          <w:rFonts w:ascii="Times New Roman" w:hAnsi="Times New Roman" w:cs="Times New Roman"/>
          <w:color w:val="000000"/>
        </w:rPr>
        <w:t xml:space="preserve"> 42,5% en 2014)</w:t>
      </w:r>
      <w:r w:rsidRPr="00050145">
        <w:rPr>
          <w:rFonts w:ascii="Times New Roman" w:hAnsi="Times New Roman" w:cs="Times New Roman"/>
          <w:color w:val="000000"/>
        </w:rPr>
        <w:t xml:space="preserve">. Le solde relatif à cet indicateur s’est </w:t>
      </w:r>
      <w:r w:rsidR="00161772">
        <w:rPr>
          <w:rFonts w:ascii="Times New Roman" w:hAnsi="Times New Roman" w:cs="Times New Roman"/>
          <w:color w:val="000000"/>
        </w:rPr>
        <w:t xml:space="preserve">ainsi </w:t>
      </w:r>
      <w:r w:rsidRPr="00050145">
        <w:rPr>
          <w:rFonts w:ascii="Times New Roman" w:hAnsi="Times New Roman" w:cs="Times New Roman"/>
          <w:color w:val="000000"/>
        </w:rPr>
        <w:t>détérioré de 13 points durant cette période.</w:t>
      </w:r>
      <w:r w:rsidRPr="000A14AD">
        <w:rPr>
          <w:rFonts w:ascii="Times New Roman" w:hAnsi="Times New Roman" w:cs="Times New Roman"/>
          <w:color w:val="000000"/>
        </w:rPr>
        <w:t xml:space="preserve"> </w:t>
      </w:r>
    </w:p>
    <w:p w:rsidR="0037636A" w:rsidRPr="00A374B1" w:rsidRDefault="0037636A" w:rsidP="0037636A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Perception</w:t>
      </w:r>
      <w:r w:rsidRPr="00A374B1">
        <w:rPr>
          <w:rFonts w:ascii="Times New Roman" w:hAnsi="Times New Roman" w:cs="Times New Roman"/>
          <w:b/>
          <w:bCs/>
        </w:rPr>
        <w:t xml:space="preserve"> de l'évolution de la qualité de quelques prestations administratives et sociales, de la situation des droits de l'Homme et de l'environnement</w:t>
      </w:r>
    </w:p>
    <w:tbl>
      <w:tblPr>
        <w:tblW w:w="1032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88"/>
        <w:gridCol w:w="1210"/>
        <w:gridCol w:w="992"/>
        <w:gridCol w:w="1030"/>
        <w:gridCol w:w="880"/>
        <w:gridCol w:w="1112"/>
        <w:gridCol w:w="920"/>
        <w:gridCol w:w="1030"/>
        <w:gridCol w:w="667"/>
      </w:tblGrid>
      <w:tr w:rsidR="0037636A" w:rsidRPr="00181B72" w:rsidTr="005010D2">
        <w:trPr>
          <w:trHeight w:val="275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6A" w:rsidRPr="00181B72" w:rsidRDefault="0037636A" w:rsidP="000501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0501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6A" w:rsidRPr="00181B72" w:rsidRDefault="0037636A" w:rsidP="000501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0501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7636A" w:rsidRPr="00181B72" w:rsidTr="005010D2">
        <w:trPr>
          <w:trHeight w:val="275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6A" w:rsidRPr="00181B72" w:rsidRDefault="0037636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</w:tr>
      <w:tr w:rsidR="005010D2" w:rsidRPr="00181B72" w:rsidTr="005010D2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181B72" w:rsidRDefault="005010D2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47,4</w:t>
            </w:r>
          </w:p>
        </w:tc>
      </w:tr>
      <w:tr w:rsidR="005010D2" w:rsidRPr="00181B72" w:rsidTr="005010D2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181B72" w:rsidRDefault="005010D2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34,8</w:t>
            </w:r>
          </w:p>
        </w:tc>
      </w:tr>
      <w:tr w:rsidR="005010D2" w:rsidRPr="00181B72" w:rsidTr="005010D2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181B72" w:rsidRDefault="005010D2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24,9</w:t>
            </w:r>
          </w:p>
        </w:tc>
      </w:tr>
      <w:tr w:rsidR="005010D2" w:rsidRPr="00181B72" w:rsidTr="005010D2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181B72" w:rsidRDefault="005010D2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d'e l’enseignement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-5,2</w:t>
            </w:r>
          </w:p>
        </w:tc>
      </w:tr>
      <w:tr w:rsidR="005010D2" w:rsidRPr="00181B72" w:rsidTr="005010D2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181B72" w:rsidRDefault="005010D2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 w:rsidP="00B122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</w:t>
            </w:r>
            <w:r w:rsidR="00B1220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Default="005010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-23,4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B122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33,</w:t>
            </w:r>
            <w:r w:rsidR="00B1220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 w:rsidP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D2" w:rsidRPr="005010D2" w:rsidRDefault="005010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0D2">
              <w:rPr>
                <w:rFonts w:ascii="Calibri" w:hAnsi="Calibri" w:cs="Calibri"/>
                <w:color w:val="000000"/>
                <w:sz w:val="18"/>
                <w:szCs w:val="18"/>
              </w:rPr>
              <w:t>-36,4</w:t>
            </w:r>
          </w:p>
        </w:tc>
      </w:tr>
    </w:tbl>
    <w:p w:rsidR="0037636A" w:rsidRDefault="0037636A" w:rsidP="0037636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3A0725" w:rsidRPr="00C706A5" w:rsidRDefault="003A0725" w:rsidP="003A07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3A0725" w:rsidRDefault="003A0725" w:rsidP="009A04A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0725" w:rsidRPr="00C706A5" w:rsidRDefault="003A0725" w:rsidP="009A04A5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9A04A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Pr="0074699A" w:rsidRDefault="003A0725" w:rsidP="00106C8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106C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5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706A5" w:rsidRDefault="003A0725" w:rsidP="009A04A5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3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4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A160AD" w:rsidRDefault="005D5B33" w:rsidP="002F5E45">
      <w:pPr>
        <w:spacing w:line="360" w:lineRule="auto"/>
        <w:ind w:left="-1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ndice de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onfiance des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énages  (ICM)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990"/>
        <w:gridCol w:w="440"/>
        <w:gridCol w:w="12"/>
        <w:gridCol w:w="413"/>
        <w:gridCol w:w="16"/>
        <w:gridCol w:w="413"/>
        <w:gridCol w:w="19"/>
        <w:gridCol w:w="413"/>
        <w:gridCol w:w="22"/>
        <w:gridCol w:w="413"/>
        <w:gridCol w:w="22"/>
        <w:gridCol w:w="410"/>
        <w:gridCol w:w="25"/>
        <w:gridCol w:w="410"/>
        <w:gridCol w:w="25"/>
        <w:gridCol w:w="416"/>
        <w:gridCol w:w="19"/>
        <w:gridCol w:w="416"/>
        <w:gridCol w:w="19"/>
        <w:gridCol w:w="416"/>
        <w:gridCol w:w="19"/>
        <w:gridCol w:w="416"/>
        <w:gridCol w:w="19"/>
        <w:gridCol w:w="423"/>
        <w:gridCol w:w="16"/>
        <w:gridCol w:w="420"/>
        <w:gridCol w:w="16"/>
        <w:gridCol w:w="420"/>
        <w:gridCol w:w="16"/>
        <w:gridCol w:w="420"/>
        <w:gridCol w:w="16"/>
        <w:gridCol w:w="426"/>
        <w:gridCol w:w="12"/>
        <w:gridCol w:w="423"/>
        <w:gridCol w:w="12"/>
        <w:gridCol w:w="423"/>
        <w:gridCol w:w="12"/>
        <w:gridCol w:w="423"/>
        <w:gridCol w:w="12"/>
        <w:gridCol w:w="432"/>
        <w:gridCol w:w="12"/>
        <w:gridCol w:w="423"/>
        <w:gridCol w:w="12"/>
        <w:gridCol w:w="423"/>
        <w:gridCol w:w="12"/>
        <w:gridCol w:w="423"/>
        <w:gridCol w:w="12"/>
        <w:gridCol w:w="516"/>
      </w:tblGrid>
      <w:tr w:rsidR="0088145B" w:rsidRPr="0069760B" w:rsidTr="00573060">
        <w:trPr>
          <w:trHeight w:val="730"/>
          <w:jc w:val="center"/>
        </w:trPr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5B" w:rsidRPr="0069760B" w:rsidRDefault="0088145B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Indicateur</w:t>
            </w:r>
          </w:p>
        </w:tc>
        <w:tc>
          <w:tcPr>
            <w:tcW w:w="5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Default="0088145B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8145B" w:rsidRPr="00262122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88145B" w:rsidRDefault="0088145B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5B" w:rsidRDefault="0088145B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5B" w:rsidRDefault="0088145B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</w:tr>
      <w:tr w:rsidR="0088145B" w:rsidRPr="0069760B" w:rsidTr="00573060">
        <w:trPr>
          <w:trHeight w:val="558"/>
          <w:jc w:val="center"/>
        </w:trPr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5B" w:rsidRPr="0069760B" w:rsidRDefault="0088145B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T1/11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T3/11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T3/12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T3/13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T1/15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T2/15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T3/15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A160AD" w:rsidRDefault="0020508E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T4/15</w:t>
            </w:r>
          </w:p>
        </w:tc>
      </w:tr>
      <w:tr w:rsidR="0088145B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69760B" w:rsidRDefault="0088145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Indice de Confiance des Ménages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80,1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85,8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86,5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84,5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82,9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77,6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75,4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ind w:left="-68"/>
              <w:jc w:val="center"/>
              <w:rPr>
                <w:rFonts w:ascii="Calibri" w:hAnsi="Calibri"/>
                <w:b/>
                <w:bCs/>
                <w:sz w:val="13"/>
                <w:szCs w:val="13"/>
              </w:rPr>
            </w:pPr>
            <w:r w:rsidRPr="002B79DC">
              <w:rPr>
                <w:rFonts w:ascii="Calibri" w:hAnsi="Calibri"/>
                <w:b/>
                <w:bCs/>
                <w:sz w:val="13"/>
                <w:szCs w:val="13"/>
              </w:rPr>
              <w:t>74,0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71,6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2B79DC" w:rsidRDefault="0088145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2B79DC" w:rsidRDefault="0088145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2B79DC" w:rsidRDefault="0088145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76,3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77,1</w:t>
            </w:r>
          </w:p>
          <w:p w:rsidR="0088145B" w:rsidRPr="002B79DC" w:rsidRDefault="0088145B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nombre de chômeurs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-59,2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-56,1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-52,4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-48,6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-56,7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-66,5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-65,2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>-66,2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-64,1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du niveau de vie en général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-26,1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-13,4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-20,2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-21,2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-17,7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-14,1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-12,8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-15,1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-13,8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niveau de vie en général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0,4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-1,9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11,9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13,1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-3,2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-13,1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-7,7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-8,1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Opportunité d'achat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-39,9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-36,4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-32,5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-28,9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-36,0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-34,2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-37,5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Situation financière actuelle des ménages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-27,5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-24,3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-30,8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-29,7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-32,4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-28,0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-25,1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-25,7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 de la situation financière des ménages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-7,5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-10,5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-6,4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-14,1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-16,7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-15,7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-23,3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-25 ,8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-27,0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-20.2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-20,8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-18,5</w:t>
            </w:r>
          </w:p>
        </w:tc>
      </w:tr>
      <w:tr w:rsidR="002D79AA" w:rsidRPr="0069760B" w:rsidTr="00573060">
        <w:trPr>
          <w:trHeight w:val="661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69760B" w:rsidRDefault="002D79A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17,8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20,4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15,1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14,0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7,7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4,5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2,8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-1,5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0,1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B79DC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4,2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D93EB1" w:rsidRDefault="002D79A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3,3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AA" w:rsidRPr="002D79AA" w:rsidRDefault="002D79A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7,6</w:t>
            </w:r>
          </w:p>
        </w:tc>
      </w:tr>
      <w:tr w:rsidR="0088145B" w:rsidRPr="0069760B" w:rsidTr="00573060">
        <w:trPr>
          <w:trHeight w:val="453"/>
          <w:jc w:val="center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B" w:rsidRDefault="0088145B" w:rsidP="002B79DC">
            <w:pPr>
              <w:widowControl/>
              <w:autoSpaceDE/>
              <w:autoSpaceDN/>
              <w:adjustRightInd/>
              <w:spacing w:line="276" w:lineRule="auto"/>
              <w:ind w:left="15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8145B" w:rsidRPr="0028485A" w:rsidRDefault="0088145B" w:rsidP="0088145B">
            <w:pPr>
              <w:widowControl/>
              <w:autoSpaceDE/>
              <w:autoSpaceDN/>
              <w:adjustRightInd/>
              <w:spacing w:line="276" w:lineRule="auto"/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17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</w:tr>
      <w:tr w:rsidR="004C049D" w:rsidRPr="0069760B" w:rsidTr="00573060">
        <w:trPr>
          <w:trHeight w:val="482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69760B" w:rsidRDefault="004C049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-72,6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-73,6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-78,0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-76,9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-77,2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-75.6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-75,3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4C049D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-75,2</w:t>
            </w:r>
          </w:p>
        </w:tc>
      </w:tr>
      <w:tr w:rsidR="004C049D" w:rsidRPr="0069760B" w:rsidTr="00573060">
        <w:trPr>
          <w:trHeight w:val="482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69760B" w:rsidRDefault="004C049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-79,5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-95,5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-92,5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-91,7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-84,1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-81,8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-84,5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-87,2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-85,3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2B79DC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-84,3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9D" w:rsidRPr="004C049D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-85,4</w:t>
            </w:r>
          </w:p>
        </w:tc>
      </w:tr>
      <w:tr w:rsidR="0088145B" w:rsidRPr="0069760B" w:rsidTr="00573060">
        <w:trPr>
          <w:trHeight w:val="482"/>
          <w:jc w:val="center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5B" w:rsidRPr="0069760B" w:rsidRDefault="0088145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-61,1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-65,3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-70,2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-69,8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45B" w:rsidRPr="002B79DC" w:rsidRDefault="0088145B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-70,6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0" w:rsidRDefault="00573060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:rsidR="004C049D" w:rsidRPr="004C049D" w:rsidRDefault="004C049D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-69,2</w:t>
            </w:r>
          </w:p>
          <w:p w:rsidR="0088145B" w:rsidRPr="004C049D" w:rsidRDefault="0088145B" w:rsidP="004C049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</w:tbl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A1E" w:rsidRDefault="00DD2A1E" w:rsidP="00460705">
      <w:r>
        <w:separator/>
      </w:r>
    </w:p>
  </w:endnote>
  <w:endnote w:type="continuationSeparator" w:id="1">
    <w:p w:rsidR="00DD2A1E" w:rsidRDefault="00DD2A1E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416547" w:rsidRDefault="006A77FC">
        <w:pPr>
          <w:pStyle w:val="Pieddepage"/>
          <w:jc w:val="center"/>
        </w:pPr>
        <w:fldSimple w:instr=" PAGE   \* MERGEFORMAT ">
          <w:r w:rsidR="008C2800">
            <w:rPr>
              <w:noProof/>
            </w:rPr>
            <w:t>2</w:t>
          </w:r>
        </w:fldSimple>
      </w:p>
    </w:sdtContent>
  </w:sdt>
  <w:p w:rsidR="00416547" w:rsidRDefault="004165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A1E" w:rsidRDefault="00DD2A1E" w:rsidP="00460705">
      <w:r>
        <w:separator/>
      </w:r>
    </w:p>
  </w:footnote>
  <w:footnote w:type="continuationSeparator" w:id="1">
    <w:p w:rsidR="00DD2A1E" w:rsidRDefault="00DD2A1E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C3212"/>
    <w:multiLevelType w:val="hybridMultilevel"/>
    <w:tmpl w:val="3CEA4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6A1"/>
    <w:rsid w:val="000023E0"/>
    <w:rsid w:val="00002F9B"/>
    <w:rsid w:val="00003F54"/>
    <w:rsid w:val="000060F8"/>
    <w:rsid w:val="000069AE"/>
    <w:rsid w:val="00011A0E"/>
    <w:rsid w:val="00011BC4"/>
    <w:rsid w:val="00011F4E"/>
    <w:rsid w:val="00014940"/>
    <w:rsid w:val="00015112"/>
    <w:rsid w:val="000151DD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6F7C"/>
    <w:rsid w:val="0003703D"/>
    <w:rsid w:val="000370B6"/>
    <w:rsid w:val="0004211E"/>
    <w:rsid w:val="00042157"/>
    <w:rsid w:val="00043430"/>
    <w:rsid w:val="0004437F"/>
    <w:rsid w:val="000451AC"/>
    <w:rsid w:val="00046C56"/>
    <w:rsid w:val="00046EB3"/>
    <w:rsid w:val="00047B2B"/>
    <w:rsid w:val="00050145"/>
    <w:rsid w:val="00051534"/>
    <w:rsid w:val="000518A6"/>
    <w:rsid w:val="00051B80"/>
    <w:rsid w:val="00052C8E"/>
    <w:rsid w:val="00055B18"/>
    <w:rsid w:val="0005628D"/>
    <w:rsid w:val="000569E9"/>
    <w:rsid w:val="00056F4A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6EE"/>
    <w:rsid w:val="000712A9"/>
    <w:rsid w:val="000720FD"/>
    <w:rsid w:val="00072708"/>
    <w:rsid w:val="00072CF2"/>
    <w:rsid w:val="00072EEA"/>
    <w:rsid w:val="00072F7C"/>
    <w:rsid w:val="00073079"/>
    <w:rsid w:val="000749D1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FCF"/>
    <w:rsid w:val="00090FEC"/>
    <w:rsid w:val="00091D64"/>
    <w:rsid w:val="00091FB9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2DA9"/>
    <w:rsid w:val="000A40C3"/>
    <w:rsid w:val="000A5F4A"/>
    <w:rsid w:val="000A62F9"/>
    <w:rsid w:val="000B0844"/>
    <w:rsid w:val="000B09BA"/>
    <w:rsid w:val="000B1487"/>
    <w:rsid w:val="000B16D1"/>
    <w:rsid w:val="000B552C"/>
    <w:rsid w:val="000C0C01"/>
    <w:rsid w:val="000C3718"/>
    <w:rsid w:val="000C39F9"/>
    <w:rsid w:val="000C439F"/>
    <w:rsid w:val="000C4C0E"/>
    <w:rsid w:val="000C56EA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10E0"/>
    <w:rsid w:val="000E17D9"/>
    <w:rsid w:val="000E20BC"/>
    <w:rsid w:val="000E21A1"/>
    <w:rsid w:val="000E4DC7"/>
    <w:rsid w:val="000F0919"/>
    <w:rsid w:val="000F0DB1"/>
    <w:rsid w:val="000F184A"/>
    <w:rsid w:val="000F2945"/>
    <w:rsid w:val="000F2B60"/>
    <w:rsid w:val="000F6CE8"/>
    <w:rsid w:val="000F70E8"/>
    <w:rsid w:val="000F74C5"/>
    <w:rsid w:val="000F7A57"/>
    <w:rsid w:val="000F7C4F"/>
    <w:rsid w:val="00100026"/>
    <w:rsid w:val="00101249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534"/>
    <w:rsid w:val="00107E17"/>
    <w:rsid w:val="00107F1E"/>
    <w:rsid w:val="001103D0"/>
    <w:rsid w:val="00110B90"/>
    <w:rsid w:val="00110BE5"/>
    <w:rsid w:val="00111470"/>
    <w:rsid w:val="001116C8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733D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CA9"/>
    <w:rsid w:val="0016005A"/>
    <w:rsid w:val="00161772"/>
    <w:rsid w:val="00162062"/>
    <w:rsid w:val="001638CE"/>
    <w:rsid w:val="001648E6"/>
    <w:rsid w:val="0016596E"/>
    <w:rsid w:val="001672BD"/>
    <w:rsid w:val="00173781"/>
    <w:rsid w:val="00174542"/>
    <w:rsid w:val="00174553"/>
    <w:rsid w:val="001757C5"/>
    <w:rsid w:val="001760CB"/>
    <w:rsid w:val="00181B72"/>
    <w:rsid w:val="00182E1E"/>
    <w:rsid w:val="00184023"/>
    <w:rsid w:val="00184250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8E2"/>
    <w:rsid w:val="00196D8E"/>
    <w:rsid w:val="00196DF3"/>
    <w:rsid w:val="001975D4"/>
    <w:rsid w:val="00197D9A"/>
    <w:rsid w:val="00197F64"/>
    <w:rsid w:val="001A048A"/>
    <w:rsid w:val="001A0F65"/>
    <w:rsid w:val="001A384F"/>
    <w:rsid w:val="001A4203"/>
    <w:rsid w:val="001A4BB7"/>
    <w:rsid w:val="001A648B"/>
    <w:rsid w:val="001A69DD"/>
    <w:rsid w:val="001A6BB6"/>
    <w:rsid w:val="001B0AB6"/>
    <w:rsid w:val="001B1130"/>
    <w:rsid w:val="001B1C9F"/>
    <w:rsid w:val="001B1E0E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8DC"/>
    <w:rsid w:val="001D2D35"/>
    <w:rsid w:val="001D709D"/>
    <w:rsid w:val="001E0D0B"/>
    <w:rsid w:val="001E1901"/>
    <w:rsid w:val="001E36D5"/>
    <w:rsid w:val="001E42CC"/>
    <w:rsid w:val="001E4F55"/>
    <w:rsid w:val="001E6198"/>
    <w:rsid w:val="001E78BD"/>
    <w:rsid w:val="001F062E"/>
    <w:rsid w:val="001F14B0"/>
    <w:rsid w:val="001F20AF"/>
    <w:rsid w:val="001F321B"/>
    <w:rsid w:val="001F3646"/>
    <w:rsid w:val="001F4A3E"/>
    <w:rsid w:val="001F4FE4"/>
    <w:rsid w:val="001F5970"/>
    <w:rsid w:val="001F59E2"/>
    <w:rsid w:val="001F5D34"/>
    <w:rsid w:val="001F626D"/>
    <w:rsid w:val="001F6A9C"/>
    <w:rsid w:val="001F739C"/>
    <w:rsid w:val="001F7711"/>
    <w:rsid w:val="002021DE"/>
    <w:rsid w:val="002041E9"/>
    <w:rsid w:val="0020508E"/>
    <w:rsid w:val="00206A7F"/>
    <w:rsid w:val="0020711A"/>
    <w:rsid w:val="00207730"/>
    <w:rsid w:val="0021180E"/>
    <w:rsid w:val="0021213E"/>
    <w:rsid w:val="00212E56"/>
    <w:rsid w:val="00213786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4B4"/>
    <w:rsid w:val="0023661B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1ABE"/>
    <w:rsid w:val="0025259C"/>
    <w:rsid w:val="00253166"/>
    <w:rsid w:val="002534E9"/>
    <w:rsid w:val="00254D8A"/>
    <w:rsid w:val="00256232"/>
    <w:rsid w:val="00256FBC"/>
    <w:rsid w:val="00257385"/>
    <w:rsid w:val="00260173"/>
    <w:rsid w:val="00260D98"/>
    <w:rsid w:val="0026141F"/>
    <w:rsid w:val="00262122"/>
    <w:rsid w:val="00262237"/>
    <w:rsid w:val="0026337D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21C5"/>
    <w:rsid w:val="0028239A"/>
    <w:rsid w:val="0028485A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96E08"/>
    <w:rsid w:val="002A0DFB"/>
    <w:rsid w:val="002A18ED"/>
    <w:rsid w:val="002A1C56"/>
    <w:rsid w:val="002A1D28"/>
    <w:rsid w:val="002A1FD6"/>
    <w:rsid w:val="002A29D2"/>
    <w:rsid w:val="002A2E36"/>
    <w:rsid w:val="002A321D"/>
    <w:rsid w:val="002A4737"/>
    <w:rsid w:val="002A53E5"/>
    <w:rsid w:val="002A7486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C03DA"/>
    <w:rsid w:val="002C0743"/>
    <w:rsid w:val="002C0BC4"/>
    <w:rsid w:val="002C0E6A"/>
    <w:rsid w:val="002C10D7"/>
    <w:rsid w:val="002C18A0"/>
    <w:rsid w:val="002C1D2E"/>
    <w:rsid w:val="002C211A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3AEC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37BE3"/>
    <w:rsid w:val="00342196"/>
    <w:rsid w:val="00344737"/>
    <w:rsid w:val="00346706"/>
    <w:rsid w:val="003514ED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24EE"/>
    <w:rsid w:val="00373C93"/>
    <w:rsid w:val="0037636A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1350"/>
    <w:rsid w:val="00393479"/>
    <w:rsid w:val="003937BF"/>
    <w:rsid w:val="003960C1"/>
    <w:rsid w:val="003A0725"/>
    <w:rsid w:val="003A1290"/>
    <w:rsid w:val="003A18CF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B7237"/>
    <w:rsid w:val="003C0E95"/>
    <w:rsid w:val="003C1028"/>
    <w:rsid w:val="003C205E"/>
    <w:rsid w:val="003C2158"/>
    <w:rsid w:val="003C2208"/>
    <w:rsid w:val="003C2924"/>
    <w:rsid w:val="003C2D1C"/>
    <w:rsid w:val="003C3114"/>
    <w:rsid w:val="003C4254"/>
    <w:rsid w:val="003C79A0"/>
    <w:rsid w:val="003D554F"/>
    <w:rsid w:val="003D5D63"/>
    <w:rsid w:val="003D6DF2"/>
    <w:rsid w:val="003D76D8"/>
    <w:rsid w:val="003E04DE"/>
    <w:rsid w:val="003E1044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400110"/>
    <w:rsid w:val="00400526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3F4D"/>
    <w:rsid w:val="0041457A"/>
    <w:rsid w:val="004158F0"/>
    <w:rsid w:val="00416547"/>
    <w:rsid w:val="00416870"/>
    <w:rsid w:val="0041772A"/>
    <w:rsid w:val="0042017B"/>
    <w:rsid w:val="00420913"/>
    <w:rsid w:val="00420B43"/>
    <w:rsid w:val="00420D3C"/>
    <w:rsid w:val="004211F6"/>
    <w:rsid w:val="00421A81"/>
    <w:rsid w:val="00422883"/>
    <w:rsid w:val="00422ACC"/>
    <w:rsid w:val="00424E25"/>
    <w:rsid w:val="0042529A"/>
    <w:rsid w:val="00426845"/>
    <w:rsid w:val="00427219"/>
    <w:rsid w:val="004274C1"/>
    <w:rsid w:val="00430234"/>
    <w:rsid w:val="00431767"/>
    <w:rsid w:val="00431E4B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2AA7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5348"/>
    <w:rsid w:val="0049640D"/>
    <w:rsid w:val="00497168"/>
    <w:rsid w:val="00497732"/>
    <w:rsid w:val="00497984"/>
    <w:rsid w:val="00497D4F"/>
    <w:rsid w:val="004A126D"/>
    <w:rsid w:val="004A2333"/>
    <w:rsid w:val="004A33E9"/>
    <w:rsid w:val="004A3EA6"/>
    <w:rsid w:val="004A3ECA"/>
    <w:rsid w:val="004A4BF6"/>
    <w:rsid w:val="004A5001"/>
    <w:rsid w:val="004A590B"/>
    <w:rsid w:val="004A69AD"/>
    <w:rsid w:val="004B04C6"/>
    <w:rsid w:val="004B35F7"/>
    <w:rsid w:val="004B4273"/>
    <w:rsid w:val="004B4E32"/>
    <w:rsid w:val="004B5383"/>
    <w:rsid w:val="004B64B5"/>
    <w:rsid w:val="004B7076"/>
    <w:rsid w:val="004C049D"/>
    <w:rsid w:val="004C26B8"/>
    <w:rsid w:val="004C26D2"/>
    <w:rsid w:val="004C612A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0C6B"/>
    <w:rsid w:val="004E0D06"/>
    <w:rsid w:val="004E183B"/>
    <w:rsid w:val="004E2497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3DF"/>
    <w:rsid w:val="004F6CAB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46FE"/>
    <w:rsid w:val="00534965"/>
    <w:rsid w:val="0054064D"/>
    <w:rsid w:val="0054089B"/>
    <w:rsid w:val="00540AC5"/>
    <w:rsid w:val="005426C2"/>
    <w:rsid w:val="005429BE"/>
    <w:rsid w:val="00545A36"/>
    <w:rsid w:val="005465E0"/>
    <w:rsid w:val="005467EB"/>
    <w:rsid w:val="00546AA5"/>
    <w:rsid w:val="00547601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1B7D"/>
    <w:rsid w:val="00562D36"/>
    <w:rsid w:val="00562E23"/>
    <w:rsid w:val="00563170"/>
    <w:rsid w:val="00565E32"/>
    <w:rsid w:val="005665B1"/>
    <w:rsid w:val="0056722B"/>
    <w:rsid w:val="00567CDC"/>
    <w:rsid w:val="00570BDD"/>
    <w:rsid w:val="00573060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2246"/>
    <w:rsid w:val="00582436"/>
    <w:rsid w:val="0058309C"/>
    <w:rsid w:val="00584093"/>
    <w:rsid w:val="0058425B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445D"/>
    <w:rsid w:val="005B6912"/>
    <w:rsid w:val="005B6C42"/>
    <w:rsid w:val="005B77A5"/>
    <w:rsid w:val="005C01F5"/>
    <w:rsid w:val="005C029D"/>
    <w:rsid w:val="005C1110"/>
    <w:rsid w:val="005C1739"/>
    <w:rsid w:val="005C331A"/>
    <w:rsid w:val="005C41EB"/>
    <w:rsid w:val="005C473B"/>
    <w:rsid w:val="005C68C9"/>
    <w:rsid w:val="005D0118"/>
    <w:rsid w:val="005D0483"/>
    <w:rsid w:val="005D0680"/>
    <w:rsid w:val="005D07D9"/>
    <w:rsid w:val="005D1941"/>
    <w:rsid w:val="005D1BE9"/>
    <w:rsid w:val="005D238E"/>
    <w:rsid w:val="005D2895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7796"/>
    <w:rsid w:val="006078F5"/>
    <w:rsid w:val="00613A81"/>
    <w:rsid w:val="00615041"/>
    <w:rsid w:val="006170EF"/>
    <w:rsid w:val="00617A67"/>
    <w:rsid w:val="00617BEB"/>
    <w:rsid w:val="00621856"/>
    <w:rsid w:val="00622CF0"/>
    <w:rsid w:val="00623440"/>
    <w:rsid w:val="00623925"/>
    <w:rsid w:val="00624CE0"/>
    <w:rsid w:val="00625499"/>
    <w:rsid w:val="00626C37"/>
    <w:rsid w:val="00627948"/>
    <w:rsid w:val="006279EF"/>
    <w:rsid w:val="00627C24"/>
    <w:rsid w:val="0063078B"/>
    <w:rsid w:val="006318E1"/>
    <w:rsid w:val="006332C7"/>
    <w:rsid w:val="00633518"/>
    <w:rsid w:val="00633DBA"/>
    <w:rsid w:val="00633F5E"/>
    <w:rsid w:val="00634247"/>
    <w:rsid w:val="00634856"/>
    <w:rsid w:val="00634C05"/>
    <w:rsid w:val="00636540"/>
    <w:rsid w:val="00637056"/>
    <w:rsid w:val="0064120B"/>
    <w:rsid w:val="00641433"/>
    <w:rsid w:val="00641937"/>
    <w:rsid w:val="00642021"/>
    <w:rsid w:val="0064218D"/>
    <w:rsid w:val="0064322F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7B"/>
    <w:rsid w:val="00660A7D"/>
    <w:rsid w:val="0066108F"/>
    <w:rsid w:val="0066175C"/>
    <w:rsid w:val="00661A4E"/>
    <w:rsid w:val="006620AD"/>
    <w:rsid w:val="00663397"/>
    <w:rsid w:val="00663FAD"/>
    <w:rsid w:val="00665ECF"/>
    <w:rsid w:val="0066619E"/>
    <w:rsid w:val="00667089"/>
    <w:rsid w:val="00671777"/>
    <w:rsid w:val="006717A3"/>
    <w:rsid w:val="00671ECF"/>
    <w:rsid w:val="0067261D"/>
    <w:rsid w:val="00672A2B"/>
    <w:rsid w:val="00672FEF"/>
    <w:rsid w:val="00675156"/>
    <w:rsid w:val="0068033A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913"/>
    <w:rsid w:val="006A1512"/>
    <w:rsid w:val="006A230B"/>
    <w:rsid w:val="006A3B5A"/>
    <w:rsid w:val="006A552D"/>
    <w:rsid w:val="006A5708"/>
    <w:rsid w:val="006A5A1C"/>
    <w:rsid w:val="006A77FC"/>
    <w:rsid w:val="006A7BD0"/>
    <w:rsid w:val="006B11E8"/>
    <w:rsid w:val="006B12D2"/>
    <w:rsid w:val="006B14FF"/>
    <w:rsid w:val="006B2086"/>
    <w:rsid w:val="006B3C2A"/>
    <w:rsid w:val="006B695F"/>
    <w:rsid w:val="006B6E07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0E54"/>
    <w:rsid w:val="006D3119"/>
    <w:rsid w:val="006D5C60"/>
    <w:rsid w:val="006D68DC"/>
    <w:rsid w:val="006D7C72"/>
    <w:rsid w:val="006E004B"/>
    <w:rsid w:val="006E1197"/>
    <w:rsid w:val="006E15E3"/>
    <w:rsid w:val="006E2BE2"/>
    <w:rsid w:val="006E2F48"/>
    <w:rsid w:val="006E3028"/>
    <w:rsid w:val="006E51CE"/>
    <w:rsid w:val="006E54CD"/>
    <w:rsid w:val="006E743A"/>
    <w:rsid w:val="006F0D13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5DF7"/>
    <w:rsid w:val="00716AC6"/>
    <w:rsid w:val="00717305"/>
    <w:rsid w:val="00717A01"/>
    <w:rsid w:val="00720767"/>
    <w:rsid w:val="00722189"/>
    <w:rsid w:val="00723882"/>
    <w:rsid w:val="00724CEF"/>
    <w:rsid w:val="00725C9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699A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26D5"/>
    <w:rsid w:val="007937C5"/>
    <w:rsid w:val="007A00D5"/>
    <w:rsid w:val="007A02DF"/>
    <w:rsid w:val="007A0429"/>
    <w:rsid w:val="007A0E66"/>
    <w:rsid w:val="007A106F"/>
    <w:rsid w:val="007A2498"/>
    <w:rsid w:val="007A3C20"/>
    <w:rsid w:val="007A4238"/>
    <w:rsid w:val="007A430C"/>
    <w:rsid w:val="007A7334"/>
    <w:rsid w:val="007B2E46"/>
    <w:rsid w:val="007B348B"/>
    <w:rsid w:val="007B4778"/>
    <w:rsid w:val="007B4AFC"/>
    <w:rsid w:val="007B4F7A"/>
    <w:rsid w:val="007B601C"/>
    <w:rsid w:val="007B6A7F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1E2"/>
    <w:rsid w:val="007D4ED5"/>
    <w:rsid w:val="007D6641"/>
    <w:rsid w:val="007D7349"/>
    <w:rsid w:val="007D76C4"/>
    <w:rsid w:val="007D7FDE"/>
    <w:rsid w:val="007E05B5"/>
    <w:rsid w:val="007E06E3"/>
    <w:rsid w:val="007E0752"/>
    <w:rsid w:val="007E0D7B"/>
    <w:rsid w:val="007E656C"/>
    <w:rsid w:val="007E6919"/>
    <w:rsid w:val="007E79BB"/>
    <w:rsid w:val="007F09E0"/>
    <w:rsid w:val="007F2CA7"/>
    <w:rsid w:val="007F2FA3"/>
    <w:rsid w:val="007F31D9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2F6F"/>
    <w:rsid w:val="00823DE5"/>
    <w:rsid w:val="00823EFA"/>
    <w:rsid w:val="008246A6"/>
    <w:rsid w:val="00825C9C"/>
    <w:rsid w:val="0082604B"/>
    <w:rsid w:val="0082661B"/>
    <w:rsid w:val="00826B58"/>
    <w:rsid w:val="00827634"/>
    <w:rsid w:val="00827916"/>
    <w:rsid w:val="00827C0D"/>
    <w:rsid w:val="00827DE2"/>
    <w:rsid w:val="008325C4"/>
    <w:rsid w:val="00832D5A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2392"/>
    <w:rsid w:val="00853079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5A29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45B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41B1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7124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56B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5686"/>
    <w:rsid w:val="00916F2D"/>
    <w:rsid w:val="00917757"/>
    <w:rsid w:val="00920825"/>
    <w:rsid w:val="009208FB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342AC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486F"/>
    <w:rsid w:val="00965AF2"/>
    <w:rsid w:val="00966D00"/>
    <w:rsid w:val="009716F2"/>
    <w:rsid w:val="00975C25"/>
    <w:rsid w:val="009766A1"/>
    <w:rsid w:val="00976C98"/>
    <w:rsid w:val="00981872"/>
    <w:rsid w:val="00983D5F"/>
    <w:rsid w:val="00985AB3"/>
    <w:rsid w:val="00985DD2"/>
    <w:rsid w:val="0098660E"/>
    <w:rsid w:val="009874E6"/>
    <w:rsid w:val="00987987"/>
    <w:rsid w:val="00991EC1"/>
    <w:rsid w:val="009921AC"/>
    <w:rsid w:val="00995616"/>
    <w:rsid w:val="00996593"/>
    <w:rsid w:val="009969D7"/>
    <w:rsid w:val="009974CC"/>
    <w:rsid w:val="00997739"/>
    <w:rsid w:val="009978D4"/>
    <w:rsid w:val="00997EF3"/>
    <w:rsid w:val="00997F9E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6D05"/>
    <w:rsid w:val="009A7820"/>
    <w:rsid w:val="009A7F14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52D7"/>
    <w:rsid w:val="009E682C"/>
    <w:rsid w:val="009E7131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7F7"/>
    <w:rsid w:val="00A13982"/>
    <w:rsid w:val="00A13B42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B5"/>
    <w:rsid w:val="00A276D8"/>
    <w:rsid w:val="00A27CEB"/>
    <w:rsid w:val="00A3041C"/>
    <w:rsid w:val="00A3172A"/>
    <w:rsid w:val="00A34F03"/>
    <w:rsid w:val="00A374B1"/>
    <w:rsid w:val="00A400D9"/>
    <w:rsid w:val="00A413F7"/>
    <w:rsid w:val="00A41973"/>
    <w:rsid w:val="00A420CE"/>
    <w:rsid w:val="00A42774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27E3"/>
    <w:rsid w:val="00A6296B"/>
    <w:rsid w:val="00A63363"/>
    <w:rsid w:val="00A644C5"/>
    <w:rsid w:val="00A654CA"/>
    <w:rsid w:val="00A675B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0F20"/>
    <w:rsid w:val="00A91DBE"/>
    <w:rsid w:val="00A938F3"/>
    <w:rsid w:val="00A948E9"/>
    <w:rsid w:val="00A950DB"/>
    <w:rsid w:val="00A95D14"/>
    <w:rsid w:val="00A95E94"/>
    <w:rsid w:val="00A95F76"/>
    <w:rsid w:val="00A978EA"/>
    <w:rsid w:val="00A97CE2"/>
    <w:rsid w:val="00AA2C91"/>
    <w:rsid w:val="00AA3F50"/>
    <w:rsid w:val="00AA42D6"/>
    <w:rsid w:val="00AA42EB"/>
    <w:rsid w:val="00AA4B9B"/>
    <w:rsid w:val="00AA7979"/>
    <w:rsid w:val="00AB1B38"/>
    <w:rsid w:val="00AB2E25"/>
    <w:rsid w:val="00AB33B7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082"/>
    <w:rsid w:val="00AE27A6"/>
    <w:rsid w:val="00AE2ABD"/>
    <w:rsid w:val="00AE2D48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2201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3257C"/>
    <w:rsid w:val="00B33398"/>
    <w:rsid w:val="00B33DDD"/>
    <w:rsid w:val="00B36132"/>
    <w:rsid w:val="00B3617A"/>
    <w:rsid w:val="00B36214"/>
    <w:rsid w:val="00B36E89"/>
    <w:rsid w:val="00B42576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600A7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A77"/>
    <w:rsid w:val="00B70FEA"/>
    <w:rsid w:val="00B7208B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AC9"/>
    <w:rsid w:val="00B87C77"/>
    <w:rsid w:val="00B94BD5"/>
    <w:rsid w:val="00BA05AF"/>
    <w:rsid w:val="00BA05CB"/>
    <w:rsid w:val="00BA1CE0"/>
    <w:rsid w:val="00BA20BF"/>
    <w:rsid w:val="00BA3DCF"/>
    <w:rsid w:val="00BA72B1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269D"/>
    <w:rsid w:val="00BE26EE"/>
    <w:rsid w:val="00BE2C7E"/>
    <w:rsid w:val="00BE3EBD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46B1"/>
    <w:rsid w:val="00C049EB"/>
    <w:rsid w:val="00C0692C"/>
    <w:rsid w:val="00C070B3"/>
    <w:rsid w:val="00C077F1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2F96"/>
    <w:rsid w:val="00C24351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929"/>
    <w:rsid w:val="00C67698"/>
    <w:rsid w:val="00C701B3"/>
    <w:rsid w:val="00C706A5"/>
    <w:rsid w:val="00C70A4B"/>
    <w:rsid w:val="00C71138"/>
    <w:rsid w:val="00C72080"/>
    <w:rsid w:val="00C72318"/>
    <w:rsid w:val="00C73AF1"/>
    <w:rsid w:val="00C73C35"/>
    <w:rsid w:val="00C744C3"/>
    <w:rsid w:val="00C76249"/>
    <w:rsid w:val="00C77FF2"/>
    <w:rsid w:val="00C80E65"/>
    <w:rsid w:val="00C814E3"/>
    <w:rsid w:val="00C823BD"/>
    <w:rsid w:val="00C82FA2"/>
    <w:rsid w:val="00C85227"/>
    <w:rsid w:val="00C85F79"/>
    <w:rsid w:val="00C87EFC"/>
    <w:rsid w:val="00C91677"/>
    <w:rsid w:val="00C929CE"/>
    <w:rsid w:val="00C93EAA"/>
    <w:rsid w:val="00C93FD8"/>
    <w:rsid w:val="00C94A80"/>
    <w:rsid w:val="00C94E38"/>
    <w:rsid w:val="00C94F63"/>
    <w:rsid w:val="00C95A6B"/>
    <w:rsid w:val="00C95C1F"/>
    <w:rsid w:val="00C968CC"/>
    <w:rsid w:val="00C976F1"/>
    <w:rsid w:val="00C97B9F"/>
    <w:rsid w:val="00CA482A"/>
    <w:rsid w:val="00CA49CC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C1A"/>
    <w:rsid w:val="00CB3616"/>
    <w:rsid w:val="00CB3C08"/>
    <w:rsid w:val="00CB3CA9"/>
    <w:rsid w:val="00CB45B8"/>
    <w:rsid w:val="00CB592A"/>
    <w:rsid w:val="00CB6356"/>
    <w:rsid w:val="00CB6AA0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3A9A"/>
    <w:rsid w:val="00CD3C0D"/>
    <w:rsid w:val="00CD4181"/>
    <w:rsid w:val="00CD7B38"/>
    <w:rsid w:val="00CE0A3F"/>
    <w:rsid w:val="00CE24DD"/>
    <w:rsid w:val="00CE27F5"/>
    <w:rsid w:val="00CE2B11"/>
    <w:rsid w:val="00CE4D13"/>
    <w:rsid w:val="00CE5396"/>
    <w:rsid w:val="00CE555C"/>
    <w:rsid w:val="00CE7872"/>
    <w:rsid w:val="00CF0163"/>
    <w:rsid w:val="00CF09A5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8F5"/>
    <w:rsid w:val="00D139C9"/>
    <w:rsid w:val="00D13B8F"/>
    <w:rsid w:val="00D13E89"/>
    <w:rsid w:val="00D16D05"/>
    <w:rsid w:val="00D17130"/>
    <w:rsid w:val="00D17758"/>
    <w:rsid w:val="00D21428"/>
    <w:rsid w:val="00D22CE6"/>
    <w:rsid w:val="00D23E6D"/>
    <w:rsid w:val="00D23F6C"/>
    <w:rsid w:val="00D243B7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1F51"/>
    <w:rsid w:val="00D454E7"/>
    <w:rsid w:val="00D45527"/>
    <w:rsid w:val="00D46097"/>
    <w:rsid w:val="00D46521"/>
    <w:rsid w:val="00D53275"/>
    <w:rsid w:val="00D54358"/>
    <w:rsid w:val="00D553C6"/>
    <w:rsid w:val="00D5577E"/>
    <w:rsid w:val="00D55F1F"/>
    <w:rsid w:val="00D5614A"/>
    <w:rsid w:val="00D563AD"/>
    <w:rsid w:val="00D5679E"/>
    <w:rsid w:val="00D567A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0AD"/>
    <w:rsid w:val="00D7233D"/>
    <w:rsid w:val="00D724DC"/>
    <w:rsid w:val="00D741FC"/>
    <w:rsid w:val="00D7524D"/>
    <w:rsid w:val="00D75C4F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7C8"/>
    <w:rsid w:val="00DA244B"/>
    <w:rsid w:val="00DA3198"/>
    <w:rsid w:val="00DA3867"/>
    <w:rsid w:val="00DA3E9A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4FBE"/>
    <w:rsid w:val="00DC5A31"/>
    <w:rsid w:val="00DC676B"/>
    <w:rsid w:val="00DD2648"/>
    <w:rsid w:val="00DD2A1E"/>
    <w:rsid w:val="00DD79E3"/>
    <w:rsid w:val="00DE048F"/>
    <w:rsid w:val="00DE215D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221E"/>
    <w:rsid w:val="00DF369E"/>
    <w:rsid w:val="00E0008D"/>
    <w:rsid w:val="00E009EE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3AD3"/>
    <w:rsid w:val="00E543BB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0BFC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1D6D"/>
    <w:rsid w:val="00EA1EEC"/>
    <w:rsid w:val="00EA2018"/>
    <w:rsid w:val="00EA205A"/>
    <w:rsid w:val="00EA3C3C"/>
    <w:rsid w:val="00EA4C22"/>
    <w:rsid w:val="00EA5580"/>
    <w:rsid w:val="00EA57D0"/>
    <w:rsid w:val="00EB078A"/>
    <w:rsid w:val="00EB0D9D"/>
    <w:rsid w:val="00EB1F10"/>
    <w:rsid w:val="00EB284E"/>
    <w:rsid w:val="00EB2FF9"/>
    <w:rsid w:val="00EB35F3"/>
    <w:rsid w:val="00EB41C4"/>
    <w:rsid w:val="00EB4313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1D43"/>
    <w:rsid w:val="00EC42FA"/>
    <w:rsid w:val="00EC5534"/>
    <w:rsid w:val="00EC578A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BDC"/>
    <w:rsid w:val="00F17B9D"/>
    <w:rsid w:val="00F20644"/>
    <w:rsid w:val="00F20E5B"/>
    <w:rsid w:val="00F21FD0"/>
    <w:rsid w:val="00F2296F"/>
    <w:rsid w:val="00F23039"/>
    <w:rsid w:val="00F24882"/>
    <w:rsid w:val="00F24E95"/>
    <w:rsid w:val="00F27A8A"/>
    <w:rsid w:val="00F35575"/>
    <w:rsid w:val="00F3570E"/>
    <w:rsid w:val="00F35DBC"/>
    <w:rsid w:val="00F3620D"/>
    <w:rsid w:val="00F37379"/>
    <w:rsid w:val="00F37422"/>
    <w:rsid w:val="00F406EF"/>
    <w:rsid w:val="00F409B1"/>
    <w:rsid w:val="00F40FCE"/>
    <w:rsid w:val="00F40FEE"/>
    <w:rsid w:val="00F430E6"/>
    <w:rsid w:val="00F44BD0"/>
    <w:rsid w:val="00F44CD1"/>
    <w:rsid w:val="00F4574D"/>
    <w:rsid w:val="00F469DA"/>
    <w:rsid w:val="00F50003"/>
    <w:rsid w:val="00F50CB9"/>
    <w:rsid w:val="00F52F0C"/>
    <w:rsid w:val="00F53CD4"/>
    <w:rsid w:val="00F5423D"/>
    <w:rsid w:val="00F556FF"/>
    <w:rsid w:val="00F56124"/>
    <w:rsid w:val="00F566D3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E5"/>
    <w:rsid w:val="00F71ED3"/>
    <w:rsid w:val="00F727CB"/>
    <w:rsid w:val="00F733C9"/>
    <w:rsid w:val="00F752D4"/>
    <w:rsid w:val="00F766B2"/>
    <w:rsid w:val="00F76B9D"/>
    <w:rsid w:val="00F80F3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10B"/>
    <w:rsid w:val="00FA12E0"/>
    <w:rsid w:val="00FA1489"/>
    <w:rsid w:val="00FA174F"/>
    <w:rsid w:val="00FA1EC3"/>
    <w:rsid w:val="00FA2D27"/>
    <w:rsid w:val="00FA2E00"/>
    <w:rsid w:val="00FA2E08"/>
    <w:rsid w:val="00FA3097"/>
    <w:rsid w:val="00FA33E5"/>
    <w:rsid w:val="00FA37C6"/>
    <w:rsid w:val="00FA3D42"/>
    <w:rsid w:val="00FA5F0F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AEA"/>
    <w:rsid w:val="00FE20AE"/>
    <w:rsid w:val="00FE3CBE"/>
    <w:rsid w:val="00FE416E"/>
    <w:rsid w:val="00FE4BDD"/>
    <w:rsid w:val="00FE639A"/>
    <w:rsid w:val="00FE6B1B"/>
    <w:rsid w:val="00FF1F1D"/>
    <w:rsid w:val="00FF2FF6"/>
    <w:rsid w:val="00FF31FB"/>
    <w:rsid w:val="00FF392F"/>
    <w:rsid w:val="00FF44FD"/>
    <w:rsid w:val="00FF53E4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Evolution de l'Indice de Confiance des Ménages</a:t>
            </a:r>
            <a:endParaRPr lang="fr-FR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7"/>
              <c:showVal val="1"/>
            </c:dLbl>
            <c:dLbl>
              <c:idx val="30"/>
              <c:layout>
                <c:manualLayout>
                  <c:x val="-6.1657032755297525E-3"/>
                  <c:y val="-1.5732549629380841E-2"/>
                </c:manualLayout>
              </c:layout>
              <c:showVal val="1"/>
            </c:dLbl>
            <c:dLbl>
              <c:idx val="31"/>
              <c:showVal val="1"/>
            </c:dLbl>
            <c:delete val="1"/>
          </c:dLbls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fr'!$B$17:$AG$17</c:f>
              <c:numCache>
                <c:formatCode>#,##0.0</c:formatCode>
                <c:ptCount val="32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76.126311562995966</c:v>
                </c:pt>
                <c:pt idx="30">
                  <c:v>76.315005733685808</c:v>
                </c:pt>
                <c:pt idx="31">
                  <c:v>77.131028825386352</c:v>
                </c:pt>
              </c:numCache>
            </c:numRef>
          </c:val>
        </c:ser>
        <c:axId val="126167680"/>
        <c:axId val="126329216"/>
      </c:barChart>
      <c:catAx>
        <c:axId val="12616768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6329216"/>
        <c:crosses val="autoZero"/>
        <c:auto val="1"/>
        <c:lblAlgn val="ctr"/>
        <c:lblOffset val="100"/>
      </c:catAx>
      <c:valAx>
        <c:axId val="126329216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61676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de l'évolution passée et future du niveau de vie</a:t>
            </a:r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fr'!$B$10:$AG$10</c:f>
              <c:numCache>
                <c:formatCode>#,##0.0</c:formatCode>
                <c:ptCount val="32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-26.050959167650078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Evolution future du niveau de vie</c:v>
                </c:pt>
              </c:strCache>
            </c:strRef>
          </c:tx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fr'!$B$11:$AG$11</c:f>
              <c:numCache>
                <c:formatCode>#,##0.0</c:formatCode>
                <c:ptCount val="32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</c:numCache>
            </c:numRef>
          </c:val>
        </c:ser>
        <c:marker val="1"/>
        <c:axId val="124564608"/>
        <c:axId val="124566144"/>
      </c:lineChart>
      <c:catAx>
        <c:axId val="1245646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4566144"/>
        <c:crosses val="autoZero"/>
        <c:auto val="1"/>
        <c:lblAlgn val="ctr"/>
        <c:lblOffset val="100"/>
      </c:catAx>
      <c:valAx>
        <c:axId val="12456614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4564608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Pr>
        <a:bodyPr/>
        <a:lstStyle/>
        <a:p>
          <a:pPr>
            <a:defRPr sz="1600"/>
          </a:pPr>
          <a:endParaRPr lang="fr-FR"/>
        </a:p>
      </c:txPr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fr'!$B$9:$AG$9</c:f>
              <c:numCache>
                <c:formatCode>#,##0.0</c:formatCode>
                <c:ptCount val="32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-52.408437207990346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</c:numCache>
            </c:numRef>
          </c:val>
        </c:ser>
        <c:marker val="1"/>
        <c:axId val="124807040"/>
        <c:axId val="124808576"/>
      </c:lineChart>
      <c:catAx>
        <c:axId val="12480704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4808576"/>
        <c:crosses val="autoZero"/>
        <c:auto val="1"/>
        <c:lblAlgn val="ctr"/>
        <c:lblOffset val="100"/>
      </c:catAx>
      <c:valAx>
        <c:axId val="124808576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48070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fr'!$B$13:$AG$13</c:f>
              <c:numCache>
                <c:formatCode>#,##0.0</c:formatCode>
                <c:ptCount val="3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-27.991516068681896</c:v>
                </c:pt>
                <c:pt idx="30">
                  <c:v>-25.071467645625653</c:v>
                </c:pt>
                <c:pt idx="31">
                  <c:v>-25.699936983325848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fr'!$B$14:$AG$14</c:f>
              <c:numCache>
                <c:formatCode>#,##0.0</c:formatCode>
                <c:ptCount val="32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fr'!$B$15:$AG$15</c:f>
              <c:numCache>
                <c:formatCode>#,##0.0</c:formatCode>
                <c:ptCount val="3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</c:numCache>
            </c:numRef>
          </c:val>
        </c:ser>
        <c:marker val="1"/>
        <c:axId val="124880000"/>
        <c:axId val="124881536"/>
      </c:lineChart>
      <c:catAx>
        <c:axId val="1248800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4881536"/>
        <c:crosses val="autoZero"/>
        <c:auto val="1"/>
        <c:lblAlgn val="ctr"/>
        <c:lblOffset val="100"/>
      </c:catAx>
      <c:valAx>
        <c:axId val="12488153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4880000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des évolutions passée et future des prix des produits alimentaires (soldes d'opinions)</a:t>
            </a:r>
            <a:endParaRPr lang="fr-FR" sz="1400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fr'!$B$19:$AG$19</c:f>
              <c:numCache>
                <c:formatCode>#,##0.0</c:formatCode>
                <c:ptCount val="32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fr'!$B$20:$AG$20</c:f>
              <c:numCache>
                <c:formatCode>#,##0.0</c:formatCode>
                <c:ptCount val="32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</c:numCache>
            </c:numRef>
          </c:val>
        </c:ser>
        <c:marker val="1"/>
        <c:axId val="124910208"/>
        <c:axId val="124969344"/>
      </c:lineChart>
      <c:catAx>
        <c:axId val="1249102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4969344"/>
        <c:crosses val="autoZero"/>
        <c:auto val="1"/>
        <c:lblAlgn val="ctr"/>
        <c:lblOffset val="100"/>
      </c:catAx>
      <c:valAx>
        <c:axId val="12496934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491020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5C92-55B6-485A-96F9-6AA8B75B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1902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 </cp:lastModifiedBy>
  <cp:revision>4</cp:revision>
  <cp:lastPrinted>2015-11-05T09:39:00Z</cp:lastPrinted>
  <dcterms:created xsi:type="dcterms:W3CDTF">2016-02-01T18:29:00Z</dcterms:created>
  <dcterms:modified xsi:type="dcterms:W3CDTF">2016-02-01T18:34:00Z</dcterms:modified>
</cp:coreProperties>
</file>