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F43" w:rsidRDefault="002805E3" w:rsidP="009F1F43">
      <w:pPr>
        <w:spacing w:line="360" w:lineRule="auto"/>
        <w:jc w:val="center"/>
        <w:rPr>
          <w:rFonts w:ascii="Footlight MT Light" w:hAnsi="Footlight MT Light"/>
          <w:b/>
          <w:bCs/>
          <w:color w:val="548DD4"/>
          <w:sz w:val="32"/>
          <w:szCs w:val="32"/>
        </w:rPr>
      </w:pPr>
      <w:r>
        <w:rPr>
          <w:rFonts w:ascii="Footlight MT Light" w:hAnsi="Footlight MT Light"/>
          <w:b/>
          <w:bCs/>
          <w:color w:val="548DD4"/>
          <w:sz w:val="32"/>
          <w:szCs w:val="32"/>
        </w:rPr>
        <w:t xml:space="preserve">Note </w:t>
      </w:r>
      <w:r w:rsidR="00A5757F">
        <w:rPr>
          <w:rFonts w:ascii="Footlight MT Light" w:hAnsi="Footlight MT Light"/>
          <w:b/>
          <w:bCs/>
          <w:color w:val="548DD4"/>
          <w:sz w:val="32"/>
          <w:szCs w:val="32"/>
        </w:rPr>
        <w:t>sur le marché du travail au Maroc</w:t>
      </w:r>
    </w:p>
    <w:p w:rsidR="006B5F40" w:rsidRDefault="00ED516A" w:rsidP="009F1F43">
      <w:pPr>
        <w:spacing w:line="360" w:lineRule="auto"/>
        <w:jc w:val="center"/>
        <w:rPr>
          <w:rFonts w:ascii="Footlight MT Light" w:hAnsi="Footlight MT Light"/>
          <w:b/>
          <w:bCs/>
          <w:color w:val="548DD4"/>
          <w:sz w:val="32"/>
          <w:szCs w:val="32"/>
        </w:rPr>
      </w:pPr>
      <w:r>
        <w:rPr>
          <w:rFonts w:ascii="Footlight MT Light" w:hAnsi="Footlight MT Light"/>
          <w:b/>
          <w:bCs/>
          <w:color w:val="548DD4"/>
          <w:sz w:val="32"/>
          <w:szCs w:val="32"/>
        </w:rPr>
        <w:t>entre 2000 et 2014</w:t>
      </w:r>
    </w:p>
    <w:p w:rsidR="006B5F40" w:rsidRDefault="00AC4FCE">
      <w:pPr>
        <w:spacing w:line="360" w:lineRule="auto"/>
        <w:jc w:val="center"/>
        <w:rPr>
          <w:rFonts w:ascii="Footlight MT Light" w:hAnsi="Footlight MT Light"/>
          <w:b/>
          <w:sz w:val="12"/>
          <w:szCs w:val="12"/>
        </w:rPr>
      </w:pPr>
      <w:r>
        <w:rPr>
          <w:rFonts w:ascii="Footlight MT Light" w:hAnsi="Footlight MT Light"/>
          <w:b/>
          <w:sz w:val="12"/>
          <w:szCs w:val="12"/>
        </w:rPr>
        <w:t xml:space="preserve">       </w:t>
      </w:r>
      <w:r w:rsidR="00721A7C">
        <w:rPr>
          <w:rFonts w:ascii="Footlight MT Light" w:hAnsi="Footlight MT Light"/>
          <w:b/>
          <w:sz w:val="12"/>
          <w:szCs w:val="12"/>
        </w:rPr>
        <w:t xml:space="preserve">        </w:t>
      </w:r>
    </w:p>
    <w:p w:rsidR="006B5F40" w:rsidRDefault="006B5F40" w:rsidP="00F14760">
      <w:pPr>
        <w:spacing w:line="360" w:lineRule="auto"/>
        <w:jc w:val="both"/>
        <w:rPr>
          <w:rFonts w:ascii="Footlight MT Light" w:hAnsi="Footlight MT Light"/>
          <w:sz w:val="8"/>
          <w:szCs w:val="8"/>
        </w:rPr>
      </w:pPr>
    </w:p>
    <w:p w:rsidR="006B5F40" w:rsidRPr="00A171FB" w:rsidRDefault="00ED516A" w:rsidP="00D63F7F">
      <w:pPr>
        <w:spacing w:line="360" w:lineRule="auto"/>
        <w:jc w:val="both"/>
        <w:rPr>
          <w:rFonts w:ascii="Footlight MT Light" w:hAnsi="Footlight MT Light"/>
          <w:sz w:val="28"/>
          <w:szCs w:val="28"/>
        </w:rPr>
      </w:pPr>
      <w:r w:rsidRPr="00A171FB">
        <w:rPr>
          <w:rFonts w:ascii="Footlight MT Light" w:hAnsi="Footlight MT Light"/>
          <w:sz w:val="28"/>
          <w:szCs w:val="28"/>
        </w:rPr>
        <w:t xml:space="preserve">Le marché du travail, avec une offre </w:t>
      </w:r>
      <w:r w:rsidR="00A5757F">
        <w:rPr>
          <w:rFonts w:ascii="Footlight MT Light" w:hAnsi="Footlight MT Light"/>
          <w:sz w:val="28"/>
          <w:szCs w:val="28"/>
        </w:rPr>
        <w:t xml:space="preserve">fortement déterminée par les caractéristiques d’une transition </w:t>
      </w:r>
      <w:r w:rsidRPr="00A171FB">
        <w:rPr>
          <w:rFonts w:ascii="Footlight MT Light" w:hAnsi="Footlight MT Light"/>
          <w:sz w:val="28"/>
          <w:szCs w:val="28"/>
        </w:rPr>
        <w:t>démographi</w:t>
      </w:r>
      <w:r w:rsidR="00A5757F">
        <w:rPr>
          <w:rFonts w:ascii="Footlight MT Light" w:hAnsi="Footlight MT Light"/>
          <w:sz w:val="28"/>
          <w:szCs w:val="28"/>
        </w:rPr>
        <w:t>qu</w:t>
      </w:r>
      <w:r w:rsidRPr="00A171FB">
        <w:rPr>
          <w:rFonts w:ascii="Footlight MT Light" w:hAnsi="Footlight MT Light"/>
          <w:sz w:val="28"/>
          <w:szCs w:val="28"/>
        </w:rPr>
        <w:t xml:space="preserve">e </w:t>
      </w:r>
      <w:r w:rsidR="00A5757F">
        <w:rPr>
          <w:rFonts w:ascii="Footlight MT Light" w:hAnsi="Footlight MT Light"/>
          <w:sz w:val="28"/>
          <w:szCs w:val="28"/>
        </w:rPr>
        <w:t xml:space="preserve">particulièrement avancée et par une faible productivité des </w:t>
      </w:r>
      <w:r w:rsidRPr="00A171FB">
        <w:rPr>
          <w:rFonts w:ascii="Footlight MT Light" w:hAnsi="Footlight MT Light"/>
          <w:sz w:val="28"/>
          <w:szCs w:val="28"/>
        </w:rPr>
        <w:t>structures économiques, a connu</w:t>
      </w:r>
      <w:r w:rsidR="00F972D8">
        <w:rPr>
          <w:rFonts w:ascii="Footlight MT Light" w:hAnsi="Footlight MT Light"/>
          <w:sz w:val="28"/>
          <w:szCs w:val="28"/>
        </w:rPr>
        <w:t>,</w:t>
      </w:r>
      <w:r w:rsidRPr="00A171FB">
        <w:rPr>
          <w:rFonts w:ascii="Footlight MT Light" w:hAnsi="Footlight MT Light"/>
          <w:sz w:val="28"/>
          <w:szCs w:val="28"/>
        </w:rPr>
        <w:t xml:space="preserve"> </w:t>
      </w:r>
      <w:r w:rsidR="00A5757F">
        <w:rPr>
          <w:rFonts w:ascii="Footlight MT Light" w:hAnsi="Footlight MT Light"/>
          <w:sz w:val="28"/>
          <w:szCs w:val="28"/>
        </w:rPr>
        <w:t xml:space="preserve">entre 2000 et 2014, une évolution marquée par une </w:t>
      </w:r>
      <w:r w:rsidRPr="00A171FB">
        <w:rPr>
          <w:rFonts w:ascii="Footlight MT Light" w:hAnsi="Footlight MT Light"/>
          <w:sz w:val="28"/>
          <w:szCs w:val="28"/>
        </w:rPr>
        <w:t xml:space="preserve">baisse tendancielle des taux d’activité et d’emploi, </w:t>
      </w:r>
      <w:r w:rsidR="00A5757F">
        <w:rPr>
          <w:rFonts w:ascii="Footlight MT Light" w:hAnsi="Footlight MT Light"/>
          <w:sz w:val="28"/>
          <w:szCs w:val="28"/>
        </w:rPr>
        <w:t xml:space="preserve">une disparité </w:t>
      </w:r>
      <w:r w:rsidRPr="00A171FB">
        <w:rPr>
          <w:rFonts w:ascii="Footlight MT Light" w:hAnsi="Footlight MT Light"/>
          <w:sz w:val="28"/>
          <w:szCs w:val="28"/>
        </w:rPr>
        <w:t xml:space="preserve">de la répartition spatiale et sectorielle de </w:t>
      </w:r>
      <w:r w:rsidR="00A5757F">
        <w:rPr>
          <w:rFonts w:ascii="Footlight MT Light" w:hAnsi="Footlight MT Light"/>
          <w:sz w:val="28"/>
          <w:szCs w:val="28"/>
        </w:rPr>
        <w:t xml:space="preserve">ce dernier </w:t>
      </w:r>
      <w:r w:rsidRPr="00A171FB">
        <w:rPr>
          <w:rFonts w:ascii="Footlight MT Light" w:hAnsi="Footlight MT Light"/>
          <w:sz w:val="28"/>
          <w:szCs w:val="28"/>
        </w:rPr>
        <w:t xml:space="preserve">ainsi que la précarité qui en caractérise une </w:t>
      </w:r>
      <w:r w:rsidR="00A5757F">
        <w:rPr>
          <w:rFonts w:ascii="Footlight MT Light" w:hAnsi="Footlight MT Light"/>
          <w:sz w:val="28"/>
          <w:szCs w:val="28"/>
        </w:rPr>
        <w:t xml:space="preserve">large </w:t>
      </w:r>
      <w:r w:rsidRPr="00A171FB">
        <w:rPr>
          <w:rFonts w:ascii="Footlight MT Light" w:hAnsi="Footlight MT Light"/>
          <w:sz w:val="28"/>
          <w:szCs w:val="28"/>
        </w:rPr>
        <w:t>partie.</w:t>
      </w:r>
    </w:p>
    <w:p w:rsidR="006B5F40" w:rsidRDefault="006B5F40" w:rsidP="00F14760">
      <w:pPr>
        <w:spacing w:line="360" w:lineRule="auto"/>
        <w:jc w:val="both"/>
        <w:rPr>
          <w:rFonts w:ascii="Footlight MT Light" w:hAnsi="Footlight MT Light"/>
          <w:b/>
          <w:bCs/>
          <w:color w:val="800000"/>
          <w:sz w:val="8"/>
          <w:szCs w:val="8"/>
        </w:rPr>
      </w:pPr>
    </w:p>
    <w:p w:rsidR="006B5F40" w:rsidRPr="00282BCA" w:rsidRDefault="00ED516A" w:rsidP="00F14760">
      <w:pPr>
        <w:spacing w:line="360" w:lineRule="auto"/>
        <w:jc w:val="both"/>
        <w:rPr>
          <w:rFonts w:ascii="Footlight MT Light" w:hAnsi="Footlight MT Light"/>
          <w:b/>
          <w:bCs/>
          <w:color w:val="800000"/>
          <w:sz w:val="30"/>
          <w:szCs w:val="30"/>
        </w:rPr>
      </w:pPr>
      <w:r w:rsidRPr="00282BCA">
        <w:rPr>
          <w:rFonts w:ascii="Footlight MT Light" w:hAnsi="Footlight MT Light"/>
          <w:b/>
          <w:bCs/>
          <w:color w:val="800000"/>
          <w:sz w:val="30"/>
          <w:szCs w:val="30"/>
        </w:rPr>
        <w:t>Evolution de l'offre de travail</w:t>
      </w:r>
    </w:p>
    <w:p w:rsidR="006B5F40" w:rsidRDefault="006B5F40" w:rsidP="00F14760">
      <w:pPr>
        <w:spacing w:line="360" w:lineRule="auto"/>
        <w:jc w:val="both"/>
        <w:rPr>
          <w:rFonts w:ascii="Footlight MT Light" w:hAnsi="Footlight MT Light"/>
          <w:sz w:val="8"/>
          <w:szCs w:val="8"/>
        </w:rPr>
      </w:pPr>
    </w:p>
    <w:p w:rsidR="00F14760" w:rsidRDefault="00F14760" w:rsidP="00DE28D9">
      <w:pPr>
        <w:spacing w:line="360" w:lineRule="auto"/>
        <w:jc w:val="both"/>
        <w:rPr>
          <w:rFonts w:ascii="Footlight MT Light" w:hAnsi="Footlight MT Light"/>
          <w:sz w:val="28"/>
          <w:szCs w:val="28"/>
        </w:rPr>
      </w:pPr>
      <w:r w:rsidRPr="00A171FB">
        <w:rPr>
          <w:rFonts w:ascii="Footlight MT Light" w:hAnsi="Footlight MT Light"/>
          <w:sz w:val="28"/>
          <w:szCs w:val="28"/>
        </w:rPr>
        <w:t>D</w:t>
      </w:r>
      <w:r w:rsidR="00ED516A" w:rsidRPr="00A171FB">
        <w:rPr>
          <w:rFonts w:ascii="Footlight MT Light" w:hAnsi="Footlight MT Light"/>
          <w:sz w:val="28"/>
          <w:szCs w:val="28"/>
        </w:rPr>
        <w:t xml:space="preserve">epuis l’année 2000 et jusqu’en 2014, la population active (offre de travail) a connu un accroissement continu à raison de 115 mille nouveaux actifs annuellement, passant de 10,213  à 11,813 million d’actifs. </w:t>
      </w:r>
    </w:p>
    <w:p w:rsidR="00DE28D9" w:rsidRPr="00DE28D9" w:rsidRDefault="00DE28D9" w:rsidP="00DE28D9">
      <w:pPr>
        <w:spacing w:line="360" w:lineRule="auto"/>
        <w:jc w:val="both"/>
        <w:rPr>
          <w:rFonts w:ascii="Footlight MT Light" w:hAnsi="Footlight MT Light"/>
          <w:sz w:val="8"/>
          <w:szCs w:val="8"/>
        </w:rPr>
      </w:pPr>
    </w:p>
    <w:p w:rsidR="008556F4" w:rsidRPr="00443A86" w:rsidRDefault="00ED516A" w:rsidP="008556F4">
      <w:pPr>
        <w:spacing w:line="360" w:lineRule="auto"/>
        <w:jc w:val="both"/>
        <w:rPr>
          <w:rFonts w:ascii="Footlight MT Light" w:hAnsi="Footlight MT Light"/>
          <w:sz w:val="28"/>
          <w:szCs w:val="28"/>
        </w:rPr>
      </w:pPr>
      <w:r w:rsidRPr="00443A86">
        <w:rPr>
          <w:rFonts w:ascii="Footlight MT Light" w:hAnsi="Footlight MT Light"/>
          <w:sz w:val="28"/>
          <w:szCs w:val="28"/>
        </w:rPr>
        <w:t>Cet accroissement demeure inférieur à celui de la population en âge d'activité qui a augmenté de 383 mille durant la même période, ce qui s'est traduit par une baisse du taux d'activité de 53,1% en 2000 à 48% en 2014.</w:t>
      </w:r>
      <w:r w:rsidR="008556F4" w:rsidRPr="00443A86">
        <w:rPr>
          <w:rFonts w:ascii="Footlight MT Light" w:hAnsi="Footlight MT Light"/>
          <w:sz w:val="28"/>
          <w:szCs w:val="28"/>
        </w:rPr>
        <w:t xml:space="preserve"> </w:t>
      </w:r>
    </w:p>
    <w:p w:rsidR="006B5F40" w:rsidRPr="00443A86" w:rsidRDefault="008556F4" w:rsidP="00F33CFE">
      <w:pPr>
        <w:spacing w:line="360" w:lineRule="auto"/>
        <w:jc w:val="both"/>
        <w:rPr>
          <w:rFonts w:ascii="Footlight MT Light" w:hAnsi="Footlight MT Light"/>
          <w:sz w:val="28"/>
          <w:szCs w:val="28"/>
        </w:rPr>
      </w:pPr>
      <w:r w:rsidRPr="00443A86">
        <w:rPr>
          <w:rFonts w:ascii="Footlight MT Light" w:hAnsi="Footlight MT Light"/>
          <w:sz w:val="28"/>
          <w:szCs w:val="28"/>
        </w:rPr>
        <w:t>Cette baisse d</w:t>
      </w:r>
      <w:r w:rsidR="009F70D7" w:rsidRPr="00443A86">
        <w:rPr>
          <w:rFonts w:ascii="Footlight MT Light" w:hAnsi="Footlight MT Light"/>
          <w:sz w:val="28"/>
          <w:szCs w:val="28"/>
        </w:rPr>
        <w:t xml:space="preserve">u taux d’activité </w:t>
      </w:r>
      <w:r w:rsidR="009E771A" w:rsidRPr="00443A86">
        <w:rPr>
          <w:rFonts w:ascii="Footlight MT Light" w:hAnsi="Footlight MT Light"/>
          <w:sz w:val="28"/>
          <w:szCs w:val="28"/>
        </w:rPr>
        <w:t xml:space="preserve">au niveau national </w:t>
      </w:r>
      <w:r w:rsidR="009F70D7" w:rsidRPr="00443A86">
        <w:rPr>
          <w:rFonts w:ascii="Footlight MT Light" w:hAnsi="Footlight MT Light"/>
          <w:sz w:val="28"/>
          <w:szCs w:val="28"/>
        </w:rPr>
        <w:t xml:space="preserve">cache </w:t>
      </w:r>
      <w:r w:rsidRPr="00443A86">
        <w:rPr>
          <w:rFonts w:ascii="Footlight MT Light" w:hAnsi="Footlight MT Light"/>
          <w:sz w:val="28"/>
          <w:szCs w:val="28"/>
        </w:rPr>
        <w:t xml:space="preserve">d’importantes </w:t>
      </w:r>
      <w:r w:rsidR="00ED516A" w:rsidRPr="00443A86">
        <w:rPr>
          <w:rFonts w:ascii="Footlight MT Light" w:hAnsi="Footlight MT Light"/>
          <w:sz w:val="28"/>
          <w:szCs w:val="28"/>
        </w:rPr>
        <w:t xml:space="preserve">disparités </w:t>
      </w:r>
      <w:r w:rsidRPr="00443A86">
        <w:rPr>
          <w:rFonts w:ascii="Footlight MT Light" w:hAnsi="Footlight MT Light"/>
          <w:sz w:val="28"/>
          <w:szCs w:val="28"/>
        </w:rPr>
        <w:t>s</w:t>
      </w:r>
      <w:r w:rsidR="00ED516A" w:rsidRPr="00443A86">
        <w:rPr>
          <w:rFonts w:ascii="Footlight MT Light" w:hAnsi="Footlight MT Light"/>
          <w:sz w:val="28"/>
          <w:szCs w:val="28"/>
        </w:rPr>
        <w:t>elon les tranches d'âge</w:t>
      </w:r>
      <w:r w:rsidR="009F70D7" w:rsidRPr="00443A86">
        <w:rPr>
          <w:rFonts w:ascii="Footlight MT Light" w:hAnsi="Footlight MT Light"/>
          <w:sz w:val="28"/>
          <w:szCs w:val="28"/>
        </w:rPr>
        <w:t>.</w:t>
      </w:r>
      <w:r w:rsidR="00ED516A" w:rsidRPr="00443A86">
        <w:rPr>
          <w:rFonts w:ascii="Footlight MT Light" w:hAnsi="Footlight MT Light"/>
          <w:sz w:val="28"/>
          <w:szCs w:val="28"/>
        </w:rPr>
        <w:t xml:space="preserve"> </w:t>
      </w:r>
      <w:r w:rsidR="00443A86" w:rsidRPr="00443A86">
        <w:rPr>
          <w:rFonts w:ascii="Footlight MT Light" w:hAnsi="Footlight MT Light"/>
          <w:sz w:val="28"/>
          <w:szCs w:val="28"/>
        </w:rPr>
        <w:t>P</w:t>
      </w:r>
      <w:r w:rsidR="00353A09" w:rsidRPr="00443A86">
        <w:rPr>
          <w:rFonts w:ascii="Footlight MT Light" w:hAnsi="Footlight MT Light"/>
          <w:sz w:val="28"/>
          <w:szCs w:val="28"/>
        </w:rPr>
        <w:t xml:space="preserve">our les jeunes âgés de 15 à 24 ans, </w:t>
      </w:r>
      <w:r w:rsidR="00443A86" w:rsidRPr="00443A86">
        <w:rPr>
          <w:rFonts w:ascii="Footlight MT Light" w:hAnsi="Footlight MT Light"/>
          <w:sz w:val="28"/>
          <w:szCs w:val="28"/>
        </w:rPr>
        <w:t xml:space="preserve">il </w:t>
      </w:r>
      <w:r w:rsidR="009F70D7" w:rsidRPr="00443A86">
        <w:rPr>
          <w:rFonts w:ascii="Footlight MT Light" w:hAnsi="Footlight MT Light"/>
          <w:sz w:val="28"/>
          <w:szCs w:val="28"/>
        </w:rPr>
        <w:t>a reculé de 13,6 points</w:t>
      </w:r>
      <w:r w:rsidR="00ED516A" w:rsidRPr="00443A86">
        <w:rPr>
          <w:rFonts w:ascii="Footlight MT Light" w:hAnsi="Footlight MT Light"/>
          <w:sz w:val="28"/>
          <w:szCs w:val="28"/>
        </w:rPr>
        <w:t xml:space="preserve">, </w:t>
      </w:r>
      <w:r w:rsidR="00443A86" w:rsidRPr="00443A86">
        <w:rPr>
          <w:rFonts w:ascii="Footlight MT Light" w:hAnsi="Footlight MT Light"/>
          <w:sz w:val="28"/>
          <w:szCs w:val="28"/>
        </w:rPr>
        <w:t xml:space="preserve">alors que </w:t>
      </w:r>
      <w:r w:rsidR="00827853" w:rsidRPr="00443A86">
        <w:rPr>
          <w:rFonts w:ascii="Footlight MT Light" w:hAnsi="Footlight MT Light"/>
          <w:sz w:val="28"/>
          <w:szCs w:val="28"/>
        </w:rPr>
        <w:t>chez les personnes âgées de 25 à 39 ans</w:t>
      </w:r>
      <w:r w:rsidR="00443A86" w:rsidRPr="00443A86">
        <w:rPr>
          <w:rFonts w:ascii="Footlight MT Light" w:hAnsi="Footlight MT Light"/>
          <w:sz w:val="28"/>
          <w:szCs w:val="28"/>
        </w:rPr>
        <w:t>, il</w:t>
      </w:r>
      <w:r w:rsidR="004A1C6D">
        <w:rPr>
          <w:rFonts w:ascii="Footlight MT Light" w:hAnsi="Footlight MT Light"/>
          <w:sz w:val="28"/>
          <w:szCs w:val="28"/>
        </w:rPr>
        <w:t xml:space="preserve"> a</w:t>
      </w:r>
      <w:r w:rsidR="00443A86" w:rsidRPr="00443A86">
        <w:rPr>
          <w:rFonts w:ascii="Footlight MT Light" w:hAnsi="Footlight MT Light"/>
          <w:sz w:val="28"/>
          <w:szCs w:val="28"/>
        </w:rPr>
        <w:t xml:space="preserve">  baissé</w:t>
      </w:r>
      <w:r w:rsidR="00827853" w:rsidRPr="00443A86">
        <w:rPr>
          <w:rFonts w:ascii="Footlight MT Light" w:hAnsi="Footlight MT Light"/>
          <w:sz w:val="28"/>
          <w:szCs w:val="28"/>
        </w:rPr>
        <w:t xml:space="preserve"> </w:t>
      </w:r>
      <w:r w:rsidR="00ED516A" w:rsidRPr="00443A86">
        <w:rPr>
          <w:rFonts w:ascii="Footlight MT Light" w:hAnsi="Footlight MT Light"/>
          <w:sz w:val="28"/>
          <w:szCs w:val="28"/>
        </w:rPr>
        <w:t xml:space="preserve">de </w:t>
      </w:r>
      <w:r w:rsidR="00827853" w:rsidRPr="00443A86">
        <w:rPr>
          <w:rFonts w:ascii="Footlight MT Light" w:hAnsi="Footlight MT Light"/>
          <w:sz w:val="28"/>
          <w:szCs w:val="28"/>
        </w:rPr>
        <w:t>2</w:t>
      </w:r>
      <w:r w:rsidR="00ED516A" w:rsidRPr="00443A86">
        <w:rPr>
          <w:rFonts w:ascii="Footlight MT Light" w:hAnsi="Footlight MT Light"/>
          <w:sz w:val="28"/>
          <w:szCs w:val="28"/>
        </w:rPr>
        <w:t>,</w:t>
      </w:r>
      <w:r w:rsidR="00827853" w:rsidRPr="00443A86">
        <w:rPr>
          <w:rFonts w:ascii="Footlight MT Light" w:hAnsi="Footlight MT Light"/>
          <w:sz w:val="28"/>
          <w:szCs w:val="28"/>
        </w:rPr>
        <w:t>5</w:t>
      </w:r>
      <w:r w:rsidR="009F70D7" w:rsidRPr="00443A86">
        <w:rPr>
          <w:rFonts w:ascii="Footlight MT Light" w:hAnsi="Footlight MT Light"/>
          <w:sz w:val="28"/>
          <w:szCs w:val="28"/>
        </w:rPr>
        <w:t xml:space="preserve"> point</w:t>
      </w:r>
      <w:r w:rsidR="00827853" w:rsidRPr="00443A86">
        <w:rPr>
          <w:rFonts w:ascii="Footlight MT Light" w:hAnsi="Footlight MT Light"/>
          <w:sz w:val="28"/>
          <w:szCs w:val="28"/>
        </w:rPr>
        <w:t>s</w:t>
      </w:r>
      <w:r w:rsidR="009F70D7" w:rsidRPr="00443A86">
        <w:rPr>
          <w:rFonts w:ascii="Footlight MT Light" w:hAnsi="Footlight MT Light"/>
          <w:sz w:val="28"/>
          <w:szCs w:val="28"/>
        </w:rPr>
        <w:t xml:space="preserve"> </w:t>
      </w:r>
      <w:r w:rsidR="00ED516A" w:rsidRPr="00443A86">
        <w:rPr>
          <w:rFonts w:ascii="Footlight MT Light" w:hAnsi="Footlight MT Light"/>
          <w:sz w:val="28"/>
          <w:szCs w:val="28"/>
        </w:rPr>
        <w:t xml:space="preserve">et </w:t>
      </w:r>
      <w:r w:rsidR="00F33CFE">
        <w:rPr>
          <w:rFonts w:ascii="Footlight MT Light" w:hAnsi="Footlight MT Light"/>
          <w:sz w:val="28"/>
          <w:szCs w:val="28"/>
        </w:rPr>
        <w:t>parmi</w:t>
      </w:r>
      <w:r w:rsidR="00827853" w:rsidRPr="00443A86">
        <w:rPr>
          <w:rFonts w:ascii="Footlight MT Light" w:hAnsi="Footlight MT Light"/>
          <w:sz w:val="28"/>
          <w:szCs w:val="28"/>
        </w:rPr>
        <w:t xml:space="preserve"> celles âgées de 40 à 59 ans </w:t>
      </w:r>
      <w:r w:rsidR="00ED516A" w:rsidRPr="00443A86">
        <w:rPr>
          <w:rFonts w:ascii="Footlight MT Light" w:hAnsi="Footlight MT Light"/>
          <w:sz w:val="28"/>
          <w:szCs w:val="28"/>
        </w:rPr>
        <w:t xml:space="preserve">de </w:t>
      </w:r>
      <w:r w:rsidR="00827853" w:rsidRPr="00443A86">
        <w:rPr>
          <w:rFonts w:ascii="Footlight MT Light" w:hAnsi="Footlight MT Light"/>
          <w:sz w:val="28"/>
          <w:szCs w:val="28"/>
        </w:rPr>
        <w:t>1</w:t>
      </w:r>
      <w:r w:rsidR="00ED516A" w:rsidRPr="00443A86">
        <w:rPr>
          <w:rFonts w:ascii="Footlight MT Light" w:hAnsi="Footlight MT Light"/>
          <w:sz w:val="28"/>
          <w:szCs w:val="28"/>
        </w:rPr>
        <w:t>,</w:t>
      </w:r>
      <w:r w:rsidR="00827853" w:rsidRPr="00443A86">
        <w:rPr>
          <w:rFonts w:ascii="Footlight MT Light" w:hAnsi="Footlight MT Light"/>
          <w:sz w:val="28"/>
          <w:szCs w:val="28"/>
        </w:rPr>
        <w:t>7</w:t>
      </w:r>
      <w:r w:rsidR="009F70D7" w:rsidRPr="00443A86">
        <w:rPr>
          <w:rFonts w:ascii="Footlight MT Light" w:hAnsi="Footlight MT Light"/>
          <w:sz w:val="28"/>
          <w:szCs w:val="28"/>
        </w:rPr>
        <w:t xml:space="preserve"> </w:t>
      </w:r>
      <w:r w:rsidR="00827853" w:rsidRPr="00443A86">
        <w:rPr>
          <w:rFonts w:ascii="Footlight MT Light" w:hAnsi="Footlight MT Light"/>
          <w:sz w:val="28"/>
          <w:szCs w:val="28"/>
        </w:rPr>
        <w:t>point</w:t>
      </w:r>
      <w:r w:rsidR="00ED516A" w:rsidRPr="00443A86">
        <w:rPr>
          <w:rFonts w:ascii="Footlight MT Light" w:hAnsi="Footlight MT Light"/>
          <w:sz w:val="28"/>
          <w:szCs w:val="28"/>
        </w:rPr>
        <w:t xml:space="preserve">. </w:t>
      </w:r>
    </w:p>
    <w:p w:rsidR="00DE28D9" w:rsidRDefault="00DE28D9" w:rsidP="00827853">
      <w:pPr>
        <w:spacing w:line="360" w:lineRule="auto"/>
        <w:jc w:val="both"/>
        <w:rPr>
          <w:rFonts w:ascii="Footlight MT Light" w:hAnsi="Footlight MT Light"/>
          <w:sz w:val="12"/>
          <w:szCs w:val="12"/>
        </w:rPr>
      </w:pPr>
    </w:p>
    <w:p w:rsidR="00DE28D9" w:rsidRPr="00B50E5C" w:rsidRDefault="00DE28D9" w:rsidP="00827853">
      <w:pPr>
        <w:spacing w:line="360" w:lineRule="auto"/>
        <w:jc w:val="both"/>
        <w:rPr>
          <w:rFonts w:ascii="Footlight MT Light" w:hAnsi="Footlight MT Light"/>
          <w:sz w:val="12"/>
          <w:szCs w:val="12"/>
        </w:rPr>
      </w:pPr>
    </w:p>
    <w:p w:rsidR="006B5F40" w:rsidRPr="00B40C8D" w:rsidRDefault="00ED516A">
      <w:pPr>
        <w:spacing w:line="360" w:lineRule="auto"/>
        <w:ind w:right="357"/>
        <w:jc w:val="center"/>
        <w:rPr>
          <w:rFonts w:ascii="Footlight MT Light" w:hAnsi="Footlight MT Light"/>
          <w:color w:val="0070C0"/>
        </w:rPr>
      </w:pPr>
      <w:r w:rsidRPr="00B40C8D">
        <w:rPr>
          <w:rFonts w:ascii="Footlight MT Light" w:hAnsi="Footlight MT Light"/>
          <w:color w:val="0070C0"/>
        </w:rPr>
        <w:t>Graphique 1 : Evolution du taux d’activité (en%)</w:t>
      </w:r>
    </w:p>
    <w:p w:rsidR="006B5F40" w:rsidRDefault="00721A7C">
      <w:pPr>
        <w:spacing w:line="360" w:lineRule="auto"/>
        <w:ind w:right="340"/>
        <w:jc w:val="center"/>
        <w:rPr>
          <w:rFonts w:ascii="Footlight MT Light" w:hAnsi="Footlight MT Light"/>
          <w:sz w:val="26"/>
          <w:szCs w:val="26"/>
        </w:rPr>
      </w:pPr>
      <w:r>
        <w:rPr>
          <w:rFonts w:ascii="Footlight MT Light" w:hAnsi="Footlight MT Light"/>
          <w:noProof/>
          <w:sz w:val="26"/>
          <w:szCs w:val="26"/>
        </w:rPr>
        <w:drawing>
          <wp:inline distT="0" distB="0" distL="0" distR="0">
            <wp:extent cx="5745718" cy="2162862"/>
            <wp:effectExtent l="12199" t="6096" r="7883" b="2742"/>
            <wp:docPr id="1" name="Graphique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86AC6" w:rsidRPr="00486AC6" w:rsidRDefault="00486AC6" w:rsidP="00486AC6">
      <w:pPr>
        <w:spacing w:line="360" w:lineRule="auto"/>
        <w:ind w:right="340"/>
        <w:jc w:val="both"/>
        <w:rPr>
          <w:rFonts w:ascii="Footlight MT Light" w:hAnsi="Footlight MT Light"/>
          <w:sz w:val="16"/>
          <w:szCs w:val="16"/>
        </w:rPr>
      </w:pPr>
      <w:r w:rsidRPr="00486AC6">
        <w:rPr>
          <w:rFonts w:ascii="Footlight MT Light" w:hAnsi="Footlight MT Light"/>
          <w:sz w:val="16"/>
          <w:szCs w:val="16"/>
        </w:rPr>
        <w:t xml:space="preserve">Source : Haut-commissariat au </w:t>
      </w:r>
      <w:r w:rsidR="001E3051">
        <w:rPr>
          <w:rFonts w:ascii="Footlight MT Light" w:hAnsi="Footlight MT Light"/>
          <w:sz w:val="16"/>
          <w:szCs w:val="16"/>
        </w:rPr>
        <w:t>Plan</w:t>
      </w:r>
      <w:r w:rsidRPr="00486AC6">
        <w:rPr>
          <w:rFonts w:ascii="Footlight MT Light" w:hAnsi="Footlight MT Light"/>
          <w:sz w:val="16"/>
          <w:szCs w:val="16"/>
        </w:rPr>
        <w:t>, Direction de la Statistique (Enquête nationale sur l’emploi).</w:t>
      </w:r>
    </w:p>
    <w:p w:rsidR="00DE28D9" w:rsidRPr="00DE28D9" w:rsidRDefault="00DE28D9" w:rsidP="00A812E2">
      <w:pPr>
        <w:spacing w:line="360" w:lineRule="auto"/>
        <w:jc w:val="both"/>
        <w:rPr>
          <w:rFonts w:ascii="Footlight MT Light" w:hAnsi="Footlight MT Light"/>
          <w:sz w:val="26"/>
          <w:szCs w:val="26"/>
        </w:rPr>
      </w:pPr>
    </w:p>
    <w:p w:rsidR="00443A86" w:rsidRDefault="00353A09" w:rsidP="00A812E2">
      <w:pPr>
        <w:spacing w:line="360" w:lineRule="auto"/>
        <w:jc w:val="both"/>
        <w:rPr>
          <w:rFonts w:ascii="Footlight MT Light" w:hAnsi="Footlight MT Light"/>
          <w:sz w:val="28"/>
          <w:szCs w:val="28"/>
        </w:rPr>
      </w:pPr>
      <w:r w:rsidRPr="00443A86">
        <w:rPr>
          <w:rFonts w:ascii="Footlight MT Light" w:hAnsi="Footlight MT Light"/>
          <w:sz w:val="28"/>
          <w:szCs w:val="28"/>
        </w:rPr>
        <w:t>Dans ces conditions</w:t>
      </w:r>
      <w:r w:rsidR="00ED516A" w:rsidRPr="00443A86">
        <w:rPr>
          <w:rFonts w:ascii="Footlight MT Light" w:hAnsi="Footlight MT Light"/>
          <w:sz w:val="28"/>
          <w:szCs w:val="28"/>
        </w:rPr>
        <w:t>, le poids des jeunes âgés de 15 à 24 dans la population active a reculé de 10,</w:t>
      </w:r>
      <w:r w:rsidR="00A812E2">
        <w:rPr>
          <w:rFonts w:ascii="Footlight MT Light" w:hAnsi="Footlight MT Light"/>
          <w:sz w:val="28"/>
          <w:szCs w:val="28"/>
        </w:rPr>
        <w:t>1</w:t>
      </w:r>
      <w:r w:rsidR="00ED516A" w:rsidRPr="00443A86">
        <w:rPr>
          <w:rFonts w:ascii="Footlight MT Light" w:hAnsi="Footlight MT Light"/>
          <w:sz w:val="28"/>
          <w:szCs w:val="28"/>
        </w:rPr>
        <w:t xml:space="preserve"> points, passant de 27,2% en 2000 à 17</w:t>
      </w:r>
      <w:r w:rsidR="00A812E2">
        <w:rPr>
          <w:rFonts w:ascii="Footlight MT Light" w:hAnsi="Footlight MT Light"/>
          <w:sz w:val="28"/>
          <w:szCs w:val="28"/>
        </w:rPr>
        <w:t>,1</w:t>
      </w:r>
      <w:r w:rsidR="00ED516A" w:rsidRPr="00443A86">
        <w:rPr>
          <w:rFonts w:ascii="Footlight MT Light" w:hAnsi="Footlight MT Light"/>
          <w:sz w:val="28"/>
          <w:szCs w:val="28"/>
        </w:rPr>
        <w:t>% en 2014. Cette évolution s’expliquerait, en grande partie, par les efforts importants déployés ces dernières années dans le domaine de la scolarisation.</w:t>
      </w:r>
    </w:p>
    <w:p w:rsidR="006B5F40" w:rsidRPr="002A3214" w:rsidRDefault="006B5F40" w:rsidP="00353A09">
      <w:pPr>
        <w:spacing w:line="360" w:lineRule="auto"/>
        <w:jc w:val="both"/>
        <w:rPr>
          <w:rFonts w:ascii="Footlight MT Light" w:hAnsi="Footlight MT Light"/>
          <w:sz w:val="8"/>
          <w:szCs w:val="8"/>
        </w:rPr>
      </w:pPr>
    </w:p>
    <w:p w:rsidR="006B5F40" w:rsidRDefault="00ED516A">
      <w:pPr>
        <w:spacing w:line="360" w:lineRule="auto"/>
        <w:ind w:right="357"/>
        <w:jc w:val="right"/>
        <w:rPr>
          <w:rFonts w:ascii="Footlight MT Light" w:hAnsi="Footlight MT Light"/>
          <w:color w:val="0070C0"/>
          <w:sz w:val="23"/>
          <w:szCs w:val="23"/>
        </w:rPr>
      </w:pPr>
      <w:r>
        <w:rPr>
          <w:rFonts w:ascii="Footlight MT Light" w:hAnsi="Footlight MT Light"/>
          <w:color w:val="0070C0"/>
          <w:sz w:val="23"/>
          <w:szCs w:val="23"/>
        </w:rPr>
        <w:t>Graphique 2 : Taux d’activité et taux de scolarisation des jeunes âgés de 15 à 24 ans (en%)</w:t>
      </w:r>
    </w:p>
    <w:p w:rsidR="006B5F40" w:rsidRDefault="00721A7C">
      <w:pPr>
        <w:spacing w:line="360" w:lineRule="auto"/>
        <w:ind w:right="340"/>
        <w:jc w:val="center"/>
        <w:rPr>
          <w:rFonts w:ascii="Footlight MT Light" w:hAnsi="Footlight MT Light"/>
          <w:sz w:val="26"/>
          <w:szCs w:val="26"/>
        </w:rPr>
      </w:pPr>
      <w:r>
        <w:rPr>
          <w:rFonts w:ascii="Footlight MT Light" w:hAnsi="Footlight MT Light"/>
          <w:noProof/>
          <w:sz w:val="26"/>
          <w:szCs w:val="26"/>
        </w:rPr>
        <w:drawing>
          <wp:inline distT="0" distB="0" distL="0" distR="0">
            <wp:extent cx="5745718" cy="1871264"/>
            <wp:effectExtent l="12199" t="6106" r="7883" b="2230"/>
            <wp:docPr id="2" name="Graphique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86AC6" w:rsidRPr="00486AC6" w:rsidRDefault="00486AC6" w:rsidP="001E3051">
      <w:pPr>
        <w:spacing w:line="360" w:lineRule="auto"/>
        <w:ind w:right="340"/>
        <w:jc w:val="both"/>
        <w:rPr>
          <w:rFonts w:ascii="Footlight MT Light" w:hAnsi="Footlight MT Light"/>
          <w:sz w:val="16"/>
          <w:szCs w:val="16"/>
        </w:rPr>
      </w:pPr>
      <w:r w:rsidRPr="00486AC6">
        <w:rPr>
          <w:rFonts w:ascii="Footlight MT Light" w:hAnsi="Footlight MT Light"/>
          <w:sz w:val="16"/>
          <w:szCs w:val="16"/>
        </w:rPr>
        <w:t>Source : Haut-commissariat au Plan, Direction de la Statistique (Enquête nationale sur l’emploi).</w:t>
      </w:r>
    </w:p>
    <w:p w:rsidR="00353A09" w:rsidRDefault="00353A09">
      <w:pPr>
        <w:spacing w:line="360" w:lineRule="auto"/>
        <w:jc w:val="both"/>
        <w:rPr>
          <w:rFonts w:ascii="Footlight MT Light" w:hAnsi="Footlight MT Light"/>
          <w:sz w:val="26"/>
          <w:szCs w:val="26"/>
        </w:rPr>
      </w:pPr>
    </w:p>
    <w:p w:rsidR="006B5F40" w:rsidRPr="00653E74" w:rsidRDefault="00ED516A" w:rsidP="009237AA">
      <w:pPr>
        <w:spacing w:line="360" w:lineRule="auto"/>
        <w:jc w:val="both"/>
        <w:rPr>
          <w:rFonts w:ascii="Footlight MT Light" w:hAnsi="Footlight MT Light"/>
          <w:sz w:val="28"/>
          <w:szCs w:val="28"/>
        </w:rPr>
      </w:pPr>
      <w:r w:rsidRPr="00653E74">
        <w:rPr>
          <w:rFonts w:ascii="Footlight MT Light" w:hAnsi="Footlight MT Light"/>
          <w:sz w:val="28"/>
          <w:szCs w:val="28"/>
        </w:rPr>
        <w:t>En dépit des efforts consentis dans le domaine de scolarisation, les jeunes femmes accusent toujours un retard important par rapport à leurs homologues masculins en la matière. En effet, entre 2000 et 2014, leur taux de scolarisation est passé de 22,9% à 39,</w:t>
      </w:r>
      <w:r w:rsidR="009237AA">
        <w:rPr>
          <w:rFonts w:ascii="Footlight MT Light" w:hAnsi="Footlight MT Light"/>
          <w:sz w:val="28"/>
          <w:szCs w:val="28"/>
        </w:rPr>
        <w:t>4</w:t>
      </w:r>
      <w:r w:rsidRPr="00653E74">
        <w:rPr>
          <w:rFonts w:ascii="Footlight MT Light" w:hAnsi="Footlight MT Light"/>
          <w:sz w:val="28"/>
          <w:szCs w:val="28"/>
        </w:rPr>
        <w:t>%, enregistrant une évolution de 16,</w:t>
      </w:r>
      <w:r w:rsidR="009237AA">
        <w:rPr>
          <w:rFonts w:ascii="Footlight MT Light" w:hAnsi="Footlight MT Light"/>
          <w:sz w:val="28"/>
          <w:szCs w:val="28"/>
        </w:rPr>
        <w:t>5</w:t>
      </w:r>
      <w:r w:rsidRPr="00653E74">
        <w:rPr>
          <w:rFonts w:ascii="Footlight MT Light" w:hAnsi="Footlight MT Light"/>
          <w:sz w:val="28"/>
          <w:szCs w:val="28"/>
        </w:rPr>
        <w:t xml:space="preserve"> points ; alors que celui des jeunes hommes est passé, au cours de la même période, de 31,6% à 53,</w:t>
      </w:r>
      <w:r w:rsidR="009237AA">
        <w:rPr>
          <w:rFonts w:ascii="Footlight MT Light" w:hAnsi="Footlight MT Light"/>
          <w:sz w:val="28"/>
          <w:szCs w:val="28"/>
        </w:rPr>
        <w:t>1</w:t>
      </w:r>
      <w:r w:rsidRPr="00653E74">
        <w:rPr>
          <w:rFonts w:ascii="Footlight MT Light" w:hAnsi="Footlight MT Light"/>
          <w:sz w:val="28"/>
          <w:szCs w:val="28"/>
        </w:rPr>
        <w:t>%, évoluant de 21,</w:t>
      </w:r>
      <w:r w:rsidR="009237AA">
        <w:rPr>
          <w:rFonts w:ascii="Footlight MT Light" w:hAnsi="Footlight MT Light"/>
          <w:sz w:val="28"/>
          <w:szCs w:val="28"/>
        </w:rPr>
        <w:t>5</w:t>
      </w:r>
      <w:r w:rsidRPr="00653E74">
        <w:rPr>
          <w:rFonts w:ascii="Footlight MT Light" w:hAnsi="Footlight MT Light"/>
          <w:sz w:val="28"/>
          <w:szCs w:val="28"/>
        </w:rPr>
        <w:t xml:space="preserve"> points de pourcentage. </w:t>
      </w:r>
    </w:p>
    <w:p w:rsidR="006B5F40" w:rsidRDefault="006B5F40">
      <w:pPr>
        <w:spacing w:line="360" w:lineRule="auto"/>
        <w:jc w:val="both"/>
        <w:rPr>
          <w:rFonts w:ascii="Footlight MT Light" w:hAnsi="Footlight MT Light"/>
          <w:sz w:val="12"/>
          <w:szCs w:val="12"/>
        </w:rPr>
      </w:pPr>
    </w:p>
    <w:p w:rsidR="006B5F40" w:rsidRPr="00653E74" w:rsidRDefault="00353A09" w:rsidP="00C45A6F">
      <w:pPr>
        <w:spacing w:line="360" w:lineRule="auto"/>
        <w:jc w:val="both"/>
        <w:rPr>
          <w:rFonts w:ascii="Footlight MT Light" w:hAnsi="Footlight MT Light"/>
          <w:sz w:val="28"/>
          <w:szCs w:val="28"/>
        </w:rPr>
      </w:pPr>
      <w:r w:rsidRPr="00653E74">
        <w:rPr>
          <w:rFonts w:ascii="Footlight MT Light" w:hAnsi="Footlight MT Light"/>
          <w:sz w:val="28"/>
          <w:szCs w:val="28"/>
        </w:rPr>
        <w:t>L’</w:t>
      </w:r>
      <w:r w:rsidR="00ED516A" w:rsidRPr="00653E74">
        <w:rPr>
          <w:rFonts w:ascii="Footlight MT Light" w:hAnsi="Footlight MT Light"/>
          <w:sz w:val="28"/>
          <w:szCs w:val="28"/>
        </w:rPr>
        <w:t xml:space="preserve">effort de scolarisation </w:t>
      </w:r>
      <w:r w:rsidRPr="00653E74">
        <w:rPr>
          <w:rFonts w:ascii="Footlight MT Light" w:hAnsi="Footlight MT Light"/>
          <w:sz w:val="28"/>
          <w:szCs w:val="28"/>
        </w:rPr>
        <w:t>a été à l’origine d’</w:t>
      </w:r>
      <w:r w:rsidR="00ED516A" w:rsidRPr="00653E74">
        <w:rPr>
          <w:rFonts w:ascii="Footlight MT Light" w:hAnsi="Footlight MT Light"/>
          <w:sz w:val="28"/>
          <w:szCs w:val="28"/>
        </w:rPr>
        <w:t>un accès de plus en plus tardif des femmes à la vie active. La part des jeunes femmes âgées de 15 à 24 ans dans la population active féminine a baissé de 27,5% en 2000 à 1</w:t>
      </w:r>
      <w:r w:rsidR="00C45A6F">
        <w:rPr>
          <w:rFonts w:ascii="Footlight MT Light" w:hAnsi="Footlight MT Light"/>
          <w:sz w:val="28"/>
          <w:szCs w:val="28"/>
        </w:rPr>
        <w:t>7</w:t>
      </w:r>
      <w:r w:rsidR="00ED516A" w:rsidRPr="00653E74">
        <w:rPr>
          <w:rFonts w:ascii="Footlight MT Light" w:hAnsi="Footlight MT Light"/>
          <w:sz w:val="28"/>
          <w:szCs w:val="28"/>
        </w:rPr>
        <w:t>% en 2014 (1</w:t>
      </w:r>
      <w:r w:rsidR="00C45A6F">
        <w:rPr>
          <w:rFonts w:ascii="Footlight MT Light" w:hAnsi="Footlight MT Light"/>
          <w:sz w:val="28"/>
          <w:szCs w:val="28"/>
        </w:rPr>
        <w:t>0</w:t>
      </w:r>
      <w:r w:rsidR="00ED516A" w:rsidRPr="00653E74">
        <w:rPr>
          <w:rFonts w:ascii="Footlight MT Light" w:hAnsi="Footlight MT Light"/>
          <w:sz w:val="28"/>
          <w:szCs w:val="28"/>
        </w:rPr>
        <w:t>,</w:t>
      </w:r>
      <w:r w:rsidR="00C45A6F">
        <w:rPr>
          <w:rFonts w:ascii="Footlight MT Light" w:hAnsi="Footlight MT Light"/>
          <w:sz w:val="28"/>
          <w:szCs w:val="28"/>
        </w:rPr>
        <w:t>5</w:t>
      </w:r>
      <w:r w:rsidR="00ED516A" w:rsidRPr="00653E74">
        <w:rPr>
          <w:rFonts w:ascii="Footlight MT Light" w:hAnsi="Footlight MT Light"/>
          <w:sz w:val="28"/>
          <w:szCs w:val="28"/>
        </w:rPr>
        <w:t xml:space="preserve"> points d’écart) et leur part dans l’offre globale de travail a presque stagné durant cette période, avec une proportion d’environ 27%. </w:t>
      </w:r>
    </w:p>
    <w:p w:rsidR="006B5F40" w:rsidRPr="00207332" w:rsidRDefault="00951378" w:rsidP="00951378">
      <w:pPr>
        <w:spacing w:line="360" w:lineRule="auto"/>
        <w:jc w:val="center"/>
        <w:rPr>
          <w:rFonts w:ascii="Footlight MT Light" w:hAnsi="Footlight MT Light"/>
          <w:color w:val="0070C0"/>
        </w:rPr>
      </w:pPr>
      <w:r>
        <w:rPr>
          <w:rFonts w:ascii="Footlight MT Light" w:hAnsi="Footlight MT Light"/>
          <w:sz w:val="26"/>
          <w:szCs w:val="26"/>
        </w:rPr>
        <w:br w:type="page"/>
      </w:r>
      <w:r w:rsidR="00ED516A" w:rsidRPr="00207332">
        <w:rPr>
          <w:rFonts w:ascii="Footlight MT Light" w:hAnsi="Footlight MT Light"/>
          <w:color w:val="0070C0"/>
        </w:rPr>
        <w:lastRenderedPageBreak/>
        <w:t>Graphique 3 : Evolution du taux de féminisation de la population</w:t>
      </w:r>
    </w:p>
    <w:p w:rsidR="006B5F40" w:rsidRPr="00207332" w:rsidRDefault="00032AC3" w:rsidP="00B40C8D">
      <w:pPr>
        <w:ind w:right="357"/>
        <w:jc w:val="center"/>
        <w:rPr>
          <w:rFonts w:ascii="Footlight MT Light" w:hAnsi="Footlight MT Light"/>
          <w:b/>
          <w:bCs/>
          <w:color w:val="0070C0"/>
        </w:rPr>
      </w:pPr>
      <w:r>
        <w:rPr>
          <w:rFonts w:ascii="Footlight MT Light" w:hAnsi="Footlight MT Light"/>
          <w:color w:val="0070C0"/>
        </w:rPr>
        <w:t xml:space="preserve">                </w:t>
      </w:r>
      <w:r w:rsidR="00ED516A" w:rsidRPr="00207332">
        <w:rPr>
          <w:rFonts w:ascii="Footlight MT Light" w:hAnsi="Footlight MT Light"/>
          <w:color w:val="0070C0"/>
        </w:rPr>
        <w:t>active selon les tranches d’âge (en%).</w:t>
      </w:r>
      <w:r w:rsidR="00ED516A" w:rsidRPr="00207332">
        <w:rPr>
          <w:rFonts w:ascii="Footlight MT Light" w:hAnsi="Footlight MT Light"/>
          <w:b/>
          <w:bCs/>
          <w:color w:val="0070C0"/>
        </w:rPr>
        <w:t xml:space="preserve">  </w:t>
      </w:r>
    </w:p>
    <w:p w:rsidR="00486AC6" w:rsidRPr="00486AC6" w:rsidRDefault="00721A7C" w:rsidP="001E3051">
      <w:pPr>
        <w:spacing w:line="360" w:lineRule="auto"/>
        <w:ind w:right="340"/>
        <w:jc w:val="center"/>
        <w:rPr>
          <w:rFonts w:ascii="Footlight MT Light" w:hAnsi="Footlight MT Light"/>
          <w:sz w:val="16"/>
          <w:szCs w:val="16"/>
        </w:rPr>
      </w:pPr>
      <w:r>
        <w:rPr>
          <w:rFonts w:ascii="Footlight MT Light" w:hAnsi="Footlight MT Light"/>
          <w:noProof/>
          <w:sz w:val="26"/>
          <w:szCs w:val="26"/>
        </w:rPr>
        <w:drawing>
          <wp:inline distT="0" distB="0" distL="0" distR="0">
            <wp:extent cx="5721742" cy="2038613"/>
            <wp:effectExtent l="12185" t="6087" r="6473" b="0"/>
            <wp:docPr id="3"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486AC6" w:rsidRPr="00486AC6">
        <w:rPr>
          <w:rFonts w:ascii="Footlight MT Light" w:hAnsi="Footlight MT Light"/>
          <w:sz w:val="16"/>
          <w:szCs w:val="16"/>
        </w:rPr>
        <w:t>Source : Haut-commissariat au Plan, Direction de la Statistique (Enquête nationale sur l’emploi).</w:t>
      </w:r>
    </w:p>
    <w:p w:rsidR="006B5F40" w:rsidRPr="00DE28D9" w:rsidRDefault="006B5F40">
      <w:pPr>
        <w:spacing w:line="360" w:lineRule="auto"/>
        <w:ind w:left="340" w:right="340"/>
        <w:jc w:val="both"/>
        <w:rPr>
          <w:rFonts w:ascii="Footlight MT Light" w:hAnsi="Footlight MT Light"/>
          <w:sz w:val="26"/>
          <w:szCs w:val="26"/>
        </w:rPr>
      </w:pPr>
    </w:p>
    <w:p w:rsidR="006B5F40" w:rsidRDefault="00ED516A" w:rsidP="00F77177">
      <w:pPr>
        <w:spacing w:line="360" w:lineRule="auto"/>
        <w:jc w:val="both"/>
        <w:rPr>
          <w:rFonts w:ascii="Footlight MT Light" w:hAnsi="Footlight MT Light"/>
          <w:sz w:val="28"/>
          <w:szCs w:val="28"/>
        </w:rPr>
      </w:pPr>
      <w:r w:rsidRPr="00653E74">
        <w:rPr>
          <w:rFonts w:ascii="Footlight MT Light" w:hAnsi="Footlight MT Light"/>
          <w:sz w:val="28"/>
          <w:szCs w:val="28"/>
        </w:rPr>
        <w:t xml:space="preserve">Par ailleurs, </w:t>
      </w:r>
      <w:r w:rsidR="00653E74" w:rsidRPr="00653E74">
        <w:rPr>
          <w:rFonts w:ascii="Footlight MT Light" w:hAnsi="Footlight MT Light"/>
          <w:sz w:val="28"/>
          <w:szCs w:val="28"/>
        </w:rPr>
        <w:t>malgré une importante urbanisation de la population (de 54,2% en 2000 à 59,4% en 2014)</w:t>
      </w:r>
      <w:r w:rsidR="00653E74">
        <w:rPr>
          <w:rFonts w:ascii="Footlight MT Light" w:hAnsi="Footlight MT Light"/>
          <w:sz w:val="28"/>
          <w:szCs w:val="28"/>
        </w:rPr>
        <w:t xml:space="preserve">, </w:t>
      </w:r>
      <w:r w:rsidR="00894E33" w:rsidRPr="00653E74">
        <w:rPr>
          <w:rFonts w:ascii="Footlight MT Light" w:hAnsi="Footlight MT Light"/>
          <w:sz w:val="28"/>
          <w:szCs w:val="28"/>
        </w:rPr>
        <w:t xml:space="preserve">la contribution du milieu urbain dans l'offre globale du travail a légèrement </w:t>
      </w:r>
      <w:r w:rsidR="00F77177">
        <w:rPr>
          <w:rFonts w:ascii="Footlight MT Light" w:hAnsi="Footlight MT Light"/>
          <w:sz w:val="28"/>
          <w:szCs w:val="28"/>
        </w:rPr>
        <w:t>augmenté</w:t>
      </w:r>
      <w:r w:rsidR="00894E33" w:rsidRPr="00653E74">
        <w:rPr>
          <w:rFonts w:ascii="Footlight MT Light" w:hAnsi="Footlight MT Light"/>
          <w:sz w:val="28"/>
          <w:szCs w:val="28"/>
        </w:rPr>
        <w:t xml:space="preserve"> au cours de la période, passant de </w:t>
      </w:r>
      <w:r w:rsidR="00F77177">
        <w:rPr>
          <w:rFonts w:ascii="Footlight MT Light" w:hAnsi="Footlight MT Light"/>
          <w:sz w:val="28"/>
          <w:szCs w:val="28"/>
        </w:rPr>
        <w:t>51</w:t>
      </w:r>
      <w:r w:rsidR="00894E33" w:rsidRPr="00653E74">
        <w:rPr>
          <w:rFonts w:ascii="Footlight MT Light" w:hAnsi="Footlight MT Light"/>
          <w:sz w:val="28"/>
          <w:szCs w:val="28"/>
        </w:rPr>
        <w:t xml:space="preserve">% en 2000 à </w:t>
      </w:r>
      <w:r w:rsidR="00F77177">
        <w:rPr>
          <w:rFonts w:ascii="Footlight MT Light" w:hAnsi="Footlight MT Light"/>
          <w:sz w:val="28"/>
          <w:szCs w:val="28"/>
        </w:rPr>
        <w:t>53</w:t>
      </w:r>
      <w:r w:rsidR="00894E33" w:rsidRPr="00653E74">
        <w:rPr>
          <w:rFonts w:ascii="Footlight MT Light" w:hAnsi="Footlight MT Light"/>
          <w:sz w:val="28"/>
          <w:szCs w:val="28"/>
        </w:rPr>
        <w:t>,</w:t>
      </w:r>
      <w:r w:rsidR="00F77177">
        <w:rPr>
          <w:rFonts w:ascii="Footlight MT Light" w:hAnsi="Footlight MT Light"/>
          <w:sz w:val="28"/>
          <w:szCs w:val="28"/>
        </w:rPr>
        <w:t>4</w:t>
      </w:r>
      <w:r w:rsidR="00894E33" w:rsidRPr="00653E74">
        <w:rPr>
          <w:rFonts w:ascii="Footlight MT Light" w:hAnsi="Footlight MT Light"/>
          <w:sz w:val="28"/>
          <w:szCs w:val="28"/>
        </w:rPr>
        <w:t xml:space="preserve">% en 2014, </w:t>
      </w:r>
      <w:r w:rsidR="00646644">
        <w:rPr>
          <w:rFonts w:ascii="Footlight MT Light" w:hAnsi="Footlight MT Light"/>
          <w:sz w:val="28"/>
          <w:szCs w:val="28"/>
        </w:rPr>
        <w:t xml:space="preserve">ce </w:t>
      </w:r>
      <w:r w:rsidR="00894E33" w:rsidRPr="00653E74">
        <w:rPr>
          <w:rFonts w:ascii="Footlight MT Light" w:hAnsi="Footlight MT Light"/>
          <w:sz w:val="28"/>
          <w:szCs w:val="28"/>
        </w:rPr>
        <w:t xml:space="preserve">qui s’explique, principalement, par le </w:t>
      </w:r>
      <w:r w:rsidR="009741FD" w:rsidRPr="00653E74">
        <w:rPr>
          <w:rFonts w:ascii="Footlight MT Light" w:hAnsi="Footlight MT Light"/>
          <w:sz w:val="28"/>
          <w:szCs w:val="28"/>
        </w:rPr>
        <w:t>niveau élevé du taux d’activité en milieu rural</w:t>
      </w:r>
      <w:r w:rsidR="00894E33" w:rsidRPr="00653E74">
        <w:rPr>
          <w:rFonts w:ascii="Footlight MT Light" w:hAnsi="Footlight MT Light"/>
          <w:sz w:val="28"/>
          <w:szCs w:val="28"/>
        </w:rPr>
        <w:t xml:space="preserve">, </w:t>
      </w:r>
      <w:r w:rsidR="00646644">
        <w:rPr>
          <w:rFonts w:ascii="Footlight MT Light" w:hAnsi="Footlight MT Light"/>
          <w:sz w:val="28"/>
          <w:szCs w:val="28"/>
        </w:rPr>
        <w:t xml:space="preserve">enregistrant </w:t>
      </w:r>
      <w:r w:rsidR="009741FD" w:rsidRPr="00653E74">
        <w:rPr>
          <w:rFonts w:ascii="Footlight MT Light" w:hAnsi="Footlight MT Light"/>
          <w:sz w:val="28"/>
          <w:szCs w:val="28"/>
        </w:rPr>
        <w:t xml:space="preserve">57,2% </w:t>
      </w:r>
      <w:r w:rsidR="00646644" w:rsidRPr="00653E74">
        <w:rPr>
          <w:rFonts w:ascii="Footlight MT Light" w:hAnsi="Footlight MT Light"/>
          <w:sz w:val="28"/>
          <w:szCs w:val="28"/>
        </w:rPr>
        <w:t>en 2014</w:t>
      </w:r>
      <w:r w:rsidR="00646644">
        <w:rPr>
          <w:rFonts w:ascii="Footlight MT Light" w:hAnsi="Footlight MT Light"/>
          <w:sz w:val="28"/>
          <w:szCs w:val="28"/>
        </w:rPr>
        <w:t xml:space="preserve"> </w:t>
      </w:r>
      <w:r w:rsidR="009741FD" w:rsidRPr="00653E74">
        <w:rPr>
          <w:rFonts w:ascii="Footlight MT Light" w:hAnsi="Footlight MT Light"/>
          <w:sz w:val="28"/>
          <w:szCs w:val="28"/>
        </w:rPr>
        <w:t>contre 42,1% parmi les citadins</w:t>
      </w:r>
      <w:r w:rsidRPr="00653E74">
        <w:rPr>
          <w:rFonts w:ascii="Footlight MT Light" w:hAnsi="Footlight MT Light"/>
          <w:sz w:val="28"/>
          <w:szCs w:val="28"/>
        </w:rPr>
        <w:t xml:space="preserve">. </w:t>
      </w:r>
    </w:p>
    <w:p w:rsidR="00DE28D9" w:rsidRPr="00653E74" w:rsidRDefault="00DE28D9" w:rsidP="00F77177">
      <w:pPr>
        <w:spacing w:line="360" w:lineRule="auto"/>
        <w:jc w:val="both"/>
        <w:rPr>
          <w:rFonts w:ascii="Footlight MT Light" w:hAnsi="Footlight MT Light"/>
          <w:sz w:val="28"/>
          <w:szCs w:val="28"/>
        </w:rPr>
      </w:pPr>
    </w:p>
    <w:p w:rsidR="006B5F40" w:rsidRPr="00207332" w:rsidRDefault="00ED516A">
      <w:pPr>
        <w:pStyle w:val="Paragraphedeliste"/>
        <w:numPr>
          <w:ilvl w:val="0"/>
          <w:numId w:val="1"/>
        </w:numPr>
        <w:spacing w:line="360" w:lineRule="auto"/>
        <w:jc w:val="both"/>
        <w:rPr>
          <w:rFonts w:ascii="Footlight MT Light" w:hAnsi="Footlight MT Light"/>
          <w:b/>
          <w:bCs/>
          <w:color w:val="548DD4"/>
          <w:sz w:val="28"/>
          <w:szCs w:val="28"/>
        </w:rPr>
      </w:pPr>
      <w:r w:rsidRPr="00207332">
        <w:rPr>
          <w:rFonts w:ascii="Footlight MT Light" w:hAnsi="Footlight MT Light"/>
          <w:b/>
          <w:bCs/>
          <w:color w:val="548DD4"/>
          <w:sz w:val="28"/>
          <w:szCs w:val="28"/>
        </w:rPr>
        <w:t>Niveau de qualification de l’offre de travail</w:t>
      </w:r>
    </w:p>
    <w:p w:rsidR="00646644" w:rsidRPr="00646644" w:rsidRDefault="00646644" w:rsidP="00646644">
      <w:pPr>
        <w:spacing w:line="360" w:lineRule="auto"/>
        <w:jc w:val="both"/>
        <w:rPr>
          <w:rFonts w:ascii="Footlight MT Light" w:hAnsi="Footlight MT Light"/>
          <w:b/>
          <w:bCs/>
          <w:color w:val="548DD4"/>
          <w:sz w:val="8"/>
          <w:szCs w:val="8"/>
        </w:rPr>
      </w:pPr>
    </w:p>
    <w:p w:rsidR="006B5F40" w:rsidRPr="00646644" w:rsidRDefault="00ED516A" w:rsidP="00A53BAB">
      <w:pPr>
        <w:spacing w:line="360" w:lineRule="auto"/>
        <w:jc w:val="both"/>
        <w:rPr>
          <w:rFonts w:ascii="Footlight MT Light" w:hAnsi="Footlight MT Light"/>
          <w:sz w:val="28"/>
          <w:szCs w:val="28"/>
        </w:rPr>
      </w:pPr>
      <w:r w:rsidRPr="00646644">
        <w:rPr>
          <w:rFonts w:ascii="Footlight MT Light" w:hAnsi="Footlight MT Light"/>
          <w:sz w:val="28"/>
          <w:szCs w:val="28"/>
        </w:rPr>
        <w:t>Malgré les efforts de généralisation de la scolarisation, l'accès aux diplômes reste encore faible et limité à certaines catégories. Globalement, en 2014, environ 4 actifs sur 10 (41,4%) détenaient un diplôme contre 3 sur 10 (31,3%) en 2000. Ce sont les jeunes actifs qui sont les plus favorisés en termes d'accès aux diplômes. La part des diplômés dans l’offre de travail est de 53,1% pour les 15 à 24 ans, de 49</w:t>
      </w:r>
      <w:r w:rsidR="00AA31BF">
        <w:rPr>
          <w:rFonts w:ascii="Footlight MT Light" w:hAnsi="Footlight MT Light"/>
          <w:sz w:val="28"/>
          <w:szCs w:val="28"/>
        </w:rPr>
        <w:t>,1</w:t>
      </w:r>
      <w:r w:rsidRPr="00646644">
        <w:rPr>
          <w:rFonts w:ascii="Footlight MT Light" w:hAnsi="Footlight MT Light"/>
          <w:sz w:val="28"/>
          <w:szCs w:val="28"/>
        </w:rPr>
        <w:t xml:space="preserve">% pour les 25 à 39 ans et de 32,6% pour les personnes âgées de 40 à 59 ans. </w:t>
      </w:r>
    </w:p>
    <w:p w:rsidR="006B5F40" w:rsidRPr="00F300BC" w:rsidRDefault="006B5F40">
      <w:pPr>
        <w:spacing w:line="360" w:lineRule="auto"/>
        <w:jc w:val="both"/>
        <w:rPr>
          <w:rFonts w:ascii="Footlight MT Light" w:hAnsi="Footlight MT Light"/>
          <w:sz w:val="8"/>
          <w:szCs w:val="8"/>
        </w:rPr>
      </w:pPr>
    </w:p>
    <w:p w:rsidR="006B5F40" w:rsidRPr="00646644" w:rsidRDefault="00ED516A" w:rsidP="00CB71CA">
      <w:pPr>
        <w:spacing w:line="360" w:lineRule="auto"/>
        <w:jc w:val="both"/>
        <w:rPr>
          <w:rFonts w:ascii="Footlight MT Light" w:hAnsi="Footlight MT Light"/>
          <w:sz w:val="28"/>
          <w:szCs w:val="28"/>
        </w:rPr>
      </w:pPr>
      <w:r w:rsidRPr="00DC4BFF">
        <w:rPr>
          <w:rFonts w:ascii="Footlight MT Light" w:hAnsi="Footlight MT Light"/>
          <w:sz w:val="28"/>
          <w:szCs w:val="28"/>
        </w:rPr>
        <w:t xml:space="preserve">Dans </w:t>
      </w:r>
      <w:r w:rsidR="004200F7" w:rsidRPr="00DC4BFF">
        <w:rPr>
          <w:rFonts w:ascii="Footlight MT Light" w:hAnsi="Footlight MT Light"/>
          <w:sz w:val="28"/>
          <w:szCs w:val="28"/>
        </w:rPr>
        <w:t>c</w:t>
      </w:r>
      <w:r w:rsidRPr="00DC4BFF">
        <w:rPr>
          <w:rFonts w:ascii="Footlight MT Light" w:hAnsi="Footlight MT Light"/>
          <w:sz w:val="28"/>
          <w:szCs w:val="28"/>
        </w:rPr>
        <w:t xml:space="preserve">e contexte, le niveau de </w:t>
      </w:r>
      <w:r w:rsidR="00CB71CA" w:rsidRPr="00DC4BFF">
        <w:rPr>
          <w:rFonts w:ascii="Footlight MT Light" w:hAnsi="Footlight MT Light"/>
          <w:sz w:val="28"/>
          <w:szCs w:val="28"/>
        </w:rPr>
        <w:t>l’analphabétisme</w:t>
      </w:r>
      <w:r w:rsidRPr="00DC4BFF">
        <w:rPr>
          <w:rFonts w:ascii="Footlight MT Light" w:hAnsi="Footlight MT Light"/>
          <w:sz w:val="28"/>
          <w:szCs w:val="28"/>
        </w:rPr>
        <w:t xml:space="preserve">, quoiqu’en régression, reste encore élevé parmi la population marocaine, </w:t>
      </w:r>
      <w:r w:rsidR="00CB71CA" w:rsidRPr="00DC4BFF">
        <w:rPr>
          <w:rFonts w:ascii="Footlight MT Light" w:hAnsi="Footlight MT Light"/>
          <w:sz w:val="28"/>
          <w:szCs w:val="28"/>
        </w:rPr>
        <w:t xml:space="preserve">aussi bien </w:t>
      </w:r>
      <w:r w:rsidRPr="00DC4BFF">
        <w:rPr>
          <w:rFonts w:ascii="Footlight MT Light" w:hAnsi="Footlight MT Light"/>
          <w:sz w:val="28"/>
          <w:szCs w:val="28"/>
        </w:rPr>
        <w:t xml:space="preserve">active </w:t>
      </w:r>
      <w:r w:rsidR="00CB71CA" w:rsidRPr="00DC4BFF">
        <w:rPr>
          <w:rFonts w:ascii="Footlight MT Light" w:hAnsi="Footlight MT Light"/>
          <w:sz w:val="28"/>
          <w:szCs w:val="28"/>
        </w:rPr>
        <w:t>qu’</w:t>
      </w:r>
      <w:r w:rsidRPr="00DC4BFF">
        <w:rPr>
          <w:rFonts w:ascii="Footlight MT Light" w:hAnsi="Footlight MT Light"/>
          <w:sz w:val="28"/>
          <w:szCs w:val="28"/>
        </w:rPr>
        <w:t xml:space="preserve">inactive particulièrement en zones rurales et parmi les femmes. </w:t>
      </w:r>
      <w:r w:rsidR="00CB71CA" w:rsidRPr="00DC4BFF">
        <w:rPr>
          <w:rFonts w:ascii="Footlight MT Light" w:hAnsi="Footlight MT Light"/>
          <w:sz w:val="28"/>
          <w:szCs w:val="28"/>
        </w:rPr>
        <w:t>L</w:t>
      </w:r>
      <w:r w:rsidRPr="00DC4BFF">
        <w:rPr>
          <w:rFonts w:ascii="Footlight MT Light" w:hAnsi="Footlight MT Light"/>
          <w:sz w:val="28"/>
          <w:szCs w:val="28"/>
        </w:rPr>
        <w:t xml:space="preserve">e taux d’analphabétisme </w:t>
      </w:r>
      <w:r w:rsidR="00CB71CA" w:rsidRPr="00DC4BFF">
        <w:rPr>
          <w:rFonts w:ascii="Footlight MT Light" w:hAnsi="Footlight MT Light"/>
          <w:sz w:val="28"/>
          <w:szCs w:val="28"/>
        </w:rPr>
        <w:t xml:space="preserve">en 2014 </w:t>
      </w:r>
      <w:r w:rsidRPr="00DC4BFF">
        <w:rPr>
          <w:rFonts w:ascii="Footlight MT Light" w:hAnsi="Footlight MT Light"/>
          <w:sz w:val="28"/>
          <w:szCs w:val="28"/>
        </w:rPr>
        <w:t>a atteint 38,6% pour les personnes âgées de 15 ans et plus, 34,5% pour les actifs contre 42,4% pour les inactifs. Il a enregistré 55% en milieu rural et 49,8% parmi les femmes.</w:t>
      </w:r>
      <w:r w:rsidRPr="00646644">
        <w:rPr>
          <w:rFonts w:ascii="Footlight MT Light" w:hAnsi="Footlight MT Light"/>
          <w:sz w:val="28"/>
          <w:szCs w:val="28"/>
        </w:rPr>
        <w:t xml:space="preserve"> </w:t>
      </w:r>
    </w:p>
    <w:p w:rsidR="006B5F40" w:rsidRPr="00F300BC" w:rsidRDefault="006B5F40">
      <w:pPr>
        <w:spacing w:line="360" w:lineRule="auto"/>
        <w:jc w:val="both"/>
        <w:rPr>
          <w:rFonts w:ascii="Footlight MT Light" w:hAnsi="Footlight MT Light"/>
          <w:sz w:val="8"/>
          <w:szCs w:val="8"/>
          <w:highlight w:val="cyan"/>
        </w:rPr>
      </w:pPr>
    </w:p>
    <w:p w:rsidR="006B5F40" w:rsidRPr="00646644" w:rsidRDefault="00ED516A" w:rsidP="00B27937">
      <w:pPr>
        <w:spacing w:line="360" w:lineRule="auto"/>
        <w:jc w:val="both"/>
        <w:rPr>
          <w:rFonts w:ascii="Footlight MT Light" w:hAnsi="Footlight MT Light"/>
          <w:sz w:val="28"/>
          <w:szCs w:val="28"/>
        </w:rPr>
      </w:pPr>
      <w:r w:rsidRPr="00646644">
        <w:rPr>
          <w:rFonts w:ascii="Footlight MT Light" w:hAnsi="Footlight MT Light"/>
          <w:sz w:val="28"/>
          <w:szCs w:val="28"/>
        </w:rPr>
        <w:t xml:space="preserve">Parmi les actifs, </w:t>
      </w:r>
      <w:r w:rsidR="00436487" w:rsidRPr="00646644">
        <w:rPr>
          <w:rFonts w:ascii="Footlight MT Light" w:hAnsi="Footlight MT Light"/>
          <w:sz w:val="28"/>
          <w:szCs w:val="28"/>
        </w:rPr>
        <w:t xml:space="preserve">ce sont </w:t>
      </w:r>
      <w:r w:rsidRPr="00646644">
        <w:rPr>
          <w:rFonts w:ascii="Footlight MT Light" w:hAnsi="Footlight MT Light"/>
          <w:sz w:val="28"/>
          <w:szCs w:val="28"/>
        </w:rPr>
        <w:t xml:space="preserve">les jeunes âgés de 15 à 24 ans </w:t>
      </w:r>
      <w:r w:rsidR="00436487" w:rsidRPr="00646644">
        <w:rPr>
          <w:rFonts w:ascii="Footlight MT Light" w:hAnsi="Footlight MT Light"/>
          <w:sz w:val="28"/>
          <w:szCs w:val="28"/>
        </w:rPr>
        <w:t xml:space="preserve">qui </w:t>
      </w:r>
      <w:r w:rsidRPr="00646644">
        <w:rPr>
          <w:rFonts w:ascii="Footlight MT Light" w:hAnsi="Footlight MT Light"/>
          <w:sz w:val="28"/>
          <w:szCs w:val="28"/>
        </w:rPr>
        <w:t xml:space="preserve">ont </w:t>
      </w:r>
      <w:r w:rsidR="009E7737" w:rsidRPr="00646644">
        <w:rPr>
          <w:rFonts w:ascii="Footlight MT Light" w:hAnsi="Footlight MT Light"/>
          <w:sz w:val="28"/>
          <w:szCs w:val="28"/>
        </w:rPr>
        <w:t xml:space="preserve">le plus </w:t>
      </w:r>
      <w:r w:rsidRPr="00646644">
        <w:rPr>
          <w:rFonts w:ascii="Footlight MT Light" w:hAnsi="Footlight MT Light"/>
          <w:sz w:val="28"/>
          <w:szCs w:val="28"/>
        </w:rPr>
        <w:t xml:space="preserve">bénéficié </w:t>
      </w:r>
      <w:r w:rsidR="009E7737" w:rsidRPr="00646644">
        <w:rPr>
          <w:rFonts w:ascii="Footlight MT Light" w:hAnsi="Footlight MT Light"/>
          <w:sz w:val="28"/>
          <w:szCs w:val="28"/>
        </w:rPr>
        <w:t xml:space="preserve">de l’effort d’alphabétisation </w:t>
      </w:r>
      <w:r w:rsidR="00436487" w:rsidRPr="00646644">
        <w:rPr>
          <w:rFonts w:ascii="Footlight MT Light" w:hAnsi="Footlight MT Light"/>
          <w:sz w:val="28"/>
          <w:szCs w:val="28"/>
        </w:rPr>
        <w:t xml:space="preserve">au </w:t>
      </w:r>
      <w:r w:rsidR="009E7737" w:rsidRPr="00646644">
        <w:rPr>
          <w:rFonts w:ascii="Footlight MT Light" w:hAnsi="Footlight MT Light"/>
          <w:sz w:val="28"/>
          <w:szCs w:val="28"/>
        </w:rPr>
        <w:t xml:space="preserve">Maroc </w:t>
      </w:r>
      <w:r w:rsidRPr="00646644">
        <w:rPr>
          <w:rFonts w:ascii="Footlight MT Light" w:hAnsi="Footlight MT Light"/>
          <w:sz w:val="28"/>
          <w:szCs w:val="28"/>
        </w:rPr>
        <w:t>au cours de</w:t>
      </w:r>
      <w:r w:rsidR="00C35828" w:rsidRPr="00646644">
        <w:rPr>
          <w:rFonts w:ascii="Footlight MT Light" w:hAnsi="Footlight MT Light"/>
          <w:sz w:val="28"/>
          <w:szCs w:val="28"/>
        </w:rPr>
        <w:t xml:space="preserve">s 14 </w:t>
      </w:r>
      <w:r w:rsidRPr="00646644">
        <w:rPr>
          <w:rFonts w:ascii="Footlight MT Light" w:hAnsi="Footlight MT Light"/>
          <w:sz w:val="28"/>
          <w:szCs w:val="28"/>
        </w:rPr>
        <w:t xml:space="preserve">dernières années. </w:t>
      </w:r>
      <w:r w:rsidR="00B27937">
        <w:rPr>
          <w:rFonts w:ascii="Footlight MT Light" w:hAnsi="Footlight MT Light"/>
          <w:sz w:val="28"/>
          <w:szCs w:val="28"/>
        </w:rPr>
        <w:t xml:space="preserve">En effet, si </w:t>
      </w:r>
      <w:r w:rsidR="00B27937" w:rsidRPr="00646644">
        <w:rPr>
          <w:rFonts w:ascii="Footlight MT Light" w:hAnsi="Footlight MT Light"/>
          <w:sz w:val="28"/>
          <w:szCs w:val="28"/>
        </w:rPr>
        <w:t>pour la population âgée de 15 ans et plus</w:t>
      </w:r>
      <w:r w:rsidR="00B27937">
        <w:rPr>
          <w:rFonts w:ascii="Footlight MT Light" w:hAnsi="Footlight MT Light"/>
          <w:sz w:val="28"/>
          <w:szCs w:val="28"/>
        </w:rPr>
        <w:t>,</w:t>
      </w:r>
      <w:r w:rsidR="00B27937" w:rsidRPr="00646644">
        <w:rPr>
          <w:rFonts w:ascii="Footlight MT Light" w:hAnsi="Footlight MT Light"/>
          <w:sz w:val="28"/>
          <w:szCs w:val="28"/>
        </w:rPr>
        <w:t xml:space="preserve"> </w:t>
      </w:r>
      <w:r w:rsidR="00B27937">
        <w:rPr>
          <w:rFonts w:ascii="Footlight MT Light" w:hAnsi="Footlight MT Light"/>
          <w:sz w:val="28"/>
          <w:szCs w:val="28"/>
        </w:rPr>
        <w:t>c</w:t>
      </w:r>
      <w:r w:rsidRPr="00646644">
        <w:rPr>
          <w:rFonts w:ascii="Footlight MT Light" w:hAnsi="Footlight MT Light"/>
          <w:sz w:val="28"/>
          <w:szCs w:val="28"/>
        </w:rPr>
        <w:t>e taux est passé</w:t>
      </w:r>
      <w:r w:rsidR="00C35828" w:rsidRPr="00646644">
        <w:rPr>
          <w:rFonts w:ascii="Footlight MT Light" w:hAnsi="Footlight MT Light"/>
          <w:sz w:val="28"/>
          <w:szCs w:val="28"/>
        </w:rPr>
        <w:t>, entre les années 2000 et 2014, de 47,4% à 34,5%,</w:t>
      </w:r>
      <w:r w:rsidRPr="00646644">
        <w:rPr>
          <w:rFonts w:ascii="Footlight MT Light" w:hAnsi="Footlight MT Light"/>
          <w:sz w:val="28"/>
          <w:szCs w:val="28"/>
        </w:rPr>
        <w:t xml:space="preserve"> enregistrant une baisse de 12,9 points de pourcentage; il a, en revanche</w:t>
      </w:r>
      <w:r w:rsidR="002145B2" w:rsidRPr="00646644">
        <w:rPr>
          <w:rFonts w:ascii="Footlight MT Light" w:hAnsi="Footlight MT Light"/>
          <w:sz w:val="28"/>
          <w:szCs w:val="28"/>
        </w:rPr>
        <w:t>,</w:t>
      </w:r>
      <w:r w:rsidRPr="00646644">
        <w:rPr>
          <w:rFonts w:ascii="Footlight MT Light" w:hAnsi="Footlight MT Light"/>
          <w:sz w:val="28"/>
          <w:szCs w:val="28"/>
        </w:rPr>
        <w:t xml:space="preserve"> baissé de 26,2 points, </w:t>
      </w:r>
      <w:r w:rsidR="002145B2" w:rsidRPr="00646644">
        <w:rPr>
          <w:rFonts w:ascii="Footlight MT Light" w:hAnsi="Footlight MT Light"/>
          <w:sz w:val="28"/>
          <w:szCs w:val="28"/>
        </w:rPr>
        <w:t xml:space="preserve">pour les jeunes actifs, </w:t>
      </w:r>
      <w:r w:rsidRPr="00646644">
        <w:rPr>
          <w:rFonts w:ascii="Footlight MT Light" w:hAnsi="Footlight MT Light"/>
          <w:sz w:val="28"/>
          <w:szCs w:val="28"/>
        </w:rPr>
        <w:t>passant de 44,6% en 2000 à 18,3% en 2014.</w:t>
      </w:r>
    </w:p>
    <w:p w:rsidR="006B5F40" w:rsidRDefault="006B5F40">
      <w:pPr>
        <w:spacing w:line="360" w:lineRule="auto"/>
        <w:jc w:val="both"/>
        <w:rPr>
          <w:rFonts w:ascii="Footlight MT Light" w:hAnsi="Footlight MT Light"/>
          <w:b/>
          <w:bCs/>
          <w:color w:val="800000"/>
          <w:sz w:val="8"/>
          <w:szCs w:val="8"/>
        </w:rPr>
      </w:pPr>
    </w:p>
    <w:p w:rsidR="006B5F40" w:rsidRPr="00207332" w:rsidRDefault="00ED516A">
      <w:pPr>
        <w:spacing w:line="360" w:lineRule="auto"/>
        <w:jc w:val="both"/>
        <w:rPr>
          <w:rFonts w:ascii="Footlight MT Light" w:hAnsi="Footlight MT Light"/>
          <w:b/>
          <w:bCs/>
          <w:color w:val="800000"/>
          <w:sz w:val="30"/>
          <w:szCs w:val="30"/>
        </w:rPr>
      </w:pPr>
      <w:r w:rsidRPr="00207332">
        <w:rPr>
          <w:rFonts w:ascii="Footlight MT Light" w:hAnsi="Footlight MT Light"/>
          <w:b/>
          <w:bCs/>
          <w:color w:val="800000"/>
          <w:sz w:val="30"/>
          <w:szCs w:val="30"/>
        </w:rPr>
        <w:t>Caractéristiques et évolution de l'emploi</w:t>
      </w:r>
    </w:p>
    <w:p w:rsidR="006B5F40" w:rsidRDefault="00ED516A">
      <w:pPr>
        <w:spacing w:line="360" w:lineRule="auto"/>
        <w:jc w:val="both"/>
        <w:rPr>
          <w:rFonts w:ascii="Footlight MT Light" w:hAnsi="Footlight MT Light"/>
          <w:sz w:val="28"/>
          <w:szCs w:val="28"/>
        </w:rPr>
      </w:pPr>
      <w:r w:rsidRPr="00646644">
        <w:rPr>
          <w:rFonts w:ascii="Footlight MT Light" w:hAnsi="Footlight MT Light"/>
          <w:sz w:val="28"/>
          <w:szCs w:val="28"/>
        </w:rPr>
        <w:t>En 2014, le nombre d’actifs occupés âgés de 15 ans et plus a atteint 10,646 million, la moitié (50,5%) réside en milieu urbain, plus de 7 sur 10 (73%) sont de sexe masculin et environ 3 sur 10 (28,9%) sont des jeunes âgés de 15 à 29 ans. Par secteur d’activité, 39,4% exercent dans l’agriculture, 11,1% dans l’industrie, 9,3% dans les BTP et 40,2% dans les services.</w:t>
      </w:r>
    </w:p>
    <w:p w:rsidR="00DE28D9" w:rsidRPr="00DE28D9" w:rsidRDefault="00DE28D9">
      <w:pPr>
        <w:spacing w:line="360" w:lineRule="auto"/>
        <w:jc w:val="both"/>
        <w:rPr>
          <w:rFonts w:ascii="Footlight MT Light" w:hAnsi="Footlight MT Light"/>
          <w:sz w:val="8"/>
          <w:szCs w:val="8"/>
        </w:rPr>
      </w:pPr>
    </w:p>
    <w:p w:rsidR="006B5F40" w:rsidRPr="00646644" w:rsidRDefault="00F300BC" w:rsidP="006F4415">
      <w:pPr>
        <w:spacing w:line="360" w:lineRule="auto"/>
        <w:jc w:val="both"/>
        <w:rPr>
          <w:rFonts w:ascii="Footlight MT Light" w:hAnsi="Footlight MT Light"/>
          <w:sz w:val="28"/>
          <w:szCs w:val="28"/>
        </w:rPr>
      </w:pPr>
      <w:r w:rsidRPr="00646644">
        <w:rPr>
          <w:rFonts w:ascii="Footlight MT Light" w:hAnsi="Footlight MT Light"/>
          <w:sz w:val="28"/>
          <w:szCs w:val="28"/>
        </w:rPr>
        <w:t>A</w:t>
      </w:r>
      <w:r w:rsidR="00ED516A" w:rsidRPr="00646644">
        <w:rPr>
          <w:rFonts w:ascii="Footlight MT Light" w:hAnsi="Footlight MT Light"/>
          <w:sz w:val="28"/>
          <w:szCs w:val="28"/>
        </w:rPr>
        <w:t>vec une création annuelle moyenne de 129 mille postes d'emploi,  le volume de l'emploi au Maroc est passé de 8,845 à 10,646 million</w:t>
      </w:r>
      <w:r w:rsidR="006F4415">
        <w:rPr>
          <w:rFonts w:ascii="Footlight MT Light" w:hAnsi="Footlight MT Light"/>
          <w:sz w:val="28"/>
          <w:szCs w:val="28"/>
        </w:rPr>
        <w:t xml:space="preserve"> entre les années 2000 et 2014</w:t>
      </w:r>
      <w:r w:rsidR="00ED516A" w:rsidRPr="00646644">
        <w:rPr>
          <w:rFonts w:ascii="Footlight MT Light" w:hAnsi="Footlight MT Light"/>
          <w:sz w:val="28"/>
          <w:szCs w:val="28"/>
        </w:rPr>
        <w:t>. Sur les 1,801 million d’emplois créés au niveau national, 1,283 million l’ont été en milieu urbain (71% du total des emplois créés) contre 518 mille (29%) en milieu rural. Ce sont les actifs de sexe masculin qui ont le plus bénéficié de ces nouvelles créations avec 94 mille emplois annuellement (73%) contre 35 mille pour les femmes (27%).</w:t>
      </w:r>
    </w:p>
    <w:p w:rsidR="006B5F40" w:rsidRDefault="006B5F40">
      <w:pPr>
        <w:spacing w:line="360" w:lineRule="auto"/>
        <w:jc w:val="both"/>
        <w:rPr>
          <w:rFonts w:ascii="Footlight MT Light" w:hAnsi="Footlight MT Light"/>
          <w:color w:val="000000"/>
          <w:sz w:val="12"/>
          <w:szCs w:val="26"/>
        </w:rPr>
      </w:pPr>
    </w:p>
    <w:p w:rsidR="006B5F40" w:rsidRPr="00646644" w:rsidRDefault="00284B24" w:rsidP="00284B24">
      <w:pPr>
        <w:spacing w:line="360" w:lineRule="auto"/>
        <w:jc w:val="both"/>
        <w:rPr>
          <w:rFonts w:ascii="Footlight MT Light" w:hAnsi="Footlight MT Light"/>
          <w:sz w:val="28"/>
          <w:szCs w:val="28"/>
        </w:rPr>
      </w:pPr>
      <w:r w:rsidRPr="00646644">
        <w:rPr>
          <w:rFonts w:ascii="Footlight MT Light" w:hAnsi="Footlight MT Light"/>
          <w:sz w:val="28"/>
          <w:szCs w:val="28"/>
        </w:rPr>
        <w:t>L</w:t>
      </w:r>
      <w:r w:rsidR="00ED516A" w:rsidRPr="00646644">
        <w:rPr>
          <w:rFonts w:ascii="Footlight MT Light" w:hAnsi="Footlight MT Light"/>
          <w:sz w:val="28"/>
          <w:szCs w:val="28"/>
        </w:rPr>
        <w:t>es bénéficiaires de ces nouvelles créations sont surtout les adultes âgés de 40 à 59 ans avec 100 mille emplois annuellement et ceux âgés de 30 à 39 ans 50 mille. Les jeunes de 15 à 29 ans, quant à eux, ont perdu annuellement 25 mille emplois, une perte due principalement aux efforts d’élargissement de la scolarisation et au prolongement de la durée de scolarité.</w:t>
      </w:r>
    </w:p>
    <w:p w:rsidR="006B5F40" w:rsidRPr="00646644" w:rsidRDefault="006B5F40">
      <w:pPr>
        <w:spacing w:line="360" w:lineRule="auto"/>
        <w:jc w:val="both"/>
        <w:rPr>
          <w:rFonts w:ascii="Footlight MT Light" w:hAnsi="Footlight MT Light"/>
          <w:color w:val="000000"/>
          <w:sz w:val="8"/>
          <w:szCs w:val="8"/>
        </w:rPr>
      </w:pPr>
    </w:p>
    <w:p w:rsidR="006B5F40" w:rsidRPr="00646644" w:rsidRDefault="00284B24" w:rsidP="00284B24">
      <w:pPr>
        <w:spacing w:line="360" w:lineRule="auto"/>
        <w:jc w:val="both"/>
        <w:rPr>
          <w:rFonts w:ascii="Footlight MT Light" w:hAnsi="Footlight MT Light"/>
          <w:sz w:val="28"/>
          <w:szCs w:val="28"/>
        </w:rPr>
      </w:pPr>
      <w:r w:rsidRPr="00646644">
        <w:rPr>
          <w:rFonts w:ascii="Footlight MT Light" w:hAnsi="Footlight MT Light"/>
          <w:sz w:val="28"/>
          <w:szCs w:val="28"/>
        </w:rPr>
        <w:t>Dans ce cadre</w:t>
      </w:r>
      <w:r w:rsidR="00ED516A" w:rsidRPr="00646644">
        <w:rPr>
          <w:rFonts w:ascii="Footlight MT Light" w:hAnsi="Footlight MT Light"/>
          <w:sz w:val="28"/>
          <w:szCs w:val="28"/>
        </w:rPr>
        <w:t xml:space="preserve">, le secteur des  services, avec une création annuelle moyenne de 87 mille emplois (67% du total des emplois créés), reste de loin le secteur pourvoyeur d’emplois au niveau national, suivi du secteur des BTP avec 31 mille emplois (24%), puis l’agriculture forêt et pêche 10 mille postes (8%) et, en dernier lieu, le secteur </w:t>
      </w:r>
      <w:r w:rsidR="004B0A65">
        <w:rPr>
          <w:rFonts w:ascii="Footlight MT Light" w:hAnsi="Footlight MT Light"/>
          <w:sz w:val="28"/>
          <w:szCs w:val="28"/>
        </w:rPr>
        <w:t xml:space="preserve">de </w:t>
      </w:r>
      <w:r w:rsidR="00ED516A" w:rsidRPr="00646644">
        <w:rPr>
          <w:rFonts w:ascii="Footlight MT Light" w:hAnsi="Footlight MT Light"/>
          <w:sz w:val="28"/>
          <w:szCs w:val="28"/>
        </w:rPr>
        <w:t>l’industrie (y compris l’artisanat) avec 1 mille postes (1%).</w:t>
      </w:r>
    </w:p>
    <w:p w:rsidR="006B5F40" w:rsidRDefault="006B5F40">
      <w:pPr>
        <w:spacing w:line="360" w:lineRule="auto"/>
        <w:jc w:val="both"/>
        <w:rPr>
          <w:rFonts w:ascii="Footlight MT Light" w:hAnsi="Footlight MT Light"/>
          <w:sz w:val="12"/>
          <w:szCs w:val="26"/>
        </w:rPr>
      </w:pPr>
    </w:p>
    <w:p w:rsidR="006B5F40" w:rsidRDefault="00ED516A" w:rsidP="00B40C8D">
      <w:pPr>
        <w:ind w:left="360" w:right="340"/>
        <w:jc w:val="center"/>
        <w:rPr>
          <w:rFonts w:ascii="Footlight MT Light" w:hAnsi="Footlight MT Light"/>
          <w:color w:val="0070C0"/>
        </w:rPr>
      </w:pPr>
      <w:r>
        <w:rPr>
          <w:rFonts w:ascii="Footlight MT Light" w:hAnsi="Footlight MT Light"/>
          <w:color w:val="0070C0"/>
        </w:rPr>
        <w:t xml:space="preserve">Graphique 4 : Créations annuelles moyennes d’emploi entre 2000 et 2014 par secteur d’activité économique (en milliers). </w:t>
      </w:r>
    </w:p>
    <w:p w:rsidR="006B5F40" w:rsidRDefault="00721A7C">
      <w:pPr>
        <w:spacing w:line="360" w:lineRule="auto"/>
        <w:ind w:right="340"/>
        <w:jc w:val="both"/>
        <w:rPr>
          <w:rFonts w:ascii="Footlight MT Light" w:hAnsi="Footlight MT Light"/>
          <w:noProof/>
          <w:sz w:val="26"/>
          <w:szCs w:val="26"/>
        </w:rPr>
      </w:pPr>
      <w:r>
        <w:rPr>
          <w:rFonts w:ascii="Footlight MT Light" w:hAnsi="Footlight MT Light"/>
          <w:noProof/>
          <w:sz w:val="26"/>
          <w:szCs w:val="26"/>
        </w:rPr>
        <w:drawing>
          <wp:inline distT="0" distB="0" distL="0" distR="0">
            <wp:extent cx="5633583" cy="2521196"/>
            <wp:effectExtent l="12199" t="6104" r="5718" b="0"/>
            <wp:docPr id="4" name="Graphique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B5F40" w:rsidRPr="00486AC6" w:rsidRDefault="00486AC6" w:rsidP="00486AC6">
      <w:pPr>
        <w:spacing w:line="360" w:lineRule="auto"/>
        <w:ind w:right="340"/>
        <w:jc w:val="both"/>
        <w:rPr>
          <w:rFonts w:ascii="Footlight MT Light" w:hAnsi="Footlight MT Light"/>
          <w:sz w:val="16"/>
          <w:szCs w:val="16"/>
        </w:rPr>
      </w:pPr>
      <w:r w:rsidRPr="00486AC6">
        <w:rPr>
          <w:rFonts w:ascii="Footlight MT Light" w:hAnsi="Footlight MT Light"/>
          <w:sz w:val="16"/>
          <w:szCs w:val="16"/>
        </w:rPr>
        <w:t xml:space="preserve">Source : Haut-commissariat au </w:t>
      </w:r>
      <w:r w:rsidR="001E3051">
        <w:rPr>
          <w:rFonts w:ascii="Footlight MT Light" w:hAnsi="Footlight MT Light"/>
          <w:sz w:val="16"/>
          <w:szCs w:val="16"/>
        </w:rPr>
        <w:t>Plan</w:t>
      </w:r>
      <w:r w:rsidRPr="00486AC6">
        <w:rPr>
          <w:rFonts w:ascii="Footlight MT Light" w:hAnsi="Footlight MT Light"/>
          <w:sz w:val="16"/>
          <w:szCs w:val="16"/>
        </w:rPr>
        <w:t>, Direction de la Statistique (Enquête nationale sur l’emploi).</w:t>
      </w:r>
    </w:p>
    <w:p w:rsidR="00E96E22" w:rsidRDefault="00E96E22">
      <w:pPr>
        <w:spacing w:line="360" w:lineRule="auto"/>
        <w:jc w:val="both"/>
        <w:rPr>
          <w:rFonts w:ascii="Footlight MT Light" w:hAnsi="Footlight MT Light"/>
          <w:sz w:val="26"/>
          <w:szCs w:val="26"/>
        </w:rPr>
      </w:pPr>
    </w:p>
    <w:p w:rsidR="006B5F40" w:rsidRPr="00646644" w:rsidRDefault="00ED516A" w:rsidP="00326B6D">
      <w:pPr>
        <w:spacing w:line="360" w:lineRule="auto"/>
        <w:jc w:val="both"/>
        <w:rPr>
          <w:rFonts w:ascii="Footlight MT Light" w:hAnsi="Footlight MT Light"/>
          <w:sz w:val="28"/>
          <w:szCs w:val="28"/>
        </w:rPr>
      </w:pPr>
      <w:r w:rsidRPr="00646644">
        <w:rPr>
          <w:rFonts w:ascii="Footlight MT Light" w:hAnsi="Footlight MT Light"/>
          <w:sz w:val="28"/>
          <w:szCs w:val="28"/>
        </w:rPr>
        <w:t xml:space="preserve">Par ailleurs, </w:t>
      </w:r>
      <w:r w:rsidR="00AC248C">
        <w:rPr>
          <w:rFonts w:ascii="Footlight MT Light" w:hAnsi="Footlight MT Light"/>
          <w:sz w:val="28"/>
          <w:szCs w:val="28"/>
        </w:rPr>
        <w:t>l</w:t>
      </w:r>
      <w:r w:rsidRPr="00646644">
        <w:rPr>
          <w:rFonts w:ascii="Footlight MT Light" w:hAnsi="Footlight MT Light"/>
          <w:sz w:val="28"/>
          <w:szCs w:val="28"/>
        </w:rPr>
        <w:t xml:space="preserve">a part des </w:t>
      </w:r>
      <w:r w:rsidR="00AC248C">
        <w:rPr>
          <w:rFonts w:ascii="Footlight MT Light" w:hAnsi="Footlight MT Light"/>
          <w:sz w:val="28"/>
          <w:szCs w:val="28"/>
        </w:rPr>
        <w:t xml:space="preserve">jeunes âgés de </w:t>
      </w:r>
      <w:r w:rsidRPr="00646644">
        <w:rPr>
          <w:rFonts w:ascii="Footlight MT Light" w:hAnsi="Footlight MT Light"/>
          <w:sz w:val="28"/>
          <w:szCs w:val="28"/>
        </w:rPr>
        <w:t>15</w:t>
      </w:r>
      <w:r w:rsidR="003524F9">
        <w:rPr>
          <w:rFonts w:ascii="Footlight MT Light" w:hAnsi="Footlight MT Light"/>
          <w:sz w:val="28"/>
          <w:szCs w:val="28"/>
        </w:rPr>
        <w:t xml:space="preserve"> à </w:t>
      </w:r>
      <w:r w:rsidRPr="00646644">
        <w:rPr>
          <w:rFonts w:ascii="Footlight MT Light" w:hAnsi="Footlight MT Light"/>
          <w:sz w:val="28"/>
          <w:szCs w:val="28"/>
        </w:rPr>
        <w:t xml:space="preserve">29 ans dans l’emploi total a reculé de </w:t>
      </w:r>
      <w:r w:rsidR="00AC248C">
        <w:rPr>
          <w:rFonts w:ascii="Footlight MT Light" w:hAnsi="Footlight MT Light"/>
          <w:sz w:val="28"/>
          <w:szCs w:val="28"/>
        </w:rPr>
        <w:t xml:space="preserve">10,2 points </w:t>
      </w:r>
      <w:r w:rsidR="003524F9">
        <w:rPr>
          <w:rFonts w:ascii="Footlight MT Light" w:hAnsi="Footlight MT Light"/>
          <w:sz w:val="28"/>
          <w:szCs w:val="28"/>
        </w:rPr>
        <w:t>au cours de</w:t>
      </w:r>
      <w:r w:rsidR="00AC248C">
        <w:rPr>
          <w:rFonts w:ascii="Footlight MT Light" w:hAnsi="Footlight MT Light"/>
          <w:sz w:val="28"/>
          <w:szCs w:val="28"/>
        </w:rPr>
        <w:t xml:space="preserve"> la période, passant de </w:t>
      </w:r>
      <w:r w:rsidRPr="00646644">
        <w:rPr>
          <w:rFonts w:ascii="Footlight MT Light" w:hAnsi="Footlight MT Light"/>
          <w:sz w:val="28"/>
          <w:szCs w:val="28"/>
        </w:rPr>
        <w:t>39,1% en 2000 à 28,9% en 2014, et son taux de féminisation demeure relativement faible (26,</w:t>
      </w:r>
      <w:r w:rsidR="00326B6D">
        <w:rPr>
          <w:rFonts w:ascii="Footlight MT Light" w:hAnsi="Footlight MT Light"/>
          <w:sz w:val="28"/>
          <w:szCs w:val="28"/>
        </w:rPr>
        <w:t>5</w:t>
      </w:r>
      <w:r w:rsidRPr="00646644">
        <w:rPr>
          <w:rFonts w:ascii="Footlight MT Light" w:hAnsi="Footlight MT Light"/>
          <w:sz w:val="28"/>
          <w:szCs w:val="28"/>
        </w:rPr>
        <w:t>%).</w:t>
      </w:r>
    </w:p>
    <w:p w:rsidR="006B5F40" w:rsidRPr="00646644" w:rsidRDefault="006B5F40">
      <w:pPr>
        <w:spacing w:line="360" w:lineRule="auto"/>
        <w:jc w:val="both"/>
        <w:rPr>
          <w:rFonts w:ascii="Footlight MT Light" w:hAnsi="Footlight MT Light"/>
          <w:sz w:val="8"/>
          <w:szCs w:val="8"/>
        </w:rPr>
      </w:pPr>
    </w:p>
    <w:p w:rsidR="006B5F40" w:rsidRPr="00646644" w:rsidRDefault="00AC248C" w:rsidP="00AC248C">
      <w:pPr>
        <w:spacing w:line="360" w:lineRule="auto"/>
        <w:jc w:val="both"/>
        <w:rPr>
          <w:rFonts w:ascii="Footlight MT Light" w:hAnsi="Footlight MT Light"/>
          <w:sz w:val="28"/>
          <w:szCs w:val="28"/>
        </w:rPr>
      </w:pPr>
      <w:r>
        <w:rPr>
          <w:rFonts w:ascii="Footlight MT Light" w:hAnsi="Footlight MT Light"/>
          <w:sz w:val="28"/>
          <w:szCs w:val="28"/>
        </w:rPr>
        <w:t xml:space="preserve">D’un autre coté, </w:t>
      </w:r>
      <w:r w:rsidR="00ED516A" w:rsidRPr="00646644">
        <w:rPr>
          <w:rFonts w:ascii="Footlight MT Light" w:hAnsi="Footlight MT Light"/>
          <w:sz w:val="28"/>
          <w:szCs w:val="28"/>
        </w:rPr>
        <w:t>la répartition sectorielle de la population active occupée a connu des changements importants, caractérisés par une tertiarisation progressive de l'emploi et l'émergence de certains secteurs dynamiques.</w:t>
      </w:r>
    </w:p>
    <w:p w:rsidR="00DE28D9" w:rsidRDefault="00DE28D9">
      <w:pPr>
        <w:spacing w:line="360" w:lineRule="auto"/>
        <w:jc w:val="both"/>
        <w:rPr>
          <w:rFonts w:ascii="Footlight MT Light" w:hAnsi="Footlight MT Light"/>
          <w:sz w:val="8"/>
          <w:szCs w:val="8"/>
        </w:rPr>
      </w:pPr>
    </w:p>
    <w:p w:rsidR="00DE28D9" w:rsidRDefault="00DE28D9">
      <w:pPr>
        <w:spacing w:line="360" w:lineRule="auto"/>
        <w:jc w:val="both"/>
        <w:rPr>
          <w:rFonts w:ascii="Footlight MT Light" w:hAnsi="Footlight MT Light"/>
          <w:sz w:val="8"/>
          <w:szCs w:val="8"/>
        </w:rPr>
      </w:pPr>
    </w:p>
    <w:p w:rsidR="006B5F40" w:rsidRPr="00B40C8D" w:rsidRDefault="00ED516A" w:rsidP="00B40C8D">
      <w:pPr>
        <w:ind w:right="357"/>
        <w:jc w:val="center"/>
        <w:rPr>
          <w:rFonts w:ascii="Footlight MT Light" w:hAnsi="Footlight MT Light"/>
          <w:color w:val="0070C0"/>
        </w:rPr>
      </w:pPr>
      <w:r w:rsidRPr="00B40C8D">
        <w:rPr>
          <w:rFonts w:ascii="Footlight MT Light" w:hAnsi="Footlight MT Light"/>
          <w:color w:val="0070C0"/>
        </w:rPr>
        <w:t>Graphique 5 : Evolution de la part dans l’emploi selon les secteurs d’activité économique (en%)</w:t>
      </w:r>
    </w:p>
    <w:p w:rsidR="006B5F40" w:rsidRDefault="006B5F40">
      <w:pPr>
        <w:spacing w:line="360" w:lineRule="auto"/>
        <w:ind w:left="340" w:right="340"/>
        <w:jc w:val="center"/>
        <w:rPr>
          <w:rFonts w:ascii="Footlight MT Light" w:hAnsi="Footlight MT Light"/>
          <w:b/>
          <w:bCs/>
          <w:color w:val="0070C0"/>
          <w:sz w:val="8"/>
          <w:szCs w:val="8"/>
        </w:rPr>
      </w:pPr>
    </w:p>
    <w:p w:rsidR="006B5F40" w:rsidRDefault="00721A7C">
      <w:pPr>
        <w:spacing w:line="360" w:lineRule="auto"/>
        <w:ind w:right="340"/>
        <w:jc w:val="center"/>
        <w:rPr>
          <w:rFonts w:ascii="Footlight MT Light" w:hAnsi="Footlight MT Light"/>
          <w:sz w:val="26"/>
          <w:szCs w:val="26"/>
        </w:rPr>
      </w:pPr>
      <w:r>
        <w:rPr>
          <w:rFonts w:ascii="Footlight MT Light" w:hAnsi="Footlight MT Light"/>
          <w:noProof/>
          <w:sz w:val="26"/>
          <w:szCs w:val="26"/>
        </w:rPr>
        <w:drawing>
          <wp:inline distT="0" distB="0" distL="0" distR="0">
            <wp:extent cx="5758953" cy="2292596"/>
            <wp:effectExtent l="12185" t="6104" r="7362" b="0"/>
            <wp:docPr id="5" name="Graphique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A423A" w:rsidRPr="00486AC6" w:rsidRDefault="000A423A" w:rsidP="000A423A">
      <w:pPr>
        <w:spacing w:line="360" w:lineRule="auto"/>
        <w:ind w:right="340"/>
        <w:jc w:val="both"/>
        <w:rPr>
          <w:rFonts w:ascii="Footlight MT Light" w:hAnsi="Footlight MT Light"/>
          <w:sz w:val="16"/>
          <w:szCs w:val="16"/>
        </w:rPr>
      </w:pPr>
      <w:r w:rsidRPr="00486AC6">
        <w:rPr>
          <w:rFonts w:ascii="Footlight MT Light" w:hAnsi="Footlight MT Light"/>
          <w:sz w:val="16"/>
          <w:szCs w:val="16"/>
        </w:rPr>
        <w:t xml:space="preserve">Source : Haut-commissariat au </w:t>
      </w:r>
      <w:r w:rsidR="001E3051">
        <w:rPr>
          <w:rFonts w:ascii="Footlight MT Light" w:hAnsi="Footlight MT Light"/>
          <w:sz w:val="16"/>
          <w:szCs w:val="16"/>
        </w:rPr>
        <w:t>Plan</w:t>
      </w:r>
      <w:r w:rsidRPr="00486AC6">
        <w:rPr>
          <w:rFonts w:ascii="Footlight MT Light" w:hAnsi="Footlight MT Light"/>
          <w:sz w:val="16"/>
          <w:szCs w:val="16"/>
        </w:rPr>
        <w:t>, Direction de la Statistique (Enquête nationale sur l’emploi).</w:t>
      </w:r>
    </w:p>
    <w:p w:rsidR="006B5F40" w:rsidRDefault="006B5F40">
      <w:pPr>
        <w:spacing w:line="360" w:lineRule="auto"/>
        <w:jc w:val="both"/>
        <w:rPr>
          <w:rFonts w:ascii="Footlight MT Light" w:hAnsi="Footlight MT Light"/>
          <w:sz w:val="8"/>
          <w:szCs w:val="8"/>
        </w:rPr>
      </w:pPr>
    </w:p>
    <w:p w:rsidR="00AC248C" w:rsidRDefault="00AC248C">
      <w:pPr>
        <w:spacing w:line="360" w:lineRule="auto"/>
        <w:jc w:val="both"/>
        <w:rPr>
          <w:rFonts w:ascii="Footlight MT Light" w:hAnsi="Footlight MT Light"/>
          <w:sz w:val="8"/>
          <w:szCs w:val="8"/>
        </w:rPr>
      </w:pPr>
    </w:p>
    <w:p w:rsidR="006B5F40" w:rsidRPr="00AC248C" w:rsidRDefault="00AC248C" w:rsidP="009F62C4">
      <w:pPr>
        <w:spacing w:line="360" w:lineRule="auto"/>
        <w:jc w:val="both"/>
        <w:rPr>
          <w:rFonts w:ascii="Footlight MT Light" w:hAnsi="Footlight MT Light"/>
          <w:sz w:val="28"/>
          <w:szCs w:val="28"/>
        </w:rPr>
      </w:pPr>
      <w:r>
        <w:rPr>
          <w:rFonts w:ascii="Footlight MT Light" w:hAnsi="Footlight MT Light"/>
          <w:sz w:val="28"/>
          <w:szCs w:val="28"/>
        </w:rPr>
        <w:lastRenderedPageBreak/>
        <w:t xml:space="preserve">Le poids de </w:t>
      </w:r>
      <w:r w:rsidR="00ED516A" w:rsidRPr="00AC248C">
        <w:rPr>
          <w:rFonts w:ascii="Footlight MT Light" w:hAnsi="Footlight MT Light"/>
          <w:sz w:val="28"/>
          <w:szCs w:val="28"/>
        </w:rPr>
        <w:t>l'</w:t>
      </w:r>
      <w:r w:rsidR="009F62C4" w:rsidRPr="009F62C4">
        <w:rPr>
          <w:rFonts w:ascii="Footlight MT Light" w:hAnsi="Footlight MT Light"/>
          <w:sz w:val="28"/>
          <w:szCs w:val="28"/>
        </w:rPr>
        <w:t>"agriculture, forêt et pêche"</w:t>
      </w:r>
      <w:r w:rsidR="00ED516A" w:rsidRPr="00AC248C">
        <w:rPr>
          <w:rFonts w:ascii="Footlight MT Light" w:hAnsi="Footlight MT Light"/>
          <w:sz w:val="28"/>
          <w:szCs w:val="28"/>
        </w:rPr>
        <w:t xml:space="preserve">, </w:t>
      </w:r>
      <w:r>
        <w:rPr>
          <w:rFonts w:ascii="Footlight MT Light" w:hAnsi="Footlight MT Light"/>
          <w:sz w:val="28"/>
          <w:szCs w:val="28"/>
        </w:rPr>
        <w:t xml:space="preserve">qui </w:t>
      </w:r>
      <w:r w:rsidR="00ED516A" w:rsidRPr="00AC248C">
        <w:rPr>
          <w:rFonts w:ascii="Footlight MT Light" w:hAnsi="Footlight MT Light"/>
          <w:sz w:val="28"/>
          <w:szCs w:val="28"/>
        </w:rPr>
        <w:t xml:space="preserve">reste le principal secteur employeur surtout en milieu rural, </w:t>
      </w:r>
      <w:r>
        <w:rPr>
          <w:rFonts w:ascii="Footlight MT Light" w:hAnsi="Footlight MT Light"/>
          <w:sz w:val="28"/>
          <w:szCs w:val="28"/>
        </w:rPr>
        <w:t>enregistre</w:t>
      </w:r>
      <w:r w:rsidR="00ED516A" w:rsidRPr="00AC248C">
        <w:rPr>
          <w:rFonts w:ascii="Footlight MT Light" w:hAnsi="Footlight MT Light"/>
          <w:sz w:val="28"/>
          <w:szCs w:val="28"/>
        </w:rPr>
        <w:t>, depuis l’année 2000</w:t>
      </w:r>
      <w:r w:rsidR="006E2912">
        <w:rPr>
          <w:rFonts w:ascii="Footlight MT Light" w:hAnsi="Footlight MT Light"/>
          <w:sz w:val="28"/>
          <w:szCs w:val="28"/>
        </w:rPr>
        <w:t>,</w:t>
      </w:r>
      <w:r w:rsidR="00ED516A" w:rsidRPr="00AC248C">
        <w:rPr>
          <w:rFonts w:ascii="Footlight MT Light" w:hAnsi="Footlight MT Light"/>
          <w:sz w:val="28"/>
          <w:szCs w:val="28"/>
        </w:rPr>
        <w:t xml:space="preserve"> une baisse tendancielle passant de 45,9% à 39,4%</w:t>
      </w:r>
      <w:r w:rsidR="006E2912">
        <w:rPr>
          <w:rFonts w:ascii="Footlight MT Light" w:hAnsi="Footlight MT Light"/>
          <w:sz w:val="28"/>
          <w:szCs w:val="28"/>
        </w:rPr>
        <w:t xml:space="preserve"> au niveau national, </w:t>
      </w:r>
      <w:r w:rsidR="00ED516A" w:rsidRPr="00AC248C">
        <w:rPr>
          <w:rFonts w:ascii="Footlight MT Light" w:hAnsi="Footlight MT Light"/>
          <w:sz w:val="28"/>
          <w:szCs w:val="28"/>
        </w:rPr>
        <w:t xml:space="preserve">de 5,1% à 4,9% en milieu urbain et de 80,9% à 74,5% en milieu rural. </w:t>
      </w:r>
    </w:p>
    <w:p w:rsidR="006B5F40" w:rsidRPr="00AC248C" w:rsidRDefault="006B5F40">
      <w:pPr>
        <w:spacing w:line="360" w:lineRule="auto"/>
        <w:jc w:val="both"/>
        <w:rPr>
          <w:rFonts w:ascii="Footlight MT Light" w:hAnsi="Footlight MT Light"/>
          <w:sz w:val="8"/>
          <w:szCs w:val="8"/>
        </w:rPr>
      </w:pPr>
    </w:p>
    <w:p w:rsidR="006B5F40" w:rsidRDefault="004469C2" w:rsidP="004469C2">
      <w:pPr>
        <w:spacing w:line="360" w:lineRule="auto"/>
        <w:jc w:val="both"/>
        <w:rPr>
          <w:rFonts w:ascii="Footlight MT Light" w:hAnsi="Footlight MT Light"/>
          <w:sz w:val="28"/>
          <w:szCs w:val="28"/>
        </w:rPr>
      </w:pPr>
      <w:r>
        <w:rPr>
          <w:rFonts w:ascii="Footlight MT Light" w:hAnsi="Footlight MT Light"/>
          <w:sz w:val="28"/>
          <w:szCs w:val="28"/>
        </w:rPr>
        <w:t xml:space="preserve">Cette évolution s’explique, en partie, par l’importance de </w:t>
      </w:r>
      <w:r w:rsidR="00ED516A" w:rsidRPr="00AC248C">
        <w:rPr>
          <w:rFonts w:ascii="Footlight MT Light" w:hAnsi="Footlight MT Light"/>
          <w:sz w:val="28"/>
          <w:szCs w:val="28"/>
        </w:rPr>
        <w:t xml:space="preserve">l’exode rural, l’extension des périmètres urbains, l’attractivité de certains secteurs de production notamment les BTP et les services ainsi que </w:t>
      </w:r>
      <w:r>
        <w:rPr>
          <w:rFonts w:ascii="Footlight MT Light" w:hAnsi="Footlight MT Light"/>
          <w:sz w:val="28"/>
          <w:szCs w:val="28"/>
        </w:rPr>
        <w:t>par</w:t>
      </w:r>
      <w:r w:rsidR="00ED516A" w:rsidRPr="00AC248C">
        <w:rPr>
          <w:rFonts w:ascii="Footlight MT Light" w:hAnsi="Footlight MT Light"/>
          <w:sz w:val="28"/>
          <w:szCs w:val="28"/>
        </w:rPr>
        <w:t xml:space="preserve"> l’introduction de nouveaux modes de production faisant appel à plus de mécanisation et nécessitant moins de main d’œuvre. </w:t>
      </w:r>
    </w:p>
    <w:p w:rsidR="00DE28D9" w:rsidRPr="00DE28D9" w:rsidRDefault="00DE28D9" w:rsidP="00C90F2C">
      <w:pPr>
        <w:pStyle w:val="Corpsdetexte2"/>
        <w:rPr>
          <w:sz w:val="8"/>
          <w:szCs w:val="8"/>
        </w:rPr>
      </w:pPr>
    </w:p>
    <w:p w:rsidR="006B5F40" w:rsidRPr="00983081" w:rsidRDefault="00ED516A" w:rsidP="00C90F2C">
      <w:pPr>
        <w:pStyle w:val="Corpsdetexte2"/>
        <w:rPr>
          <w:sz w:val="28"/>
          <w:szCs w:val="28"/>
        </w:rPr>
      </w:pPr>
      <w:r w:rsidRPr="00983081">
        <w:rPr>
          <w:sz w:val="28"/>
          <w:szCs w:val="28"/>
        </w:rPr>
        <w:t>L</w:t>
      </w:r>
      <w:r w:rsidR="00983081">
        <w:rPr>
          <w:sz w:val="28"/>
          <w:szCs w:val="28"/>
        </w:rPr>
        <w:t>e poids de l</w:t>
      </w:r>
      <w:r w:rsidRPr="00983081">
        <w:rPr>
          <w:sz w:val="28"/>
          <w:szCs w:val="28"/>
        </w:rPr>
        <w:t>'industrie</w:t>
      </w:r>
      <w:r w:rsidR="00983081">
        <w:rPr>
          <w:sz w:val="28"/>
          <w:szCs w:val="28"/>
        </w:rPr>
        <w:t xml:space="preserve"> </w:t>
      </w:r>
      <w:r w:rsidR="00C90F2C">
        <w:rPr>
          <w:sz w:val="28"/>
          <w:szCs w:val="28"/>
        </w:rPr>
        <w:t>a</w:t>
      </w:r>
      <w:r w:rsidR="00983081">
        <w:rPr>
          <w:sz w:val="28"/>
          <w:szCs w:val="28"/>
        </w:rPr>
        <w:t xml:space="preserve">, de son coté, connu une </w:t>
      </w:r>
      <w:r w:rsidR="00983081" w:rsidRPr="00983081">
        <w:rPr>
          <w:sz w:val="28"/>
          <w:szCs w:val="28"/>
        </w:rPr>
        <w:t>r</w:t>
      </w:r>
      <w:r w:rsidR="00983081">
        <w:rPr>
          <w:sz w:val="28"/>
          <w:szCs w:val="28"/>
        </w:rPr>
        <w:t>é</w:t>
      </w:r>
      <w:r w:rsidR="00983081" w:rsidRPr="00983081">
        <w:rPr>
          <w:sz w:val="28"/>
          <w:szCs w:val="28"/>
        </w:rPr>
        <w:t>gress</w:t>
      </w:r>
      <w:r w:rsidR="00983081">
        <w:rPr>
          <w:sz w:val="28"/>
          <w:szCs w:val="28"/>
        </w:rPr>
        <w:t xml:space="preserve">ion </w:t>
      </w:r>
      <w:r w:rsidRPr="00983081">
        <w:rPr>
          <w:sz w:val="28"/>
          <w:szCs w:val="28"/>
        </w:rPr>
        <w:t xml:space="preserve">surtout en milieu urbain. Sa part dans l’emploi total est passée, entre 2000 et 2014, de 13,2% à 11,1%. Par milieu de résidence, cette proportion a reculé de 4,7% à 4,1% en milieu rural alors qu’en milieu urbain, elle est passée de 23,1% à 17,9%. </w:t>
      </w:r>
    </w:p>
    <w:p w:rsidR="006B5F40" w:rsidRDefault="006B5F40">
      <w:pPr>
        <w:spacing w:line="360" w:lineRule="auto"/>
        <w:jc w:val="both"/>
        <w:rPr>
          <w:rFonts w:ascii="Footlight MT Light" w:hAnsi="Footlight MT Light"/>
          <w:color w:val="FF0000"/>
          <w:sz w:val="12"/>
          <w:szCs w:val="12"/>
        </w:rPr>
      </w:pPr>
    </w:p>
    <w:p w:rsidR="006B5F40" w:rsidRPr="00983081" w:rsidRDefault="00ED516A">
      <w:pPr>
        <w:spacing w:line="360" w:lineRule="auto"/>
        <w:jc w:val="both"/>
        <w:rPr>
          <w:rFonts w:ascii="Footlight MT Light" w:hAnsi="Footlight MT Light"/>
          <w:sz w:val="28"/>
          <w:szCs w:val="28"/>
        </w:rPr>
      </w:pPr>
      <w:r w:rsidRPr="00983081">
        <w:rPr>
          <w:rFonts w:ascii="Footlight MT Light" w:hAnsi="Footlight MT Light"/>
          <w:sz w:val="28"/>
          <w:szCs w:val="28"/>
        </w:rPr>
        <w:t xml:space="preserve">La  baisse de la part de ce secteur dans l’emploi total s’expliquerait, entre autres, par les transformations profondes qu’a connues le tissu industriel marocain notamment, le recul du poids des activités traditionnelles suite à la modernisation du mode de production de certaines activités et à l’émergence de nouvelles industries, caractérisées par une forte valeur ajoutée et par l’utilisation de plus de capital et moins de mains d’œuvre. S’ajoute à ces facteurs, les effets de la concurrence internationale sur les exportations et sur la demande intérieure des produits du secteur. </w:t>
      </w:r>
    </w:p>
    <w:p w:rsidR="006B5F40" w:rsidRDefault="006B5F40">
      <w:pPr>
        <w:spacing w:line="360" w:lineRule="auto"/>
        <w:jc w:val="both"/>
        <w:rPr>
          <w:rFonts w:ascii="Footlight MT Light" w:hAnsi="Footlight MT Light"/>
          <w:sz w:val="12"/>
          <w:szCs w:val="26"/>
        </w:rPr>
      </w:pPr>
    </w:p>
    <w:p w:rsidR="006B5F40" w:rsidRPr="00983081" w:rsidRDefault="00983081" w:rsidP="00983081">
      <w:pPr>
        <w:pStyle w:val="Corpsdetexte2"/>
        <w:rPr>
          <w:sz w:val="28"/>
          <w:szCs w:val="28"/>
        </w:rPr>
      </w:pPr>
      <w:r>
        <w:rPr>
          <w:sz w:val="28"/>
          <w:szCs w:val="28"/>
        </w:rPr>
        <w:t>L</w:t>
      </w:r>
      <w:r w:rsidR="00ED516A" w:rsidRPr="00983081">
        <w:rPr>
          <w:sz w:val="28"/>
          <w:szCs w:val="28"/>
        </w:rPr>
        <w:t>es mille emplois créés annuellement par ce secteur représentent le solde entre, d’une part, la création annuelle moyenne de 4 mille postes par la branche des "industries alimentaires", 4 mille par les "travaux de métaux, fabrication de meubles et industries diverses" et de 2 mille postes par l’"industrie automobile, fabrication de machines et appareils électriques" et, d’autre part, la perte annuelle moyenne de 9 mille postes par la branche du "textile, bonneterie et habillement".</w:t>
      </w:r>
    </w:p>
    <w:p w:rsidR="006B5F40" w:rsidRDefault="00ED516A">
      <w:pPr>
        <w:spacing w:line="360" w:lineRule="auto"/>
        <w:jc w:val="both"/>
        <w:rPr>
          <w:rFonts w:ascii="Footlight MT Light" w:hAnsi="Footlight MT Light"/>
          <w:sz w:val="12"/>
          <w:szCs w:val="12"/>
        </w:rPr>
      </w:pPr>
      <w:r>
        <w:rPr>
          <w:rFonts w:ascii="Footlight MT Light" w:hAnsi="Footlight MT Light"/>
          <w:sz w:val="12"/>
          <w:szCs w:val="12"/>
        </w:rPr>
        <w:t>.</w:t>
      </w:r>
    </w:p>
    <w:p w:rsidR="006B5F40" w:rsidRPr="00983081" w:rsidRDefault="00983081" w:rsidP="00983081">
      <w:pPr>
        <w:spacing w:line="360" w:lineRule="auto"/>
        <w:jc w:val="both"/>
        <w:rPr>
          <w:rFonts w:ascii="Footlight MT Light" w:hAnsi="Footlight MT Light"/>
          <w:sz w:val="28"/>
          <w:szCs w:val="28"/>
        </w:rPr>
      </w:pPr>
      <w:r w:rsidRPr="00C435A9">
        <w:rPr>
          <w:rFonts w:ascii="Footlight MT Light" w:hAnsi="Footlight MT Light"/>
          <w:sz w:val="28"/>
          <w:szCs w:val="28"/>
        </w:rPr>
        <w:t>En revanche</w:t>
      </w:r>
      <w:r w:rsidR="00ED516A" w:rsidRPr="00C435A9">
        <w:rPr>
          <w:rFonts w:ascii="Footlight MT Light" w:hAnsi="Footlight MT Light"/>
          <w:sz w:val="28"/>
          <w:szCs w:val="28"/>
        </w:rPr>
        <w:t xml:space="preserve">, les secteurs des services et des BTP ont connu une augmentation de leur part dans l'emploi total. Le poids des services est passé de 34,7% à </w:t>
      </w:r>
      <w:r w:rsidR="00ED516A" w:rsidRPr="00C435A9">
        <w:rPr>
          <w:rFonts w:ascii="Footlight MT Light" w:hAnsi="Footlight MT Light"/>
          <w:sz w:val="28"/>
          <w:szCs w:val="28"/>
        </w:rPr>
        <w:lastRenderedPageBreak/>
        <w:t>40,2% au niveau national, de 62,8% à 66,1% en milieu urbain et de 10,5% à 13,7% en milieu rural.</w:t>
      </w:r>
    </w:p>
    <w:p w:rsidR="006B5F40" w:rsidRPr="00983081" w:rsidRDefault="006B5F40">
      <w:pPr>
        <w:spacing w:line="360" w:lineRule="auto"/>
        <w:jc w:val="both"/>
        <w:rPr>
          <w:rFonts w:ascii="Footlight MT Light" w:hAnsi="Footlight MT Light"/>
          <w:sz w:val="8"/>
          <w:szCs w:val="8"/>
        </w:rPr>
      </w:pPr>
    </w:p>
    <w:p w:rsidR="006B5F40" w:rsidRDefault="00ED516A">
      <w:pPr>
        <w:spacing w:line="360" w:lineRule="auto"/>
        <w:jc w:val="both"/>
        <w:rPr>
          <w:rFonts w:ascii="Footlight MT Light" w:hAnsi="Footlight MT Light"/>
          <w:sz w:val="28"/>
          <w:szCs w:val="28"/>
        </w:rPr>
      </w:pPr>
      <w:r w:rsidRPr="00983081">
        <w:rPr>
          <w:rFonts w:ascii="Footlight MT Light" w:hAnsi="Footlight MT Light"/>
          <w:sz w:val="28"/>
          <w:szCs w:val="28"/>
        </w:rPr>
        <w:t xml:space="preserve">Les 87 mille nouveaux emplois créés annuellement au niveau de ce secteur résultent principalement de la création de 24 mille postes par la branche du "commerce de détail et réparation d’articles domestiques", de 13 mille par celle des "services personnels", de 11 mille par les "transports terrestres" et de 9 mille par les "hôtels et restaurants".   </w:t>
      </w:r>
    </w:p>
    <w:p w:rsidR="00983081" w:rsidRPr="00DE28D9" w:rsidRDefault="00983081">
      <w:pPr>
        <w:spacing w:line="360" w:lineRule="auto"/>
        <w:jc w:val="both"/>
        <w:rPr>
          <w:rFonts w:ascii="Footlight MT Light" w:hAnsi="Footlight MT Light"/>
          <w:sz w:val="8"/>
          <w:szCs w:val="8"/>
        </w:rPr>
      </w:pPr>
    </w:p>
    <w:p w:rsidR="006B5F40" w:rsidRPr="0008056B" w:rsidRDefault="0008056B" w:rsidP="0008056B">
      <w:pPr>
        <w:spacing w:line="360" w:lineRule="auto"/>
        <w:jc w:val="both"/>
        <w:rPr>
          <w:rFonts w:ascii="Footlight MT Light" w:hAnsi="Footlight MT Light"/>
          <w:b/>
          <w:bCs/>
          <w:color w:val="FF0000"/>
          <w:sz w:val="28"/>
          <w:szCs w:val="28"/>
        </w:rPr>
      </w:pPr>
      <w:r w:rsidRPr="0008056B">
        <w:rPr>
          <w:rFonts w:ascii="Footlight MT Light" w:hAnsi="Footlight MT Light"/>
          <w:sz w:val="28"/>
          <w:szCs w:val="28"/>
        </w:rPr>
        <w:t>S</w:t>
      </w:r>
      <w:r w:rsidR="00ED516A" w:rsidRPr="0008056B">
        <w:rPr>
          <w:rFonts w:ascii="Footlight MT Light" w:hAnsi="Footlight MT Light"/>
          <w:sz w:val="28"/>
          <w:szCs w:val="28"/>
        </w:rPr>
        <w:t xml:space="preserve">ous l'impulsion des grands projets d'infrastructure et d’expansion des activités immobilières, </w:t>
      </w:r>
      <w:r w:rsidRPr="0008056B">
        <w:rPr>
          <w:rFonts w:ascii="Footlight MT Light" w:hAnsi="Footlight MT Light"/>
          <w:sz w:val="28"/>
          <w:szCs w:val="28"/>
        </w:rPr>
        <w:t xml:space="preserve">le secteur du BTP </w:t>
      </w:r>
      <w:r w:rsidR="00ED516A" w:rsidRPr="0008056B">
        <w:rPr>
          <w:rFonts w:ascii="Footlight MT Light" w:hAnsi="Footlight MT Light"/>
          <w:sz w:val="28"/>
          <w:szCs w:val="28"/>
        </w:rPr>
        <w:t xml:space="preserve">a connu, entre 2000 et 2011, un essor important en termes de création d'emplois. En effet, durant cette période, il a été l'un des secteurs les plus dynamiques avec 47 mille postes d'emploi créés annuellement, soit un emploi nouveau sur 3 (31,1%). A partir de 2012, ce dernier a entamé une phase de récession qui s’est traduite par des pertes de 21 mille emplois en 2012, de 50 mille en 2013 puis par une stagnation de  son volume en 2014. </w:t>
      </w:r>
    </w:p>
    <w:p w:rsidR="006B5F40" w:rsidRDefault="006B5F40">
      <w:pPr>
        <w:spacing w:line="360" w:lineRule="auto"/>
        <w:jc w:val="both"/>
        <w:rPr>
          <w:rFonts w:ascii="Footlight MT Light" w:hAnsi="Footlight MT Light"/>
          <w:sz w:val="12"/>
          <w:szCs w:val="12"/>
        </w:rPr>
      </w:pPr>
    </w:p>
    <w:p w:rsidR="006B5F40" w:rsidRDefault="00ED516A" w:rsidP="00DE28D9">
      <w:pPr>
        <w:spacing w:line="360" w:lineRule="auto"/>
        <w:jc w:val="both"/>
        <w:rPr>
          <w:rFonts w:ascii="Footlight MT Light" w:hAnsi="Footlight MT Light"/>
          <w:sz w:val="28"/>
          <w:szCs w:val="28"/>
        </w:rPr>
      </w:pPr>
      <w:r w:rsidRPr="0008056B">
        <w:rPr>
          <w:rFonts w:ascii="Footlight MT Light" w:hAnsi="Footlight MT Light"/>
          <w:sz w:val="28"/>
          <w:szCs w:val="28"/>
        </w:rPr>
        <w:t>L'emploi dans ce secteur, reste caractérisé par une faible qualification. Il enregistre, en 2014, la deuxième plus importante proportion des actifs</w:t>
      </w:r>
      <w:r w:rsidR="00DE28D9">
        <w:rPr>
          <w:rFonts w:ascii="Footlight MT Light" w:hAnsi="Footlight MT Light"/>
          <w:sz w:val="28"/>
          <w:szCs w:val="28"/>
        </w:rPr>
        <w:t xml:space="preserve"> </w:t>
      </w:r>
      <w:r w:rsidRPr="0008056B">
        <w:rPr>
          <w:rFonts w:ascii="Footlight MT Light" w:hAnsi="Footlight MT Light"/>
          <w:sz w:val="28"/>
          <w:szCs w:val="28"/>
        </w:rPr>
        <w:t>occupés n’ayant aucun diplôme (63%) après l'agriculture (84,</w:t>
      </w:r>
      <w:r w:rsidR="00155C6E">
        <w:rPr>
          <w:rFonts w:ascii="Footlight MT Light" w:hAnsi="Footlight MT Light"/>
          <w:sz w:val="28"/>
          <w:szCs w:val="28"/>
        </w:rPr>
        <w:t>2</w:t>
      </w:r>
      <w:r w:rsidRPr="0008056B">
        <w:rPr>
          <w:rFonts w:ascii="Footlight MT Light" w:hAnsi="Footlight MT Light"/>
          <w:sz w:val="28"/>
          <w:szCs w:val="28"/>
        </w:rPr>
        <w:t>%). Cette proportion atteint 5</w:t>
      </w:r>
      <w:r w:rsidR="00155C6E">
        <w:rPr>
          <w:rFonts w:ascii="Footlight MT Light" w:hAnsi="Footlight MT Light"/>
          <w:sz w:val="28"/>
          <w:szCs w:val="28"/>
        </w:rPr>
        <w:t>2</w:t>
      </w:r>
      <w:r w:rsidRPr="0008056B">
        <w:rPr>
          <w:rFonts w:ascii="Footlight MT Light" w:hAnsi="Footlight MT Light"/>
          <w:sz w:val="28"/>
          <w:szCs w:val="28"/>
        </w:rPr>
        <w:t>,</w:t>
      </w:r>
      <w:r w:rsidR="00155C6E">
        <w:rPr>
          <w:rFonts w:ascii="Footlight MT Light" w:hAnsi="Footlight MT Light"/>
          <w:sz w:val="28"/>
          <w:szCs w:val="28"/>
        </w:rPr>
        <w:t>6</w:t>
      </w:r>
      <w:r w:rsidRPr="0008056B">
        <w:rPr>
          <w:rFonts w:ascii="Footlight MT Light" w:hAnsi="Footlight MT Light"/>
          <w:sz w:val="28"/>
          <w:szCs w:val="28"/>
        </w:rPr>
        <w:t>% dans l'industrie et 42,</w:t>
      </w:r>
      <w:r w:rsidR="00155C6E">
        <w:rPr>
          <w:rFonts w:ascii="Footlight MT Light" w:hAnsi="Footlight MT Light"/>
          <w:sz w:val="28"/>
          <w:szCs w:val="28"/>
        </w:rPr>
        <w:t>7</w:t>
      </w:r>
      <w:r w:rsidRPr="0008056B">
        <w:rPr>
          <w:rFonts w:ascii="Footlight MT Light" w:hAnsi="Footlight MT Light"/>
          <w:sz w:val="28"/>
          <w:szCs w:val="28"/>
        </w:rPr>
        <w:t xml:space="preserve">% dans les services. Par ailleurs, ce secteur constitue le principal refuge des jeunes dont l'emploi est en régression dans presque tous les autres secteurs.  </w:t>
      </w:r>
    </w:p>
    <w:p w:rsidR="006B5F40" w:rsidRPr="00E26DDA" w:rsidRDefault="00951378" w:rsidP="00BC70F7">
      <w:pPr>
        <w:ind w:right="357"/>
        <w:jc w:val="center"/>
        <w:rPr>
          <w:rFonts w:ascii="Footlight MT Light" w:hAnsi="Footlight MT Light"/>
          <w:color w:val="0070C0"/>
        </w:rPr>
      </w:pPr>
      <w:r>
        <w:rPr>
          <w:rFonts w:ascii="Footlight MT Light" w:hAnsi="Footlight MT Light"/>
          <w:sz w:val="8"/>
          <w:szCs w:val="8"/>
        </w:rPr>
        <w:br w:type="page"/>
      </w:r>
      <w:r w:rsidR="00ED516A" w:rsidRPr="00BC70F7">
        <w:rPr>
          <w:rFonts w:ascii="Footlight MT Light" w:hAnsi="Footlight MT Light"/>
          <w:color w:val="0070C0"/>
        </w:rPr>
        <w:lastRenderedPageBreak/>
        <w:t>Graphique 6 :</w:t>
      </w:r>
      <w:r w:rsidR="00ED516A" w:rsidRPr="00E26DDA">
        <w:rPr>
          <w:rFonts w:ascii="Footlight MT Light" w:hAnsi="Footlight MT Light"/>
          <w:color w:val="0070C0"/>
        </w:rPr>
        <w:t xml:space="preserve"> Evolution de </w:t>
      </w:r>
      <w:r w:rsidR="00BC70F7">
        <w:rPr>
          <w:rFonts w:ascii="Footlight MT Light" w:hAnsi="Footlight MT Light"/>
          <w:color w:val="0070C0"/>
        </w:rPr>
        <w:t xml:space="preserve">la structure de </w:t>
      </w:r>
      <w:r w:rsidR="00ED516A" w:rsidRPr="00E26DDA">
        <w:rPr>
          <w:rFonts w:ascii="Footlight MT Light" w:hAnsi="Footlight MT Light"/>
          <w:color w:val="0070C0"/>
        </w:rPr>
        <w:t xml:space="preserve">l’emploi des jeunes (15-24 ans) </w:t>
      </w:r>
      <w:r w:rsidR="00BC70F7">
        <w:rPr>
          <w:rFonts w:ascii="Footlight MT Light" w:hAnsi="Footlight MT Light"/>
          <w:color w:val="0070C0"/>
        </w:rPr>
        <w:t>selon</w:t>
      </w:r>
      <w:r w:rsidR="00ED516A" w:rsidRPr="00E26DDA">
        <w:rPr>
          <w:rFonts w:ascii="Footlight MT Light" w:hAnsi="Footlight MT Light"/>
          <w:color w:val="0070C0"/>
        </w:rPr>
        <w:t xml:space="preserve"> les secteurs d’activité économique (en%)</w:t>
      </w:r>
    </w:p>
    <w:p w:rsidR="000A423A" w:rsidRPr="00486AC6" w:rsidRDefault="00721A7C" w:rsidP="005D3796">
      <w:pPr>
        <w:spacing w:line="360" w:lineRule="auto"/>
        <w:rPr>
          <w:rFonts w:ascii="Footlight MT Light" w:hAnsi="Footlight MT Light"/>
          <w:sz w:val="16"/>
          <w:szCs w:val="16"/>
        </w:rPr>
      </w:pPr>
      <w:r>
        <w:rPr>
          <w:rFonts w:ascii="Footlight MT Light" w:hAnsi="Footlight MT Light"/>
          <w:noProof/>
          <w:sz w:val="26"/>
          <w:szCs w:val="26"/>
        </w:rPr>
        <w:drawing>
          <wp:inline distT="0" distB="0" distL="0" distR="0">
            <wp:extent cx="5645161" cy="2710807"/>
            <wp:effectExtent l="12185" t="6103" r="6854" b="890"/>
            <wp:docPr id="6" name="Graphique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0A423A" w:rsidRPr="00486AC6">
        <w:rPr>
          <w:rFonts w:ascii="Footlight MT Light" w:hAnsi="Footlight MT Light"/>
          <w:sz w:val="16"/>
          <w:szCs w:val="16"/>
        </w:rPr>
        <w:t xml:space="preserve">Source : Haut-commissariat au </w:t>
      </w:r>
      <w:r w:rsidR="001E3051">
        <w:rPr>
          <w:rFonts w:ascii="Footlight MT Light" w:hAnsi="Footlight MT Light"/>
          <w:sz w:val="16"/>
          <w:szCs w:val="16"/>
        </w:rPr>
        <w:t>Plan</w:t>
      </w:r>
      <w:r w:rsidR="000A423A" w:rsidRPr="00486AC6">
        <w:rPr>
          <w:rFonts w:ascii="Footlight MT Light" w:hAnsi="Footlight MT Light"/>
          <w:sz w:val="16"/>
          <w:szCs w:val="16"/>
        </w:rPr>
        <w:t>, Direction de la Statistique (Enquête nationale sur l’emploi).</w:t>
      </w:r>
    </w:p>
    <w:p w:rsidR="006B5F40" w:rsidRDefault="006B5F40">
      <w:pPr>
        <w:spacing w:line="360" w:lineRule="auto"/>
        <w:jc w:val="center"/>
        <w:rPr>
          <w:rFonts w:ascii="Footlight MT Light" w:hAnsi="Footlight MT Light"/>
          <w:noProof/>
          <w:sz w:val="12"/>
          <w:szCs w:val="12"/>
        </w:rPr>
      </w:pPr>
    </w:p>
    <w:p w:rsidR="0008056B" w:rsidRPr="00DE28D9" w:rsidRDefault="0008056B">
      <w:pPr>
        <w:spacing w:line="360" w:lineRule="auto"/>
        <w:rPr>
          <w:rFonts w:ascii="Footlight MT Light" w:hAnsi="Footlight MT Light"/>
          <w:noProof/>
          <w:sz w:val="8"/>
          <w:szCs w:val="8"/>
        </w:rPr>
      </w:pPr>
    </w:p>
    <w:p w:rsidR="006B5F40" w:rsidRPr="0008056B" w:rsidRDefault="0008056B" w:rsidP="00555255">
      <w:pPr>
        <w:spacing w:line="360" w:lineRule="auto"/>
        <w:jc w:val="both"/>
        <w:rPr>
          <w:rFonts w:ascii="Footlight MT Light" w:hAnsi="Footlight MT Light"/>
          <w:sz w:val="28"/>
          <w:szCs w:val="28"/>
        </w:rPr>
      </w:pPr>
      <w:r w:rsidRPr="0008056B">
        <w:rPr>
          <w:rFonts w:ascii="Footlight MT Light" w:hAnsi="Footlight MT Light"/>
          <w:noProof/>
          <w:sz w:val="28"/>
          <w:szCs w:val="28"/>
        </w:rPr>
        <w:t>L</w:t>
      </w:r>
      <w:r w:rsidR="00ED516A" w:rsidRPr="0008056B">
        <w:rPr>
          <w:rFonts w:ascii="Footlight MT Light" w:hAnsi="Footlight MT Light"/>
          <w:noProof/>
          <w:sz w:val="28"/>
          <w:szCs w:val="28"/>
        </w:rPr>
        <w:t>e privé occupe environ 9 actifs occupés sur 10 (90,4% en 2014 contre 88% en 2000). Sa part dans l’emploi urbain est passée, durant cette période, de 76,7% à 8</w:t>
      </w:r>
      <w:r w:rsidR="00555255">
        <w:rPr>
          <w:rFonts w:ascii="Footlight MT Light" w:hAnsi="Footlight MT Light"/>
          <w:noProof/>
          <w:sz w:val="28"/>
          <w:szCs w:val="28"/>
        </w:rPr>
        <w:t>2,9</w:t>
      </w:r>
      <w:r w:rsidR="00ED516A" w:rsidRPr="0008056B">
        <w:rPr>
          <w:rFonts w:ascii="Footlight MT Light" w:hAnsi="Footlight MT Light"/>
          <w:noProof/>
          <w:sz w:val="28"/>
          <w:szCs w:val="28"/>
        </w:rPr>
        <w:t xml:space="preserve">%,  alors qu’en milieu rural, et elle a stagné autour de 98%. Cette part </w:t>
      </w:r>
      <w:r w:rsidR="00ED516A" w:rsidRPr="0008056B">
        <w:rPr>
          <w:rFonts w:ascii="Footlight MT Light" w:hAnsi="Footlight MT Light"/>
          <w:sz w:val="28"/>
          <w:szCs w:val="28"/>
        </w:rPr>
        <w:t>enregistre des niveaux importants dans certains secteurs d’activité économique. En 2014, elle a oscillé entre 77,</w:t>
      </w:r>
      <w:r w:rsidR="00555255">
        <w:rPr>
          <w:rFonts w:ascii="Footlight MT Light" w:hAnsi="Footlight MT Light"/>
          <w:sz w:val="28"/>
          <w:szCs w:val="28"/>
        </w:rPr>
        <w:t>3</w:t>
      </w:r>
      <w:r w:rsidR="00ED516A" w:rsidRPr="0008056B">
        <w:rPr>
          <w:rFonts w:ascii="Footlight MT Light" w:hAnsi="Footlight MT Light"/>
          <w:sz w:val="28"/>
          <w:szCs w:val="28"/>
        </w:rPr>
        <w:t xml:space="preserve">% dans les services et 99,4% dans les BTP.  </w:t>
      </w:r>
    </w:p>
    <w:p w:rsidR="0008056B" w:rsidRPr="0008056B" w:rsidRDefault="0008056B" w:rsidP="0008056B">
      <w:pPr>
        <w:spacing w:line="360" w:lineRule="auto"/>
        <w:jc w:val="both"/>
        <w:rPr>
          <w:rFonts w:ascii="Footlight MT Light" w:hAnsi="Footlight MT Light"/>
          <w:sz w:val="8"/>
          <w:szCs w:val="8"/>
        </w:rPr>
      </w:pPr>
    </w:p>
    <w:p w:rsidR="006B5F40" w:rsidRPr="0008056B" w:rsidRDefault="0008056B" w:rsidP="0008056B">
      <w:pPr>
        <w:spacing w:line="360" w:lineRule="auto"/>
        <w:jc w:val="both"/>
        <w:rPr>
          <w:rFonts w:ascii="Footlight MT Light" w:hAnsi="Footlight MT Light"/>
          <w:sz w:val="28"/>
          <w:szCs w:val="28"/>
        </w:rPr>
      </w:pPr>
      <w:r>
        <w:rPr>
          <w:rFonts w:ascii="Footlight MT Light" w:hAnsi="Footlight MT Light"/>
          <w:sz w:val="28"/>
          <w:szCs w:val="28"/>
        </w:rPr>
        <w:t>Dans ce cadre</w:t>
      </w:r>
      <w:r w:rsidR="00ED516A" w:rsidRPr="0008056B">
        <w:rPr>
          <w:rFonts w:ascii="Footlight MT Light" w:hAnsi="Footlight MT Light"/>
          <w:sz w:val="28"/>
          <w:szCs w:val="28"/>
        </w:rPr>
        <w:t xml:space="preserve">, ce sont les petites entreprises de moins de 10 employés qui ont contribué le plus à la création d'emploi dans le secteur privé, elles sont à l'origine de 64,5% des emplois créés depuis 2000.  Le même constat est relevé dans le secteur privé non agricole où cette proportion a atteint 64,4%.  </w:t>
      </w:r>
    </w:p>
    <w:p w:rsidR="006B5F40" w:rsidRDefault="006B5F40">
      <w:pPr>
        <w:spacing w:line="360" w:lineRule="auto"/>
        <w:jc w:val="both"/>
        <w:rPr>
          <w:rFonts w:ascii="Footlight MT Light" w:hAnsi="Footlight MT Light"/>
          <w:sz w:val="12"/>
          <w:szCs w:val="12"/>
        </w:rPr>
      </w:pPr>
    </w:p>
    <w:p w:rsidR="006B5F40" w:rsidRPr="00B40C8D" w:rsidRDefault="00ED516A" w:rsidP="009D312E">
      <w:pPr>
        <w:pStyle w:val="Paragraphedeliste"/>
        <w:numPr>
          <w:ilvl w:val="0"/>
          <w:numId w:val="2"/>
        </w:numPr>
        <w:spacing w:line="360" w:lineRule="auto"/>
        <w:jc w:val="both"/>
        <w:rPr>
          <w:rFonts w:ascii="Footlight MT Light" w:hAnsi="Footlight MT Light"/>
          <w:color w:val="0070C0"/>
          <w:sz w:val="28"/>
          <w:szCs w:val="28"/>
        </w:rPr>
      </w:pPr>
      <w:r w:rsidRPr="00B40C8D">
        <w:rPr>
          <w:rFonts w:ascii="Footlight MT Light" w:hAnsi="Footlight MT Light"/>
          <w:color w:val="0070C0"/>
          <w:sz w:val="28"/>
          <w:szCs w:val="28"/>
        </w:rPr>
        <w:t xml:space="preserve">L’emploi est de manière générale peu conforme aux normes de l’emploi décent </w:t>
      </w:r>
    </w:p>
    <w:p w:rsidR="006B5F40" w:rsidRDefault="006B5F40">
      <w:pPr>
        <w:spacing w:line="360" w:lineRule="auto"/>
        <w:jc w:val="both"/>
        <w:rPr>
          <w:rFonts w:ascii="Footlight MT Light" w:hAnsi="Footlight MT Light"/>
          <w:sz w:val="8"/>
          <w:szCs w:val="8"/>
        </w:rPr>
      </w:pPr>
    </w:p>
    <w:p w:rsidR="006B5F40" w:rsidRDefault="00973D9A" w:rsidP="007E517F">
      <w:pPr>
        <w:spacing w:line="360" w:lineRule="auto"/>
        <w:jc w:val="both"/>
        <w:rPr>
          <w:rFonts w:ascii="Footlight MT Light" w:hAnsi="Footlight MT Light"/>
          <w:sz w:val="28"/>
          <w:szCs w:val="28"/>
        </w:rPr>
      </w:pPr>
      <w:r>
        <w:rPr>
          <w:rFonts w:ascii="Footlight MT Light" w:hAnsi="Footlight MT Light"/>
          <w:sz w:val="28"/>
          <w:szCs w:val="28"/>
        </w:rPr>
        <w:t>M</w:t>
      </w:r>
      <w:r w:rsidR="00ED516A" w:rsidRPr="009D312E">
        <w:rPr>
          <w:rFonts w:ascii="Footlight MT Light" w:hAnsi="Footlight MT Light"/>
          <w:sz w:val="28"/>
          <w:szCs w:val="28"/>
        </w:rPr>
        <w:t xml:space="preserve">algré </w:t>
      </w:r>
      <w:r>
        <w:rPr>
          <w:rFonts w:ascii="Footlight MT Light" w:hAnsi="Footlight MT Light"/>
          <w:sz w:val="28"/>
          <w:szCs w:val="28"/>
        </w:rPr>
        <w:t xml:space="preserve">son recul au cours des </w:t>
      </w:r>
      <w:r w:rsidR="00ED516A" w:rsidRPr="009D312E">
        <w:rPr>
          <w:rFonts w:ascii="Footlight MT Light" w:hAnsi="Footlight MT Light"/>
          <w:sz w:val="28"/>
          <w:szCs w:val="28"/>
        </w:rPr>
        <w:t>dernières années</w:t>
      </w:r>
      <w:r>
        <w:rPr>
          <w:rFonts w:ascii="Footlight MT Light" w:hAnsi="Footlight MT Light"/>
          <w:sz w:val="28"/>
          <w:szCs w:val="28"/>
        </w:rPr>
        <w:t xml:space="preserve">, </w:t>
      </w:r>
      <w:r w:rsidR="00ED516A" w:rsidRPr="009D312E">
        <w:rPr>
          <w:rFonts w:ascii="Footlight MT Light" w:hAnsi="Footlight MT Light"/>
          <w:sz w:val="28"/>
          <w:szCs w:val="28"/>
        </w:rPr>
        <w:t>l'emploi non rémunéré représente encore 22,5% de l'emploi au niveau national et 41,6% en milieu rural. Le taux de salariat a progressé de 37,7% en 2000 à 4</w:t>
      </w:r>
      <w:r w:rsidR="007E517F">
        <w:rPr>
          <w:rFonts w:ascii="Footlight MT Light" w:hAnsi="Footlight MT Light"/>
          <w:sz w:val="28"/>
          <w:szCs w:val="28"/>
        </w:rPr>
        <w:t>4,9</w:t>
      </w:r>
      <w:r w:rsidR="00ED516A" w:rsidRPr="009D312E">
        <w:rPr>
          <w:rFonts w:ascii="Footlight MT Light" w:hAnsi="Footlight MT Light"/>
          <w:sz w:val="28"/>
          <w:szCs w:val="28"/>
        </w:rPr>
        <w:t>% en 2014</w:t>
      </w:r>
      <w:r>
        <w:rPr>
          <w:rFonts w:ascii="Footlight MT Light" w:hAnsi="Footlight MT Light"/>
          <w:sz w:val="28"/>
          <w:szCs w:val="28"/>
        </w:rPr>
        <w:t xml:space="preserve">, </w:t>
      </w:r>
      <w:r w:rsidR="00ED516A" w:rsidRPr="009D312E">
        <w:rPr>
          <w:rFonts w:ascii="Footlight MT Light" w:hAnsi="Footlight MT Light"/>
          <w:sz w:val="28"/>
          <w:szCs w:val="28"/>
        </w:rPr>
        <w:t>de 61,6% à 65,1% en milieu urbain et de 17,2% à 24,</w:t>
      </w:r>
      <w:r w:rsidR="007E517F">
        <w:rPr>
          <w:rFonts w:ascii="Footlight MT Light" w:hAnsi="Footlight MT Light"/>
          <w:sz w:val="28"/>
          <w:szCs w:val="28"/>
        </w:rPr>
        <w:t>3</w:t>
      </w:r>
      <w:r w:rsidR="00ED516A" w:rsidRPr="009D312E">
        <w:rPr>
          <w:rFonts w:ascii="Footlight MT Light" w:hAnsi="Footlight MT Light"/>
          <w:sz w:val="28"/>
          <w:szCs w:val="28"/>
        </w:rPr>
        <w:t>% en milieu rural.</w:t>
      </w:r>
    </w:p>
    <w:p w:rsidR="009D312E" w:rsidRPr="009D312E" w:rsidRDefault="009D312E">
      <w:pPr>
        <w:spacing w:line="360" w:lineRule="auto"/>
        <w:jc w:val="both"/>
        <w:rPr>
          <w:rFonts w:ascii="Footlight MT Light" w:hAnsi="Footlight MT Light"/>
          <w:sz w:val="8"/>
          <w:szCs w:val="8"/>
        </w:rPr>
      </w:pPr>
    </w:p>
    <w:p w:rsidR="006B5F40" w:rsidRPr="009D312E" w:rsidRDefault="00ED516A" w:rsidP="007A4B91">
      <w:pPr>
        <w:spacing w:line="360" w:lineRule="auto"/>
        <w:jc w:val="both"/>
        <w:rPr>
          <w:rFonts w:ascii="Footlight MT Light" w:hAnsi="Footlight MT Light"/>
          <w:sz w:val="28"/>
          <w:szCs w:val="28"/>
        </w:rPr>
      </w:pPr>
      <w:r w:rsidRPr="000F6064">
        <w:rPr>
          <w:rFonts w:ascii="Footlight MT Light" w:hAnsi="Footlight MT Light"/>
          <w:sz w:val="28"/>
          <w:szCs w:val="28"/>
        </w:rPr>
        <w:t>La précarité de</w:t>
      </w:r>
      <w:r w:rsidRPr="009D312E">
        <w:rPr>
          <w:rFonts w:ascii="Footlight MT Light" w:hAnsi="Footlight MT Light"/>
          <w:sz w:val="28"/>
          <w:szCs w:val="28"/>
        </w:rPr>
        <w:t xml:space="preserve"> l'emploi se manifeste particulièrement par le fait que malgré les améliorations enregistrées ces dernières années dans le domaine de la </w:t>
      </w:r>
      <w:r w:rsidRPr="009D312E">
        <w:rPr>
          <w:rFonts w:ascii="Footlight MT Light" w:hAnsi="Footlight MT Light"/>
          <w:sz w:val="28"/>
          <w:szCs w:val="28"/>
        </w:rPr>
        <w:lastRenderedPageBreak/>
        <w:t>promotion de la qualité de l’emploi, seuls 20,</w:t>
      </w:r>
      <w:r w:rsidR="000F6064">
        <w:rPr>
          <w:rFonts w:ascii="Footlight MT Light" w:hAnsi="Footlight MT Light"/>
          <w:sz w:val="28"/>
          <w:szCs w:val="28"/>
        </w:rPr>
        <w:t>5</w:t>
      </w:r>
      <w:r w:rsidRPr="009D312E">
        <w:rPr>
          <w:rFonts w:ascii="Footlight MT Light" w:hAnsi="Footlight MT Light"/>
          <w:sz w:val="28"/>
          <w:szCs w:val="28"/>
        </w:rPr>
        <w:t>% en 2014 (35,2% en milieu urbain et 5,6% en milieu rural) bénéficient d’une couverture médicale contre 13,1% en 2000 (26,1% en milieu urbain et 2% en milieu rural). Pour les salariés, cette proportion a atteint 41,</w:t>
      </w:r>
      <w:r w:rsidR="007A4B91">
        <w:rPr>
          <w:rFonts w:ascii="Footlight MT Light" w:hAnsi="Footlight MT Light"/>
          <w:sz w:val="28"/>
          <w:szCs w:val="28"/>
        </w:rPr>
        <w:t>8</w:t>
      </w:r>
      <w:r w:rsidRPr="009D312E">
        <w:rPr>
          <w:rFonts w:ascii="Footlight MT Light" w:hAnsi="Footlight MT Light"/>
          <w:sz w:val="28"/>
          <w:szCs w:val="28"/>
        </w:rPr>
        <w:t xml:space="preserve">% en 2014 contre 33,2% en 2000. Elle a enregistré </w:t>
      </w:r>
      <w:r w:rsidR="007A4B91">
        <w:rPr>
          <w:rFonts w:ascii="Footlight MT Light" w:hAnsi="Footlight MT Light"/>
          <w:sz w:val="28"/>
          <w:szCs w:val="28"/>
        </w:rPr>
        <w:t>50</w:t>
      </w:r>
      <w:r w:rsidRPr="009D312E">
        <w:rPr>
          <w:rFonts w:ascii="Footlight MT Light" w:hAnsi="Footlight MT Light"/>
          <w:sz w:val="28"/>
          <w:szCs w:val="28"/>
        </w:rPr>
        <w:t>,</w:t>
      </w:r>
      <w:r w:rsidR="007A4B91">
        <w:rPr>
          <w:rFonts w:ascii="Footlight MT Light" w:hAnsi="Footlight MT Light"/>
          <w:sz w:val="28"/>
          <w:szCs w:val="28"/>
        </w:rPr>
        <w:t>4</w:t>
      </w:r>
      <w:r w:rsidRPr="009D312E">
        <w:rPr>
          <w:rFonts w:ascii="Footlight MT Light" w:hAnsi="Footlight MT Light"/>
          <w:sz w:val="28"/>
          <w:szCs w:val="28"/>
        </w:rPr>
        <w:t>% en milieu urbain et 18,</w:t>
      </w:r>
      <w:r w:rsidR="007A4B91">
        <w:rPr>
          <w:rFonts w:ascii="Footlight MT Light" w:hAnsi="Footlight MT Light"/>
          <w:sz w:val="28"/>
          <w:szCs w:val="28"/>
        </w:rPr>
        <w:t>4</w:t>
      </w:r>
      <w:r w:rsidRPr="009D312E">
        <w:rPr>
          <w:rFonts w:ascii="Footlight MT Light" w:hAnsi="Footlight MT Light"/>
          <w:sz w:val="28"/>
          <w:szCs w:val="28"/>
        </w:rPr>
        <w:t xml:space="preserve">% en milieu rural contre respectivement 40,7% et 10,1% en 2000. </w:t>
      </w:r>
    </w:p>
    <w:p w:rsidR="006B5F40" w:rsidRDefault="006B5F40">
      <w:pPr>
        <w:spacing w:line="360" w:lineRule="auto"/>
        <w:jc w:val="both"/>
        <w:rPr>
          <w:rFonts w:ascii="Footlight MT Light" w:hAnsi="Footlight MT Light"/>
          <w:sz w:val="12"/>
          <w:szCs w:val="12"/>
        </w:rPr>
      </w:pPr>
    </w:p>
    <w:p w:rsidR="006B5F40" w:rsidRPr="00993B24" w:rsidRDefault="00ED516A" w:rsidP="000C3907">
      <w:pPr>
        <w:spacing w:line="360" w:lineRule="auto"/>
        <w:jc w:val="both"/>
        <w:rPr>
          <w:rFonts w:ascii="Footlight MT Light" w:hAnsi="Footlight MT Light"/>
          <w:sz w:val="28"/>
          <w:szCs w:val="28"/>
        </w:rPr>
      </w:pPr>
      <w:r w:rsidRPr="00993B24">
        <w:rPr>
          <w:rFonts w:ascii="Footlight MT Light" w:hAnsi="Footlight MT Light"/>
          <w:sz w:val="28"/>
          <w:szCs w:val="28"/>
        </w:rPr>
        <w:t>D’un autre côté, seul environ un salarié sur 3 (3</w:t>
      </w:r>
      <w:r w:rsidR="000C3907">
        <w:rPr>
          <w:rFonts w:ascii="Footlight MT Light" w:hAnsi="Footlight MT Light"/>
          <w:sz w:val="28"/>
          <w:szCs w:val="28"/>
        </w:rPr>
        <w:t>6</w:t>
      </w:r>
      <w:r w:rsidRPr="00993B24">
        <w:rPr>
          <w:rFonts w:ascii="Footlight MT Light" w:hAnsi="Footlight MT Light"/>
          <w:sz w:val="28"/>
          <w:szCs w:val="28"/>
        </w:rPr>
        <w:t>,</w:t>
      </w:r>
      <w:r w:rsidR="000C3907">
        <w:rPr>
          <w:rFonts w:ascii="Footlight MT Light" w:hAnsi="Footlight MT Light"/>
          <w:sz w:val="28"/>
          <w:szCs w:val="28"/>
        </w:rPr>
        <w:t>5</w:t>
      </w:r>
      <w:r w:rsidRPr="00993B24">
        <w:rPr>
          <w:rFonts w:ascii="Footlight MT Light" w:hAnsi="Footlight MT Light"/>
          <w:sz w:val="28"/>
          <w:szCs w:val="28"/>
        </w:rPr>
        <w:t xml:space="preserve">% contre 31,8% en 2000), au niveau national, travaille avec contrat, une situation qui s’aggrave davantage dans les secteurs de l'agriculture et du BTP où cette proportion atteint respectivement </w:t>
      </w:r>
      <w:r w:rsidR="000C3907">
        <w:rPr>
          <w:rFonts w:ascii="Footlight MT Light" w:hAnsi="Footlight MT Light"/>
          <w:sz w:val="28"/>
          <w:szCs w:val="28"/>
        </w:rPr>
        <w:t>7</w:t>
      </w:r>
      <w:r w:rsidRPr="00993B24">
        <w:rPr>
          <w:rFonts w:ascii="Footlight MT Light" w:hAnsi="Footlight MT Light"/>
          <w:sz w:val="28"/>
          <w:szCs w:val="28"/>
        </w:rPr>
        <w:t>,</w:t>
      </w:r>
      <w:r w:rsidR="000C3907">
        <w:rPr>
          <w:rFonts w:ascii="Footlight MT Light" w:hAnsi="Footlight MT Light"/>
          <w:sz w:val="28"/>
          <w:szCs w:val="28"/>
        </w:rPr>
        <w:t>5</w:t>
      </w:r>
      <w:r w:rsidRPr="00993B24">
        <w:rPr>
          <w:rFonts w:ascii="Footlight MT Light" w:hAnsi="Footlight MT Light"/>
          <w:sz w:val="28"/>
          <w:szCs w:val="28"/>
        </w:rPr>
        <w:t>% et 7,</w:t>
      </w:r>
      <w:r w:rsidR="000C3907">
        <w:rPr>
          <w:rFonts w:ascii="Footlight MT Light" w:hAnsi="Footlight MT Light"/>
          <w:sz w:val="28"/>
          <w:szCs w:val="28"/>
        </w:rPr>
        <w:t>4</w:t>
      </w:r>
      <w:r w:rsidRPr="00993B24">
        <w:rPr>
          <w:rFonts w:ascii="Footlight MT Light" w:hAnsi="Footlight MT Light"/>
          <w:sz w:val="28"/>
          <w:szCs w:val="28"/>
        </w:rPr>
        <w:t>%.</w:t>
      </w:r>
    </w:p>
    <w:p w:rsidR="006B5F40" w:rsidRDefault="006B5F40">
      <w:pPr>
        <w:spacing w:line="360" w:lineRule="auto"/>
        <w:jc w:val="both"/>
        <w:rPr>
          <w:rFonts w:ascii="Footlight MT Light" w:hAnsi="Footlight MT Light"/>
          <w:sz w:val="12"/>
          <w:szCs w:val="12"/>
        </w:rPr>
      </w:pPr>
    </w:p>
    <w:p w:rsidR="006B5F40" w:rsidRDefault="00993B24" w:rsidP="004876DA">
      <w:pPr>
        <w:spacing w:line="360" w:lineRule="auto"/>
        <w:jc w:val="both"/>
        <w:rPr>
          <w:rFonts w:ascii="Footlight MT Light" w:hAnsi="Footlight MT Light"/>
          <w:color w:val="FF0000"/>
          <w:sz w:val="28"/>
          <w:szCs w:val="28"/>
        </w:rPr>
      </w:pPr>
      <w:r w:rsidRPr="005329EF">
        <w:rPr>
          <w:rFonts w:ascii="Footlight MT Light" w:hAnsi="Footlight MT Light"/>
          <w:sz w:val="28"/>
          <w:szCs w:val="28"/>
        </w:rPr>
        <w:t>La</w:t>
      </w:r>
      <w:r w:rsidR="00ED516A" w:rsidRPr="005329EF">
        <w:rPr>
          <w:rFonts w:ascii="Footlight MT Light" w:hAnsi="Footlight MT Light"/>
          <w:sz w:val="28"/>
          <w:szCs w:val="28"/>
        </w:rPr>
        <w:t xml:space="preserve"> part</w:t>
      </w:r>
      <w:r w:rsidR="00ED516A" w:rsidRPr="00993B24">
        <w:rPr>
          <w:rFonts w:ascii="Footlight MT Light" w:hAnsi="Footlight MT Light"/>
          <w:sz w:val="28"/>
          <w:szCs w:val="28"/>
        </w:rPr>
        <w:t xml:space="preserve"> </w:t>
      </w:r>
      <w:r w:rsidRPr="00993B24">
        <w:rPr>
          <w:rFonts w:ascii="Footlight MT Light" w:hAnsi="Footlight MT Light"/>
          <w:sz w:val="28"/>
          <w:szCs w:val="28"/>
        </w:rPr>
        <w:t xml:space="preserve">des femmes âgées de 15 ans et plus </w:t>
      </w:r>
      <w:r w:rsidR="00ED516A" w:rsidRPr="00993B24">
        <w:rPr>
          <w:rFonts w:ascii="Footlight MT Light" w:hAnsi="Footlight MT Light"/>
          <w:sz w:val="28"/>
          <w:szCs w:val="28"/>
        </w:rPr>
        <w:t xml:space="preserve">dans l’emploi global ne représentait que 27% </w:t>
      </w:r>
      <w:r w:rsidR="00FF3F0A">
        <w:rPr>
          <w:rFonts w:ascii="Footlight MT Light" w:hAnsi="Footlight MT Light"/>
          <w:sz w:val="28"/>
          <w:szCs w:val="28"/>
        </w:rPr>
        <w:t xml:space="preserve">en 2014 </w:t>
      </w:r>
      <w:r w:rsidR="00ED516A" w:rsidRPr="00993B24">
        <w:rPr>
          <w:rFonts w:ascii="Footlight MT Light" w:hAnsi="Footlight MT Light"/>
          <w:sz w:val="28"/>
          <w:szCs w:val="28"/>
        </w:rPr>
        <w:t>(20% en milieu urbain et 34,</w:t>
      </w:r>
      <w:r w:rsidR="004876DA">
        <w:rPr>
          <w:rFonts w:ascii="Footlight MT Light" w:hAnsi="Footlight MT Light"/>
          <w:sz w:val="28"/>
          <w:szCs w:val="28"/>
        </w:rPr>
        <w:t>2</w:t>
      </w:r>
      <w:r w:rsidR="00ED516A" w:rsidRPr="00993B24">
        <w:rPr>
          <w:rFonts w:ascii="Footlight MT Light" w:hAnsi="Footlight MT Light"/>
          <w:sz w:val="28"/>
          <w:szCs w:val="28"/>
        </w:rPr>
        <w:t>% en milieu rural) et elle n’a que légèrement changé depuis l’année 2000 où elle représentait 27,1% (21,7% en milieu urbain et 31,6% en milieu rural). Toutefois, si les efforts consentis dans les domaines de promotion des conditions de la femme n’ont pas eu d’impact significatif sur son niveau de participation à l’emploi, ils ont, en revanche, influé sur la qualité de sa participation à l’activité économique et ce, en lui ouvrant de plus en plus la voie à des postes d’emploi plus exigeants en matière de qualification.</w:t>
      </w:r>
      <w:r w:rsidR="00ED516A" w:rsidRPr="00993B24">
        <w:rPr>
          <w:rFonts w:ascii="Footlight MT Light" w:hAnsi="Footlight MT Light"/>
          <w:color w:val="FF0000"/>
          <w:sz w:val="28"/>
          <w:szCs w:val="28"/>
        </w:rPr>
        <w:t xml:space="preserve">  </w:t>
      </w:r>
    </w:p>
    <w:p w:rsidR="00951378" w:rsidRDefault="00951378" w:rsidP="00951378">
      <w:pPr>
        <w:spacing w:line="360" w:lineRule="auto"/>
        <w:jc w:val="center"/>
        <w:rPr>
          <w:rFonts w:ascii="Footlight MT Light" w:hAnsi="Footlight MT Light"/>
          <w:color w:val="0070C0"/>
        </w:rPr>
      </w:pPr>
      <w:r>
        <w:rPr>
          <w:rFonts w:ascii="Footlight MT Light" w:hAnsi="Footlight MT Light"/>
          <w:color w:val="FF0000"/>
          <w:sz w:val="8"/>
          <w:szCs w:val="8"/>
        </w:rPr>
        <w:br w:type="page"/>
      </w:r>
      <w:r w:rsidR="00ED516A" w:rsidRPr="002957AB">
        <w:rPr>
          <w:rFonts w:ascii="Footlight MT Light" w:hAnsi="Footlight MT Light"/>
          <w:color w:val="0070C0"/>
        </w:rPr>
        <w:lastRenderedPageBreak/>
        <w:t>Graphique 7 : Evolution du taux de féminisation (en %) de l’emploi</w:t>
      </w:r>
    </w:p>
    <w:p w:rsidR="006B5F40" w:rsidRPr="002957AB" w:rsidRDefault="00ED516A" w:rsidP="00951378">
      <w:pPr>
        <w:ind w:right="357"/>
        <w:jc w:val="center"/>
        <w:rPr>
          <w:rFonts w:ascii="Footlight MT Light" w:hAnsi="Footlight MT Light"/>
          <w:color w:val="0070C0"/>
        </w:rPr>
      </w:pPr>
      <w:r w:rsidRPr="002957AB">
        <w:rPr>
          <w:rFonts w:ascii="Footlight MT Light" w:hAnsi="Footlight MT Light"/>
          <w:color w:val="0070C0"/>
        </w:rPr>
        <w:t>selon les grands groupes de professions</w:t>
      </w:r>
    </w:p>
    <w:p w:rsidR="006B5F40" w:rsidRDefault="00721A7C">
      <w:pPr>
        <w:spacing w:line="360" w:lineRule="auto"/>
        <w:rPr>
          <w:rFonts w:ascii="Footlight MT Light" w:hAnsi="Footlight MT Light"/>
          <w:sz w:val="26"/>
          <w:szCs w:val="26"/>
        </w:rPr>
      </w:pPr>
      <w:r>
        <w:rPr>
          <w:rFonts w:ascii="Footlight MT Light" w:hAnsi="Footlight MT Light"/>
          <w:noProof/>
          <w:sz w:val="26"/>
          <w:szCs w:val="26"/>
        </w:rPr>
        <w:drawing>
          <wp:inline distT="0" distB="0" distL="0" distR="0">
            <wp:extent cx="5745718" cy="2850773"/>
            <wp:effectExtent l="12199" t="6096" r="7883" b="631"/>
            <wp:docPr id="7" name="Graphique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A423A" w:rsidRPr="00486AC6" w:rsidRDefault="000A423A" w:rsidP="000A423A">
      <w:pPr>
        <w:spacing w:line="360" w:lineRule="auto"/>
        <w:ind w:right="340"/>
        <w:jc w:val="both"/>
        <w:rPr>
          <w:rFonts w:ascii="Footlight MT Light" w:hAnsi="Footlight MT Light"/>
          <w:sz w:val="16"/>
          <w:szCs w:val="16"/>
        </w:rPr>
      </w:pPr>
      <w:r w:rsidRPr="00486AC6">
        <w:rPr>
          <w:rFonts w:ascii="Footlight MT Light" w:hAnsi="Footlight MT Light"/>
          <w:sz w:val="16"/>
          <w:szCs w:val="16"/>
        </w:rPr>
        <w:t xml:space="preserve">Source : Haut-commissariat au </w:t>
      </w:r>
      <w:r w:rsidR="001E3051">
        <w:rPr>
          <w:rFonts w:ascii="Footlight MT Light" w:hAnsi="Footlight MT Light"/>
          <w:sz w:val="16"/>
          <w:szCs w:val="16"/>
        </w:rPr>
        <w:t>Plan</w:t>
      </w:r>
      <w:r w:rsidRPr="00486AC6">
        <w:rPr>
          <w:rFonts w:ascii="Footlight MT Light" w:hAnsi="Footlight MT Light"/>
          <w:sz w:val="16"/>
          <w:szCs w:val="16"/>
        </w:rPr>
        <w:t>, Direction de la Statistique (Enquête nationale sur l’emploi).</w:t>
      </w:r>
    </w:p>
    <w:p w:rsidR="006B5F40" w:rsidRDefault="006B5F40">
      <w:pPr>
        <w:spacing w:line="360" w:lineRule="auto"/>
        <w:jc w:val="both"/>
        <w:rPr>
          <w:rFonts w:ascii="Footlight MT Light" w:hAnsi="Footlight MT Light"/>
          <w:sz w:val="12"/>
          <w:szCs w:val="12"/>
        </w:rPr>
      </w:pPr>
    </w:p>
    <w:p w:rsidR="006B5F40" w:rsidRPr="00493D6C" w:rsidRDefault="006F1605" w:rsidP="006F1605">
      <w:pPr>
        <w:spacing w:line="360" w:lineRule="auto"/>
        <w:jc w:val="both"/>
        <w:rPr>
          <w:rFonts w:ascii="Footlight MT Light" w:hAnsi="Footlight MT Light"/>
          <w:sz w:val="28"/>
          <w:szCs w:val="28"/>
        </w:rPr>
      </w:pPr>
      <w:r w:rsidRPr="00493D6C">
        <w:rPr>
          <w:rFonts w:ascii="Footlight MT Light" w:hAnsi="Footlight MT Light"/>
          <w:sz w:val="28"/>
          <w:szCs w:val="28"/>
        </w:rPr>
        <w:t>L’</w:t>
      </w:r>
      <w:r w:rsidR="00ED516A" w:rsidRPr="00493D6C">
        <w:rPr>
          <w:rFonts w:ascii="Footlight MT Light" w:hAnsi="Footlight MT Light"/>
          <w:sz w:val="28"/>
          <w:szCs w:val="28"/>
        </w:rPr>
        <w:t>'emploi irrégulier et saisonnier</w:t>
      </w:r>
      <w:r w:rsidR="00CE5E95" w:rsidRPr="00493D6C">
        <w:rPr>
          <w:rFonts w:ascii="Footlight MT Light" w:hAnsi="Footlight MT Light"/>
          <w:sz w:val="28"/>
          <w:szCs w:val="28"/>
        </w:rPr>
        <w:t>,</w:t>
      </w:r>
      <w:r w:rsidR="00ED516A" w:rsidRPr="00493D6C">
        <w:rPr>
          <w:rFonts w:ascii="Footlight MT Light" w:hAnsi="Footlight MT Light"/>
          <w:sz w:val="28"/>
          <w:szCs w:val="28"/>
        </w:rPr>
        <w:t xml:space="preserve"> </w:t>
      </w:r>
      <w:r w:rsidRPr="00493D6C">
        <w:rPr>
          <w:rFonts w:ascii="Footlight MT Light" w:hAnsi="Footlight MT Light"/>
          <w:sz w:val="28"/>
          <w:szCs w:val="28"/>
        </w:rPr>
        <w:t xml:space="preserve">qui représente environ 8% de l’emploi total </w:t>
      </w:r>
      <w:r w:rsidR="00CE5E95" w:rsidRPr="00493D6C">
        <w:rPr>
          <w:rFonts w:ascii="Footlight MT Light" w:hAnsi="Footlight MT Light"/>
          <w:sz w:val="28"/>
          <w:szCs w:val="28"/>
        </w:rPr>
        <w:t xml:space="preserve">au Maroc, </w:t>
      </w:r>
      <w:r w:rsidR="00ED516A" w:rsidRPr="00493D6C">
        <w:rPr>
          <w:rFonts w:ascii="Footlight MT Light" w:hAnsi="Footlight MT Light"/>
          <w:sz w:val="28"/>
          <w:szCs w:val="28"/>
        </w:rPr>
        <w:t xml:space="preserve">a connu une recrudescence depuis 2008, période qui coïncide avec la crise économique et financière internationale qui a affecté une partie des entreprises marocaines dont la production est destinée en grande partie à l'exportation. Plus de 5 emplois sur dix créés au cours de la période, soit 53,9%, sont des emplois saisonniers ou occasionnels. </w:t>
      </w:r>
    </w:p>
    <w:p w:rsidR="006B5F40" w:rsidRDefault="006B5F40">
      <w:pPr>
        <w:spacing w:line="360" w:lineRule="auto"/>
        <w:jc w:val="both"/>
        <w:rPr>
          <w:rFonts w:ascii="Footlight MT Light" w:hAnsi="Footlight MT Light"/>
          <w:sz w:val="12"/>
          <w:szCs w:val="12"/>
        </w:rPr>
      </w:pPr>
    </w:p>
    <w:p w:rsidR="006B5F40" w:rsidRDefault="00493D6C" w:rsidP="00493D6C">
      <w:pPr>
        <w:spacing w:line="360" w:lineRule="auto"/>
        <w:jc w:val="both"/>
        <w:rPr>
          <w:rFonts w:ascii="Footlight MT Light" w:hAnsi="Footlight MT Light"/>
          <w:sz w:val="28"/>
          <w:szCs w:val="28"/>
        </w:rPr>
      </w:pPr>
      <w:r w:rsidRPr="00493D6C">
        <w:rPr>
          <w:rFonts w:ascii="Footlight MT Light" w:hAnsi="Footlight MT Light"/>
          <w:color w:val="000000"/>
          <w:sz w:val="28"/>
          <w:szCs w:val="28"/>
        </w:rPr>
        <w:t>L</w:t>
      </w:r>
      <w:r w:rsidR="00ED516A" w:rsidRPr="00493D6C">
        <w:rPr>
          <w:rFonts w:ascii="Footlight MT Light" w:hAnsi="Footlight MT Light"/>
          <w:color w:val="000000"/>
          <w:sz w:val="28"/>
          <w:szCs w:val="28"/>
        </w:rPr>
        <w:t>’emploi demeure peu qualifié</w:t>
      </w:r>
      <w:r w:rsidRPr="00493D6C">
        <w:rPr>
          <w:rFonts w:ascii="Footlight MT Light" w:hAnsi="Footlight MT Light"/>
          <w:color w:val="000000"/>
          <w:sz w:val="28"/>
          <w:szCs w:val="28"/>
        </w:rPr>
        <w:t xml:space="preserve">, </w:t>
      </w:r>
      <w:r w:rsidR="00ED516A" w:rsidRPr="00493D6C">
        <w:rPr>
          <w:rFonts w:ascii="Footlight MT Light" w:hAnsi="Footlight MT Light"/>
          <w:color w:val="000000"/>
          <w:sz w:val="28"/>
          <w:szCs w:val="28"/>
        </w:rPr>
        <w:t>62% des actifs  occupés étaient sans diplôme en 2014 contre 73,7% en 2000. Les détenteurs</w:t>
      </w:r>
      <w:r w:rsidR="00ED516A" w:rsidRPr="00493D6C">
        <w:rPr>
          <w:rFonts w:ascii="Footlight MT Light" w:hAnsi="Footlight MT Light"/>
          <w:sz w:val="28"/>
          <w:szCs w:val="28"/>
        </w:rPr>
        <w:t xml:space="preserve">  de diplôme niveau moyen</w:t>
      </w:r>
      <w:r w:rsidR="00ED516A" w:rsidRPr="00493D6C">
        <w:rPr>
          <w:rStyle w:val="Appelnotedebasdep"/>
          <w:rFonts w:ascii="Footlight MT Light" w:hAnsi="Footlight MT Light"/>
          <w:sz w:val="28"/>
          <w:szCs w:val="28"/>
        </w:rPr>
        <w:footnoteReference w:id="2"/>
      </w:r>
      <w:r w:rsidR="00ED516A" w:rsidRPr="00493D6C">
        <w:rPr>
          <w:rFonts w:ascii="Footlight MT Light" w:hAnsi="Footlight MT Light"/>
          <w:sz w:val="28"/>
          <w:szCs w:val="28"/>
        </w:rPr>
        <w:t xml:space="preserve"> représentaient 26,6% et ceux de niveau supérieur</w:t>
      </w:r>
      <w:r w:rsidR="00ED516A" w:rsidRPr="00493D6C">
        <w:rPr>
          <w:rStyle w:val="Appelnotedebasdep"/>
          <w:rFonts w:ascii="Footlight MT Light" w:hAnsi="Footlight MT Light"/>
          <w:sz w:val="28"/>
          <w:szCs w:val="28"/>
        </w:rPr>
        <w:footnoteReference w:id="3"/>
      </w:r>
      <w:r w:rsidR="00ED516A" w:rsidRPr="00493D6C">
        <w:rPr>
          <w:rFonts w:ascii="Footlight MT Light" w:hAnsi="Footlight MT Light"/>
          <w:sz w:val="28"/>
          <w:szCs w:val="28"/>
        </w:rPr>
        <w:t xml:space="preserve"> 11,4% (contre respectivement 18,2% et 8,1% en 2000). Selon les secteurs, la part des diplômés passe en 2014 de 15,8% dans l'agriculture, à 37% dans les BTP, et à 47,4% dans l''industrie pour atteindre 57,3% dans les services.</w:t>
      </w:r>
    </w:p>
    <w:p w:rsidR="00493D6C" w:rsidRDefault="00493D6C" w:rsidP="00493D6C">
      <w:pPr>
        <w:spacing w:line="360" w:lineRule="auto"/>
        <w:jc w:val="both"/>
        <w:rPr>
          <w:rFonts w:ascii="Footlight MT Light" w:hAnsi="Footlight MT Light"/>
          <w:sz w:val="8"/>
          <w:szCs w:val="8"/>
        </w:rPr>
      </w:pPr>
    </w:p>
    <w:p w:rsidR="00DE28D9" w:rsidRDefault="00DE28D9" w:rsidP="00493D6C">
      <w:pPr>
        <w:spacing w:line="360" w:lineRule="auto"/>
        <w:jc w:val="both"/>
        <w:rPr>
          <w:rFonts w:ascii="Footlight MT Light" w:hAnsi="Footlight MT Light"/>
          <w:sz w:val="8"/>
          <w:szCs w:val="8"/>
        </w:rPr>
      </w:pPr>
    </w:p>
    <w:p w:rsidR="00DE28D9" w:rsidRDefault="00DE28D9" w:rsidP="00493D6C">
      <w:pPr>
        <w:spacing w:line="360" w:lineRule="auto"/>
        <w:jc w:val="both"/>
        <w:rPr>
          <w:rFonts w:ascii="Footlight MT Light" w:hAnsi="Footlight MT Light"/>
          <w:sz w:val="8"/>
          <w:szCs w:val="8"/>
        </w:rPr>
      </w:pPr>
    </w:p>
    <w:p w:rsidR="00DE28D9" w:rsidRDefault="00DE28D9" w:rsidP="00493D6C">
      <w:pPr>
        <w:spacing w:line="360" w:lineRule="auto"/>
        <w:jc w:val="both"/>
        <w:rPr>
          <w:rFonts w:ascii="Footlight MT Light" w:hAnsi="Footlight MT Light"/>
          <w:sz w:val="8"/>
          <w:szCs w:val="8"/>
        </w:rPr>
      </w:pPr>
    </w:p>
    <w:p w:rsidR="00DE28D9" w:rsidRDefault="00DE28D9" w:rsidP="00493D6C">
      <w:pPr>
        <w:spacing w:line="360" w:lineRule="auto"/>
        <w:jc w:val="both"/>
        <w:rPr>
          <w:rFonts w:ascii="Footlight MT Light" w:hAnsi="Footlight MT Light"/>
          <w:sz w:val="8"/>
          <w:szCs w:val="8"/>
        </w:rPr>
      </w:pPr>
    </w:p>
    <w:p w:rsidR="00DE28D9" w:rsidRDefault="00DE28D9" w:rsidP="00493D6C">
      <w:pPr>
        <w:spacing w:line="360" w:lineRule="auto"/>
        <w:jc w:val="both"/>
        <w:rPr>
          <w:rFonts w:ascii="Footlight MT Light" w:hAnsi="Footlight MT Light"/>
          <w:sz w:val="8"/>
          <w:szCs w:val="8"/>
        </w:rPr>
      </w:pPr>
    </w:p>
    <w:p w:rsidR="00DE28D9" w:rsidRDefault="00DE28D9" w:rsidP="00493D6C">
      <w:pPr>
        <w:spacing w:line="360" w:lineRule="auto"/>
        <w:jc w:val="both"/>
        <w:rPr>
          <w:rFonts w:ascii="Footlight MT Light" w:hAnsi="Footlight MT Light"/>
          <w:sz w:val="8"/>
          <w:szCs w:val="8"/>
        </w:rPr>
      </w:pPr>
    </w:p>
    <w:p w:rsidR="00DE28D9" w:rsidRDefault="00DE28D9" w:rsidP="00493D6C">
      <w:pPr>
        <w:spacing w:line="360" w:lineRule="auto"/>
        <w:jc w:val="both"/>
        <w:rPr>
          <w:rFonts w:ascii="Footlight MT Light" w:hAnsi="Footlight MT Light"/>
          <w:sz w:val="8"/>
          <w:szCs w:val="8"/>
        </w:rPr>
      </w:pPr>
    </w:p>
    <w:p w:rsidR="00DE28D9" w:rsidRPr="00493D6C" w:rsidRDefault="00DE28D9" w:rsidP="00493D6C">
      <w:pPr>
        <w:spacing w:line="360" w:lineRule="auto"/>
        <w:jc w:val="both"/>
        <w:rPr>
          <w:rFonts w:ascii="Footlight MT Light" w:hAnsi="Footlight MT Light"/>
          <w:sz w:val="8"/>
          <w:szCs w:val="8"/>
        </w:rPr>
      </w:pPr>
    </w:p>
    <w:p w:rsidR="006B5F40" w:rsidRPr="009C2295" w:rsidRDefault="00ED516A" w:rsidP="009C2295">
      <w:pPr>
        <w:ind w:right="357"/>
        <w:jc w:val="center"/>
        <w:rPr>
          <w:rFonts w:ascii="Footlight MT Light" w:hAnsi="Footlight MT Light"/>
          <w:color w:val="0070C0"/>
        </w:rPr>
      </w:pPr>
      <w:r w:rsidRPr="009C2295">
        <w:rPr>
          <w:rFonts w:ascii="Footlight MT Light" w:hAnsi="Footlight MT Light"/>
          <w:color w:val="0070C0"/>
        </w:rPr>
        <w:lastRenderedPageBreak/>
        <w:t xml:space="preserve">Graphique 8 : Evolution de la part des diplômés parmi les </w:t>
      </w:r>
    </w:p>
    <w:p w:rsidR="006B5F40" w:rsidRPr="009C2295" w:rsidRDefault="00ED516A" w:rsidP="009C2295">
      <w:pPr>
        <w:ind w:right="357"/>
        <w:jc w:val="center"/>
        <w:rPr>
          <w:rFonts w:ascii="Footlight MT Light" w:hAnsi="Footlight MT Light"/>
          <w:color w:val="FF0000"/>
        </w:rPr>
      </w:pPr>
      <w:r w:rsidRPr="009C2295">
        <w:rPr>
          <w:rFonts w:ascii="Footlight MT Light" w:hAnsi="Footlight MT Light"/>
          <w:color w:val="0070C0"/>
        </w:rPr>
        <w:t xml:space="preserve">actifs occupés selon les secteurs d’activité économique (en%) </w:t>
      </w:r>
    </w:p>
    <w:p w:rsidR="006B5F40" w:rsidRDefault="00721A7C">
      <w:pPr>
        <w:spacing w:line="360" w:lineRule="auto"/>
        <w:jc w:val="center"/>
        <w:rPr>
          <w:rFonts w:ascii="Footlight MT Light" w:hAnsi="Footlight MT Light"/>
          <w:sz w:val="26"/>
          <w:szCs w:val="26"/>
        </w:rPr>
      </w:pPr>
      <w:r>
        <w:rPr>
          <w:rFonts w:ascii="Footlight MT Light" w:hAnsi="Footlight MT Light"/>
          <w:noProof/>
          <w:sz w:val="26"/>
          <w:szCs w:val="26"/>
        </w:rPr>
        <w:drawing>
          <wp:inline distT="0" distB="0" distL="0" distR="0">
            <wp:extent cx="5519537" cy="2723372"/>
            <wp:effectExtent l="12199" t="6110" r="5464" b="1018"/>
            <wp:docPr id="8" name="Graphique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A423A" w:rsidRPr="00486AC6" w:rsidRDefault="000A423A" w:rsidP="000A423A">
      <w:pPr>
        <w:spacing w:line="360" w:lineRule="auto"/>
        <w:ind w:right="340"/>
        <w:jc w:val="both"/>
        <w:rPr>
          <w:rFonts w:ascii="Footlight MT Light" w:hAnsi="Footlight MT Light"/>
          <w:sz w:val="16"/>
          <w:szCs w:val="16"/>
        </w:rPr>
      </w:pPr>
      <w:r>
        <w:rPr>
          <w:rFonts w:ascii="Footlight MT Light" w:hAnsi="Footlight MT Light"/>
          <w:sz w:val="16"/>
          <w:szCs w:val="16"/>
        </w:rPr>
        <w:t xml:space="preserve">  </w:t>
      </w:r>
      <w:r w:rsidRPr="00486AC6">
        <w:rPr>
          <w:rFonts w:ascii="Footlight MT Light" w:hAnsi="Footlight MT Light"/>
          <w:sz w:val="16"/>
          <w:szCs w:val="16"/>
        </w:rPr>
        <w:t xml:space="preserve">Source : Haut-commissariat au </w:t>
      </w:r>
      <w:r w:rsidR="001E3051">
        <w:rPr>
          <w:rFonts w:ascii="Footlight MT Light" w:hAnsi="Footlight MT Light"/>
          <w:sz w:val="16"/>
          <w:szCs w:val="16"/>
        </w:rPr>
        <w:t>Plan</w:t>
      </w:r>
      <w:r w:rsidRPr="00486AC6">
        <w:rPr>
          <w:rFonts w:ascii="Footlight MT Light" w:hAnsi="Footlight MT Light"/>
          <w:sz w:val="16"/>
          <w:szCs w:val="16"/>
        </w:rPr>
        <w:t>, Direction de la Statistique (Enquête nationale sur l’emploi).</w:t>
      </w:r>
    </w:p>
    <w:p w:rsidR="006B5F40" w:rsidRDefault="006B5F40">
      <w:pPr>
        <w:shd w:val="clear" w:color="auto" w:fill="FFFFFF"/>
        <w:spacing w:line="360" w:lineRule="auto"/>
        <w:jc w:val="both"/>
        <w:rPr>
          <w:rFonts w:ascii="Footlight MT Light" w:hAnsi="Footlight MT Light"/>
          <w:sz w:val="12"/>
          <w:szCs w:val="12"/>
        </w:rPr>
      </w:pPr>
    </w:p>
    <w:p w:rsidR="006B5F40" w:rsidRPr="00DE3695" w:rsidRDefault="00ED516A" w:rsidP="00C80298">
      <w:pPr>
        <w:shd w:val="clear" w:color="auto" w:fill="FFFFFF"/>
        <w:spacing w:line="360" w:lineRule="auto"/>
        <w:jc w:val="both"/>
        <w:rPr>
          <w:rFonts w:ascii="Footlight MT Light" w:hAnsi="Footlight MT Light"/>
          <w:sz w:val="28"/>
          <w:szCs w:val="28"/>
        </w:rPr>
      </w:pPr>
      <w:r w:rsidRPr="00DE3695">
        <w:rPr>
          <w:rFonts w:ascii="Footlight MT Light" w:hAnsi="Footlight MT Light"/>
          <w:sz w:val="28"/>
          <w:szCs w:val="28"/>
        </w:rPr>
        <w:t>En 2014, seuls 1,6% des actifs occupés salariés au niveau national, 2,1% en milieu urbain et moins de 1% en milieu rural,  ont déclaré avoir bénéficié d’une formation prise en charge par leur employeur au cours des 12 mois précédant le jour de leur interview.</w:t>
      </w:r>
    </w:p>
    <w:p w:rsidR="006B5F40" w:rsidRPr="00DE3695" w:rsidRDefault="006B5F40">
      <w:pPr>
        <w:shd w:val="clear" w:color="auto" w:fill="FFFFFF"/>
        <w:spacing w:line="360" w:lineRule="auto"/>
        <w:jc w:val="both"/>
        <w:rPr>
          <w:rFonts w:ascii="Footlight MT Light" w:hAnsi="Footlight MT Light"/>
          <w:sz w:val="8"/>
          <w:szCs w:val="8"/>
        </w:rPr>
      </w:pPr>
    </w:p>
    <w:p w:rsidR="006B5F40" w:rsidRPr="00DE3695" w:rsidRDefault="00C80298" w:rsidP="001C318D">
      <w:pPr>
        <w:shd w:val="clear" w:color="auto" w:fill="FFFFFF"/>
        <w:spacing w:line="360" w:lineRule="auto"/>
        <w:jc w:val="both"/>
        <w:rPr>
          <w:rFonts w:ascii="Footlight MT Light" w:hAnsi="Footlight MT Light"/>
          <w:sz w:val="28"/>
          <w:szCs w:val="28"/>
        </w:rPr>
      </w:pPr>
      <w:r w:rsidRPr="00DE3695">
        <w:rPr>
          <w:rFonts w:ascii="Footlight MT Light" w:hAnsi="Footlight MT Light"/>
          <w:sz w:val="28"/>
          <w:szCs w:val="28"/>
        </w:rPr>
        <w:t xml:space="preserve">Sur un autre </w:t>
      </w:r>
      <w:r w:rsidR="001C318D">
        <w:rPr>
          <w:rFonts w:ascii="Footlight MT Light" w:hAnsi="Footlight MT Light"/>
          <w:sz w:val="28"/>
          <w:szCs w:val="28"/>
        </w:rPr>
        <w:t>plan</w:t>
      </w:r>
      <w:r w:rsidRPr="00DE3695">
        <w:rPr>
          <w:rFonts w:ascii="Footlight MT Light" w:hAnsi="Footlight MT Light"/>
          <w:sz w:val="28"/>
          <w:szCs w:val="28"/>
        </w:rPr>
        <w:t xml:space="preserve">, </w:t>
      </w:r>
      <w:r w:rsidR="00ED516A" w:rsidRPr="00DE3695">
        <w:rPr>
          <w:rFonts w:ascii="Footlight MT Light" w:hAnsi="Footlight MT Light"/>
          <w:sz w:val="28"/>
          <w:szCs w:val="28"/>
        </w:rPr>
        <w:t xml:space="preserve">plusieurs actifs occupés sont insatisfaits de leur emploi et désirent le changer pour plusieurs raisons notamment, l’inadéquation entre l’activité exercé au regard de leur qualification, le revenu perçu, les conditions défavorables du travail ou tout simplement l’attente d’un emploi qui correspond parfaitement à leur compétence. Ainsi, en 2014, près du quart (23,6%) des actifs occupés et 37% de ceux exerçant dans le secteur des BTP ont exprimé le désir de changer leur emploi. Les raisons évoquées portent sur la recherche d'une meilleure rémunération pour 71,2%,  avoir un emploi assurant des conditions de travail plus favorables pour 9,6%, disposer d’un emploi plus stable pour 9,5% et d’un emploi plus adéquat à la formation reçue pour 4,9%. </w:t>
      </w:r>
    </w:p>
    <w:p w:rsidR="006B5F40" w:rsidRPr="00DE3695" w:rsidRDefault="006B5F40">
      <w:pPr>
        <w:shd w:val="clear" w:color="auto" w:fill="FFFFFF"/>
        <w:spacing w:line="360" w:lineRule="auto"/>
        <w:jc w:val="both"/>
        <w:rPr>
          <w:rFonts w:ascii="Footlight MT Light" w:hAnsi="Footlight MT Light"/>
          <w:sz w:val="8"/>
          <w:szCs w:val="8"/>
        </w:rPr>
      </w:pPr>
    </w:p>
    <w:p w:rsidR="006B5F40" w:rsidRDefault="00ED516A" w:rsidP="00C80298">
      <w:pPr>
        <w:shd w:val="clear" w:color="auto" w:fill="FFFFFF"/>
        <w:spacing w:line="360" w:lineRule="auto"/>
        <w:jc w:val="both"/>
        <w:rPr>
          <w:rFonts w:ascii="Footlight MT Light" w:hAnsi="Footlight MT Light"/>
          <w:sz w:val="28"/>
          <w:szCs w:val="28"/>
        </w:rPr>
      </w:pPr>
      <w:r w:rsidRPr="00DE3695">
        <w:rPr>
          <w:rFonts w:ascii="Footlight MT Light" w:hAnsi="Footlight MT Light"/>
          <w:sz w:val="28"/>
          <w:szCs w:val="28"/>
        </w:rPr>
        <w:t xml:space="preserve">Sous un autre angle, l’affiliation à une organisation syndicale ou professionnelle demeure une pratique peu répandue au niveau du marché du travail marocain. En 2014, seuls 3% des actifs occupés sont affiliés à une organisation de ce type, 5% en milieu urbain et moins de 1% en milieu rural. </w:t>
      </w:r>
      <w:r w:rsidRPr="00DE3695">
        <w:rPr>
          <w:rFonts w:ascii="Footlight MT Light" w:hAnsi="Footlight MT Light"/>
          <w:sz w:val="28"/>
          <w:szCs w:val="28"/>
        </w:rPr>
        <w:lastRenderedPageBreak/>
        <w:t>Parmi les salariés, cette proportion a atteint environ 6% au niveau national, 7% en milieu urbain et moins de 2% en milieu rural.</w:t>
      </w:r>
    </w:p>
    <w:p w:rsidR="00B40C8D" w:rsidRPr="00B40C8D" w:rsidRDefault="00B40C8D" w:rsidP="00C80298">
      <w:pPr>
        <w:shd w:val="clear" w:color="auto" w:fill="FFFFFF"/>
        <w:spacing w:line="360" w:lineRule="auto"/>
        <w:jc w:val="both"/>
        <w:rPr>
          <w:rFonts w:ascii="Footlight MT Light" w:hAnsi="Footlight MT Light"/>
          <w:sz w:val="12"/>
          <w:szCs w:val="12"/>
        </w:rPr>
      </w:pPr>
    </w:p>
    <w:p w:rsidR="006B5F40" w:rsidRDefault="009B4B16" w:rsidP="009B4B16">
      <w:pPr>
        <w:shd w:val="clear" w:color="auto" w:fill="FFFFFF"/>
        <w:spacing w:line="360" w:lineRule="auto"/>
        <w:jc w:val="both"/>
        <w:rPr>
          <w:rFonts w:ascii="Footlight MT Light" w:hAnsi="Footlight MT Light"/>
          <w:sz w:val="28"/>
          <w:szCs w:val="28"/>
        </w:rPr>
      </w:pPr>
      <w:r>
        <w:rPr>
          <w:rFonts w:ascii="Footlight MT Light" w:hAnsi="Footlight MT Light"/>
          <w:sz w:val="28"/>
          <w:szCs w:val="28"/>
        </w:rPr>
        <w:t>IL</w:t>
      </w:r>
      <w:r w:rsidR="00ED516A" w:rsidRPr="00DE3695">
        <w:rPr>
          <w:rFonts w:ascii="Footlight MT Light" w:hAnsi="Footlight MT Light"/>
          <w:sz w:val="28"/>
          <w:szCs w:val="28"/>
        </w:rPr>
        <w:t xml:space="preserve"> est communément admis que la conciliation entre la vie privée et la vie professionnelle d’un individu impacte positivement son bien être et sa productivité. Une investigation menée en 2014 sur ce sujet a montré que, 50% des actifs occupés parvenaient à concilier entre leur vie privée et leur vie professionnelle, 30% avec difficultés, 17% avec beaucoup de difficultés et 3% n’y arrivaient pas malgré tous les efforts déployés.</w:t>
      </w:r>
    </w:p>
    <w:p w:rsidR="00DE28D9" w:rsidRPr="00DE28D9" w:rsidRDefault="00DE28D9" w:rsidP="009B4B16">
      <w:pPr>
        <w:shd w:val="clear" w:color="auto" w:fill="FFFFFF"/>
        <w:spacing w:line="360" w:lineRule="auto"/>
        <w:jc w:val="both"/>
        <w:rPr>
          <w:rFonts w:ascii="Footlight MT Light" w:hAnsi="Footlight MT Light"/>
          <w:sz w:val="8"/>
          <w:szCs w:val="8"/>
        </w:rPr>
      </w:pPr>
    </w:p>
    <w:p w:rsidR="006B5F40" w:rsidRPr="00DE3695" w:rsidRDefault="00DE3695" w:rsidP="00F50299">
      <w:pPr>
        <w:shd w:val="clear" w:color="auto" w:fill="FFFFFF"/>
        <w:spacing w:line="360" w:lineRule="auto"/>
        <w:jc w:val="both"/>
        <w:rPr>
          <w:rFonts w:ascii="Footlight MT Light" w:hAnsi="Footlight MT Light"/>
          <w:sz w:val="28"/>
          <w:szCs w:val="28"/>
        </w:rPr>
      </w:pPr>
      <w:r>
        <w:rPr>
          <w:rFonts w:ascii="Footlight MT Light" w:hAnsi="Footlight MT Light"/>
          <w:sz w:val="28"/>
          <w:szCs w:val="28"/>
        </w:rPr>
        <w:t xml:space="preserve">La part </w:t>
      </w:r>
      <w:r w:rsidR="00ED516A" w:rsidRPr="00DE3695">
        <w:rPr>
          <w:rFonts w:ascii="Footlight MT Light" w:hAnsi="Footlight MT Light"/>
          <w:sz w:val="28"/>
          <w:szCs w:val="28"/>
        </w:rPr>
        <w:t>des actifs occupés</w:t>
      </w:r>
      <w:r w:rsidR="009F6CC6">
        <w:rPr>
          <w:rFonts w:ascii="Footlight MT Light" w:hAnsi="Footlight MT Light"/>
          <w:sz w:val="28"/>
          <w:szCs w:val="28"/>
        </w:rPr>
        <w:t xml:space="preserve"> </w:t>
      </w:r>
      <w:r w:rsidR="009F6CC6" w:rsidRPr="00DE3695">
        <w:rPr>
          <w:rFonts w:ascii="Footlight MT Light" w:hAnsi="Footlight MT Light"/>
          <w:sz w:val="28"/>
          <w:szCs w:val="28"/>
        </w:rPr>
        <w:t>sous-employés</w:t>
      </w:r>
      <w:r w:rsidR="009F6CC6">
        <w:rPr>
          <w:rFonts w:ascii="Footlight MT Light" w:hAnsi="Footlight MT Light"/>
          <w:sz w:val="28"/>
          <w:szCs w:val="28"/>
        </w:rPr>
        <w:t xml:space="preserve"> a enregistré 1</w:t>
      </w:r>
      <w:r w:rsidR="00ED516A" w:rsidRPr="00DE3695">
        <w:rPr>
          <w:rFonts w:ascii="Footlight MT Light" w:hAnsi="Footlight MT Light"/>
          <w:sz w:val="28"/>
          <w:szCs w:val="28"/>
        </w:rPr>
        <w:t xml:space="preserve">0,3% </w:t>
      </w:r>
      <w:r w:rsidR="009F6CC6">
        <w:rPr>
          <w:rFonts w:ascii="Footlight MT Light" w:hAnsi="Footlight MT Light"/>
          <w:sz w:val="28"/>
          <w:szCs w:val="28"/>
        </w:rPr>
        <w:t>en 2014</w:t>
      </w:r>
      <w:r w:rsidR="00ED516A" w:rsidRPr="00DE3695">
        <w:rPr>
          <w:rFonts w:ascii="Footlight MT Light" w:hAnsi="Footlight MT Light"/>
          <w:sz w:val="28"/>
          <w:szCs w:val="28"/>
        </w:rPr>
        <w:t xml:space="preserve">. Cette proportion cache </w:t>
      </w:r>
      <w:r w:rsidR="009F6CC6">
        <w:rPr>
          <w:rFonts w:ascii="Footlight MT Light" w:hAnsi="Footlight MT Light"/>
          <w:sz w:val="28"/>
          <w:szCs w:val="28"/>
        </w:rPr>
        <w:t xml:space="preserve">certaines </w:t>
      </w:r>
      <w:r w:rsidR="00ED516A" w:rsidRPr="00DE3695">
        <w:rPr>
          <w:rFonts w:ascii="Footlight MT Light" w:hAnsi="Footlight MT Light"/>
          <w:sz w:val="28"/>
          <w:szCs w:val="28"/>
        </w:rPr>
        <w:t>disparités entre secteurs d’activité économiques ; elle est de 17% dans le secteur des BTP ; 10,3% au niveau de l'agriculture, forêt et pêche; 9,4% dans les services et de 8% au niveau du secteur de l'industrie y compris l’artisanat.</w:t>
      </w:r>
    </w:p>
    <w:p w:rsidR="006B5F40" w:rsidRDefault="006B5F40">
      <w:pPr>
        <w:spacing w:line="360" w:lineRule="auto"/>
        <w:jc w:val="both"/>
        <w:rPr>
          <w:rFonts w:ascii="Footlight MT Light" w:hAnsi="Footlight MT Light"/>
          <w:b/>
          <w:bCs/>
          <w:color w:val="800000"/>
          <w:sz w:val="12"/>
          <w:szCs w:val="26"/>
        </w:rPr>
      </w:pPr>
    </w:p>
    <w:p w:rsidR="006B5F40" w:rsidRPr="00A97D09" w:rsidRDefault="00ED516A">
      <w:pPr>
        <w:spacing w:line="360" w:lineRule="auto"/>
        <w:jc w:val="both"/>
        <w:rPr>
          <w:rFonts w:ascii="Footlight MT Light" w:hAnsi="Footlight MT Light"/>
          <w:b/>
          <w:bCs/>
          <w:color w:val="800000"/>
          <w:sz w:val="30"/>
          <w:szCs w:val="30"/>
        </w:rPr>
      </w:pPr>
      <w:r w:rsidRPr="00A97D09">
        <w:rPr>
          <w:rFonts w:ascii="Footlight MT Light" w:hAnsi="Footlight MT Light"/>
          <w:b/>
          <w:bCs/>
          <w:color w:val="800000"/>
          <w:sz w:val="30"/>
          <w:szCs w:val="30"/>
        </w:rPr>
        <w:t>Malgré sa tendance baissière, le chômage reste encore élevé parmi les jeunes et les diplômés</w:t>
      </w:r>
    </w:p>
    <w:p w:rsidR="006B5F40" w:rsidRPr="002623E6" w:rsidRDefault="00ED516A">
      <w:pPr>
        <w:autoSpaceDE w:val="0"/>
        <w:autoSpaceDN w:val="0"/>
        <w:adjustRightInd w:val="0"/>
        <w:spacing w:line="360" w:lineRule="auto"/>
        <w:jc w:val="both"/>
        <w:rPr>
          <w:rFonts w:ascii="Footlight MT Light" w:hAnsi="Footlight MT Light"/>
          <w:sz w:val="28"/>
          <w:szCs w:val="28"/>
        </w:rPr>
      </w:pPr>
      <w:r w:rsidRPr="002623E6">
        <w:rPr>
          <w:rFonts w:ascii="Footlight MT Light" w:hAnsi="Footlight MT Light"/>
          <w:sz w:val="28"/>
          <w:szCs w:val="28"/>
        </w:rPr>
        <w:t xml:space="preserve">L’analyse des principales caractéristiques de la population active en chômage révèle qu’en 2014, quatre chômeurs sur cinq (80,1%) sont citadins, plus de sept sur dix (71,4%) sont de sexe masculin, près de deux sur trois (62,6%) sont âgés de 15 à 29 ans,  près d’un sur deux (45,4%) est primo-demandeur d’emploi, environ six sur dix (59,2%) chôment depuis une année ou plus et plus d’un sur quatre (27,6%) est diplômé de niveau supérieur. </w:t>
      </w:r>
    </w:p>
    <w:p w:rsidR="006B5F40" w:rsidRDefault="006B5F40">
      <w:pPr>
        <w:autoSpaceDE w:val="0"/>
        <w:autoSpaceDN w:val="0"/>
        <w:adjustRightInd w:val="0"/>
        <w:spacing w:line="360" w:lineRule="auto"/>
        <w:jc w:val="both"/>
        <w:rPr>
          <w:rFonts w:ascii="Footlight MT Light" w:hAnsi="Footlight MT Light"/>
          <w:sz w:val="12"/>
          <w:szCs w:val="12"/>
        </w:rPr>
      </w:pPr>
    </w:p>
    <w:p w:rsidR="006B5F40" w:rsidRPr="002623E6" w:rsidRDefault="00ED516A" w:rsidP="00D806CC">
      <w:pPr>
        <w:spacing w:line="360" w:lineRule="auto"/>
        <w:jc w:val="both"/>
        <w:rPr>
          <w:rFonts w:ascii="Footlight MT Light" w:hAnsi="Footlight MT Light"/>
          <w:sz w:val="28"/>
          <w:szCs w:val="28"/>
        </w:rPr>
      </w:pPr>
      <w:r w:rsidRPr="002623E6">
        <w:rPr>
          <w:rFonts w:ascii="Footlight MT Light" w:hAnsi="Footlight MT Light"/>
          <w:sz w:val="28"/>
          <w:szCs w:val="28"/>
        </w:rPr>
        <w:t>La prévalence du chômage au Maroc varie largement selon les régions, elle passe de 6,2% au niveau de la région de Chaouia-Ouardigha à 17,</w:t>
      </w:r>
      <w:r w:rsidR="00D806CC">
        <w:rPr>
          <w:rFonts w:ascii="Footlight MT Light" w:hAnsi="Footlight MT Light"/>
          <w:sz w:val="28"/>
          <w:szCs w:val="28"/>
        </w:rPr>
        <w:t>9</w:t>
      </w:r>
      <w:r w:rsidRPr="002623E6">
        <w:rPr>
          <w:rFonts w:ascii="Footlight MT Light" w:hAnsi="Footlight MT Light"/>
          <w:sz w:val="28"/>
          <w:szCs w:val="28"/>
        </w:rPr>
        <w:t>% dans la région de l’Oriental.</w:t>
      </w:r>
    </w:p>
    <w:p w:rsidR="006B5F40" w:rsidRDefault="006B5F40">
      <w:pPr>
        <w:spacing w:line="360" w:lineRule="auto"/>
        <w:jc w:val="both"/>
        <w:rPr>
          <w:rFonts w:ascii="Footlight MT Light" w:hAnsi="Footlight MT Light"/>
          <w:sz w:val="12"/>
          <w:szCs w:val="12"/>
        </w:rPr>
      </w:pPr>
    </w:p>
    <w:p w:rsidR="006B5F40" w:rsidRPr="002623E6" w:rsidRDefault="002623E6" w:rsidP="00CA3A9B">
      <w:pPr>
        <w:spacing w:line="360" w:lineRule="auto"/>
        <w:jc w:val="both"/>
        <w:rPr>
          <w:rFonts w:ascii="Footlight MT Light" w:hAnsi="Footlight MT Light"/>
          <w:sz w:val="28"/>
          <w:szCs w:val="28"/>
        </w:rPr>
      </w:pPr>
      <w:r w:rsidRPr="00CA3A9B">
        <w:rPr>
          <w:rFonts w:ascii="Footlight MT Light" w:hAnsi="Footlight MT Light"/>
          <w:sz w:val="28"/>
          <w:szCs w:val="28"/>
        </w:rPr>
        <w:t>S</w:t>
      </w:r>
      <w:r w:rsidR="00ED516A" w:rsidRPr="00CA3A9B">
        <w:rPr>
          <w:rFonts w:ascii="Footlight MT Light" w:hAnsi="Footlight MT Light"/>
          <w:sz w:val="28"/>
          <w:szCs w:val="28"/>
        </w:rPr>
        <w:t>i pour</w:t>
      </w:r>
      <w:r w:rsidR="00ED516A" w:rsidRPr="002623E6">
        <w:rPr>
          <w:rFonts w:ascii="Footlight MT Light" w:hAnsi="Footlight MT Light"/>
          <w:sz w:val="28"/>
          <w:szCs w:val="28"/>
        </w:rPr>
        <w:t xml:space="preserve"> les actifs occupés, la part des diplômés n’est que de 38%, elle atteint 72,</w:t>
      </w:r>
      <w:r w:rsidR="001276F6">
        <w:rPr>
          <w:rFonts w:ascii="Footlight MT Light" w:hAnsi="Footlight MT Light"/>
          <w:sz w:val="28"/>
          <w:szCs w:val="28"/>
        </w:rPr>
        <w:t>5</w:t>
      </w:r>
      <w:r w:rsidR="00ED516A" w:rsidRPr="002623E6">
        <w:rPr>
          <w:rFonts w:ascii="Footlight MT Light" w:hAnsi="Footlight MT Light"/>
          <w:sz w:val="28"/>
          <w:szCs w:val="28"/>
        </w:rPr>
        <w:t>% pour les chômeurs (44,7% ont un diplôme de niveau moyen et 27,</w:t>
      </w:r>
      <w:r w:rsidR="001276F6">
        <w:rPr>
          <w:rFonts w:ascii="Footlight MT Light" w:hAnsi="Footlight MT Light"/>
          <w:sz w:val="28"/>
          <w:szCs w:val="28"/>
        </w:rPr>
        <w:t>8</w:t>
      </w:r>
      <w:r w:rsidR="00ED516A" w:rsidRPr="002623E6">
        <w:rPr>
          <w:rFonts w:ascii="Footlight MT Light" w:hAnsi="Footlight MT Light"/>
          <w:sz w:val="28"/>
          <w:szCs w:val="28"/>
        </w:rPr>
        <w:t xml:space="preserve">% un diplôme de niveau supérieur). Cette proportion passe de </w:t>
      </w:r>
      <w:r w:rsidR="00CA3A9B">
        <w:rPr>
          <w:rFonts w:ascii="Footlight MT Light" w:hAnsi="Footlight MT Light"/>
          <w:sz w:val="28"/>
          <w:szCs w:val="28"/>
        </w:rPr>
        <w:t>50</w:t>
      </w:r>
      <w:r w:rsidR="00ED516A" w:rsidRPr="002623E6">
        <w:rPr>
          <w:rFonts w:ascii="Footlight MT Light" w:hAnsi="Footlight MT Light"/>
          <w:sz w:val="28"/>
          <w:szCs w:val="28"/>
        </w:rPr>
        <w:t>% en milieu rural à 78</w:t>
      </w:r>
      <w:r w:rsidR="00CA3A9B">
        <w:rPr>
          <w:rFonts w:ascii="Footlight MT Light" w:hAnsi="Footlight MT Light"/>
          <w:sz w:val="28"/>
          <w:szCs w:val="28"/>
        </w:rPr>
        <w:t>,1</w:t>
      </w:r>
      <w:r w:rsidR="00ED516A" w:rsidRPr="002623E6">
        <w:rPr>
          <w:rFonts w:ascii="Footlight MT Light" w:hAnsi="Footlight MT Light"/>
          <w:sz w:val="28"/>
          <w:szCs w:val="28"/>
        </w:rPr>
        <w:t>% en milieu urbain et de 68,9% pour les actifs masculins à 8</w:t>
      </w:r>
      <w:r w:rsidR="00CA3A9B">
        <w:rPr>
          <w:rFonts w:ascii="Footlight MT Light" w:hAnsi="Footlight MT Light"/>
          <w:sz w:val="28"/>
          <w:szCs w:val="28"/>
        </w:rPr>
        <w:t>1</w:t>
      </w:r>
      <w:r w:rsidR="00ED516A" w:rsidRPr="002623E6">
        <w:rPr>
          <w:rFonts w:ascii="Footlight MT Light" w:hAnsi="Footlight MT Light"/>
          <w:sz w:val="28"/>
          <w:szCs w:val="28"/>
        </w:rPr>
        <w:t>% pour leurs homologues féminins.</w:t>
      </w:r>
    </w:p>
    <w:p w:rsidR="006B5F40" w:rsidRDefault="006B5F40">
      <w:pPr>
        <w:spacing w:line="360" w:lineRule="auto"/>
        <w:jc w:val="both"/>
        <w:rPr>
          <w:rFonts w:ascii="Footlight MT Light" w:hAnsi="Footlight MT Light"/>
          <w:sz w:val="12"/>
          <w:szCs w:val="12"/>
        </w:rPr>
      </w:pPr>
    </w:p>
    <w:p w:rsidR="006B5F40" w:rsidRPr="002623E6" w:rsidRDefault="00ED516A" w:rsidP="00CA3A9B">
      <w:pPr>
        <w:spacing w:line="360" w:lineRule="auto"/>
        <w:jc w:val="both"/>
        <w:rPr>
          <w:rFonts w:ascii="Footlight MT Light" w:hAnsi="Footlight MT Light"/>
          <w:sz w:val="28"/>
          <w:szCs w:val="28"/>
        </w:rPr>
      </w:pPr>
      <w:r w:rsidRPr="002623E6">
        <w:rPr>
          <w:rFonts w:ascii="Footlight MT Light" w:hAnsi="Footlight MT Light"/>
          <w:sz w:val="28"/>
          <w:szCs w:val="28"/>
        </w:rPr>
        <w:lastRenderedPageBreak/>
        <w:t xml:space="preserve">Dans le même contexte, le fait que la population en chômage représente la composante la plus favorisée de la population active en termes d'accès aux diplômes, a fait qu’elle soit également la composante la plus favorisée en termes d’alphabétisation. Ainsi, en 2014, si le taux d’alphabétisation des personnes âgées de 15 ans et plus s’est établi à 61,4% au niveau national, il atteint 88,9% parmi les chômeurs contre 62,9% pour les actifs occupés.  </w:t>
      </w:r>
    </w:p>
    <w:p w:rsidR="00DE28D9" w:rsidRPr="00DE28D9" w:rsidRDefault="00DE28D9">
      <w:pPr>
        <w:pStyle w:val="Corpsdetexte2"/>
        <w:rPr>
          <w:sz w:val="8"/>
          <w:szCs w:val="8"/>
        </w:rPr>
      </w:pPr>
    </w:p>
    <w:p w:rsidR="006B5F40" w:rsidRPr="002623E6" w:rsidRDefault="00ED516A">
      <w:pPr>
        <w:pStyle w:val="Corpsdetexte2"/>
        <w:rPr>
          <w:sz w:val="28"/>
          <w:szCs w:val="28"/>
        </w:rPr>
      </w:pPr>
      <w:r w:rsidRPr="00B67226">
        <w:rPr>
          <w:sz w:val="28"/>
          <w:szCs w:val="28"/>
        </w:rPr>
        <w:t>En termes</w:t>
      </w:r>
      <w:r w:rsidRPr="002623E6">
        <w:rPr>
          <w:sz w:val="28"/>
          <w:szCs w:val="28"/>
        </w:rPr>
        <w:t xml:space="preserve"> d’évolution, la période allant de 2000 à 2014 s’est caractérisée par une baisse tendancielle du phénomène du chômage. Son volume global a connu une baisse annuelle moyenne de 14 mille chômeurs,  il est passé de 1,37 à 1,17 million (soit 200 mille chômeurs en moins). Selon le milieu de résidence, le volume du chômage en milieu urbain a été amoindri de 182 mille personnes et celui du milieu rural de 18 mille. Par sexe, ce sont les actifs masculins qui ont bénéficié le plus de cette baisse avec, chaque année, 13 mille chômeurs en moins contre 1 mille pour les femmes.</w:t>
      </w:r>
    </w:p>
    <w:p w:rsidR="006B5F40" w:rsidRDefault="006B5F40">
      <w:pPr>
        <w:spacing w:line="360" w:lineRule="auto"/>
        <w:jc w:val="both"/>
        <w:rPr>
          <w:rFonts w:ascii="Footlight MT Light" w:hAnsi="Footlight MT Light"/>
          <w:sz w:val="12"/>
          <w:szCs w:val="12"/>
        </w:rPr>
      </w:pPr>
    </w:p>
    <w:p w:rsidR="006B5F40" w:rsidRPr="002623E6" w:rsidRDefault="002623E6" w:rsidP="002623E6">
      <w:pPr>
        <w:spacing w:line="360" w:lineRule="auto"/>
        <w:jc w:val="both"/>
        <w:rPr>
          <w:rFonts w:ascii="Footlight MT Light" w:hAnsi="Footlight MT Light"/>
          <w:sz w:val="28"/>
          <w:szCs w:val="28"/>
        </w:rPr>
      </w:pPr>
      <w:r w:rsidRPr="002623E6">
        <w:rPr>
          <w:rFonts w:ascii="Footlight MT Light" w:hAnsi="Footlight MT Light"/>
          <w:sz w:val="28"/>
          <w:szCs w:val="28"/>
        </w:rPr>
        <w:t>L</w:t>
      </w:r>
      <w:r w:rsidR="00ED516A" w:rsidRPr="002623E6">
        <w:rPr>
          <w:rFonts w:ascii="Footlight MT Light" w:hAnsi="Footlight MT Light"/>
          <w:sz w:val="28"/>
          <w:szCs w:val="28"/>
        </w:rPr>
        <w:t>es bénéficiaires de cette réduction sont surtout les jeunes âgés de 15 à 29 ans avec, 15 mille chômeurs en moins annuellement, suivis de ceux âgés de 30 à 39 ans avec 3 mille chômeurs en moins. En revanche, les adultes âgés de 40 à 59 ans, ont vu leur volume de chômage augmenter de 4 mille annuellement.</w:t>
      </w:r>
    </w:p>
    <w:p w:rsidR="006B5F40" w:rsidRDefault="006B5F40">
      <w:pPr>
        <w:spacing w:line="360" w:lineRule="auto"/>
        <w:jc w:val="both"/>
        <w:rPr>
          <w:rFonts w:ascii="Footlight MT Light" w:hAnsi="Footlight MT Light"/>
          <w:sz w:val="12"/>
          <w:szCs w:val="12"/>
        </w:rPr>
      </w:pPr>
    </w:p>
    <w:p w:rsidR="006B5F40" w:rsidRPr="00A97D09" w:rsidRDefault="00A97D09" w:rsidP="00A97D09">
      <w:pPr>
        <w:spacing w:line="360" w:lineRule="auto"/>
        <w:jc w:val="both"/>
        <w:rPr>
          <w:rFonts w:ascii="Footlight MT Light" w:hAnsi="Footlight MT Light"/>
          <w:sz w:val="28"/>
          <w:szCs w:val="28"/>
        </w:rPr>
      </w:pPr>
      <w:r>
        <w:rPr>
          <w:rFonts w:ascii="Footlight MT Light" w:hAnsi="Footlight MT Light"/>
          <w:sz w:val="28"/>
          <w:szCs w:val="28"/>
        </w:rPr>
        <w:t>L</w:t>
      </w:r>
      <w:r w:rsidR="00ED516A" w:rsidRPr="00A97D09">
        <w:rPr>
          <w:rFonts w:ascii="Footlight MT Light" w:hAnsi="Footlight MT Light"/>
          <w:sz w:val="28"/>
          <w:szCs w:val="28"/>
        </w:rPr>
        <w:t>e</w:t>
      </w:r>
      <w:r>
        <w:rPr>
          <w:rFonts w:ascii="Footlight MT Light" w:hAnsi="Footlight MT Light"/>
          <w:sz w:val="28"/>
          <w:szCs w:val="28"/>
        </w:rPr>
        <w:t xml:space="preserve"> </w:t>
      </w:r>
      <w:r w:rsidR="00ED516A" w:rsidRPr="00A97D09">
        <w:rPr>
          <w:rFonts w:ascii="Footlight MT Light" w:hAnsi="Footlight MT Light"/>
          <w:sz w:val="28"/>
          <w:szCs w:val="28"/>
        </w:rPr>
        <w:t>taux de chômage a enregistré</w:t>
      </w:r>
      <w:r>
        <w:rPr>
          <w:rFonts w:ascii="Footlight MT Light" w:hAnsi="Footlight MT Light"/>
          <w:sz w:val="28"/>
          <w:szCs w:val="28"/>
        </w:rPr>
        <w:t>,</w:t>
      </w:r>
      <w:r w:rsidR="00ED516A" w:rsidRPr="00A97D09">
        <w:rPr>
          <w:rFonts w:ascii="Footlight MT Light" w:hAnsi="Footlight MT Light"/>
          <w:sz w:val="28"/>
          <w:szCs w:val="28"/>
        </w:rPr>
        <w:t xml:space="preserve"> </w:t>
      </w:r>
      <w:r>
        <w:rPr>
          <w:rFonts w:ascii="Footlight MT Light" w:hAnsi="Footlight MT Light"/>
          <w:sz w:val="28"/>
          <w:szCs w:val="28"/>
        </w:rPr>
        <w:t xml:space="preserve">entre 2000 et 2014, </w:t>
      </w:r>
      <w:r w:rsidR="00ED516A" w:rsidRPr="00A97D09">
        <w:rPr>
          <w:rFonts w:ascii="Footlight MT Light" w:hAnsi="Footlight MT Light"/>
          <w:sz w:val="28"/>
          <w:szCs w:val="28"/>
        </w:rPr>
        <w:t xml:space="preserve">une baisse tendancielle profitant à toutes les catégories d’actifs. Il est passé de 13,4% à 9,9% au niveau national, de 21,4% à 14,8% en milieu urbain et de 5% à 4,2% en milieu rural où prédomine plutôt le sous emploi dont le taux a atteint, en 2014, 11,2% contre 9,5% en zones urbaines. </w:t>
      </w:r>
    </w:p>
    <w:p w:rsidR="006B5F40" w:rsidRPr="00A97D09" w:rsidRDefault="00ED516A">
      <w:pPr>
        <w:spacing w:line="360" w:lineRule="auto"/>
        <w:jc w:val="both"/>
        <w:rPr>
          <w:rFonts w:ascii="Footlight MT Light" w:hAnsi="Footlight MT Light"/>
          <w:sz w:val="12"/>
          <w:szCs w:val="12"/>
        </w:rPr>
      </w:pPr>
      <w:r w:rsidRPr="00A97D09">
        <w:rPr>
          <w:rFonts w:ascii="Footlight MT Light" w:hAnsi="Footlight MT Light"/>
          <w:sz w:val="28"/>
          <w:szCs w:val="28"/>
        </w:rPr>
        <w:t xml:space="preserve"> </w:t>
      </w:r>
    </w:p>
    <w:p w:rsidR="006B5F40" w:rsidRPr="00A97D09" w:rsidRDefault="00A97D09" w:rsidP="00A97D09">
      <w:pPr>
        <w:spacing w:line="360" w:lineRule="auto"/>
        <w:jc w:val="both"/>
        <w:rPr>
          <w:rFonts w:ascii="Footlight MT Light" w:hAnsi="Footlight MT Light"/>
          <w:sz w:val="28"/>
          <w:szCs w:val="28"/>
        </w:rPr>
      </w:pPr>
      <w:r>
        <w:rPr>
          <w:rFonts w:ascii="Footlight MT Light" w:hAnsi="Footlight MT Light"/>
          <w:sz w:val="28"/>
          <w:szCs w:val="28"/>
        </w:rPr>
        <w:t>L</w:t>
      </w:r>
      <w:r w:rsidR="00ED516A" w:rsidRPr="00A97D09">
        <w:rPr>
          <w:rFonts w:ascii="Footlight MT Light" w:hAnsi="Footlight MT Light"/>
          <w:sz w:val="28"/>
          <w:szCs w:val="28"/>
        </w:rPr>
        <w:t>e chômage reste</w:t>
      </w:r>
      <w:r>
        <w:rPr>
          <w:rFonts w:ascii="Footlight MT Light" w:hAnsi="Footlight MT Light"/>
          <w:sz w:val="28"/>
          <w:szCs w:val="28"/>
        </w:rPr>
        <w:t>,</w:t>
      </w:r>
      <w:r w:rsidR="00ED516A" w:rsidRPr="00A97D09">
        <w:rPr>
          <w:rFonts w:ascii="Footlight MT Light" w:hAnsi="Footlight MT Light"/>
          <w:sz w:val="28"/>
          <w:szCs w:val="28"/>
        </w:rPr>
        <w:t xml:space="preserve"> </w:t>
      </w:r>
      <w:r>
        <w:rPr>
          <w:rFonts w:ascii="Footlight MT Light" w:hAnsi="Footlight MT Light"/>
          <w:sz w:val="28"/>
          <w:szCs w:val="28"/>
        </w:rPr>
        <w:t xml:space="preserve">cependant, </w:t>
      </w:r>
      <w:r w:rsidR="00ED516A" w:rsidRPr="00A97D09">
        <w:rPr>
          <w:rFonts w:ascii="Footlight MT Light" w:hAnsi="Footlight MT Light"/>
          <w:sz w:val="28"/>
          <w:szCs w:val="28"/>
        </w:rPr>
        <w:t xml:space="preserve">encore élevé parmi les jeunes âgés de 15 à 24 ans pour lesquels, en 2014, le taux de chômage a atteint 20,1% au niveau national et 38,1% en milieu urbain. Il est également plus élevé parmi les diplômés ; il a atteint 15,5% parmi les diplômés de niveau moyen et 20,9% parmi ceux ayant un diplôme de niveau supérieur, pour lesquels la baisse a été de plus de 8 points depuis 2000. Selon les types de diplômes, les personnes les plus touchées sont notamment, les détenteurs de diplômes de </w:t>
      </w:r>
      <w:r w:rsidR="00ED516A" w:rsidRPr="00A97D09">
        <w:rPr>
          <w:rFonts w:ascii="Footlight MT Light" w:hAnsi="Footlight MT Light"/>
          <w:sz w:val="28"/>
          <w:szCs w:val="28"/>
        </w:rPr>
        <w:lastRenderedPageBreak/>
        <w:t xml:space="preserve">l’enseignement supérieur délivrés par les facultés (24,1%) et ceux ayant des diplômes de formation professionnelle de niveau spécialisation (22,4%), de niveau qualification professionnelle (22,1%) et les techniciens y compris les techniciens spécialisés (21,8%).   </w:t>
      </w:r>
    </w:p>
    <w:p w:rsidR="00B40C8D" w:rsidRDefault="00B40C8D">
      <w:pPr>
        <w:spacing w:line="360" w:lineRule="auto"/>
        <w:jc w:val="both"/>
        <w:rPr>
          <w:rFonts w:ascii="Footlight MT Light" w:hAnsi="Footlight MT Light"/>
          <w:sz w:val="12"/>
          <w:szCs w:val="12"/>
        </w:rPr>
      </w:pPr>
    </w:p>
    <w:p w:rsidR="006B5F40" w:rsidRPr="00B40C8D" w:rsidRDefault="00ED516A">
      <w:pPr>
        <w:spacing w:line="360" w:lineRule="auto"/>
        <w:ind w:right="357"/>
        <w:jc w:val="center"/>
        <w:rPr>
          <w:rFonts w:ascii="Footlight MT Light" w:hAnsi="Footlight MT Light"/>
          <w:color w:val="0070C0"/>
        </w:rPr>
      </w:pPr>
      <w:r w:rsidRPr="00B40C8D">
        <w:rPr>
          <w:rFonts w:ascii="Footlight MT Light" w:hAnsi="Footlight MT Light"/>
          <w:color w:val="0070C0"/>
        </w:rPr>
        <w:t>Graphique 9 : Taux de chômage selon le diplôme en 2014(en%)</w:t>
      </w:r>
    </w:p>
    <w:p w:rsidR="000A423A" w:rsidRPr="00486AC6" w:rsidRDefault="00721A7C" w:rsidP="002957AB">
      <w:pPr>
        <w:spacing w:line="360" w:lineRule="auto"/>
        <w:ind w:right="340"/>
        <w:rPr>
          <w:rFonts w:ascii="Footlight MT Light" w:hAnsi="Footlight MT Light"/>
          <w:sz w:val="16"/>
          <w:szCs w:val="16"/>
        </w:rPr>
      </w:pPr>
      <w:r>
        <w:rPr>
          <w:rFonts w:ascii="Footlight MT Light" w:hAnsi="Footlight MT Light"/>
          <w:noProof/>
          <w:sz w:val="26"/>
          <w:szCs w:val="26"/>
        </w:rPr>
        <w:drawing>
          <wp:inline distT="0" distB="0" distL="0" distR="0">
            <wp:extent cx="5757181" cy="2278016"/>
            <wp:effectExtent l="12185" t="6096" r="9134" b="1888"/>
            <wp:docPr id="9" name="Graphique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A423A" w:rsidRPr="00486AC6">
        <w:rPr>
          <w:rFonts w:ascii="Footlight MT Light" w:hAnsi="Footlight MT Light"/>
          <w:sz w:val="16"/>
          <w:szCs w:val="16"/>
        </w:rPr>
        <w:t xml:space="preserve">Source : Haut-commissariat au </w:t>
      </w:r>
      <w:r w:rsidR="001E3051">
        <w:rPr>
          <w:rFonts w:ascii="Footlight MT Light" w:hAnsi="Footlight MT Light"/>
          <w:sz w:val="16"/>
          <w:szCs w:val="16"/>
        </w:rPr>
        <w:t>Plan</w:t>
      </w:r>
      <w:r w:rsidR="000A423A" w:rsidRPr="00486AC6">
        <w:rPr>
          <w:rFonts w:ascii="Footlight MT Light" w:hAnsi="Footlight MT Light"/>
          <w:sz w:val="16"/>
          <w:szCs w:val="16"/>
        </w:rPr>
        <w:t>, Direction de la Statistique (Enquête nationale sur l’emploi).</w:t>
      </w:r>
    </w:p>
    <w:p w:rsidR="006B5F40" w:rsidRDefault="006B5F40">
      <w:pPr>
        <w:spacing w:line="360" w:lineRule="auto"/>
        <w:jc w:val="both"/>
        <w:rPr>
          <w:rFonts w:ascii="Footlight MT Light" w:hAnsi="Footlight MT Light"/>
          <w:sz w:val="12"/>
          <w:szCs w:val="12"/>
        </w:rPr>
      </w:pPr>
    </w:p>
    <w:p w:rsidR="006B5F40" w:rsidRPr="00F542C9" w:rsidRDefault="00ED516A" w:rsidP="00F542C9">
      <w:pPr>
        <w:spacing w:line="360" w:lineRule="auto"/>
        <w:jc w:val="both"/>
        <w:rPr>
          <w:rFonts w:ascii="Footlight MT Light" w:hAnsi="Footlight MT Light"/>
          <w:b/>
          <w:bCs/>
          <w:color w:val="800000"/>
          <w:sz w:val="30"/>
          <w:szCs w:val="30"/>
        </w:rPr>
      </w:pPr>
      <w:r w:rsidRPr="00F542C9">
        <w:rPr>
          <w:rFonts w:ascii="Footlight MT Light" w:hAnsi="Footlight MT Light"/>
          <w:b/>
          <w:bCs/>
          <w:color w:val="800000"/>
          <w:sz w:val="30"/>
          <w:szCs w:val="30"/>
        </w:rPr>
        <w:t xml:space="preserve">Le sous emploi, demeure </w:t>
      </w:r>
      <w:r w:rsidR="00F542C9" w:rsidRPr="00F542C9">
        <w:rPr>
          <w:rFonts w:ascii="Footlight MT Light" w:hAnsi="Footlight MT Light"/>
          <w:b/>
          <w:bCs/>
          <w:color w:val="800000"/>
          <w:sz w:val="30"/>
          <w:szCs w:val="30"/>
        </w:rPr>
        <w:t xml:space="preserve">répandu au niveau </w:t>
      </w:r>
      <w:r w:rsidRPr="00F542C9">
        <w:rPr>
          <w:rFonts w:ascii="Footlight MT Light" w:hAnsi="Footlight MT Light"/>
          <w:b/>
          <w:bCs/>
          <w:color w:val="800000"/>
          <w:sz w:val="30"/>
          <w:szCs w:val="30"/>
        </w:rPr>
        <w:t>de certains secteurs</w:t>
      </w:r>
    </w:p>
    <w:p w:rsidR="006B5F40" w:rsidRDefault="006B5F40">
      <w:pPr>
        <w:spacing w:line="360" w:lineRule="auto"/>
        <w:jc w:val="both"/>
        <w:rPr>
          <w:rFonts w:ascii="Footlight MT Light" w:hAnsi="Footlight MT Light"/>
          <w:b/>
          <w:bCs/>
          <w:color w:val="800000"/>
          <w:sz w:val="8"/>
          <w:szCs w:val="8"/>
        </w:rPr>
      </w:pPr>
    </w:p>
    <w:p w:rsidR="006B5F40" w:rsidRPr="00A97D09" w:rsidRDefault="00ED516A">
      <w:pPr>
        <w:spacing w:line="360" w:lineRule="auto"/>
        <w:jc w:val="both"/>
        <w:rPr>
          <w:rFonts w:ascii="Footlight MT Light" w:hAnsi="Footlight MT Light"/>
          <w:sz w:val="28"/>
          <w:szCs w:val="28"/>
        </w:rPr>
      </w:pPr>
      <w:r w:rsidRPr="00A97D09">
        <w:rPr>
          <w:rFonts w:ascii="Footlight MT Light" w:hAnsi="Footlight MT Light"/>
          <w:sz w:val="28"/>
          <w:szCs w:val="28"/>
        </w:rPr>
        <w:t xml:space="preserve">Au même titre que le chômage, le sous-emploi représente l’une des principales composantes de la sous-utilisation de la main d’œuvre. Il permet de renseigner sur les actifs occupés qui travaillent moins longtemps ou de façon moins productive qu’ils ne seraient en mesure et désireux de le faire. </w:t>
      </w:r>
    </w:p>
    <w:p w:rsidR="006B5F40" w:rsidRPr="00A97D09" w:rsidRDefault="006B5F40">
      <w:pPr>
        <w:pStyle w:val="Corpsdetexte"/>
        <w:ind w:right="397"/>
        <w:jc w:val="both"/>
        <w:rPr>
          <w:rFonts w:ascii="Footlight MT Light" w:hAnsi="Footlight MT Light"/>
          <w:sz w:val="12"/>
          <w:szCs w:val="12"/>
        </w:rPr>
      </w:pPr>
    </w:p>
    <w:p w:rsidR="006B5F40" w:rsidRPr="00A97D09" w:rsidRDefault="00ED516A">
      <w:pPr>
        <w:spacing w:line="360" w:lineRule="auto"/>
        <w:jc w:val="both"/>
        <w:rPr>
          <w:rFonts w:ascii="Footlight MT Light" w:hAnsi="Footlight MT Light"/>
          <w:sz w:val="28"/>
          <w:szCs w:val="28"/>
        </w:rPr>
      </w:pPr>
      <w:r w:rsidRPr="00A97D09">
        <w:rPr>
          <w:rFonts w:ascii="Footlight MT Light" w:hAnsi="Footlight MT Light"/>
          <w:sz w:val="28"/>
          <w:szCs w:val="28"/>
        </w:rPr>
        <w:t>Comme pour le chômage, le sous emploi a, lui aussi, connu une baisse tendancielle entre les années 2000 et 2014. En volume, il est passé, entre les deux années, de 1,295 à 1,100 million, soit 195 mille actifs occupés sous-employés en moins. Le taux de sous emploi, quant à lui, est passé, durant la même période, de 14,6% à 10,3%.</w:t>
      </w:r>
    </w:p>
    <w:p w:rsidR="006B5F40" w:rsidRPr="00A97D09" w:rsidRDefault="006B5F40">
      <w:pPr>
        <w:pStyle w:val="Corpsdetexte"/>
        <w:jc w:val="both"/>
        <w:rPr>
          <w:rFonts w:ascii="Footlight MT Light" w:hAnsi="Footlight MT Light"/>
          <w:sz w:val="12"/>
          <w:szCs w:val="12"/>
        </w:rPr>
      </w:pPr>
    </w:p>
    <w:p w:rsidR="006B5F40" w:rsidRPr="00A97D09" w:rsidRDefault="00ED516A">
      <w:pPr>
        <w:spacing w:line="360" w:lineRule="auto"/>
        <w:jc w:val="both"/>
        <w:rPr>
          <w:rFonts w:ascii="Footlight MT Light" w:hAnsi="Footlight MT Light"/>
          <w:sz w:val="28"/>
          <w:szCs w:val="28"/>
        </w:rPr>
      </w:pPr>
      <w:r w:rsidRPr="00A97D09">
        <w:rPr>
          <w:rFonts w:ascii="Footlight MT Light" w:hAnsi="Footlight MT Light"/>
          <w:sz w:val="28"/>
          <w:szCs w:val="28"/>
        </w:rPr>
        <w:t xml:space="preserve">En 2014, ce taux national cache des disparités importantes par catégorie de population. Il était de 11,2% en milieu rural contre 9,5% en milieu urbain ; de 11,9% parmi les hommes contre 6,1% parmi les femmes. Il est plus élevé chez les jeunes de 15 à 24 ans (14,6% contre 10,3% pour l’ensemble des actifs occupés âgés de 15 ans et plus). </w:t>
      </w:r>
    </w:p>
    <w:p w:rsidR="00A97D09" w:rsidRDefault="00A97D09">
      <w:pPr>
        <w:spacing w:line="360" w:lineRule="auto"/>
        <w:ind w:right="357"/>
        <w:jc w:val="center"/>
        <w:rPr>
          <w:rFonts w:ascii="Footlight MT Light" w:hAnsi="Footlight MT Light"/>
          <w:color w:val="0070C0"/>
        </w:rPr>
      </w:pPr>
    </w:p>
    <w:p w:rsidR="006B5F40" w:rsidRDefault="00ED516A" w:rsidP="00B40C8D">
      <w:pPr>
        <w:ind w:right="357"/>
        <w:jc w:val="center"/>
        <w:rPr>
          <w:rFonts w:ascii="Footlight MT Light" w:hAnsi="Footlight MT Light"/>
          <w:color w:val="0070C0"/>
        </w:rPr>
      </w:pPr>
      <w:r>
        <w:rPr>
          <w:rFonts w:ascii="Footlight MT Light" w:hAnsi="Footlight MT Light"/>
          <w:color w:val="0070C0"/>
        </w:rPr>
        <w:lastRenderedPageBreak/>
        <w:t>Graphique 10 : Evolution, entre 2000 et 2014, du taux de sous-emploi par milieu de résidence et sexe (en %).</w:t>
      </w:r>
    </w:p>
    <w:p w:rsidR="006B5F40" w:rsidRDefault="00721A7C">
      <w:pPr>
        <w:autoSpaceDE w:val="0"/>
        <w:autoSpaceDN w:val="0"/>
        <w:adjustRightInd w:val="0"/>
        <w:jc w:val="center"/>
        <w:rPr>
          <w:noProof/>
        </w:rPr>
      </w:pPr>
      <w:r>
        <w:rPr>
          <w:noProof/>
        </w:rPr>
        <w:drawing>
          <wp:inline distT="0" distB="0" distL="0" distR="0">
            <wp:extent cx="5973688" cy="2673618"/>
            <wp:effectExtent l="12198" t="6082" r="8514" b="0"/>
            <wp:docPr id="10" name="Graphique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A423A" w:rsidRPr="00486AC6" w:rsidRDefault="000A423A" w:rsidP="000A423A">
      <w:pPr>
        <w:spacing w:line="360" w:lineRule="auto"/>
        <w:ind w:right="340"/>
        <w:jc w:val="both"/>
        <w:rPr>
          <w:rFonts w:ascii="Footlight MT Light" w:hAnsi="Footlight MT Light"/>
          <w:sz w:val="16"/>
          <w:szCs w:val="16"/>
        </w:rPr>
      </w:pPr>
      <w:r w:rsidRPr="00486AC6">
        <w:rPr>
          <w:rFonts w:ascii="Footlight MT Light" w:hAnsi="Footlight MT Light"/>
          <w:sz w:val="16"/>
          <w:szCs w:val="16"/>
        </w:rPr>
        <w:t xml:space="preserve">Source : Haut-commissariat au </w:t>
      </w:r>
      <w:r w:rsidR="001E3051">
        <w:rPr>
          <w:rFonts w:ascii="Footlight MT Light" w:hAnsi="Footlight MT Light"/>
          <w:sz w:val="16"/>
          <w:szCs w:val="16"/>
        </w:rPr>
        <w:t>Plan</w:t>
      </w:r>
      <w:r w:rsidRPr="00486AC6">
        <w:rPr>
          <w:rFonts w:ascii="Footlight MT Light" w:hAnsi="Footlight MT Light"/>
          <w:sz w:val="16"/>
          <w:szCs w:val="16"/>
        </w:rPr>
        <w:t>, Direction de la Statistique (Enquête nationale sur l’emploi).</w:t>
      </w:r>
    </w:p>
    <w:p w:rsidR="006B5F40" w:rsidRPr="000A423A" w:rsidRDefault="006B5F40">
      <w:pPr>
        <w:autoSpaceDE w:val="0"/>
        <w:autoSpaceDN w:val="0"/>
        <w:adjustRightInd w:val="0"/>
        <w:jc w:val="center"/>
        <w:rPr>
          <w:rFonts w:ascii="Book Antiqua" w:hAnsi="Book Antiqua"/>
          <w:sz w:val="12"/>
          <w:szCs w:val="12"/>
        </w:rPr>
      </w:pPr>
    </w:p>
    <w:p w:rsidR="00DE28D9" w:rsidRDefault="00F542C9" w:rsidP="00F542C9">
      <w:pPr>
        <w:spacing w:line="360" w:lineRule="auto"/>
        <w:jc w:val="both"/>
        <w:rPr>
          <w:rFonts w:ascii="Footlight MT Light" w:hAnsi="Footlight MT Light"/>
          <w:sz w:val="28"/>
          <w:szCs w:val="28"/>
        </w:rPr>
      </w:pPr>
      <w:r w:rsidRPr="005214AB">
        <w:rPr>
          <w:rFonts w:ascii="Footlight MT Light" w:hAnsi="Footlight MT Light"/>
          <w:sz w:val="28"/>
          <w:szCs w:val="28"/>
        </w:rPr>
        <w:t>L</w:t>
      </w:r>
      <w:r w:rsidR="00ED516A" w:rsidRPr="005214AB">
        <w:rPr>
          <w:rFonts w:ascii="Footlight MT Light" w:hAnsi="Footlight MT Light"/>
          <w:sz w:val="28"/>
          <w:szCs w:val="28"/>
        </w:rPr>
        <w:t xml:space="preserve">es personnes exerçant dans les BTP, avec un taux de sous-emploi de 17% (26,1% en 2000), sont les plus touchées par ce phénomène au niveau national ; un constat relevé aussi bien en milieu urbain qu’en milieu rural. Les personnes exerçant dans le secteur de l’"agriculture, forêt et pêche" viennent en deuxième position avec 10,3% (14,5% en 2000).  </w:t>
      </w:r>
    </w:p>
    <w:p w:rsidR="006B5F40" w:rsidRPr="00DE28D9" w:rsidRDefault="00ED516A" w:rsidP="00F542C9">
      <w:pPr>
        <w:spacing w:line="360" w:lineRule="auto"/>
        <w:jc w:val="both"/>
        <w:rPr>
          <w:rFonts w:ascii="Footlight MT Light" w:hAnsi="Footlight MT Light"/>
          <w:sz w:val="8"/>
          <w:szCs w:val="8"/>
        </w:rPr>
      </w:pPr>
      <w:r w:rsidRPr="00DE28D9">
        <w:rPr>
          <w:rFonts w:ascii="Footlight MT Light" w:hAnsi="Footlight MT Light"/>
          <w:sz w:val="8"/>
          <w:szCs w:val="8"/>
        </w:rPr>
        <w:t xml:space="preserve"> </w:t>
      </w:r>
    </w:p>
    <w:p w:rsidR="00F542C9" w:rsidRPr="00F542C9" w:rsidRDefault="00F542C9">
      <w:pPr>
        <w:spacing w:line="360" w:lineRule="auto"/>
        <w:ind w:right="357"/>
        <w:jc w:val="center"/>
        <w:rPr>
          <w:rFonts w:ascii="Footlight MT Light" w:hAnsi="Footlight MT Light"/>
          <w:color w:val="0070C0"/>
          <w:sz w:val="12"/>
          <w:szCs w:val="12"/>
        </w:rPr>
      </w:pPr>
    </w:p>
    <w:p w:rsidR="006B5F40" w:rsidRDefault="00ED516A" w:rsidP="00B40C8D">
      <w:pPr>
        <w:ind w:right="357"/>
        <w:jc w:val="center"/>
        <w:rPr>
          <w:rFonts w:ascii="Footlight MT Light" w:hAnsi="Footlight MT Light"/>
          <w:color w:val="0070C0"/>
        </w:rPr>
      </w:pPr>
      <w:r>
        <w:rPr>
          <w:rFonts w:ascii="Footlight MT Light" w:hAnsi="Footlight MT Light"/>
          <w:color w:val="0070C0"/>
        </w:rPr>
        <w:t xml:space="preserve">Graphique 11 : Evolution, entre 2000 et 2014, du taux de sous-emploi (en%) par secteur d’activité économique </w:t>
      </w:r>
    </w:p>
    <w:p w:rsidR="006B5F40" w:rsidRDefault="00721A7C">
      <w:pPr>
        <w:jc w:val="center"/>
        <w:rPr>
          <w:rFonts w:ascii="Garamond" w:hAnsi="Garamond"/>
          <w:b/>
          <w:bCs/>
          <w:noProof/>
          <w:color w:val="0070C0"/>
          <w:sz w:val="26"/>
          <w:szCs w:val="26"/>
        </w:rPr>
      </w:pPr>
      <w:r>
        <w:rPr>
          <w:rFonts w:ascii="Garamond" w:hAnsi="Garamond"/>
          <w:b/>
          <w:bCs/>
          <w:noProof/>
          <w:color w:val="0070C0"/>
          <w:sz w:val="26"/>
          <w:szCs w:val="26"/>
        </w:rPr>
        <w:drawing>
          <wp:inline distT="0" distB="0" distL="0" distR="0">
            <wp:extent cx="5745718" cy="2279904"/>
            <wp:effectExtent l="12199" t="6096" r="7883" b="0"/>
            <wp:docPr id="11" name="Graphique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A423A" w:rsidRPr="00486AC6" w:rsidRDefault="000A423A" w:rsidP="000A423A">
      <w:pPr>
        <w:spacing w:line="360" w:lineRule="auto"/>
        <w:ind w:right="340"/>
        <w:jc w:val="both"/>
        <w:rPr>
          <w:rFonts w:ascii="Footlight MT Light" w:hAnsi="Footlight MT Light"/>
          <w:sz w:val="16"/>
          <w:szCs w:val="16"/>
        </w:rPr>
      </w:pPr>
      <w:r w:rsidRPr="00486AC6">
        <w:rPr>
          <w:rFonts w:ascii="Footlight MT Light" w:hAnsi="Footlight MT Light"/>
          <w:sz w:val="16"/>
          <w:szCs w:val="16"/>
        </w:rPr>
        <w:t xml:space="preserve">Source : Haut-commissariat au </w:t>
      </w:r>
      <w:r w:rsidR="001E3051">
        <w:rPr>
          <w:rFonts w:ascii="Footlight MT Light" w:hAnsi="Footlight MT Light"/>
          <w:sz w:val="16"/>
          <w:szCs w:val="16"/>
        </w:rPr>
        <w:t>Plan</w:t>
      </w:r>
      <w:r w:rsidRPr="00486AC6">
        <w:rPr>
          <w:rFonts w:ascii="Footlight MT Light" w:hAnsi="Footlight MT Light"/>
          <w:sz w:val="16"/>
          <w:szCs w:val="16"/>
        </w:rPr>
        <w:t>, Direction de la Statistique (Enquête nationale sur l’emploi).</w:t>
      </w:r>
    </w:p>
    <w:p w:rsidR="006B5F40" w:rsidRPr="000A423A" w:rsidRDefault="006B5F40">
      <w:pPr>
        <w:jc w:val="center"/>
        <w:rPr>
          <w:rFonts w:ascii="Garamond" w:hAnsi="Garamond"/>
          <w:b/>
          <w:bCs/>
          <w:color w:val="0070C0"/>
          <w:sz w:val="12"/>
          <w:szCs w:val="12"/>
        </w:rPr>
      </w:pPr>
    </w:p>
    <w:p w:rsidR="00DE28D9" w:rsidRPr="00DE28D9" w:rsidRDefault="00DE28D9">
      <w:pPr>
        <w:spacing w:line="360" w:lineRule="auto"/>
        <w:jc w:val="both"/>
        <w:rPr>
          <w:rFonts w:ascii="Footlight MT Light" w:hAnsi="Footlight MT Light"/>
          <w:sz w:val="8"/>
          <w:szCs w:val="8"/>
        </w:rPr>
      </w:pPr>
    </w:p>
    <w:p w:rsidR="00ED516A" w:rsidRPr="00F542C9" w:rsidRDefault="00ED516A">
      <w:pPr>
        <w:spacing w:line="360" w:lineRule="auto"/>
        <w:jc w:val="both"/>
        <w:rPr>
          <w:rFonts w:ascii="Footlight MT Light" w:hAnsi="Footlight MT Light"/>
          <w:sz w:val="28"/>
          <w:szCs w:val="28"/>
        </w:rPr>
      </w:pPr>
      <w:r w:rsidRPr="00F542C9">
        <w:rPr>
          <w:rFonts w:ascii="Footlight MT Light" w:hAnsi="Footlight MT Light"/>
          <w:sz w:val="28"/>
          <w:szCs w:val="28"/>
        </w:rPr>
        <w:t xml:space="preserve">Le taux de sous-emploi reste relativement faible dans les secteurs de l’industrie et des services. En 2014, il a atteint, au niveau de ces derniers, 8% et 9,4% respectivement contre 13,3% et 13,4% en 2000. </w:t>
      </w:r>
    </w:p>
    <w:sectPr w:rsidR="00ED516A" w:rsidRPr="00F542C9" w:rsidSect="00A171FB">
      <w:footerReference w:type="default" r:id="rId18"/>
      <w:pgSz w:w="11906" w:h="16838"/>
      <w:pgMar w:top="1418" w:right="1474" w:bottom="1418" w:left="147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519" w:rsidRDefault="00BF5519">
      <w:r>
        <w:separator/>
      </w:r>
    </w:p>
  </w:endnote>
  <w:endnote w:type="continuationSeparator" w:id="1">
    <w:p w:rsidR="00BF5519" w:rsidRDefault="00BF55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Footlight MT Light">
    <w:panose1 w:val="0204060206030A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F40" w:rsidRDefault="00320C17">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3314" type="#_x0000_t65" style="position:absolute;margin-left:525.2pt;margin-top:776.75pt;width:29pt;height:21.6pt;z-index:251657728;mso-position-horizontal-relative:page;mso-position-vertical-relative:page" o:allowincell="f" adj="14135" strokecolor="gray" strokeweight=".25pt">
          <v:textbox style="mso-next-textbox:#_x0000_s13314">
            <w:txbxContent>
              <w:p w:rsidR="006B5F40" w:rsidRDefault="00320C17">
                <w:pPr>
                  <w:jc w:val="center"/>
                </w:pPr>
                <w:r>
                  <w:fldChar w:fldCharType="begin"/>
                </w:r>
                <w:r w:rsidR="00ED516A">
                  <w:instrText xml:space="preserve"> PAGE    \* MERGEFORMAT </w:instrText>
                </w:r>
                <w:r>
                  <w:fldChar w:fldCharType="separate"/>
                </w:r>
                <w:r w:rsidR="00721A7C" w:rsidRPr="00721A7C">
                  <w:rPr>
                    <w:noProof/>
                    <w:sz w:val="16"/>
                    <w:szCs w:val="16"/>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519" w:rsidRDefault="00BF5519">
      <w:r>
        <w:separator/>
      </w:r>
    </w:p>
  </w:footnote>
  <w:footnote w:type="continuationSeparator" w:id="1">
    <w:p w:rsidR="00BF5519" w:rsidRDefault="00BF5519">
      <w:r>
        <w:continuationSeparator/>
      </w:r>
    </w:p>
  </w:footnote>
  <w:footnote w:id="2">
    <w:p w:rsidR="006B5F40" w:rsidRDefault="00ED516A" w:rsidP="00493D6C">
      <w:pPr>
        <w:pStyle w:val="Notedebasdepage"/>
      </w:pPr>
      <w:r>
        <w:rPr>
          <w:rStyle w:val="Appelnotedebasdep"/>
        </w:rPr>
        <w:footnoteRef/>
      </w:r>
      <w:r>
        <w:t xml:space="preserve"> </w:t>
      </w:r>
      <w:r>
        <w:rPr>
          <w:rFonts w:ascii="Book Antiqua" w:hAnsi="Book Antiqua"/>
          <w:sz w:val="18"/>
          <w:szCs w:val="18"/>
        </w:rPr>
        <w:t>Les diplômes de n</w:t>
      </w:r>
      <w:r>
        <w:rPr>
          <w:rFonts w:ascii="Book Antiqua" w:hAnsi="Book Antiqua"/>
          <w:spacing w:val="-2"/>
          <w:sz w:val="18"/>
          <w:szCs w:val="18"/>
          <w:lang w:eastAsia="en-US"/>
        </w:rPr>
        <w:t>iveau moyen regroupent les certificats de l'enseignement primaire, ceux du secondaire collégial et les diplômes de qualification ou de spécialisation professionnelle.</w:t>
      </w:r>
    </w:p>
  </w:footnote>
  <w:footnote w:id="3">
    <w:p w:rsidR="006B5F40" w:rsidRDefault="00ED516A">
      <w:pPr>
        <w:pStyle w:val="Corpsdetexte"/>
        <w:rPr>
          <w:rFonts w:ascii="Book Antiqua" w:hAnsi="Book Antiqua"/>
          <w:sz w:val="18"/>
          <w:szCs w:val="18"/>
        </w:rPr>
      </w:pPr>
      <w:r>
        <w:rPr>
          <w:rStyle w:val="Appelnotedebasdep"/>
        </w:rPr>
        <w:footnoteRef/>
      </w:r>
      <w:r>
        <w:t xml:space="preserve"> </w:t>
      </w:r>
      <w:r>
        <w:rPr>
          <w:rFonts w:ascii="Book Antiqua" w:hAnsi="Book Antiqua"/>
          <w:sz w:val="18"/>
          <w:szCs w:val="18"/>
        </w:rPr>
        <w:t>Les diplômes de n</w:t>
      </w:r>
      <w:r>
        <w:rPr>
          <w:rFonts w:ascii="Book Antiqua" w:hAnsi="Book Antiqua"/>
          <w:spacing w:val="-2"/>
          <w:sz w:val="18"/>
          <w:szCs w:val="18"/>
          <w:lang w:eastAsia="en-US"/>
        </w:rPr>
        <w:t>iveau</w:t>
      </w:r>
      <w:r>
        <w:rPr>
          <w:rFonts w:ascii="Book Antiqua" w:hAnsi="Book Antiqua"/>
          <w:sz w:val="18"/>
          <w:szCs w:val="18"/>
        </w:rPr>
        <w:t xml:space="preserve"> supérieur </w:t>
      </w:r>
      <w:r>
        <w:rPr>
          <w:rFonts w:ascii="Book Antiqua" w:hAnsi="Book Antiqua"/>
          <w:spacing w:val="-2"/>
          <w:sz w:val="18"/>
          <w:szCs w:val="18"/>
          <w:lang w:eastAsia="en-US"/>
        </w:rPr>
        <w:t>regroupent les b</w:t>
      </w:r>
      <w:r>
        <w:rPr>
          <w:rFonts w:ascii="Book Antiqua" w:hAnsi="Book Antiqua"/>
          <w:sz w:val="18"/>
          <w:szCs w:val="18"/>
        </w:rPr>
        <w:t>accalauréats, les diplômes de techniciens ou de techniciens   spécialisés et les diplômes d'enseignement supérieur (facultés, grandes écoles et instituts).</w:t>
      </w:r>
    </w:p>
    <w:p w:rsidR="006B5F40" w:rsidRDefault="006B5F40">
      <w:pPr>
        <w:pStyle w:val="Notedebasdepag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593983"/>
    <w:multiLevelType w:val="hybridMultilevel"/>
    <w:tmpl w:val="4614D4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27F3A10"/>
    <w:multiLevelType w:val="hybridMultilevel"/>
    <w:tmpl w:val="5B0E8CA8"/>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802E55"/>
    <w:multiLevelType w:val="hybridMultilevel"/>
    <w:tmpl w:val="57FE3C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F1239D6"/>
    <w:multiLevelType w:val="hybridMultilevel"/>
    <w:tmpl w:val="27E2970E"/>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FE142B"/>
    <w:multiLevelType w:val="hybridMultilevel"/>
    <w:tmpl w:val="EDECF442"/>
    <w:lvl w:ilvl="0" w:tplc="08A4DC1E">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2F56D4"/>
    <w:multiLevelType w:val="hybridMultilevel"/>
    <w:tmpl w:val="75526C8C"/>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157B32"/>
    <w:multiLevelType w:val="hybridMultilevel"/>
    <w:tmpl w:val="EFB6C4E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2"/>
  </w:num>
  <w:num w:numId="4">
    <w:abstractNumId w:val="3"/>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20"/>
  <w:displayHorizontalDrawingGridEvery w:val="2"/>
  <w:characterSpacingControl w:val="doNotCompress"/>
  <w:hdrShapeDefaults>
    <o:shapedefaults v:ext="edit" spidmax="45058"/>
    <o:shapelayout v:ext="edit">
      <o:idmap v:ext="edit" data="13"/>
    </o:shapelayout>
  </w:hdrShapeDefaults>
  <w:footnotePr>
    <w:footnote w:id="0"/>
    <w:footnote w:id="1"/>
  </w:footnotePr>
  <w:endnotePr>
    <w:endnote w:id="0"/>
    <w:endnote w:id="1"/>
  </w:endnotePr>
  <w:compat/>
  <w:rsids>
    <w:rsidRoot w:val="005C63F4"/>
    <w:rsid w:val="00032AC3"/>
    <w:rsid w:val="00040C74"/>
    <w:rsid w:val="0008056B"/>
    <w:rsid w:val="000A423A"/>
    <w:rsid w:val="000C3907"/>
    <w:rsid w:val="000F0EA6"/>
    <w:rsid w:val="000F6064"/>
    <w:rsid w:val="000F790E"/>
    <w:rsid w:val="001276F6"/>
    <w:rsid w:val="00155C6E"/>
    <w:rsid w:val="00172B11"/>
    <w:rsid w:val="001C318D"/>
    <w:rsid w:val="001D167A"/>
    <w:rsid w:val="001E3051"/>
    <w:rsid w:val="00207332"/>
    <w:rsid w:val="002145B2"/>
    <w:rsid w:val="00217CCC"/>
    <w:rsid w:val="00255659"/>
    <w:rsid w:val="002614C9"/>
    <w:rsid w:val="002623E6"/>
    <w:rsid w:val="002805E3"/>
    <w:rsid w:val="00281F2B"/>
    <w:rsid w:val="00282BCA"/>
    <w:rsid w:val="00284B24"/>
    <w:rsid w:val="002957AB"/>
    <w:rsid w:val="002A3214"/>
    <w:rsid w:val="0031635A"/>
    <w:rsid w:val="00320C17"/>
    <w:rsid w:val="00326B6D"/>
    <w:rsid w:val="003524F9"/>
    <w:rsid w:val="00353A09"/>
    <w:rsid w:val="00386A1E"/>
    <w:rsid w:val="00393A38"/>
    <w:rsid w:val="003A68F9"/>
    <w:rsid w:val="003B4B1A"/>
    <w:rsid w:val="0041680E"/>
    <w:rsid w:val="004200F7"/>
    <w:rsid w:val="00436487"/>
    <w:rsid w:val="00443A86"/>
    <w:rsid w:val="004469C2"/>
    <w:rsid w:val="004474FD"/>
    <w:rsid w:val="00453D38"/>
    <w:rsid w:val="00486AC6"/>
    <w:rsid w:val="004876DA"/>
    <w:rsid w:val="00493D6C"/>
    <w:rsid w:val="004A1C6D"/>
    <w:rsid w:val="004B0A65"/>
    <w:rsid w:val="004B29EE"/>
    <w:rsid w:val="004D4214"/>
    <w:rsid w:val="005214AB"/>
    <w:rsid w:val="005329EF"/>
    <w:rsid w:val="00555255"/>
    <w:rsid w:val="005567C5"/>
    <w:rsid w:val="005842C0"/>
    <w:rsid w:val="005C63F4"/>
    <w:rsid w:val="005D3796"/>
    <w:rsid w:val="00646644"/>
    <w:rsid w:val="00653E74"/>
    <w:rsid w:val="00685613"/>
    <w:rsid w:val="006B5F40"/>
    <w:rsid w:val="006E2912"/>
    <w:rsid w:val="006E34C3"/>
    <w:rsid w:val="006F1605"/>
    <w:rsid w:val="006F31A8"/>
    <w:rsid w:val="006F4415"/>
    <w:rsid w:val="00721A7C"/>
    <w:rsid w:val="0073030F"/>
    <w:rsid w:val="007A4B91"/>
    <w:rsid w:val="007E517F"/>
    <w:rsid w:val="007F2B96"/>
    <w:rsid w:val="00827853"/>
    <w:rsid w:val="008556F4"/>
    <w:rsid w:val="00864B15"/>
    <w:rsid w:val="00894E33"/>
    <w:rsid w:val="008A0C63"/>
    <w:rsid w:val="009237AA"/>
    <w:rsid w:val="0092491B"/>
    <w:rsid w:val="00951378"/>
    <w:rsid w:val="00971D94"/>
    <w:rsid w:val="00973D9A"/>
    <w:rsid w:val="009741FD"/>
    <w:rsid w:val="00983081"/>
    <w:rsid w:val="00993B24"/>
    <w:rsid w:val="009A4A62"/>
    <w:rsid w:val="009B4B16"/>
    <w:rsid w:val="009C2295"/>
    <w:rsid w:val="009D312E"/>
    <w:rsid w:val="009E771A"/>
    <w:rsid w:val="009E7737"/>
    <w:rsid w:val="009F055F"/>
    <w:rsid w:val="009F1F43"/>
    <w:rsid w:val="009F62C4"/>
    <w:rsid w:val="009F6CC6"/>
    <w:rsid w:val="009F70D7"/>
    <w:rsid w:val="00A171FB"/>
    <w:rsid w:val="00A23722"/>
    <w:rsid w:val="00A53BAB"/>
    <w:rsid w:val="00A5757F"/>
    <w:rsid w:val="00A77D32"/>
    <w:rsid w:val="00A812E2"/>
    <w:rsid w:val="00A97D09"/>
    <w:rsid w:val="00AA31BF"/>
    <w:rsid w:val="00AA5D25"/>
    <w:rsid w:val="00AA6764"/>
    <w:rsid w:val="00AC248C"/>
    <w:rsid w:val="00AC4FCE"/>
    <w:rsid w:val="00B22551"/>
    <w:rsid w:val="00B27937"/>
    <w:rsid w:val="00B40C8D"/>
    <w:rsid w:val="00B50E5C"/>
    <w:rsid w:val="00B67226"/>
    <w:rsid w:val="00BC70F7"/>
    <w:rsid w:val="00BF5519"/>
    <w:rsid w:val="00C35828"/>
    <w:rsid w:val="00C435A9"/>
    <w:rsid w:val="00C45A6F"/>
    <w:rsid w:val="00C66828"/>
    <w:rsid w:val="00C80298"/>
    <w:rsid w:val="00C90F2C"/>
    <w:rsid w:val="00CA3A9B"/>
    <w:rsid w:val="00CA6CCC"/>
    <w:rsid w:val="00CB71CA"/>
    <w:rsid w:val="00CD4CC5"/>
    <w:rsid w:val="00CE5E95"/>
    <w:rsid w:val="00D56429"/>
    <w:rsid w:val="00D63F7F"/>
    <w:rsid w:val="00D6679D"/>
    <w:rsid w:val="00D806CC"/>
    <w:rsid w:val="00DC4BFF"/>
    <w:rsid w:val="00DE28D9"/>
    <w:rsid w:val="00DE3695"/>
    <w:rsid w:val="00E26DDA"/>
    <w:rsid w:val="00E37CE7"/>
    <w:rsid w:val="00E40000"/>
    <w:rsid w:val="00E96E22"/>
    <w:rsid w:val="00EB7D90"/>
    <w:rsid w:val="00ED516A"/>
    <w:rsid w:val="00EE132B"/>
    <w:rsid w:val="00F0649F"/>
    <w:rsid w:val="00F14760"/>
    <w:rsid w:val="00F300BC"/>
    <w:rsid w:val="00F33CFE"/>
    <w:rsid w:val="00F50299"/>
    <w:rsid w:val="00F542C9"/>
    <w:rsid w:val="00F67F23"/>
    <w:rsid w:val="00F77177"/>
    <w:rsid w:val="00F972D8"/>
    <w:rsid w:val="00FB1064"/>
    <w:rsid w:val="00FE43C0"/>
    <w:rsid w:val="00FF3F0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F40"/>
    <w:rPr>
      <w:rFonts w:ascii="Times New Roman" w:eastAsia="Times New Roman" w:hAnsi="Times New Roman" w:cs="Times New Roman"/>
      <w:sz w:val="24"/>
      <w:szCs w:val="24"/>
    </w:rPr>
  </w:style>
  <w:style w:type="paragraph" w:styleId="Titre1">
    <w:name w:val="heading 1"/>
    <w:basedOn w:val="Normal"/>
    <w:next w:val="Normal"/>
    <w:qFormat/>
    <w:rsid w:val="006B5F40"/>
    <w:pPr>
      <w:keepNext/>
      <w:bidi/>
      <w:spacing w:before="240" w:after="60"/>
      <w:outlineLvl w:val="0"/>
    </w:pPr>
    <w:rPr>
      <w:rFonts w:ascii="Arial" w:hAnsi="Arial" w:cs="Arial"/>
      <w:b/>
      <w:bCs/>
      <w:noProof/>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6B5F40"/>
    <w:pPr>
      <w:overflowPunct w:val="0"/>
      <w:autoSpaceDE w:val="0"/>
      <w:autoSpaceDN w:val="0"/>
      <w:adjustRightInd w:val="0"/>
      <w:ind w:left="720"/>
      <w:contextualSpacing/>
      <w:textAlignment w:val="baseline"/>
    </w:pPr>
  </w:style>
  <w:style w:type="paragraph" w:styleId="Textedebulles">
    <w:name w:val="Balloon Text"/>
    <w:basedOn w:val="Normal"/>
    <w:semiHidden/>
    <w:unhideWhenUsed/>
    <w:rsid w:val="006B5F40"/>
    <w:rPr>
      <w:rFonts w:ascii="Tahoma" w:hAnsi="Tahoma" w:cs="Tahoma"/>
      <w:sz w:val="16"/>
      <w:szCs w:val="16"/>
    </w:rPr>
  </w:style>
  <w:style w:type="character" w:customStyle="1" w:styleId="TextedebullesCar">
    <w:name w:val="Texte de bulles Car"/>
    <w:basedOn w:val="Policepardfaut"/>
    <w:semiHidden/>
    <w:rsid w:val="006B5F40"/>
    <w:rPr>
      <w:rFonts w:ascii="Tahoma" w:eastAsia="Times New Roman" w:hAnsi="Tahoma" w:cs="Tahoma"/>
      <w:sz w:val="16"/>
      <w:szCs w:val="16"/>
      <w:lang w:eastAsia="fr-FR"/>
    </w:rPr>
  </w:style>
  <w:style w:type="paragraph" w:styleId="En-tte">
    <w:name w:val="header"/>
    <w:basedOn w:val="Normal"/>
    <w:semiHidden/>
    <w:unhideWhenUsed/>
    <w:rsid w:val="006B5F40"/>
    <w:pPr>
      <w:tabs>
        <w:tab w:val="center" w:pos="4536"/>
        <w:tab w:val="right" w:pos="9072"/>
      </w:tabs>
    </w:pPr>
  </w:style>
  <w:style w:type="character" w:customStyle="1" w:styleId="En-tteCar">
    <w:name w:val="En-tête Car"/>
    <w:basedOn w:val="Policepardfaut"/>
    <w:semiHidden/>
    <w:rsid w:val="006B5F40"/>
    <w:rPr>
      <w:rFonts w:ascii="Times New Roman" w:eastAsia="Times New Roman" w:hAnsi="Times New Roman" w:cs="Times New Roman"/>
      <w:sz w:val="24"/>
      <w:szCs w:val="24"/>
      <w:lang w:eastAsia="fr-FR"/>
    </w:rPr>
  </w:style>
  <w:style w:type="paragraph" w:styleId="Pieddepage">
    <w:name w:val="footer"/>
    <w:basedOn w:val="Normal"/>
    <w:semiHidden/>
    <w:unhideWhenUsed/>
    <w:rsid w:val="006B5F40"/>
    <w:pPr>
      <w:tabs>
        <w:tab w:val="center" w:pos="4536"/>
        <w:tab w:val="right" w:pos="9072"/>
      </w:tabs>
    </w:pPr>
  </w:style>
  <w:style w:type="character" w:customStyle="1" w:styleId="PieddepageCar">
    <w:name w:val="Pied de page Car"/>
    <w:basedOn w:val="Policepardfaut"/>
    <w:rsid w:val="006B5F40"/>
    <w:rPr>
      <w:rFonts w:ascii="Times New Roman" w:eastAsia="Times New Roman" w:hAnsi="Times New Roman" w:cs="Times New Roman"/>
      <w:sz w:val="24"/>
      <w:szCs w:val="24"/>
      <w:lang w:eastAsia="fr-FR"/>
    </w:rPr>
  </w:style>
  <w:style w:type="paragraph" w:styleId="Corpsdetexte">
    <w:name w:val="Body Text"/>
    <w:basedOn w:val="Normal"/>
    <w:semiHidden/>
    <w:rsid w:val="006B5F40"/>
    <w:pPr>
      <w:jc w:val="lowKashida"/>
    </w:pPr>
    <w:rPr>
      <w:szCs w:val="20"/>
    </w:rPr>
  </w:style>
  <w:style w:type="character" w:customStyle="1" w:styleId="CorpsdetexteCar">
    <w:name w:val="Corps de texte Car"/>
    <w:basedOn w:val="Policepardfaut"/>
    <w:semiHidden/>
    <w:rsid w:val="006B5F40"/>
    <w:rPr>
      <w:rFonts w:ascii="Times New Roman" w:eastAsia="Times New Roman" w:hAnsi="Times New Roman" w:cs="Times New Roman"/>
      <w:sz w:val="24"/>
      <w:szCs w:val="20"/>
      <w:lang w:eastAsia="fr-FR"/>
    </w:rPr>
  </w:style>
  <w:style w:type="paragraph" w:styleId="Notedebasdepage">
    <w:name w:val="footnote text"/>
    <w:basedOn w:val="Normal"/>
    <w:semiHidden/>
    <w:rsid w:val="006B5F40"/>
    <w:rPr>
      <w:sz w:val="20"/>
      <w:szCs w:val="20"/>
    </w:rPr>
  </w:style>
  <w:style w:type="character" w:customStyle="1" w:styleId="NotedebasdepageCar">
    <w:name w:val="Note de bas de page Car"/>
    <w:basedOn w:val="Policepardfaut"/>
    <w:semiHidden/>
    <w:rsid w:val="006B5F40"/>
    <w:rPr>
      <w:rFonts w:ascii="Times New Roman" w:eastAsia="Times New Roman" w:hAnsi="Times New Roman" w:cs="Times New Roman"/>
    </w:rPr>
  </w:style>
  <w:style w:type="character" w:styleId="Appelnotedebasdep">
    <w:name w:val="footnote reference"/>
    <w:basedOn w:val="Policepardfaut"/>
    <w:semiHidden/>
    <w:unhideWhenUsed/>
    <w:rsid w:val="006B5F40"/>
    <w:rPr>
      <w:vertAlign w:val="superscript"/>
    </w:rPr>
  </w:style>
  <w:style w:type="character" w:customStyle="1" w:styleId="Titre1Car">
    <w:name w:val="Titre 1 Car"/>
    <w:basedOn w:val="Policepardfaut"/>
    <w:rsid w:val="006B5F40"/>
    <w:rPr>
      <w:rFonts w:ascii="Arial" w:eastAsia="Times New Roman" w:hAnsi="Arial"/>
      <w:b/>
      <w:bCs/>
      <w:noProof/>
      <w:kern w:val="32"/>
      <w:sz w:val="32"/>
      <w:szCs w:val="32"/>
    </w:rPr>
  </w:style>
  <w:style w:type="paragraph" w:styleId="Corpsdetexte2">
    <w:name w:val="Body Text 2"/>
    <w:basedOn w:val="Normal"/>
    <w:semiHidden/>
    <w:rsid w:val="006B5F40"/>
    <w:pPr>
      <w:spacing w:line="360" w:lineRule="auto"/>
      <w:jc w:val="both"/>
    </w:pPr>
    <w:rPr>
      <w:rFonts w:ascii="Footlight MT Light" w:hAnsi="Footlight MT Light"/>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oleObject" Target="file:///C:\AA__Nouveau__ordinateur%20+\Annee_2012\Mr%20le%20Ministre%20les%20travaux%20qu'il%20demande\s&#233;ries%20de%20donn&#233;es%201999__2004\taux%20d'activit&#233;__pop%2015+%20%20milieu%20&#226;ge%20et%20sexe__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AA__Nouveau__ordinateur%20+\Annee_2012\Mr%20le%20Ministre%20les%20travaux%20qu'il%20demande\s&#233;ries%20de%20donn&#233;es%201999__2004\taux%20de%20sous%20emploi%20selon%20le%20milieu%20sexe%20et%20secteur__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AA__Nouveau__ordinateur%20+\Annee_2012\Mr%20le%20Ministre%20les%20travaux%20qu'il%20demande\s&#233;ries%20de%20donn&#233;es%201999__2004\taux%20de%20sous%20emploi%20selon%20le%20milieu%20sexe%20et%20secteur__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AA__Nouveau__ordinateur%20+\Annee_2012\Mr%20le%20Ministre%20les%20travaux%20qu'il%20demande\s&#233;ries%20de%20donn&#233;es%201999__2004\taux%20scolarisation%2015%20&#224;%2024%20ans%20__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AA__Nouveau__ordinateur%20+\Annee_2012\Mr%20le%20Ministre%20les%20travaux%20qu'il%20demande\s&#233;ries%20de%20donn&#233;es%201999__2004\taux%20f&#233;minisation_age_pop%20actives%2015%20plus__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AA__Nouveau__ordinateur%20+\Annee_2012\Mr%20le%20Ministre%20les%20travaux%20qu'il%20demande\s&#233;ries%20de%20donn&#233;es%201999__2004\pop%20active%20occup%20milieu%20sexe%20secteur%20%20l'age_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AA__Nouveau__ordinateur%20+\Annee_2012\Mr%20le%20Ministre%20les%20travaux%20qu'il%20demande\s&#233;ries%20de%20donn&#233;es%201999__2004\pop%20active%20occup%20milieu%20sexe%20secteur%20%20l'age_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ocuments\pop%20active%20occup%20milieu%20sexe%20secteur%20%20l'age_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AA__Nouveau__ordinateur%20+\Annee_2012\Mr%20le%20Ministre%20les%20travaux%20qu'il%20demande\Th&#233;matiques%20&#224;%20actualiser\Synth&#233;se%202014\taux%20de%20f&#233;minisation%20%20professions__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AA__Nouveau__ordinateur%20+\Annee_2012\Mr%20le%20Ministre%20les%20travaux%20qu'il%20demande\s&#233;ries%20de%20donn&#233;es%201999__2004\part%20des%20dipl&#244;m&#233;s%20parmi%20les%20actifs%20occup&#233;s%20selo%20le%20milieu%20sexe%20secteur__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HP\Desktop\trimestre%204%202014\Traitement%20%201\traitement%202\Traitement%203\Fichiers%20relatifs%20&#224;%20l'ann&#233;e%202014\Grafiques%20des%20notes%20emploi%20__jam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plotArea>
      <c:layout/>
      <c:lineChart>
        <c:grouping val="standard"/>
        <c:ser>
          <c:idx val="0"/>
          <c:order val="0"/>
          <c:tx>
            <c:strRef>
              <c:f>Feuil1!$A$2</c:f>
              <c:strCache>
                <c:ptCount val="1"/>
                <c:pt idx="0">
                  <c:v>Taux d'activité 15-24 ans </c:v>
                </c:pt>
              </c:strCache>
            </c:strRef>
          </c:tx>
          <c:marker>
            <c:symbol val="none"/>
          </c:marker>
          <c:dLbls>
            <c:dLbl>
              <c:idx val="0"/>
              <c:layout>
                <c:manualLayout>
                  <c:x val="-4.2723631508678597E-2"/>
                  <c:y val="-2.6755843448119088E-2"/>
                </c:manualLayout>
              </c:layout>
              <c:showVal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layout>
                <c:manualLayout>
                  <c:x val="-2.4922118380062436E-2"/>
                  <c:y val="-3.5674457930825292E-2"/>
                </c:manualLayout>
              </c:layout>
              <c:showVal val="1"/>
            </c:dLbl>
            <c:txPr>
              <a:bodyPr/>
              <a:lstStyle/>
              <a:p>
                <a:pPr>
                  <a:defRPr b="1"/>
                </a:pPr>
                <a:endParaRPr lang="fr-FR"/>
              </a:p>
            </c:txPr>
            <c:showVal val="1"/>
          </c:dLbls>
          <c:cat>
            <c:numRef>
              <c:f>Feuil1!$B$1:$P$1</c:f>
              <c:numCache>
                <c:formatCode>General</c:formatCod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numCache>
            </c:numRef>
          </c:cat>
          <c:val>
            <c:numRef>
              <c:f>Feuil1!$B$2:$P$2</c:f>
              <c:numCache>
                <c:formatCode>#,##0.0</c:formatCode>
                <c:ptCount val="15"/>
                <c:pt idx="0">
                  <c:v>45.798107112993122</c:v>
                </c:pt>
                <c:pt idx="1">
                  <c:v>42.796008237776213</c:v>
                </c:pt>
                <c:pt idx="2">
                  <c:v>42.040670212206003</c:v>
                </c:pt>
                <c:pt idx="3">
                  <c:v>43.657915430346577</c:v>
                </c:pt>
                <c:pt idx="4">
                  <c:v>42.672927483115124</c:v>
                </c:pt>
                <c:pt idx="5">
                  <c:v>41.139166903706595</c:v>
                </c:pt>
                <c:pt idx="6">
                  <c:v>40.107052971322304</c:v>
                </c:pt>
                <c:pt idx="7">
                  <c:v>39.594278938236783</c:v>
                </c:pt>
                <c:pt idx="8">
                  <c:v>38.939868382007475</c:v>
                </c:pt>
                <c:pt idx="9">
                  <c:v>36.986184084592807</c:v>
                </c:pt>
                <c:pt idx="10">
                  <c:v>36.19186220571445</c:v>
                </c:pt>
                <c:pt idx="11">
                  <c:v>34.990809189043219</c:v>
                </c:pt>
                <c:pt idx="12">
                  <c:v>33.495839804783763</c:v>
                </c:pt>
                <c:pt idx="13">
                  <c:v>32.22563280010548</c:v>
                </c:pt>
                <c:pt idx="14">
                  <c:v>32.178899869246422</c:v>
                </c:pt>
              </c:numCache>
            </c:numRef>
          </c:val>
        </c:ser>
        <c:ser>
          <c:idx val="1"/>
          <c:order val="1"/>
          <c:tx>
            <c:strRef>
              <c:f>Feuil1!$A$3</c:f>
              <c:strCache>
                <c:ptCount val="1"/>
                <c:pt idx="0">
                  <c:v>Taux d'activité national</c:v>
                </c:pt>
              </c:strCache>
            </c:strRef>
          </c:tx>
          <c:spPr>
            <a:ln>
              <a:solidFill>
                <a:srgbClr val="C0504D">
                  <a:shade val="95000"/>
                  <a:satMod val="105000"/>
                </a:srgbClr>
              </a:solidFill>
            </a:ln>
          </c:spPr>
          <c:marker>
            <c:symbol val="none"/>
          </c:marker>
          <c:dLbls>
            <c:dLbl>
              <c:idx val="0"/>
              <c:layout>
                <c:manualLayout>
                  <c:x val="-3.9163469052349791E-2"/>
                  <c:y val="-2.2296536206765801E-2"/>
                </c:manualLayout>
              </c:layout>
              <c:showVal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layout>
                <c:manualLayout>
                  <c:x val="-2.1361955923733786E-2"/>
                  <c:y val="-3.5674457930825292E-2"/>
                </c:manualLayout>
              </c:layout>
              <c:showVal val="1"/>
            </c:dLbl>
            <c:txPr>
              <a:bodyPr/>
              <a:lstStyle/>
              <a:p>
                <a:pPr>
                  <a:defRPr b="1"/>
                </a:pPr>
                <a:endParaRPr lang="fr-FR"/>
              </a:p>
            </c:txPr>
            <c:showVal val="1"/>
          </c:dLbls>
          <c:cat>
            <c:numRef>
              <c:f>Feuil1!$B$1:$P$1</c:f>
              <c:numCache>
                <c:formatCode>General</c:formatCod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numCache>
            </c:numRef>
          </c:cat>
          <c:val>
            <c:numRef>
              <c:f>Feuil1!$B$3:$P$3</c:f>
              <c:numCache>
                <c:formatCode>#,##0.0</c:formatCode>
                <c:ptCount val="15"/>
                <c:pt idx="0">
                  <c:v>53.071897666551486</c:v>
                </c:pt>
                <c:pt idx="1">
                  <c:v>51.43670286071692</c:v>
                </c:pt>
                <c:pt idx="2">
                  <c:v>50.923381436403716</c:v>
                </c:pt>
                <c:pt idx="3">
                  <c:v>52.271446090273876</c:v>
                </c:pt>
                <c:pt idx="4">
                  <c:v>52.21004572555222</c:v>
                </c:pt>
                <c:pt idx="5">
                  <c:v>51.544846911949413</c:v>
                </c:pt>
                <c:pt idx="6">
                  <c:v>51.297150497219455</c:v>
                </c:pt>
                <c:pt idx="7">
                  <c:v>51.017361430811825</c:v>
                </c:pt>
                <c:pt idx="8">
                  <c:v>50.593182730635213</c:v>
                </c:pt>
                <c:pt idx="9">
                  <c:v>49.878253561211928</c:v>
                </c:pt>
                <c:pt idx="10">
                  <c:v>49.571733668244448</c:v>
                </c:pt>
                <c:pt idx="11">
                  <c:v>49.161551865669956</c:v>
                </c:pt>
                <c:pt idx="12">
                  <c:v>48.414046159734873</c:v>
                </c:pt>
                <c:pt idx="13">
                  <c:v>48.309854144197743</c:v>
                </c:pt>
                <c:pt idx="14">
                  <c:v>48.017407142969226</c:v>
                </c:pt>
              </c:numCache>
            </c:numRef>
          </c:val>
        </c:ser>
        <c:marker val="1"/>
        <c:axId val="161949952"/>
        <c:axId val="161980416"/>
      </c:lineChart>
      <c:catAx>
        <c:axId val="161949952"/>
        <c:scaling>
          <c:orientation val="minMax"/>
        </c:scaling>
        <c:axPos val="b"/>
        <c:numFmt formatCode="General" sourceLinked="1"/>
        <c:majorTickMark val="none"/>
        <c:tickLblPos val="nextTo"/>
        <c:txPr>
          <a:bodyPr rot="-5400000" vert="horz"/>
          <a:lstStyle/>
          <a:p>
            <a:pPr>
              <a:defRPr/>
            </a:pPr>
            <a:endParaRPr lang="fr-FR"/>
          </a:p>
        </c:txPr>
        <c:crossAx val="161980416"/>
        <c:crosses val="autoZero"/>
        <c:auto val="1"/>
        <c:lblAlgn val="ctr"/>
        <c:lblOffset val="100"/>
      </c:catAx>
      <c:valAx>
        <c:axId val="161980416"/>
        <c:scaling>
          <c:orientation val="minMax"/>
          <c:min val="25"/>
        </c:scaling>
        <c:axPos val="l"/>
        <c:numFmt formatCode="#,##0.0" sourceLinked="1"/>
        <c:majorTickMark val="none"/>
        <c:tickLblPos val="nextTo"/>
        <c:spPr>
          <a:ln w="9525">
            <a:noFill/>
          </a:ln>
        </c:spPr>
        <c:crossAx val="161949952"/>
        <c:crosses val="autoZero"/>
        <c:crossBetween val="between"/>
      </c:valAx>
    </c:plotArea>
    <c:legend>
      <c:legendPos val="b"/>
    </c:legend>
    <c:plotVisOnly val="1"/>
  </c:chart>
  <c:txPr>
    <a:bodyPr/>
    <a:lstStyle/>
    <a:p>
      <a:pPr>
        <a:defRPr sz="1050">
          <a:latin typeface="Footlight MT Light" pitchFamily="18" charset="0"/>
        </a:defRPr>
      </a:pPr>
      <a:endParaRPr lang="fr-FR"/>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fr-FR"/>
  <c:chart>
    <c:plotArea>
      <c:layout/>
      <c:lineChart>
        <c:grouping val="standard"/>
        <c:ser>
          <c:idx val="0"/>
          <c:order val="0"/>
          <c:tx>
            <c:strRef>
              <c:f>Feuil1!$B$3</c:f>
              <c:strCache>
                <c:ptCount val="1"/>
                <c:pt idx="0">
                  <c:v>Urbain</c:v>
                </c:pt>
              </c:strCache>
            </c:strRef>
          </c:tx>
          <c:marker>
            <c:symbol val="none"/>
          </c:marker>
          <c:dLbls>
            <c:dLbl>
              <c:idx val="0"/>
              <c:layout>
                <c:manualLayout>
                  <c:x val="-4.829396325459339E-2"/>
                  <c:y val="4.1666666666666664E-2"/>
                </c:manualLayout>
              </c:layout>
              <c:showVal val="1"/>
            </c:dLbl>
            <c:dLbl>
              <c:idx val="14"/>
              <c:layout>
                <c:manualLayout>
                  <c:x val="-8.3989501312335957E-3"/>
                  <c:y val="1.3888888888888914E-2"/>
                </c:manualLayout>
              </c:layout>
              <c:showVal val="1"/>
            </c:dLbl>
            <c:delete val="1"/>
          </c:dLbls>
          <c:cat>
            <c:numRef>
              <c:f>Feuil1!$C$2:$Q$2</c:f>
              <c:numCache>
                <c:formatCode>General</c:formatCod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numCache>
            </c:numRef>
          </c:cat>
          <c:val>
            <c:numRef>
              <c:f>Feuil1!$C$3:$Q$3</c:f>
              <c:numCache>
                <c:formatCode>#,##0.0</c:formatCode>
                <c:ptCount val="15"/>
                <c:pt idx="0">
                  <c:v>13.837641038054764</c:v>
                </c:pt>
                <c:pt idx="1">
                  <c:v>14.566494444219106</c:v>
                </c:pt>
                <c:pt idx="2">
                  <c:v>15.920616819032006</c:v>
                </c:pt>
                <c:pt idx="3">
                  <c:v>15.144525459467451</c:v>
                </c:pt>
                <c:pt idx="4">
                  <c:v>15.270347704612997</c:v>
                </c:pt>
                <c:pt idx="5">
                  <c:v>14.023498280325416</c:v>
                </c:pt>
                <c:pt idx="6">
                  <c:v>12.218632329273442</c:v>
                </c:pt>
                <c:pt idx="7">
                  <c:v>9.4074151036367475</c:v>
                </c:pt>
                <c:pt idx="8">
                  <c:v>8.9003140649014441</c:v>
                </c:pt>
                <c:pt idx="9">
                  <c:v>8.7423515256364119</c:v>
                </c:pt>
                <c:pt idx="10">
                  <c:v>9.9693753843552351</c:v>
                </c:pt>
                <c:pt idx="11">
                  <c:v>9.2956709459143969</c:v>
                </c:pt>
                <c:pt idx="12">
                  <c:v>8.587803046193498</c:v>
                </c:pt>
                <c:pt idx="13">
                  <c:v>8.377634974182282</c:v>
                </c:pt>
                <c:pt idx="14">
                  <c:v>9.5034809417415946</c:v>
                </c:pt>
              </c:numCache>
            </c:numRef>
          </c:val>
        </c:ser>
        <c:ser>
          <c:idx val="1"/>
          <c:order val="1"/>
          <c:tx>
            <c:strRef>
              <c:f>Feuil1!$B$4</c:f>
              <c:strCache>
                <c:ptCount val="1"/>
                <c:pt idx="0">
                  <c:v>Rural</c:v>
                </c:pt>
              </c:strCache>
            </c:strRef>
          </c:tx>
          <c:marker>
            <c:symbol val="none"/>
          </c:marker>
          <c:dLbls>
            <c:dLbl>
              <c:idx val="0"/>
              <c:layout>
                <c:manualLayout>
                  <c:x val="-5.6692913385826924E-2"/>
                  <c:y val="-3.2407407407407614E-2"/>
                </c:manualLayout>
              </c:layout>
              <c:showVal val="1"/>
            </c:dLbl>
            <c:dLbl>
              <c:idx val="14"/>
              <c:layout>
                <c:manualLayout>
                  <c:x val="0"/>
                  <c:y val="-9.2592592592593264E-3"/>
                </c:manualLayout>
              </c:layout>
              <c:showVal val="1"/>
            </c:dLbl>
            <c:delete val="1"/>
          </c:dLbls>
          <c:cat>
            <c:numRef>
              <c:f>Feuil1!$C$2:$Q$2</c:f>
              <c:numCache>
                <c:formatCode>General</c:formatCod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numCache>
            </c:numRef>
          </c:cat>
          <c:val>
            <c:numRef>
              <c:f>Feuil1!$C$4:$Q$4</c:f>
              <c:numCache>
                <c:formatCode>#,##0.0</c:formatCode>
                <c:ptCount val="15"/>
                <c:pt idx="0">
                  <c:v>15.327403672452878</c:v>
                </c:pt>
                <c:pt idx="1">
                  <c:v>16.294809043499608</c:v>
                </c:pt>
                <c:pt idx="2">
                  <c:v>16.607963304511635</c:v>
                </c:pt>
                <c:pt idx="3">
                  <c:v>15.040739396692972</c:v>
                </c:pt>
                <c:pt idx="4">
                  <c:v>13.759991510616192</c:v>
                </c:pt>
                <c:pt idx="5">
                  <c:v>13.238980874616264</c:v>
                </c:pt>
                <c:pt idx="6">
                  <c:v>12.526874594687268</c:v>
                </c:pt>
                <c:pt idx="7">
                  <c:v>10.35795698187982</c:v>
                </c:pt>
                <c:pt idx="8">
                  <c:v>10.190810478927183</c:v>
                </c:pt>
                <c:pt idx="9">
                  <c:v>11.333689178743674</c:v>
                </c:pt>
                <c:pt idx="10">
                  <c:v>13.241325589977613</c:v>
                </c:pt>
                <c:pt idx="11">
                  <c:v>11.768336241233568</c:v>
                </c:pt>
                <c:pt idx="12">
                  <c:v>9.8076368388835498</c:v>
                </c:pt>
                <c:pt idx="13">
                  <c:v>10.050635769905053</c:v>
                </c:pt>
                <c:pt idx="14">
                  <c:v>11.153901299434272</c:v>
                </c:pt>
              </c:numCache>
            </c:numRef>
          </c:val>
        </c:ser>
        <c:ser>
          <c:idx val="2"/>
          <c:order val="2"/>
          <c:tx>
            <c:strRef>
              <c:f>Feuil1!$B$5</c:f>
              <c:strCache>
                <c:ptCount val="1"/>
                <c:pt idx="0">
                  <c:v>Masculin</c:v>
                </c:pt>
              </c:strCache>
            </c:strRef>
          </c:tx>
          <c:marker>
            <c:symbol val="none"/>
          </c:marker>
          <c:dLbls>
            <c:dLbl>
              <c:idx val="0"/>
              <c:layout>
                <c:manualLayout>
                  <c:x val="-3.7795275590551319E-2"/>
                  <c:y val="-3.7037037037037056E-2"/>
                </c:manualLayout>
              </c:layout>
              <c:showVal val="1"/>
            </c:dLbl>
            <c:dLbl>
              <c:idx val="14"/>
              <c:layout>
                <c:manualLayout>
                  <c:x val="-2.0997375328084079E-2"/>
                  <c:y val="-6.0185185185185147E-2"/>
                </c:manualLayout>
              </c:layout>
              <c:showVal val="1"/>
            </c:dLbl>
            <c:delete val="1"/>
          </c:dLbls>
          <c:cat>
            <c:numRef>
              <c:f>Feuil1!$C$2:$Q$2</c:f>
              <c:numCache>
                <c:formatCode>General</c:formatCod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numCache>
            </c:numRef>
          </c:cat>
          <c:val>
            <c:numRef>
              <c:f>Feuil1!$C$5:$Q$5</c:f>
              <c:numCache>
                <c:formatCode>#,##0.0</c:formatCode>
                <c:ptCount val="15"/>
                <c:pt idx="0">
                  <c:v>17.009700034500089</c:v>
                </c:pt>
                <c:pt idx="1">
                  <c:v>17.345257062066217</c:v>
                </c:pt>
                <c:pt idx="2">
                  <c:v>18.327910506525789</c:v>
                </c:pt>
                <c:pt idx="3">
                  <c:v>17.424312024896444</c:v>
                </c:pt>
                <c:pt idx="4">
                  <c:v>17.13184326632209</c:v>
                </c:pt>
                <c:pt idx="5">
                  <c:v>16.307064992764271</c:v>
                </c:pt>
                <c:pt idx="6">
                  <c:v>14.724807868043849</c:v>
                </c:pt>
                <c:pt idx="7">
                  <c:v>11.930619389758544</c:v>
                </c:pt>
                <c:pt idx="8">
                  <c:v>11.2822525973205</c:v>
                </c:pt>
                <c:pt idx="9">
                  <c:v>11.601295575484976</c:v>
                </c:pt>
                <c:pt idx="10">
                  <c:v>13.57046400889417</c:v>
                </c:pt>
                <c:pt idx="11">
                  <c:v>12.437533749400583</c:v>
                </c:pt>
                <c:pt idx="12">
                  <c:v>10.81890968616613</c:v>
                </c:pt>
                <c:pt idx="13">
                  <c:v>10.905066962920779</c:v>
                </c:pt>
                <c:pt idx="14">
                  <c:v>11.869317367291515</c:v>
                </c:pt>
              </c:numCache>
            </c:numRef>
          </c:val>
        </c:ser>
        <c:ser>
          <c:idx val="3"/>
          <c:order val="3"/>
          <c:tx>
            <c:strRef>
              <c:f>Feuil1!$B$6</c:f>
              <c:strCache>
                <c:ptCount val="1"/>
                <c:pt idx="0">
                  <c:v>Féminin</c:v>
                </c:pt>
              </c:strCache>
            </c:strRef>
          </c:tx>
          <c:marker>
            <c:symbol val="none"/>
          </c:marker>
          <c:dLbls>
            <c:dLbl>
              <c:idx val="0"/>
              <c:layout>
                <c:manualLayout>
                  <c:x val="-2.7296587926509252E-2"/>
                  <c:y val="4.1666666666666664E-2"/>
                </c:manualLayout>
              </c:layout>
              <c:showVal val="1"/>
            </c:dLbl>
            <c:dLbl>
              <c:idx val="14"/>
              <c:layout>
                <c:manualLayout>
                  <c:x val="-6.2992125984252124E-3"/>
                  <c:y val="1.851851851851858E-2"/>
                </c:manualLayout>
              </c:layout>
              <c:showVal val="1"/>
            </c:dLbl>
            <c:delete val="1"/>
          </c:dLbls>
          <c:cat>
            <c:numRef>
              <c:f>Feuil1!$C$2:$Q$2</c:f>
              <c:numCache>
                <c:formatCode>General</c:formatCod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numCache>
            </c:numRef>
          </c:cat>
          <c:val>
            <c:numRef>
              <c:f>Feuil1!$C$6:$Q$6</c:f>
              <c:numCache>
                <c:formatCode>#,##0.0</c:formatCode>
                <c:ptCount val="15"/>
                <c:pt idx="0">
                  <c:v>8.2445320163280247</c:v>
                </c:pt>
                <c:pt idx="1">
                  <c:v>9.960270715460366</c:v>
                </c:pt>
                <c:pt idx="2">
                  <c:v>10.07165794151525</c:v>
                </c:pt>
                <c:pt idx="3">
                  <c:v>8.6256843097363074</c:v>
                </c:pt>
                <c:pt idx="4">
                  <c:v>7.37622589770098</c:v>
                </c:pt>
                <c:pt idx="5">
                  <c:v>6.4677926517651976</c:v>
                </c:pt>
                <c:pt idx="6">
                  <c:v>6.0871030404339947</c:v>
                </c:pt>
                <c:pt idx="7">
                  <c:v>4.4522978025601363</c:v>
                </c:pt>
                <c:pt idx="8">
                  <c:v>4.8523745016949356</c:v>
                </c:pt>
                <c:pt idx="9">
                  <c:v>5.7199994107421936</c:v>
                </c:pt>
                <c:pt idx="10">
                  <c:v>6.2471216668496945</c:v>
                </c:pt>
                <c:pt idx="11">
                  <c:v>5.178312619383572</c:v>
                </c:pt>
                <c:pt idx="12">
                  <c:v>4.5710419169719394</c:v>
                </c:pt>
                <c:pt idx="13">
                  <c:v>4.5599233035793434</c:v>
                </c:pt>
                <c:pt idx="14">
                  <c:v>6.135293295030217</c:v>
                </c:pt>
              </c:numCache>
            </c:numRef>
          </c:val>
        </c:ser>
        <c:ser>
          <c:idx val="4"/>
          <c:order val="4"/>
          <c:tx>
            <c:strRef>
              <c:f>Feuil1!$B$7</c:f>
              <c:strCache>
                <c:ptCount val="1"/>
                <c:pt idx="0">
                  <c:v>National</c:v>
                </c:pt>
              </c:strCache>
            </c:strRef>
          </c:tx>
          <c:marker>
            <c:symbol val="none"/>
          </c:marker>
          <c:dLbls>
            <c:dLbl>
              <c:idx val="0"/>
              <c:layout>
                <c:manualLayout>
                  <c:x val="-5.8792816252299422E-2"/>
                  <c:y val="0"/>
                </c:manualLayout>
              </c:layout>
              <c:showVal val="1"/>
            </c:dLbl>
            <c:dLbl>
              <c:idx val="14"/>
              <c:showVal val="1"/>
            </c:dLbl>
            <c:delete val="1"/>
          </c:dLbls>
          <c:cat>
            <c:numRef>
              <c:f>Feuil1!$C$2:$Q$2</c:f>
              <c:numCache>
                <c:formatCode>General</c:formatCod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numCache>
            </c:numRef>
          </c:cat>
          <c:val>
            <c:numRef>
              <c:f>Feuil1!$C$7:$Q$7</c:f>
              <c:numCache>
                <c:formatCode>#,##0.0</c:formatCode>
                <c:ptCount val="15"/>
                <c:pt idx="0">
                  <c:v>14.6385526571813</c:v>
                </c:pt>
                <c:pt idx="1">
                  <c:v>15.474687252071504</c:v>
                </c:pt>
                <c:pt idx="2">
                  <c:v>16.280439985712885</c:v>
                </c:pt>
                <c:pt idx="3">
                  <c:v>15.088970272069808</c:v>
                </c:pt>
                <c:pt idx="4">
                  <c:v>14.450729201125695</c:v>
                </c:pt>
                <c:pt idx="5">
                  <c:v>13.601101614439003</c:v>
                </c:pt>
                <c:pt idx="6">
                  <c:v>12.380506395823977</c:v>
                </c:pt>
                <c:pt idx="7">
                  <c:v>9.8985317487663274</c:v>
                </c:pt>
                <c:pt idx="8">
                  <c:v>9.5558673634876268</c:v>
                </c:pt>
                <c:pt idx="9">
                  <c:v>10.048523855390533</c:v>
                </c:pt>
                <c:pt idx="10">
                  <c:v>11.615714312487945</c:v>
                </c:pt>
                <c:pt idx="11">
                  <c:v>10.527822724718698</c:v>
                </c:pt>
                <c:pt idx="12">
                  <c:v>9.1901500813041679</c:v>
                </c:pt>
                <c:pt idx="13">
                  <c:v>9.2088104612343571</c:v>
                </c:pt>
                <c:pt idx="14">
                  <c:v>10.320944930411558</c:v>
                </c:pt>
              </c:numCache>
            </c:numRef>
          </c:val>
        </c:ser>
        <c:marker val="1"/>
        <c:axId val="162400128"/>
        <c:axId val="162401664"/>
      </c:lineChart>
      <c:catAx>
        <c:axId val="162400128"/>
        <c:scaling>
          <c:orientation val="minMax"/>
        </c:scaling>
        <c:axPos val="b"/>
        <c:numFmt formatCode="General" sourceLinked="1"/>
        <c:tickLblPos val="nextTo"/>
        <c:txPr>
          <a:bodyPr rot="-5400000" vert="horz"/>
          <a:lstStyle/>
          <a:p>
            <a:pPr>
              <a:defRPr/>
            </a:pPr>
            <a:endParaRPr lang="fr-FR"/>
          </a:p>
        </c:txPr>
        <c:crossAx val="162401664"/>
        <c:crosses val="autoZero"/>
        <c:auto val="1"/>
        <c:lblAlgn val="ctr"/>
        <c:lblOffset val="100"/>
      </c:catAx>
      <c:valAx>
        <c:axId val="162401664"/>
        <c:scaling>
          <c:orientation val="minMax"/>
        </c:scaling>
        <c:delete val="1"/>
        <c:axPos val="l"/>
        <c:numFmt formatCode="#,##0.0" sourceLinked="1"/>
        <c:tickLblPos val="none"/>
        <c:crossAx val="162400128"/>
        <c:crosses val="autoZero"/>
        <c:crossBetween val="between"/>
      </c:valAx>
    </c:plotArea>
    <c:legend>
      <c:legendPos val="b"/>
    </c:legend>
    <c:plotVisOnly val="1"/>
  </c:chart>
  <c:txPr>
    <a:bodyPr/>
    <a:lstStyle/>
    <a:p>
      <a:pPr>
        <a:defRPr sz="900">
          <a:latin typeface="Footlight MT Light" pitchFamily="18" charset="0"/>
        </a:defRPr>
      </a:pPr>
      <a:endParaRPr lang="fr-FR"/>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fr-FR"/>
  <c:chart>
    <c:plotArea>
      <c:layout/>
      <c:lineChart>
        <c:grouping val="standard"/>
        <c:ser>
          <c:idx val="0"/>
          <c:order val="0"/>
          <c:tx>
            <c:strRef>
              <c:f>Feuil2!$B$3</c:f>
              <c:strCache>
                <c:ptCount val="1"/>
                <c:pt idx="0">
                  <c:v>- Agriculture, forêt  et pêche</c:v>
                </c:pt>
              </c:strCache>
            </c:strRef>
          </c:tx>
          <c:marker>
            <c:symbol val="none"/>
          </c:marker>
          <c:dLbls>
            <c:dLbl>
              <c:idx val="0"/>
              <c:layout>
                <c:manualLayout>
                  <c:x val="-3.5714285714285712E-2"/>
                  <c:y val="-5.092592592592593E-2"/>
                </c:manualLayout>
              </c:layout>
              <c:showVal val="1"/>
            </c:dLbl>
            <c:dLbl>
              <c:idx val="14"/>
              <c:layout>
                <c:manualLayout>
                  <c:x val="-5.9523809523809521E-3"/>
                  <c:y val="-5.5555555555555455E-2"/>
                </c:manualLayout>
              </c:layout>
              <c:showVal val="1"/>
            </c:dLbl>
            <c:delete val="1"/>
          </c:dLbls>
          <c:cat>
            <c:strRef>
              <c:f>Feuil2!$C$2:$Q$2</c:f>
              <c:strCach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strCache>
            </c:strRef>
          </c:cat>
          <c:val>
            <c:numRef>
              <c:f>Feuil2!$C$3:$Q$3</c:f>
              <c:numCache>
                <c:formatCode>#,##0.0</c:formatCode>
                <c:ptCount val="15"/>
                <c:pt idx="0">
                  <c:v>14.4513078868713</c:v>
                </c:pt>
                <c:pt idx="1">
                  <c:v>15.833298835104253</c:v>
                </c:pt>
                <c:pt idx="2">
                  <c:v>15.763854626729072</c:v>
                </c:pt>
                <c:pt idx="3">
                  <c:v>14.470246824745645</c:v>
                </c:pt>
                <c:pt idx="4">
                  <c:v>12.602443130661674</c:v>
                </c:pt>
                <c:pt idx="5">
                  <c:v>11.929140099948388</c:v>
                </c:pt>
                <c:pt idx="6">
                  <c:v>11.436377312821801</c:v>
                </c:pt>
                <c:pt idx="7">
                  <c:v>9.3991358951098878</c:v>
                </c:pt>
                <c:pt idx="8">
                  <c:v>9.4218816125475122</c:v>
                </c:pt>
                <c:pt idx="9">
                  <c:v>11.122144651473977</c:v>
                </c:pt>
                <c:pt idx="10">
                  <c:v>12.720541024671768</c:v>
                </c:pt>
                <c:pt idx="11">
                  <c:v>11.207626398733868</c:v>
                </c:pt>
                <c:pt idx="12">
                  <c:v>9.0669932879518829</c:v>
                </c:pt>
                <c:pt idx="13">
                  <c:v>9.1617077502716437</c:v>
                </c:pt>
                <c:pt idx="14">
                  <c:v>10.273193526110418</c:v>
                </c:pt>
              </c:numCache>
            </c:numRef>
          </c:val>
        </c:ser>
        <c:ser>
          <c:idx val="1"/>
          <c:order val="1"/>
          <c:tx>
            <c:strRef>
              <c:f>Feuil2!$B$4</c:f>
              <c:strCache>
                <c:ptCount val="1"/>
                <c:pt idx="0">
                  <c:v>- Industrie</c:v>
                </c:pt>
              </c:strCache>
            </c:strRef>
          </c:tx>
          <c:marker>
            <c:symbol val="none"/>
          </c:marker>
          <c:dLbls>
            <c:dLbl>
              <c:idx val="14"/>
              <c:layout>
                <c:manualLayout>
                  <c:x val="0"/>
                  <c:y val="4.6296296296296519E-3"/>
                </c:manualLayout>
              </c:layout>
              <c:showVal val="1"/>
            </c:dLbl>
            <c:delete val="1"/>
          </c:dLbls>
          <c:cat>
            <c:strRef>
              <c:f>Feuil2!$C$2:$Q$2</c:f>
              <c:strCach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strCache>
            </c:strRef>
          </c:cat>
          <c:val>
            <c:numRef>
              <c:f>Feuil2!$C$4:$Q$4</c:f>
              <c:numCache>
                <c:formatCode>#,##0.0</c:formatCode>
                <c:ptCount val="15"/>
                <c:pt idx="0">
                  <c:v>13.412103182436908</c:v>
                </c:pt>
                <c:pt idx="1">
                  <c:v>13.644357918514212</c:v>
                </c:pt>
                <c:pt idx="2">
                  <c:v>16.387109258332185</c:v>
                </c:pt>
                <c:pt idx="3">
                  <c:v>14.474780261980637</c:v>
                </c:pt>
                <c:pt idx="4">
                  <c:v>13.570157161639717</c:v>
                </c:pt>
                <c:pt idx="5">
                  <c:v>12.83112383210397</c:v>
                </c:pt>
                <c:pt idx="6">
                  <c:v>9.6584001299871041</c:v>
                </c:pt>
                <c:pt idx="7">
                  <c:v>7.1193299490957145</c:v>
                </c:pt>
                <c:pt idx="8">
                  <c:v>5.9841560770226261</c:v>
                </c:pt>
                <c:pt idx="9">
                  <c:v>6.5468019779172355</c:v>
                </c:pt>
                <c:pt idx="10">
                  <c:v>7.9533144661878765</c:v>
                </c:pt>
                <c:pt idx="11">
                  <c:v>7.0199796433212054</c:v>
                </c:pt>
                <c:pt idx="12">
                  <c:v>6.4108686170833504</c:v>
                </c:pt>
                <c:pt idx="13">
                  <c:v>6.3439422834434014</c:v>
                </c:pt>
                <c:pt idx="14">
                  <c:v>8.0193639149449698</c:v>
                </c:pt>
              </c:numCache>
            </c:numRef>
          </c:val>
        </c:ser>
        <c:ser>
          <c:idx val="2"/>
          <c:order val="2"/>
          <c:tx>
            <c:strRef>
              <c:f>Feuil2!$B$5</c:f>
              <c:strCache>
                <c:ptCount val="1"/>
                <c:pt idx="0">
                  <c:v>- B.T.P</c:v>
                </c:pt>
              </c:strCache>
            </c:strRef>
          </c:tx>
          <c:marker>
            <c:symbol val="none"/>
          </c:marker>
          <c:dLbls>
            <c:dLbl>
              <c:idx val="0"/>
              <c:layout>
                <c:manualLayout>
                  <c:x val="-3.5714285714285712E-2"/>
                  <c:y val="-3.703703703703707E-2"/>
                </c:manualLayout>
              </c:layout>
              <c:showVal val="1"/>
            </c:dLbl>
            <c:dLbl>
              <c:idx val="14"/>
              <c:layout>
                <c:manualLayout>
                  <c:x val="-1.1904761904761923E-2"/>
                  <c:y val="-5.5555555555555455E-2"/>
                </c:manualLayout>
              </c:layout>
              <c:showVal val="1"/>
            </c:dLbl>
            <c:delete val="1"/>
          </c:dLbls>
          <c:cat>
            <c:strRef>
              <c:f>Feuil2!$C$2:$Q$2</c:f>
              <c:strCach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strCache>
            </c:strRef>
          </c:cat>
          <c:val>
            <c:numRef>
              <c:f>Feuil2!$C$5:$Q$5</c:f>
              <c:numCache>
                <c:formatCode>#,##0.0</c:formatCode>
                <c:ptCount val="15"/>
                <c:pt idx="0">
                  <c:v>26.103143330538273</c:v>
                </c:pt>
                <c:pt idx="1">
                  <c:v>26.399373260236356</c:v>
                </c:pt>
                <c:pt idx="2">
                  <c:v>28.907719937293169</c:v>
                </c:pt>
                <c:pt idx="3">
                  <c:v>26.760873351382962</c:v>
                </c:pt>
                <c:pt idx="4">
                  <c:v>28.560912146625029</c:v>
                </c:pt>
                <c:pt idx="5">
                  <c:v>27.227724946741876</c:v>
                </c:pt>
                <c:pt idx="6">
                  <c:v>24.3372935513163</c:v>
                </c:pt>
                <c:pt idx="7">
                  <c:v>20.673964692432847</c:v>
                </c:pt>
                <c:pt idx="8">
                  <c:v>17.508378763251397</c:v>
                </c:pt>
                <c:pt idx="9">
                  <c:v>17.176202098060593</c:v>
                </c:pt>
                <c:pt idx="10">
                  <c:v>18.365006966968689</c:v>
                </c:pt>
                <c:pt idx="11">
                  <c:v>17.674898654295209</c:v>
                </c:pt>
                <c:pt idx="12">
                  <c:v>16.431388491246231</c:v>
                </c:pt>
                <c:pt idx="13">
                  <c:v>16.540060908364229</c:v>
                </c:pt>
                <c:pt idx="14">
                  <c:v>17.021758977172187</c:v>
                </c:pt>
              </c:numCache>
            </c:numRef>
          </c:val>
        </c:ser>
        <c:ser>
          <c:idx val="3"/>
          <c:order val="3"/>
          <c:tx>
            <c:strRef>
              <c:f>Feuil2!$B$6</c:f>
              <c:strCache>
                <c:ptCount val="1"/>
                <c:pt idx="0">
                  <c:v>- Services</c:v>
                </c:pt>
              </c:strCache>
            </c:strRef>
          </c:tx>
          <c:marker>
            <c:symbol val="none"/>
          </c:marker>
          <c:dLbls>
            <c:dLbl>
              <c:idx val="0"/>
              <c:layout>
                <c:manualLayout>
                  <c:x val="-4.3650793650793711E-2"/>
                  <c:y val="3.703703703703707E-2"/>
                </c:manualLayout>
              </c:layout>
              <c:showVal val="1"/>
            </c:dLbl>
            <c:dLbl>
              <c:idx val="14"/>
              <c:layout>
                <c:manualLayout>
                  <c:x val="-1.9841269841269927E-3"/>
                  <c:y val="-2.3148512685914377E-2"/>
                </c:manualLayout>
              </c:layout>
              <c:showVal val="1"/>
            </c:dLbl>
            <c:delete val="1"/>
          </c:dLbls>
          <c:cat>
            <c:strRef>
              <c:f>Feuil2!$C$2:$Q$2</c:f>
              <c:strCach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strCache>
            </c:strRef>
          </c:cat>
          <c:val>
            <c:numRef>
              <c:f>Feuil2!$C$6:$Q$6</c:f>
              <c:numCache>
                <c:formatCode>#,##0.0</c:formatCode>
                <c:ptCount val="15"/>
                <c:pt idx="0">
                  <c:v>13.32883841744612</c:v>
                </c:pt>
                <c:pt idx="1">
                  <c:v>13.674278244902546</c:v>
                </c:pt>
                <c:pt idx="2">
                  <c:v>14.43746212396097</c:v>
                </c:pt>
                <c:pt idx="3">
                  <c:v>13.900957142982987</c:v>
                </c:pt>
                <c:pt idx="4">
                  <c:v>14.465147477667982</c:v>
                </c:pt>
                <c:pt idx="5">
                  <c:v>13.279908735852651</c:v>
                </c:pt>
                <c:pt idx="6">
                  <c:v>11.8187415808263</c:v>
                </c:pt>
                <c:pt idx="7">
                  <c:v>8.9905915974877413</c:v>
                </c:pt>
                <c:pt idx="8">
                  <c:v>9.0424837523494865</c:v>
                </c:pt>
                <c:pt idx="9">
                  <c:v>8.2656155981978277</c:v>
                </c:pt>
                <c:pt idx="10">
                  <c:v>9.8446525779694145</c:v>
                </c:pt>
                <c:pt idx="11">
                  <c:v>9.0381104461721886</c:v>
                </c:pt>
                <c:pt idx="12">
                  <c:v>8.3044182056872575</c:v>
                </c:pt>
                <c:pt idx="13">
                  <c:v>8.3639604256071625</c:v>
                </c:pt>
                <c:pt idx="14">
                  <c:v>9.447250874580865</c:v>
                </c:pt>
              </c:numCache>
            </c:numRef>
          </c:val>
        </c:ser>
        <c:marker val="1"/>
        <c:axId val="162446336"/>
        <c:axId val="162476800"/>
      </c:lineChart>
      <c:catAx>
        <c:axId val="162446336"/>
        <c:scaling>
          <c:orientation val="minMax"/>
        </c:scaling>
        <c:axPos val="b"/>
        <c:tickLblPos val="nextTo"/>
        <c:txPr>
          <a:bodyPr rot="-5400000" vert="horz"/>
          <a:lstStyle/>
          <a:p>
            <a:pPr>
              <a:defRPr/>
            </a:pPr>
            <a:endParaRPr lang="fr-FR"/>
          </a:p>
        </c:txPr>
        <c:crossAx val="162476800"/>
        <c:crosses val="autoZero"/>
        <c:auto val="1"/>
        <c:lblAlgn val="ctr"/>
        <c:lblOffset val="100"/>
      </c:catAx>
      <c:valAx>
        <c:axId val="162476800"/>
        <c:scaling>
          <c:orientation val="minMax"/>
        </c:scaling>
        <c:delete val="1"/>
        <c:axPos val="l"/>
        <c:numFmt formatCode="#,##0.0" sourceLinked="1"/>
        <c:tickLblPos val="none"/>
        <c:crossAx val="162446336"/>
        <c:crosses val="autoZero"/>
        <c:crossBetween val="between"/>
      </c:valAx>
    </c:plotArea>
    <c:legend>
      <c:legendPos val="b"/>
    </c:legend>
    <c:plotVisOnly val="1"/>
  </c:chart>
  <c:txPr>
    <a:bodyPr/>
    <a:lstStyle/>
    <a:p>
      <a:pPr>
        <a:defRPr sz="900">
          <a:latin typeface="Footlight MT Light" pitchFamily="18" charset="0"/>
        </a:defRPr>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plotArea>
      <c:layout/>
      <c:lineChart>
        <c:grouping val="standard"/>
        <c:ser>
          <c:idx val="0"/>
          <c:order val="0"/>
          <c:tx>
            <c:strRef>
              <c:f>Feuil1!$A$2</c:f>
              <c:strCache>
                <c:ptCount val="1"/>
                <c:pt idx="0">
                  <c:v>Taux d'activité 15-24 ans </c:v>
                </c:pt>
              </c:strCache>
            </c:strRef>
          </c:tx>
          <c:marker>
            <c:symbol val="none"/>
          </c:marker>
          <c:dLbls>
            <c:dLbl>
              <c:idx val="0"/>
              <c:layout>
                <c:manualLayout>
                  <c:x val="-1.4358974358974359E-2"/>
                  <c:y val="-3.0917874396135265E-2"/>
                </c:manualLayout>
              </c:layout>
              <c:showVal val="1"/>
            </c:dLbl>
            <c:dLbl>
              <c:idx val="14"/>
              <c:showVal val="1"/>
            </c:dLbl>
            <c:delete val="1"/>
          </c:dLbls>
          <c:cat>
            <c:numRef>
              <c:f>Feuil1!$B$1:$P$1</c:f>
              <c:numCache>
                <c:formatCode>General</c:formatCod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numCache>
            </c:numRef>
          </c:cat>
          <c:val>
            <c:numRef>
              <c:f>Feuil1!$B$2:$P$2</c:f>
              <c:numCache>
                <c:formatCode>#,##0.0</c:formatCode>
                <c:ptCount val="15"/>
                <c:pt idx="0">
                  <c:v>45.798107112993122</c:v>
                </c:pt>
                <c:pt idx="1">
                  <c:v>42.796008237776213</c:v>
                </c:pt>
                <c:pt idx="2">
                  <c:v>42.040670212206003</c:v>
                </c:pt>
                <c:pt idx="3">
                  <c:v>43.657915430346577</c:v>
                </c:pt>
                <c:pt idx="4">
                  <c:v>42.672927483115124</c:v>
                </c:pt>
                <c:pt idx="5">
                  <c:v>41.139166903706595</c:v>
                </c:pt>
                <c:pt idx="6">
                  <c:v>40.107052971322304</c:v>
                </c:pt>
                <c:pt idx="7">
                  <c:v>39.594278938236783</c:v>
                </c:pt>
                <c:pt idx="8">
                  <c:v>38.939868382007475</c:v>
                </c:pt>
                <c:pt idx="9">
                  <c:v>36.986184084592807</c:v>
                </c:pt>
                <c:pt idx="10">
                  <c:v>36.19186220571445</c:v>
                </c:pt>
                <c:pt idx="11">
                  <c:v>34.990809189043219</c:v>
                </c:pt>
                <c:pt idx="12">
                  <c:v>33.495839804783763</c:v>
                </c:pt>
                <c:pt idx="13">
                  <c:v>32.22563280010548</c:v>
                </c:pt>
                <c:pt idx="14">
                  <c:v>32.178899869246422</c:v>
                </c:pt>
              </c:numCache>
            </c:numRef>
          </c:val>
        </c:ser>
        <c:ser>
          <c:idx val="1"/>
          <c:order val="1"/>
          <c:tx>
            <c:strRef>
              <c:f>Feuil1!$A$3</c:f>
              <c:strCache>
                <c:ptCount val="1"/>
                <c:pt idx="0">
                  <c:v>Taux de scolarisation 15-24 ans</c:v>
                </c:pt>
              </c:strCache>
            </c:strRef>
          </c:tx>
          <c:marker>
            <c:symbol val="none"/>
          </c:marker>
          <c:dLbls>
            <c:dLbl>
              <c:idx val="0"/>
              <c:layout>
                <c:manualLayout>
                  <c:x val="-1.8461538461538564E-2"/>
                  <c:y val="5.4106280193237058E-2"/>
                </c:manualLayout>
              </c:layout>
              <c:showVal val="1"/>
            </c:dLbl>
            <c:dLbl>
              <c:idx val="14"/>
              <c:tx>
                <c:rich>
                  <a:bodyPr/>
                  <a:lstStyle/>
                  <a:p>
                    <a:r>
                      <a:rPr lang="en-US"/>
                      <a:t>46,4</a:t>
                    </a:r>
                  </a:p>
                </c:rich>
              </c:tx>
              <c:showVal val="1"/>
            </c:dLbl>
            <c:delete val="1"/>
          </c:dLbls>
          <c:cat>
            <c:numRef>
              <c:f>Feuil1!$B$1:$P$1</c:f>
              <c:numCache>
                <c:formatCode>General</c:formatCod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numCache>
            </c:numRef>
          </c:cat>
          <c:val>
            <c:numRef>
              <c:f>Feuil1!$B$3:$P$3</c:f>
              <c:numCache>
                <c:formatCode>#,##0.0</c:formatCode>
                <c:ptCount val="15"/>
                <c:pt idx="0">
                  <c:v>27.265065686447326</c:v>
                </c:pt>
                <c:pt idx="1">
                  <c:v>29.096089856819066</c:v>
                </c:pt>
                <c:pt idx="2">
                  <c:v>29.331893464994515</c:v>
                </c:pt>
                <c:pt idx="3">
                  <c:v>30.416776770497577</c:v>
                </c:pt>
                <c:pt idx="4">
                  <c:v>30.548981110241854</c:v>
                </c:pt>
                <c:pt idx="5">
                  <c:v>30.85647713409773</c:v>
                </c:pt>
                <c:pt idx="6">
                  <c:v>31.513376610861187</c:v>
                </c:pt>
                <c:pt idx="7">
                  <c:v>31.85402077493492</c:v>
                </c:pt>
                <c:pt idx="8">
                  <c:v>32.808103598710005</c:v>
                </c:pt>
                <c:pt idx="9">
                  <c:v>37.670609731215357</c:v>
                </c:pt>
                <c:pt idx="10">
                  <c:v>39.333255388734507</c:v>
                </c:pt>
                <c:pt idx="11">
                  <c:v>41.156636339835366</c:v>
                </c:pt>
                <c:pt idx="12">
                  <c:v>42.554023020527765</c:v>
                </c:pt>
                <c:pt idx="13">
                  <c:v>44.620333385369612</c:v>
                </c:pt>
                <c:pt idx="14">
                  <c:v>46.48263979395967</c:v>
                </c:pt>
              </c:numCache>
            </c:numRef>
          </c:val>
        </c:ser>
        <c:marker val="1"/>
        <c:axId val="162002816"/>
        <c:axId val="162004352"/>
      </c:lineChart>
      <c:catAx>
        <c:axId val="162002816"/>
        <c:scaling>
          <c:orientation val="minMax"/>
        </c:scaling>
        <c:axPos val="b"/>
        <c:numFmt formatCode="General" sourceLinked="1"/>
        <c:tickLblPos val="nextTo"/>
        <c:txPr>
          <a:bodyPr rot="-5400000" vert="horz"/>
          <a:lstStyle/>
          <a:p>
            <a:pPr>
              <a:defRPr/>
            </a:pPr>
            <a:endParaRPr lang="fr-FR"/>
          </a:p>
        </c:txPr>
        <c:crossAx val="162004352"/>
        <c:crosses val="autoZero"/>
        <c:auto val="1"/>
        <c:lblAlgn val="ctr"/>
        <c:lblOffset val="100"/>
      </c:catAx>
      <c:valAx>
        <c:axId val="162004352"/>
        <c:scaling>
          <c:orientation val="minMax"/>
          <c:min val="0"/>
        </c:scaling>
        <c:axPos val="l"/>
        <c:numFmt formatCode="#,##0.0" sourceLinked="1"/>
        <c:tickLblPos val="nextTo"/>
        <c:crossAx val="162002816"/>
        <c:crosses val="autoZero"/>
        <c:crossBetween val="between"/>
        <c:majorUnit val="10"/>
      </c:valAx>
    </c:plotArea>
    <c:legend>
      <c:legendPos val="b"/>
    </c:legend>
    <c:plotVisOnly val="1"/>
  </c:chart>
  <c:txPr>
    <a:bodyPr/>
    <a:lstStyle/>
    <a:p>
      <a:pPr>
        <a:defRPr>
          <a:latin typeface="Footlight MT Light" pitchFamily="18" charset="0"/>
        </a:defRPr>
      </a:pPr>
      <a:endParaRPr lang="fr-F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style val="11"/>
  <c:chart>
    <c:view3D>
      <c:rAngAx val="1"/>
    </c:view3D>
    <c:plotArea>
      <c:layout/>
      <c:bar3DChart>
        <c:barDir val="col"/>
        <c:grouping val="clustered"/>
        <c:ser>
          <c:idx val="0"/>
          <c:order val="0"/>
          <c:tx>
            <c:strRef>
              <c:f>Feuil1!$B$2</c:f>
              <c:strCache>
                <c:ptCount val="1"/>
                <c:pt idx="0">
                  <c:v>2000</c:v>
                </c:pt>
              </c:strCache>
            </c:strRef>
          </c:tx>
          <c:dLbls>
            <c:dLbl>
              <c:idx val="0"/>
              <c:layout>
                <c:manualLayout>
                  <c:x val="6.6555740432612306E-3"/>
                  <c:y val="-2.8612316182765687E-2"/>
                </c:manualLayout>
              </c:layout>
              <c:showVal val="1"/>
            </c:dLbl>
            <c:dLbl>
              <c:idx val="1"/>
              <c:layout>
                <c:manualLayout>
                  <c:x val="6.6555740432611907E-3"/>
                  <c:y val="-3.4334779419318694E-2"/>
                </c:manualLayout>
              </c:layout>
              <c:showVal val="1"/>
            </c:dLbl>
            <c:dLbl>
              <c:idx val="2"/>
              <c:layout>
                <c:manualLayout>
                  <c:x val="6.6555740432612306E-3"/>
                  <c:y val="-1.1444926473106224E-2"/>
                </c:manualLayout>
              </c:layout>
              <c:showVal val="1"/>
            </c:dLbl>
            <c:dLbl>
              <c:idx val="3"/>
              <c:layout>
                <c:manualLayout>
                  <c:x val="4.4370493621741971E-3"/>
                  <c:y val="-4.0057242655871794E-2"/>
                </c:manualLayout>
              </c:layout>
              <c:showVal val="1"/>
            </c:dLbl>
            <c:showVal val="1"/>
          </c:dLbls>
          <c:cat>
            <c:strRef>
              <c:f>Feuil1!$A$3:$A$7</c:f>
              <c:strCache>
                <c:ptCount val="5"/>
                <c:pt idx="0">
                  <c:v>. 15 - 24</c:v>
                </c:pt>
                <c:pt idx="1">
                  <c:v>. 25 - 39</c:v>
                </c:pt>
                <c:pt idx="2">
                  <c:v>. 40 - 59</c:v>
                </c:pt>
                <c:pt idx="3">
                  <c:v>. 60  et plus</c:v>
                </c:pt>
                <c:pt idx="4">
                  <c:v>Total</c:v>
                </c:pt>
              </c:strCache>
            </c:strRef>
          </c:cat>
          <c:val>
            <c:numRef>
              <c:f>Feuil1!$B$3:$B$7</c:f>
              <c:numCache>
                <c:formatCode>#,##0.0</c:formatCode>
                <c:ptCount val="5"/>
                <c:pt idx="0">
                  <c:v>28.103785415473244</c:v>
                </c:pt>
                <c:pt idx="1">
                  <c:v>27.487779191255129</c:v>
                </c:pt>
                <c:pt idx="2">
                  <c:v>26.024893579355627</c:v>
                </c:pt>
                <c:pt idx="3">
                  <c:v>21</c:v>
                </c:pt>
                <c:pt idx="4">
                  <c:v>26.9</c:v>
                </c:pt>
              </c:numCache>
            </c:numRef>
          </c:val>
        </c:ser>
        <c:ser>
          <c:idx val="1"/>
          <c:order val="1"/>
          <c:tx>
            <c:strRef>
              <c:f>Feuil1!$C$2</c:f>
              <c:strCache>
                <c:ptCount val="1"/>
                <c:pt idx="0">
                  <c:v>2014</c:v>
                </c:pt>
              </c:strCache>
            </c:strRef>
          </c:tx>
          <c:dLbls>
            <c:dLbl>
              <c:idx val="0"/>
              <c:layout>
                <c:manualLayout>
                  <c:x val="1.5529672767609541E-2"/>
                  <c:y val="-1.3888888888888963E-2"/>
                </c:manualLayout>
              </c:layout>
              <c:tx>
                <c:rich>
                  <a:bodyPr/>
                  <a:lstStyle/>
                  <a:p>
                    <a:r>
                      <a:rPr lang="en-US"/>
                      <a:t>27,3</a:t>
                    </a:r>
                  </a:p>
                </c:rich>
              </c:tx>
              <c:showVal val="1"/>
            </c:dLbl>
            <c:dLbl>
              <c:idx val="1"/>
              <c:layout>
                <c:manualLayout>
                  <c:x val="1.9966722129783721E-2"/>
                  <c:y val="-1.7167389709659343E-2"/>
                </c:manualLayout>
              </c:layout>
              <c:showVal val="1"/>
            </c:dLbl>
            <c:dLbl>
              <c:idx val="2"/>
              <c:layout>
                <c:manualLayout>
                  <c:x val="1.3311148086522463E-2"/>
                  <c:y val="-4.4687030825603012E-2"/>
                </c:manualLayout>
              </c:layout>
              <c:showVal val="1"/>
            </c:dLbl>
            <c:dLbl>
              <c:idx val="3"/>
              <c:layout>
                <c:manualLayout>
                  <c:x val="1.3311148086522463E-2"/>
                  <c:y val="-2.7777777777778002E-2"/>
                </c:manualLayout>
              </c:layout>
              <c:showVal val="1"/>
            </c:dLbl>
            <c:dLbl>
              <c:idx val="4"/>
              <c:layout>
                <c:manualLayout>
                  <c:x val="1.3311148086522463E-2"/>
                  <c:y val="-5.7224632365531327E-3"/>
                </c:manualLayout>
              </c:layout>
              <c:showVal val="1"/>
            </c:dLbl>
            <c:showVal val="1"/>
          </c:dLbls>
          <c:cat>
            <c:strRef>
              <c:f>Feuil1!$A$3:$A$7</c:f>
              <c:strCache>
                <c:ptCount val="5"/>
                <c:pt idx="0">
                  <c:v>. 15 - 24</c:v>
                </c:pt>
                <c:pt idx="1">
                  <c:v>. 25 - 39</c:v>
                </c:pt>
                <c:pt idx="2">
                  <c:v>. 40 - 59</c:v>
                </c:pt>
                <c:pt idx="3">
                  <c:v>. 60  et plus</c:v>
                </c:pt>
                <c:pt idx="4">
                  <c:v>Total</c:v>
                </c:pt>
              </c:strCache>
            </c:strRef>
          </c:cat>
          <c:val>
            <c:numRef>
              <c:f>Feuil1!$C$3:$C$7</c:f>
              <c:numCache>
                <c:formatCode>#,##0.0</c:formatCode>
                <c:ptCount val="5"/>
                <c:pt idx="0">
                  <c:v>27.244182808997131</c:v>
                </c:pt>
                <c:pt idx="1">
                  <c:v>26.473509553379717</c:v>
                </c:pt>
                <c:pt idx="2">
                  <c:v>28.063455782654991</c:v>
                </c:pt>
                <c:pt idx="3">
                  <c:v>26.36419627452457</c:v>
                </c:pt>
                <c:pt idx="4">
                  <c:v>27.2</c:v>
                </c:pt>
              </c:numCache>
            </c:numRef>
          </c:val>
        </c:ser>
        <c:shape val="box"/>
        <c:axId val="162050048"/>
        <c:axId val="162051584"/>
        <c:axId val="0"/>
      </c:bar3DChart>
      <c:catAx>
        <c:axId val="162050048"/>
        <c:scaling>
          <c:orientation val="minMax"/>
        </c:scaling>
        <c:axPos val="b"/>
        <c:tickLblPos val="nextTo"/>
        <c:crossAx val="162051584"/>
        <c:crosses val="autoZero"/>
        <c:auto val="1"/>
        <c:lblAlgn val="ctr"/>
        <c:lblOffset val="100"/>
      </c:catAx>
      <c:valAx>
        <c:axId val="162051584"/>
        <c:scaling>
          <c:orientation val="minMax"/>
          <c:min val="20"/>
        </c:scaling>
        <c:delete val="1"/>
        <c:axPos val="l"/>
        <c:numFmt formatCode="#,##0.0" sourceLinked="1"/>
        <c:tickLblPos val="none"/>
        <c:crossAx val="162050048"/>
        <c:crosses val="autoZero"/>
        <c:crossBetween val="between"/>
        <c:majorUnit val="20"/>
      </c:valAx>
    </c:plotArea>
    <c:legend>
      <c:legendPos val="b"/>
    </c:legend>
    <c:plotVisOnly val="1"/>
  </c:chart>
  <c:txPr>
    <a:bodyPr/>
    <a:lstStyle/>
    <a:p>
      <a:pPr>
        <a:defRPr>
          <a:latin typeface="Footlight MT Light" pitchFamily="18" charset="0"/>
        </a:defRPr>
      </a:pPr>
      <a:endParaRPr lang="fr-F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style val="10"/>
  <c:chart>
    <c:view3D>
      <c:rAngAx val="1"/>
    </c:view3D>
    <c:plotArea>
      <c:layout>
        <c:manualLayout>
          <c:layoutTarget val="inner"/>
          <c:xMode val="edge"/>
          <c:yMode val="edge"/>
          <c:x val="2.9328821206993778E-2"/>
          <c:y val="5.0925925925925923E-2"/>
          <c:w val="0.95036661026508762"/>
          <c:h val="0.80868037328667264"/>
        </c:manualLayout>
      </c:layout>
      <c:bar3DChart>
        <c:barDir val="col"/>
        <c:grouping val="standard"/>
        <c:ser>
          <c:idx val="0"/>
          <c:order val="0"/>
          <c:dLbls>
            <c:dLbl>
              <c:idx val="0"/>
              <c:layout>
                <c:manualLayout>
                  <c:x val="1.9444444444444445E-2"/>
                  <c:y val="-3.7037037037037056E-2"/>
                </c:manualLayout>
              </c:layout>
              <c:showVal val="1"/>
            </c:dLbl>
            <c:dLbl>
              <c:idx val="1"/>
              <c:layout>
                <c:manualLayout>
                  <c:x val="1.9444444444444445E-2"/>
                  <c:y val="-2.7777777777778019E-2"/>
                </c:manualLayout>
              </c:layout>
              <c:showVal val="1"/>
            </c:dLbl>
            <c:dLbl>
              <c:idx val="2"/>
              <c:layout>
                <c:manualLayout>
                  <c:x val="1.6666622255974348E-2"/>
                  <c:y val="-3.2407407407407614E-2"/>
                </c:manualLayout>
              </c:layout>
              <c:showVal val="1"/>
            </c:dLbl>
            <c:dLbl>
              <c:idx val="3"/>
              <c:layout>
                <c:manualLayout>
                  <c:x val="1.1111111111111125E-2"/>
                  <c:y val="-2.7777777777778019E-2"/>
                </c:manualLayout>
              </c:layout>
              <c:showVal val="1"/>
            </c:dLbl>
            <c:dLbl>
              <c:idx val="4"/>
              <c:layout>
                <c:manualLayout>
                  <c:x val="1.388888888888897E-2"/>
                  <c:y val="-2.3148148148148157E-2"/>
                </c:manualLayout>
              </c:layout>
              <c:showVal val="1"/>
            </c:dLbl>
            <c:showVal val="1"/>
          </c:dLbls>
          <c:cat>
            <c:strRef>
              <c:f>Feuil2!$B$3:$B$7</c:f>
              <c:strCache>
                <c:ptCount val="5"/>
                <c:pt idx="0">
                  <c:v>Agriculture</c:v>
                </c:pt>
                <c:pt idx="1">
                  <c:v>Industrie</c:v>
                </c:pt>
                <c:pt idx="2">
                  <c:v>B.T.P</c:v>
                </c:pt>
                <c:pt idx="3">
                  <c:v>Services</c:v>
                </c:pt>
                <c:pt idx="4">
                  <c:v>Total</c:v>
                </c:pt>
              </c:strCache>
            </c:strRef>
          </c:cat>
          <c:val>
            <c:numRef>
              <c:f>Feuil2!$C$3:$C$7</c:f>
              <c:numCache>
                <c:formatCode>General</c:formatCode>
                <c:ptCount val="5"/>
                <c:pt idx="0">
                  <c:v>10</c:v>
                </c:pt>
                <c:pt idx="1">
                  <c:v>1</c:v>
                </c:pt>
                <c:pt idx="2">
                  <c:v>31</c:v>
                </c:pt>
                <c:pt idx="3">
                  <c:v>87</c:v>
                </c:pt>
                <c:pt idx="4">
                  <c:v>129</c:v>
                </c:pt>
              </c:numCache>
            </c:numRef>
          </c:val>
        </c:ser>
        <c:shape val="cylinder"/>
        <c:axId val="162084352"/>
        <c:axId val="162085888"/>
        <c:axId val="161947136"/>
      </c:bar3DChart>
      <c:catAx>
        <c:axId val="162084352"/>
        <c:scaling>
          <c:orientation val="minMax"/>
        </c:scaling>
        <c:axPos val="b"/>
        <c:tickLblPos val="nextTo"/>
        <c:crossAx val="162085888"/>
        <c:crosses val="autoZero"/>
        <c:auto val="1"/>
        <c:lblAlgn val="ctr"/>
        <c:lblOffset val="100"/>
      </c:catAx>
      <c:valAx>
        <c:axId val="162085888"/>
        <c:scaling>
          <c:orientation val="minMax"/>
        </c:scaling>
        <c:delete val="1"/>
        <c:axPos val="l"/>
        <c:numFmt formatCode="General" sourceLinked="1"/>
        <c:tickLblPos val="none"/>
        <c:crossAx val="162084352"/>
        <c:crosses val="autoZero"/>
        <c:crossBetween val="between"/>
      </c:valAx>
      <c:serAx>
        <c:axId val="161947136"/>
        <c:scaling>
          <c:orientation val="minMax"/>
        </c:scaling>
        <c:delete val="1"/>
        <c:axPos val="b"/>
        <c:tickLblPos val="none"/>
        <c:crossAx val="162085888"/>
        <c:crosses val="autoZero"/>
      </c:serAx>
    </c:plotArea>
    <c:plotVisOnly val="1"/>
  </c:chart>
  <c:txPr>
    <a:bodyPr/>
    <a:lstStyle/>
    <a:p>
      <a:pPr>
        <a:defRPr>
          <a:latin typeface="Footlight MT Light" pitchFamily="18" charset="0"/>
        </a:defRPr>
      </a:pPr>
      <a:endParaRPr lang="fr-F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style val="11"/>
  <c:chart>
    <c:view3D>
      <c:rAngAx val="1"/>
    </c:view3D>
    <c:plotArea>
      <c:layout/>
      <c:bar3DChart>
        <c:barDir val="col"/>
        <c:grouping val="clustered"/>
        <c:ser>
          <c:idx val="0"/>
          <c:order val="0"/>
          <c:tx>
            <c:strRef>
              <c:f>Feuil3!$C$1</c:f>
              <c:strCache>
                <c:ptCount val="1"/>
                <c:pt idx="0">
                  <c:v>2000</c:v>
                </c:pt>
              </c:strCache>
            </c:strRef>
          </c:tx>
          <c:dLbls>
            <c:dLbl>
              <c:idx val="0"/>
              <c:layout>
                <c:manualLayout>
                  <c:x val="1.4227642276422758E-2"/>
                  <c:y val="-3.4972677595628415E-2"/>
                </c:manualLayout>
              </c:layout>
              <c:showVal val="1"/>
            </c:dLbl>
            <c:dLbl>
              <c:idx val="1"/>
              <c:layout>
                <c:manualLayout>
                  <c:x val="1.8292682926829264E-2"/>
                  <c:y val="-3.9344262295081971E-2"/>
                </c:manualLayout>
              </c:layout>
              <c:showVal val="1"/>
            </c:dLbl>
            <c:dLbl>
              <c:idx val="2"/>
              <c:layout>
                <c:manualLayout>
                  <c:x val="1.05077741798262E-2"/>
                  <c:y val="-1.6104590699747547E-2"/>
                </c:manualLayout>
              </c:layout>
              <c:showVal val="1"/>
            </c:dLbl>
            <c:dLbl>
              <c:idx val="3"/>
              <c:layout>
                <c:manualLayout>
                  <c:x val="0"/>
                  <c:y val="-2.1857923497267812E-2"/>
                </c:manualLayout>
              </c:layout>
              <c:showVal val="1"/>
            </c:dLbl>
            <c:txPr>
              <a:bodyPr/>
              <a:lstStyle/>
              <a:p>
                <a:pPr>
                  <a:defRPr b="1"/>
                </a:pPr>
                <a:endParaRPr lang="fr-FR"/>
              </a:p>
            </c:txPr>
            <c:showVal val="1"/>
          </c:dLbls>
          <c:cat>
            <c:strRef>
              <c:f>Feuil3!$B$2:$B$5</c:f>
              <c:strCache>
                <c:ptCount val="4"/>
                <c:pt idx="0">
                  <c:v>Agriculture</c:v>
                </c:pt>
                <c:pt idx="1">
                  <c:v>Industrie</c:v>
                </c:pt>
                <c:pt idx="2">
                  <c:v>B.T.P</c:v>
                </c:pt>
                <c:pt idx="3">
                  <c:v>Services</c:v>
                </c:pt>
              </c:strCache>
            </c:strRef>
          </c:cat>
          <c:val>
            <c:numRef>
              <c:f>Feuil3!$C$2:$C$5</c:f>
              <c:numCache>
                <c:formatCode>###0.0</c:formatCode>
                <c:ptCount val="4"/>
                <c:pt idx="0">
                  <c:v>45.853001573911179</c:v>
                </c:pt>
                <c:pt idx="1">
                  <c:v>13.172444101042856</c:v>
                </c:pt>
                <c:pt idx="2">
                  <c:v>6.1890640681807465</c:v>
                </c:pt>
                <c:pt idx="3">
                  <c:v>34.677483817406184</c:v>
                </c:pt>
              </c:numCache>
            </c:numRef>
          </c:val>
        </c:ser>
        <c:ser>
          <c:idx val="1"/>
          <c:order val="1"/>
          <c:tx>
            <c:strRef>
              <c:f>Feuil3!$D$1</c:f>
              <c:strCache>
                <c:ptCount val="1"/>
                <c:pt idx="0">
                  <c:v>2014</c:v>
                </c:pt>
              </c:strCache>
            </c:strRef>
          </c:tx>
          <c:dLbls>
            <c:dLbl>
              <c:idx val="0"/>
              <c:layout>
                <c:manualLayout>
                  <c:x val="2.032520325203252E-2"/>
                  <c:y val="-2.1858267716535557E-2"/>
                </c:manualLayout>
              </c:layout>
              <c:showVal val="1"/>
            </c:dLbl>
            <c:dLbl>
              <c:idx val="1"/>
              <c:layout>
                <c:manualLayout>
                  <c:x val="1.6605231402304042E-2"/>
                  <c:y val="-1.5032436983112959E-2"/>
                </c:manualLayout>
              </c:layout>
              <c:showVal val="1"/>
            </c:dLbl>
            <c:dLbl>
              <c:idx val="2"/>
              <c:layout>
                <c:manualLayout>
                  <c:x val="1.405516151715876E-2"/>
                  <c:y val="-2.0476402713811806E-2"/>
                </c:manualLayout>
              </c:layout>
              <c:showVal val="1"/>
            </c:dLbl>
            <c:dLbl>
              <c:idx val="3"/>
              <c:layout>
                <c:manualLayout>
                  <c:x val="1.6260162601626021E-2"/>
                  <c:y val="-3.4972677595628415E-2"/>
                </c:manualLayout>
              </c:layout>
              <c:showVal val="1"/>
            </c:dLbl>
            <c:txPr>
              <a:bodyPr/>
              <a:lstStyle/>
              <a:p>
                <a:pPr>
                  <a:defRPr b="1"/>
                </a:pPr>
                <a:endParaRPr lang="fr-FR"/>
              </a:p>
            </c:txPr>
            <c:showVal val="1"/>
          </c:dLbls>
          <c:cat>
            <c:strRef>
              <c:f>Feuil3!$B$2:$B$5</c:f>
              <c:strCache>
                <c:ptCount val="4"/>
                <c:pt idx="0">
                  <c:v>Agriculture</c:v>
                </c:pt>
                <c:pt idx="1">
                  <c:v>Industrie</c:v>
                </c:pt>
                <c:pt idx="2">
                  <c:v>B.T.P</c:v>
                </c:pt>
                <c:pt idx="3">
                  <c:v>Services</c:v>
                </c:pt>
              </c:strCache>
            </c:strRef>
          </c:cat>
          <c:val>
            <c:numRef>
              <c:f>Feuil3!$D$2:$D$5</c:f>
              <c:numCache>
                <c:formatCode>###0.0</c:formatCode>
                <c:ptCount val="4"/>
                <c:pt idx="0">
                  <c:v>39.393999740549461</c:v>
                </c:pt>
                <c:pt idx="1">
                  <c:v>11.050743816232396</c:v>
                </c:pt>
                <c:pt idx="2">
                  <c:v>9.2809095386411027</c:v>
                </c:pt>
                <c:pt idx="3">
                  <c:v>40.156645396166127</c:v>
                </c:pt>
              </c:numCache>
            </c:numRef>
          </c:val>
        </c:ser>
        <c:shape val="box"/>
        <c:axId val="162121216"/>
        <c:axId val="162122752"/>
        <c:axId val="0"/>
      </c:bar3DChart>
      <c:catAx>
        <c:axId val="162121216"/>
        <c:scaling>
          <c:orientation val="minMax"/>
        </c:scaling>
        <c:axPos val="b"/>
        <c:tickLblPos val="nextTo"/>
        <c:crossAx val="162122752"/>
        <c:crosses val="autoZero"/>
        <c:auto val="1"/>
        <c:lblAlgn val="ctr"/>
        <c:lblOffset val="100"/>
      </c:catAx>
      <c:valAx>
        <c:axId val="162122752"/>
        <c:scaling>
          <c:orientation val="minMax"/>
        </c:scaling>
        <c:delete val="1"/>
        <c:axPos val="l"/>
        <c:numFmt formatCode="###0.0" sourceLinked="1"/>
        <c:tickLblPos val="none"/>
        <c:crossAx val="162121216"/>
        <c:crosses val="autoZero"/>
        <c:crossBetween val="between"/>
      </c:valAx>
    </c:plotArea>
    <c:legend>
      <c:legendPos val="b"/>
    </c:legend>
    <c:plotVisOnly val="1"/>
  </c:chart>
  <c:txPr>
    <a:bodyPr/>
    <a:lstStyle/>
    <a:p>
      <a:pPr>
        <a:defRPr>
          <a:latin typeface="Footlight MT Light" pitchFamily="18" charset="0"/>
        </a:defRPr>
      </a:pPr>
      <a:endParaRPr lang="fr-FR"/>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style val="11"/>
  <c:chart>
    <c:view3D>
      <c:rAngAx val="1"/>
    </c:view3D>
    <c:plotArea>
      <c:layout/>
      <c:bar3DChart>
        <c:barDir val="col"/>
        <c:grouping val="clustered"/>
        <c:ser>
          <c:idx val="0"/>
          <c:order val="0"/>
          <c:tx>
            <c:strRef>
              <c:f>Feuil5!$C$1</c:f>
              <c:strCache>
                <c:ptCount val="1"/>
                <c:pt idx="0">
                  <c:v>2000</c:v>
                </c:pt>
              </c:strCache>
            </c:strRef>
          </c:tx>
          <c:dLbls>
            <c:dLbl>
              <c:idx val="0"/>
              <c:layout>
                <c:manualLayout>
                  <c:x val="1.3490725126475561E-2"/>
                  <c:y val="-2.7777777777778064E-2"/>
                </c:manualLayout>
              </c:layout>
              <c:showVal val="1"/>
            </c:dLbl>
            <c:dLbl>
              <c:idx val="1"/>
              <c:layout>
                <c:manualLayout>
                  <c:x val="1.5739179314221481E-2"/>
                  <c:y val="-1.3888888888888984E-2"/>
                </c:manualLayout>
              </c:layout>
              <c:showVal val="1"/>
            </c:dLbl>
            <c:dLbl>
              <c:idx val="2"/>
              <c:layout>
                <c:manualLayout>
                  <c:x val="2.2484541877459429E-3"/>
                  <c:y val="-1.3888888888888984E-2"/>
                </c:manualLayout>
              </c:layout>
              <c:showVal val="1"/>
            </c:dLbl>
            <c:dLbl>
              <c:idx val="3"/>
              <c:layout>
                <c:manualLayout>
                  <c:x val="8.9938167509837248E-3"/>
                  <c:y val="-1.3888888888888984E-2"/>
                </c:manualLayout>
              </c:layout>
              <c:showVal val="1"/>
            </c:dLbl>
            <c:txPr>
              <a:bodyPr/>
              <a:lstStyle/>
              <a:p>
                <a:pPr>
                  <a:defRPr b="1"/>
                </a:pPr>
                <a:endParaRPr lang="fr-FR"/>
              </a:p>
            </c:txPr>
            <c:showVal val="1"/>
          </c:dLbls>
          <c:cat>
            <c:strRef>
              <c:f>Feuil5!$B$2:$B$5</c:f>
              <c:strCache>
                <c:ptCount val="4"/>
                <c:pt idx="0">
                  <c:v>- Agriculture, forêt  et pêche</c:v>
                </c:pt>
                <c:pt idx="1">
                  <c:v>- Industrie</c:v>
                </c:pt>
                <c:pt idx="2">
                  <c:v>- B.T.P</c:v>
                </c:pt>
                <c:pt idx="3">
                  <c:v>- Services</c:v>
                </c:pt>
              </c:strCache>
            </c:strRef>
          </c:cat>
          <c:val>
            <c:numRef>
              <c:f>Feuil5!$C$2:$C$5</c:f>
              <c:numCache>
                <c:formatCode>0.0</c:formatCode>
                <c:ptCount val="4"/>
                <c:pt idx="0">
                  <c:v>60.027383136842644</c:v>
                </c:pt>
                <c:pt idx="1">
                  <c:v>14.844356382075818</c:v>
                </c:pt>
                <c:pt idx="2">
                  <c:v>4.6229309809692731</c:v>
                </c:pt>
                <c:pt idx="3">
                  <c:v>20.436132662653989</c:v>
                </c:pt>
              </c:numCache>
            </c:numRef>
          </c:val>
        </c:ser>
        <c:ser>
          <c:idx val="1"/>
          <c:order val="1"/>
          <c:tx>
            <c:strRef>
              <c:f>Feuil5!$D$1</c:f>
              <c:strCache>
                <c:ptCount val="1"/>
                <c:pt idx="0">
                  <c:v>2014</c:v>
                </c:pt>
              </c:strCache>
            </c:strRef>
          </c:tx>
          <c:dLbls>
            <c:dLbl>
              <c:idx val="0"/>
              <c:layout>
                <c:manualLayout>
                  <c:x val="1.7987633501967401E-2"/>
                  <c:y val="-1.8518518518518583E-2"/>
                </c:manualLayout>
              </c:layout>
              <c:tx>
                <c:rich>
                  <a:bodyPr/>
                  <a:lstStyle/>
                  <a:p>
                    <a:r>
                      <a:rPr lang="en-US"/>
                      <a:t>56,0</a:t>
                    </a:r>
                  </a:p>
                </c:rich>
              </c:tx>
              <c:showVal val="1"/>
            </c:dLbl>
            <c:dLbl>
              <c:idx val="1"/>
              <c:layout>
                <c:manualLayout>
                  <c:x val="1.7987633501967401E-2"/>
                  <c:y val="-4.629629629629658E-3"/>
                </c:manualLayout>
              </c:layout>
              <c:showVal val="1"/>
            </c:dLbl>
            <c:dLbl>
              <c:idx val="2"/>
              <c:layout>
                <c:manualLayout>
                  <c:x val="1.3490725126475561E-2"/>
                  <c:y val="-1.3888888888888984E-2"/>
                </c:manualLayout>
              </c:layout>
              <c:showVal val="1"/>
            </c:dLbl>
            <c:dLbl>
              <c:idx val="3"/>
              <c:layout>
                <c:manualLayout>
                  <c:x val="1.5739179314221481E-2"/>
                  <c:y val="-2.7777777777778054E-2"/>
                </c:manualLayout>
              </c:layout>
              <c:showVal val="1"/>
            </c:dLbl>
            <c:txPr>
              <a:bodyPr/>
              <a:lstStyle/>
              <a:p>
                <a:pPr>
                  <a:defRPr b="1"/>
                </a:pPr>
                <a:endParaRPr lang="fr-FR"/>
              </a:p>
            </c:txPr>
            <c:showVal val="1"/>
          </c:dLbls>
          <c:cat>
            <c:strRef>
              <c:f>Feuil5!$B$2:$B$5</c:f>
              <c:strCache>
                <c:ptCount val="4"/>
                <c:pt idx="0">
                  <c:v>- Agriculture, forêt  et pêche</c:v>
                </c:pt>
                <c:pt idx="1">
                  <c:v>- Industrie</c:v>
                </c:pt>
                <c:pt idx="2">
                  <c:v>- B.T.P</c:v>
                </c:pt>
                <c:pt idx="3">
                  <c:v>- Services</c:v>
                </c:pt>
              </c:strCache>
            </c:strRef>
          </c:cat>
          <c:val>
            <c:numRef>
              <c:f>Feuil5!$D$2:$D$5</c:f>
              <c:numCache>
                <c:formatCode>0.0</c:formatCode>
                <c:ptCount val="4"/>
                <c:pt idx="0">
                  <c:v>54.041600953500428</c:v>
                </c:pt>
                <c:pt idx="1">
                  <c:v>10.47535397838417</c:v>
                </c:pt>
                <c:pt idx="2">
                  <c:v>10</c:v>
                </c:pt>
                <c:pt idx="3">
                  <c:v>23.504875719520275</c:v>
                </c:pt>
              </c:numCache>
            </c:numRef>
          </c:val>
        </c:ser>
        <c:shape val="box"/>
        <c:axId val="162177792"/>
        <c:axId val="162179328"/>
        <c:axId val="0"/>
      </c:bar3DChart>
      <c:catAx>
        <c:axId val="162177792"/>
        <c:scaling>
          <c:orientation val="minMax"/>
        </c:scaling>
        <c:axPos val="b"/>
        <c:tickLblPos val="nextTo"/>
        <c:crossAx val="162179328"/>
        <c:crosses val="autoZero"/>
        <c:auto val="1"/>
        <c:lblAlgn val="ctr"/>
        <c:lblOffset val="100"/>
      </c:catAx>
      <c:valAx>
        <c:axId val="162179328"/>
        <c:scaling>
          <c:orientation val="minMax"/>
        </c:scaling>
        <c:delete val="1"/>
        <c:axPos val="l"/>
        <c:numFmt formatCode="0.0" sourceLinked="1"/>
        <c:tickLblPos val="none"/>
        <c:crossAx val="162177792"/>
        <c:crosses val="autoZero"/>
        <c:crossBetween val="between"/>
      </c:valAx>
    </c:plotArea>
    <c:legend>
      <c:legendPos val="b"/>
    </c:legend>
    <c:plotVisOnly val="1"/>
  </c:chart>
  <c:txPr>
    <a:bodyPr/>
    <a:lstStyle/>
    <a:p>
      <a:pPr>
        <a:defRPr>
          <a:latin typeface="Footlight MT Light" pitchFamily="18" charset="0"/>
        </a:defRPr>
      </a:pPr>
      <a:endParaRPr lang="fr-FR"/>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barChart>
        <c:barDir val="bar"/>
        <c:grouping val="clustered"/>
        <c:ser>
          <c:idx val="0"/>
          <c:order val="0"/>
          <c:tx>
            <c:strRef>
              <c:f>Feuil6!$D$1</c:f>
              <c:strCache>
                <c:ptCount val="1"/>
                <c:pt idx="0">
                  <c:v>2000</c:v>
                </c:pt>
              </c:strCache>
            </c:strRef>
          </c:tx>
          <c:spPr>
            <a:solidFill>
              <a:srgbClr val="FFFF00"/>
            </a:solidFill>
          </c:spPr>
          <c:dLbls>
            <c:dLbl>
              <c:idx val="2"/>
              <c:layout>
                <c:manualLayout>
                  <c:x val="-3.2362463670267782E-3"/>
                  <c:y val="4.2194092827004493E-3"/>
                </c:manualLayout>
              </c:layout>
              <c:showVal val="1"/>
            </c:dLbl>
            <c:dLbl>
              <c:idx val="3"/>
              <c:layout>
                <c:manualLayout>
                  <c:x val="-3.2362463670267782E-3"/>
                  <c:y val="-8.4388185654008432E-3"/>
                </c:manualLayout>
              </c:layout>
              <c:showVal val="1"/>
            </c:dLbl>
            <c:dLbl>
              <c:idx val="5"/>
              <c:layout>
                <c:manualLayout>
                  <c:x val="-4.8543695505401134E-3"/>
                  <c:y val="8.4388185654008432E-3"/>
                </c:manualLayout>
              </c:layout>
              <c:showVal val="1"/>
            </c:dLbl>
            <c:dLbl>
              <c:idx val="7"/>
              <c:layout>
                <c:manualLayout>
                  <c:x val="0"/>
                  <c:y val="2.1097046413502244E-2"/>
                </c:manualLayout>
              </c:layout>
              <c:showVal val="1"/>
            </c:dLbl>
            <c:dLbl>
              <c:idx val="8"/>
              <c:layout>
                <c:manualLayout>
                  <c:x val="-1.3511822709752942E-7"/>
                  <c:y val="1.2658227848101266E-2"/>
                </c:manualLayout>
              </c:layout>
              <c:showVal val="1"/>
            </c:dLbl>
            <c:dLbl>
              <c:idx val="9"/>
              <c:layout>
                <c:manualLayout>
                  <c:x val="0"/>
                  <c:y val="2.1097046413502213E-2"/>
                </c:manualLayout>
              </c:layout>
              <c:showVal val="1"/>
            </c:dLbl>
            <c:dLbl>
              <c:idx val="10"/>
              <c:layout>
                <c:manualLayout>
                  <c:x val="0"/>
                  <c:y val="1.2658227848101257E-2"/>
                </c:manualLayout>
              </c:layout>
              <c:showVal val="1"/>
            </c:dLbl>
            <c:txPr>
              <a:bodyPr/>
              <a:lstStyle/>
              <a:p>
                <a:pPr>
                  <a:defRPr sz="700"/>
                </a:pPr>
                <a:endParaRPr lang="fr-FR"/>
              </a:p>
            </c:txPr>
            <c:showVal val="1"/>
          </c:dLbls>
          <c:cat>
            <c:strRef>
              <c:f>Feuil6!$C$2:$C$12</c:f>
              <c:strCache>
                <c:ptCount val="11"/>
                <c:pt idx="0">
                  <c:v>Membres des corps législatifs, élus locaux, responsables</c:v>
                </c:pt>
                <c:pt idx="1">
                  <c:v>Cadres supérieurs et membres des professions libérales</c:v>
                </c:pt>
                <c:pt idx="2">
                  <c:v>Cadres moyens</c:v>
                </c:pt>
                <c:pt idx="3">
                  <c:v>Employés</c:v>
                </c:pt>
                <c:pt idx="4">
                  <c:v>Commerçants, intermédiaires commerciaux et financiers</c:v>
                </c:pt>
                <c:pt idx="5">
                  <c:v>Exploitants agricoles, pêcheurs, forestiers, chasseurs et</c:v>
                </c:pt>
                <c:pt idx="6">
                  <c:v>Artisans et ouvriers qualifiés des métiers artisanaux (non</c:v>
                </c:pt>
                <c:pt idx="7">
                  <c:v>Ouvriers et manœuvres agricoles et de la pêche (y compris</c:v>
                </c:pt>
                <c:pt idx="8">
                  <c:v>Conducteurs d'installations et de machines et ouvriers de</c:v>
                </c:pt>
                <c:pt idx="9">
                  <c:v>Manœuvres non agricoles, manutentionnaires et</c:v>
                </c:pt>
                <c:pt idx="10">
                  <c:v>Total</c:v>
                </c:pt>
              </c:strCache>
            </c:strRef>
          </c:cat>
          <c:val>
            <c:numRef>
              <c:f>Feuil6!$D$2:$D$12</c:f>
              <c:numCache>
                <c:formatCode>#,##0.0</c:formatCode>
                <c:ptCount val="11"/>
                <c:pt idx="0">
                  <c:v>11.024523680778648</c:v>
                </c:pt>
                <c:pt idx="1">
                  <c:v>26.188287211547241</c:v>
                </c:pt>
                <c:pt idx="2">
                  <c:v>32.779524697642671</c:v>
                </c:pt>
                <c:pt idx="3">
                  <c:v>23.591330997736563</c:v>
                </c:pt>
                <c:pt idx="4">
                  <c:v>5.0362510894629295</c:v>
                </c:pt>
                <c:pt idx="5">
                  <c:v>12.806096450798456</c:v>
                </c:pt>
                <c:pt idx="6">
                  <c:v>24.787831945878278</c:v>
                </c:pt>
                <c:pt idx="7">
                  <c:v>45.150426727973787</c:v>
                </c:pt>
                <c:pt idx="8">
                  <c:v>3.8610400374788156</c:v>
                </c:pt>
                <c:pt idx="9">
                  <c:v>21.76370145873852</c:v>
                </c:pt>
                <c:pt idx="10">
                  <c:v>27.051932973824126</c:v>
                </c:pt>
              </c:numCache>
            </c:numRef>
          </c:val>
        </c:ser>
        <c:ser>
          <c:idx val="1"/>
          <c:order val="1"/>
          <c:tx>
            <c:strRef>
              <c:f>Feuil6!$E$1</c:f>
              <c:strCache>
                <c:ptCount val="1"/>
                <c:pt idx="0">
                  <c:v>2014</c:v>
                </c:pt>
              </c:strCache>
            </c:strRef>
          </c:tx>
          <c:spPr>
            <a:solidFill>
              <a:schemeClr val="accent1"/>
            </a:solidFill>
          </c:spPr>
          <c:dLbls>
            <c:dLbl>
              <c:idx val="0"/>
              <c:layout>
                <c:manualLayout>
                  <c:x val="-9.7087391010803967E-3"/>
                  <c:y val="-1.2658227848101266E-2"/>
                </c:manualLayout>
              </c:layout>
              <c:showVal val="1"/>
            </c:dLbl>
            <c:dLbl>
              <c:idx val="2"/>
              <c:tx>
                <c:rich>
                  <a:bodyPr/>
                  <a:lstStyle/>
                  <a:p>
                    <a:r>
                      <a:rPr lang="en-US"/>
                      <a:t>42,2</a:t>
                    </a:r>
                  </a:p>
                </c:rich>
              </c:tx>
              <c:showVal val="1"/>
            </c:dLbl>
            <c:dLbl>
              <c:idx val="3"/>
              <c:layout>
                <c:manualLayout>
                  <c:x val="-9.7087391010803326E-3"/>
                  <c:y val="-3.37552742616034E-2"/>
                </c:manualLayout>
              </c:layout>
              <c:showVal val="1"/>
            </c:dLbl>
            <c:dLbl>
              <c:idx val="4"/>
              <c:layout>
                <c:manualLayout>
                  <c:x val="-6.8640059365544254E-3"/>
                  <c:y val="-1.6877637130801686E-2"/>
                </c:manualLayout>
              </c:layout>
              <c:showVal val="1"/>
            </c:dLbl>
            <c:dLbl>
              <c:idx val="5"/>
              <c:tx>
                <c:rich>
                  <a:bodyPr/>
                  <a:lstStyle/>
                  <a:p>
                    <a:r>
                      <a:rPr lang="en-US"/>
                      <a:t>21,1</a:t>
                    </a:r>
                  </a:p>
                </c:rich>
              </c:tx>
              <c:showVal val="1"/>
            </c:dLbl>
            <c:dLbl>
              <c:idx val="6"/>
              <c:layout>
                <c:manualLayout>
                  <c:x val="-4.8543695505401723E-3"/>
                  <c:y val="-1.2658227848101304E-2"/>
                </c:manualLayout>
              </c:layout>
              <c:showVal val="1"/>
            </c:dLbl>
            <c:dLbl>
              <c:idx val="7"/>
              <c:tx>
                <c:rich>
                  <a:bodyPr/>
                  <a:lstStyle/>
                  <a:p>
                    <a:r>
                      <a:rPr lang="en-US"/>
                      <a:t>52,8</a:t>
                    </a:r>
                  </a:p>
                </c:rich>
              </c:tx>
              <c:showVal val="1"/>
            </c:dLbl>
            <c:dLbl>
              <c:idx val="8"/>
              <c:layout>
                <c:manualLayout>
                  <c:x val="0"/>
                  <c:y val="-1.2658227848101266E-2"/>
                </c:manualLayout>
              </c:layout>
              <c:showVal val="1"/>
            </c:dLbl>
            <c:dLbl>
              <c:idx val="9"/>
              <c:layout>
                <c:manualLayout>
                  <c:x val="0"/>
                  <c:y val="-8.4388185654008432E-3"/>
                </c:manualLayout>
              </c:layout>
              <c:showVal val="1"/>
            </c:dLbl>
            <c:dLbl>
              <c:idx val="10"/>
              <c:layout>
                <c:manualLayout>
                  <c:x val="-1.7160014841386124E-3"/>
                  <c:y val="-2.1097046413502244E-2"/>
                </c:manualLayout>
              </c:layout>
              <c:showVal val="1"/>
            </c:dLbl>
            <c:txPr>
              <a:bodyPr/>
              <a:lstStyle/>
              <a:p>
                <a:pPr>
                  <a:defRPr sz="700"/>
                </a:pPr>
                <a:endParaRPr lang="fr-FR"/>
              </a:p>
            </c:txPr>
            <c:showVal val="1"/>
          </c:dLbls>
          <c:cat>
            <c:strRef>
              <c:f>Feuil6!$C$2:$C$12</c:f>
              <c:strCache>
                <c:ptCount val="11"/>
                <c:pt idx="0">
                  <c:v>Membres des corps législatifs, élus locaux, responsables</c:v>
                </c:pt>
                <c:pt idx="1">
                  <c:v>Cadres supérieurs et membres des professions libérales</c:v>
                </c:pt>
                <c:pt idx="2">
                  <c:v>Cadres moyens</c:v>
                </c:pt>
                <c:pt idx="3">
                  <c:v>Employés</c:v>
                </c:pt>
                <c:pt idx="4">
                  <c:v>Commerçants, intermédiaires commerciaux et financiers</c:v>
                </c:pt>
                <c:pt idx="5">
                  <c:v>Exploitants agricoles, pêcheurs, forestiers, chasseurs et</c:v>
                </c:pt>
                <c:pt idx="6">
                  <c:v>Artisans et ouvriers qualifiés des métiers artisanaux (non</c:v>
                </c:pt>
                <c:pt idx="7">
                  <c:v>Ouvriers et manœuvres agricoles et de la pêche (y compris</c:v>
                </c:pt>
                <c:pt idx="8">
                  <c:v>Conducteurs d'installations et de machines et ouvriers de</c:v>
                </c:pt>
                <c:pt idx="9">
                  <c:v>Manœuvres non agricoles, manutentionnaires et</c:v>
                </c:pt>
                <c:pt idx="10">
                  <c:v>Total</c:v>
                </c:pt>
              </c:strCache>
            </c:strRef>
          </c:cat>
          <c:val>
            <c:numRef>
              <c:f>Feuil6!$E$2:$E$12</c:f>
              <c:numCache>
                <c:formatCode>#,##0.0</c:formatCode>
                <c:ptCount val="11"/>
                <c:pt idx="0">
                  <c:v>12.745511648619511</c:v>
                </c:pt>
                <c:pt idx="1">
                  <c:v>35.68620408480222</c:v>
                </c:pt>
                <c:pt idx="2">
                  <c:v>42.264025284131378</c:v>
                </c:pt>
                <c:pt idx="3">
                  <c:v>23.397096134439884</c:v>
                </c:pt>
                <c:pt idx="4">
                  <c:v>6.1756192835477925</c:v>
                </c:pt>
                <c:pt idx="5">
                  <c:v>20.987101793757162</c:v>
                </c:pt>
                <c:pt idx="6">
                  <c:v>13.396788730068122</c:v>
                </c:pt>
                <c:pt idx="7">
                  <c:v>52.700148532827562</c:v>
                </c:pt>
                <c:pt idx="8">
                  <c:v>2.7680696014277202</c:v>
                </c:pt>
                <c:pt idx="9">
                  <c:v>18.445502177391571</c:v>
                </c:pt>
                <c:pt idx="10">
                  <c:v>26.994385365634965</c:v>
                </c:pt>
              </c:numCache>
            </c:numRef>
          </c:val>
        </c:ser>
        <c:axId val="162212864"/>
        <c:axId val="162276096"/>
      </c:barChart>
      <c:catAx>
        <c:axId val="162212864"/>
        <c:scaling>
          <c:orientation val="minMax"/>
        </c:scaling>
        <c:axPos val="l"/>
        <c:tickLblPos val="nextTo"/>
        <c:crossAx val="162276096"/>
        <c:crosses val="autoZero"/>
        <c:auto val="1"/>
        <c:lblAlgn val="ctr"/>
        <c:lblOffset val="100"/>
      </c:catAx>
      <c:valAx>
        <c:axId val="162276096"/>
        <c:scaling>
          <c:orientation val="minMax"/>
        </c:scaling>
        <c:axPos val="b"/>
        <c:majorGridlines/>
        <c:numFmt formatCode="#,##0.0" sourceLinked="1"/>
        <c:tickLblPos val="nextTo"/>
        <c:crossAx val="162212864"/>
        <c:crosses val="autoZero"/>
        <c:crossBetween val="between"/>
      </c:valAx>
    </c:plotArea>
    <c:legend>
      <c:legendPos val="b"/>
    </c:legend>
    <c:plotVisOnly val="1"/>
  </c:chart>
  <c:txPr>
    <a:bodyPr/>
    <a:lstStyle/>
    <a:p>
      <a:pPr>
        <a:defRPr sz="900">
          <a:latin typeface="Footlight MT Light" pitchFamily="18" charset="0"/>
        </a:defRPr>
      </a:pPr>
      <a:endParaRPr lang="fr-FR"/>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fr-FR"/>
  <c:style val="11"/>
  <c:chart>
    <c:view3D>
      <c:rAngAx val="1"/>
    </c:view3D>
    <c:plotArea>
      <c:layout/>
      <c:bar3DChart>
        <c:barDir val="col"/>
        <c:grouping val="clustered"/>
        <c:ser>
          <c:idx val="0"/>
          <c:order val="0"/>
          <c:tx>
            <c:strRef>
              <c:f>Feuil1!$C$1</c:f>
              <c:strCache>
                <c:ptCount val="1"/>
                <c:pt idx="0">
                  <c:v>2000</c:v>
                </c:pt>
              </c:strCache>
            </c:strRef>
          </c:tx>
          <c:dLbls>
            <c:dLbl>
              <c:idx val="0"/>
              <c:layout>
                <c:manualLayout>
                  <c:x val="5.9259250042305823E-3"/>
                  <c:y val="-1.1695906432748536E-2"/>
                </c:manualLayout>
              </c:layout>
              <c:showVal val="1"/>
            </c:dLbl>
            <c:dLbl>
              <c:idx val="1"/>
              <c:layout>
                <c:manualLayout>
                  <c:x val="1.9753083347435426E-3"/>
                  <c:y val="-1.1695906432748536E-2"/>
                </c:manualLayout>
              </c:layout>
              <c:showVal val="1"/>
            </c:dLbl>
            <c:dLbl>
              <c:idx val="2"/>
              <c:layout>
                <c:manualLayout>
                  <c:x val="1.3202235730896341E-3"/>
                  <c:y val="-4.2951198896748104E-3"/>
                </c:manualLayout>
              </c:layout>
              <c:showVal val="1"/>
            </c:dLbl>
            <c:dLbl>
              <c:idx val="3"/>
              <c:layout>
                <c:manualLayout>
                  <c:x val="-9.8259738258106577E-4"/>
                  <c:y val="-6.0460874594065574E-3"/>
                </c:manualLayout>
              </c:layout>
              <c:showVal val="1"/>
            </c:dLbl>
            <c:txPr>
              <a:bodyPr/>
              <a:lstStyle/>
              <a:p>
                <a:pPr>
                  <a:defRPr b="1"/>
                </a:pPr>
                <a:endParaRPr lang="fr-FR"/>
              </a:p>
            </c:txPr>
            <c:showVal val="1"/>
          </c:dLbls>
          <c:cat>
            <c:strRef>
              <c:f>Feuil1!$B$2:$B$5</c:f>
              <c:strCache>
                <c:ptCount val="4"/>
                <c:pt idx="0">
                  <c:v>Agriculture       (+7,4 pts)</c:v>
                </c:pt>
                <c:pt idx="1">
                  <c:v>Industrie       (+12,5 pts)</c:v>
                </c:pt>
                <c:pt idx="2">
                  <c:v>B.T.P               (+16,3 pts)</c:v>
                </c:pt>
                <c:pt idx="3">
                  <c:v>Services           (+9,8 pts)</c:v>
                </c:pt>
              </c:strCache>
            </c:strRef>
          </c:cat>
          <c:val>
            <c:numRef>
              <c:f>Feuil1!$C$2:$C$5</c:f>
              <c:numCache>
                <c:formatCode>#,##0.0</c:formatCode>
                <c:ptCount val="4"/>
                <c:pt idx="0">
                  <c:v>8.4225468522000426</c:v>
                </c:pt>
                <c:pt idx="1">
                  <c:v>34.964405938809463</c:v>
                </c:pt>
                <c:pt idx="2">
                  <c:v>20.675796884619089</c:v>
                </c:pt>
                <c:pt idx="3">
                  <c:v>47.536571998478315</c:v>
                </c:pt>
              </c:numCache>
            </c:numRef>
          </c:val>
        </c:ser>
        <c:ser>
          <c:idx val="1"/>
          <c:order val="1"/>
          <c:tx>
            <c:strRef>
              <c:f>Feuil1!$D$1</c:f>
              <c:strCache>
                <c:ptCount val="1"/>
                <c:pt idx="0">
                  <c:v>2014</c:v>
                </c:pt>
              </c:strCache>
            </c:strRef>
          </c:tx>
          <c:dLbls>
            <c:dLbl>
              <c:idx val="0"/>
              <c:layout>
                <c:manualLayout>
                  <c:x val="1.580246667794822E-2"/>
                  <c:y val="-2.3391812865497082E-2"/>
                </c:manualLayout>
              </c:layout>
              <c:showVal val="1"/>
            </c:dLbl>
            <c:dLbl>
              <c:idx val="1"/>
              <c:layout>
                <c:manualLayout>
                  <c:x val="1.3827158343204783E-2"/>
                  <c:y val="-1.9493177387914368E-2"/>
                </c:manualLayout>
              </c:layout>
              <c:showVal val="1"/>
            </c:dLbl>
            <c:dLbl>
              <c:idx val="2"/>
              <c:layout>
                <c:manualLayout>
                  <c:x val="7.9012333389741844E-3"/>
                  <c:y val="-1.949317738791435E-2"/>
                </c:manualLayout>
              </c:layout>
              <c:showVal val="1"/>
            </c:dLbl>
            <c:dLbl>
              <c:idx val="3"/>
              <c:layout>
                <c:manualLayout>
                  <c:x val="1.7777775012691746E-2"/>
                  <c:y val="-1.5594541910331395E-2"/>
                </c:manualLayout>
              </c:layout>
              <c:showVal val="1"/>
            </c:dLbl>
            <c:txPr>
              <a:bodyPr/>
              <a:lstStyle/>
              <a:p>
                <a:pPr>
                  <a:defRPr b="1"/>
                </a:pPr>
                <a:endParaRPr lang="fr-FR"/>
              </a:p>
            </c:txPr>
            <c:showVal val="1"/>
          </c:dLbls>
          <c:cat>
            <c:strRef>
              <c:f>Feuil1!$B$2:$B$5</c:f>
              <c:strCache>
                <c:ptCount val="4"/>
                <c:pt idx="0">
                  <c:v>Agriculture       (+7,4 pts)</c:v>
                </c:pt>
                <c:pt idx="1">
                  <c:v>Industrie       (+12,5 pts)</c:v>
                </c:pt>
                <c:pt idx="2">
                  <c:v>B.T.P               (+16,3 pts)</c:v>
                </c:pt>
                <c:pt idx="3">
                  <c:v>Services           (+9,8 pts)</c:v>
                </c:pt>
              </c:strCache>
            </c:strRef>
          </c:cat>
          <c:val>
            <c:numRef>
              <c:f>Feuil1!$D$2:$D$5</c:f>
              <c:numCache>
                <c:formatCode>#,##0.0</c:formatCode>
                <c:ptCount val="4"/>
                <c:pt idx="0">
                  <c:v>15.832971085077908</c:v>
                </c:pt>
                <c:pt idx="1">
                  <c:v>47.422720723554242</c:v>
                </c:pt>
                <c:pt idx="2">
                  <c:v>36.996840100161378</c:v>
                </c:pt>
                <c:pt idx="3">
                  <c:v>57.303191532911015</c:v>
                </c:pt>
              </c:numCache>
            </c:numRef>
          </c:val>
        </c:ser>
        <c:shape val="box"/>
        <c:axId val="162298112"/>
        <c:axId val="162316288"/>
        <c:axId val="0"/>
      </c:bar3DChart>
      <c:catAx>
        <c:axId val="162298112"/>
        <c:scaling>
          <c:orientation val="minMax"/>
        </c:scaling>
        <c:axPos val="b"/>
        <c:tickLblPos val="nextTo"/>
        <c:txPr>
          <a:bodyPr/>
          <a:lstStyle/>
          <a:p>
            <a:pPr>
              <a:defRPr sz="1000"/>
            </a:pPr>
            <a:endParaRPr lang="fr-FR"/>
          </a:p>
        </c:txPr>
        <c:crossAx val="162316288"/>
        <c:crosses val="autoZero"/>
        <c:auto val="1"/>
        <c:lblAlgn val="ctr"/>
        <c:lblOffset val="100"/>
      </c:catAx>
      <c:valAx>
        <c:axId val="162316288"/>
        <c:scaling>
          <c:orientation val="minMax"/>
        </c:scaling>
        <c:axPos val="l"/>
        <c:numFmt formatCode="#,##0.0" sourceLinked="1"/>
        <c:tickLblPos val="nextTo"/>
        <c:crossAx val="162298112"/>
        <c:crosses val="autoZero"/>
        <c:crossBetween val="between"/>
        <c:majorUnit val="10"/>
      </c:valAx>
    </c:plotArea>
    <c:legend>
      <c:legendPos val="b"/>
    </c:legend>
    <c:plotVisOnly val="1"/>
  </c:chart>
  <c:txPr>
    <a:bodyPr/>
    <a:lstStyle/>
    <a:p>
      <a:pPr>
        <a:defRPr>
          <a:latin typeface="Footlight MT Light" pitchFamily="18" charset="0"/>
        </a:defRPr>
      </a:pPr>
      <a:endParaRPr lang="fr-FR"/>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fr-FR"/>
  <c:style val="27"/>
  <c:chart>
    <c:plotArea>
      <c:layout/>
      <c:barChart>
        <c:barDir val="bar"/>
        <c:grouping val="clustered"/>
        <c:ser>
          <c:idx val="0"/>
          <c:order val="0"/>
          <c:dPt>
            <c:idx val="8"/>
            <c:spPr>
              <a:solidFill>
                <a:srgbClr val="FFFF00"/>
              </a:solidFill>
            </c:spPr>
          </c:dPt>
          <c:dLbls>
            <c:txPr>
              <a:bodyPr/>
              <a:lstStyle/>
              <a:p>
                <a:pPr>
                  <a:defRPr b="1"/>
                </a:pPr>
                <a:endParaRPr lang="fr-FR"/>
              </a:p>
            </c:txPr>
            <c:showVal val="1"/>
          </c:dLbls>
          <c:cat>
            <c:strRef>
              <c:f>T_chômage__dip!$B$1:$B$9</c:f>
              <c:strCache>
                <c:ptCount val="9"/>
                <c:pt idx="0">
                  <c:v>Diplômes et certificats de l"enseignement fondamental</c:v>
                </c:pt>
                <c:pt idx="1">
                  <c:v>Diplômes de l"enseignement secondaire</c:v>
                </c:pt>
                <c:pt idx="2">
                  <c:v>Diplômes supérieurs délivrés par  les facultés</c:v>
                </c:pt>
                <c:pt idx="3">
                  <c:v>Diplômes supérieurs délivrés par les écoles et instituts</c:v>
                </c:pt>
                <c:pt idx="4">
                  <c:v>Diplôme de techniciens et de cadres moyens</c:v>
                </c:pt>
                <c:pt idx="5">
                  <c:v>Diplôme en qualification professionnelle</c:v>
                </c:pt>
                <c:pt idx="6">
                  <c:v>Certificats en spécialisation professionnelle</c:v>
                </c:pt>
                <c:pt idx="7">
                  <c:v>Sans diplôme</c:v>
                </c:pt>
                <c:pt idx="8">
                  <c:v>Total</c:v>
                </c:pt>
              </c:strCache>
            </c:strRef>
          </c:cat>
          <c:val>
            <c:numRef>
              <c:f>T_chômage__dip!$C$1:$C$9</c:f>
              <c:numCache>
                <c:formatCode>#,##0.0</c:formatCode>
                <c:ptCount val="9"/>
                <c:pt idx="0">
                  <c:v>14.316457718635016</c:v>
                </c:pt>
                <c:pt idx="1">
                  <c:v>17.292436947842614</c:v>
                </c:pt>
                <c:pt idx="2">
                  <c:v>24.111829293640731</c:v>
                </c:pt>
                <c:pt idx="3">
                  <c:v>9.3286090327120128</c:v>
                </c:pt>
                <c:pt idx="4">
                  <c:v>21.834447471031829</c:v>
                </c:pt>
                <c:pt idx="5">
                  <c:v>22.096513659710986</c:v>
                </c:pt>
                <c:pt idx="6">
                  <c:v>22.389345392378502</c:v>
                </c:pt>
                <c:pt idx="7">
                  <c:v>4.6728939509185716</c:v>
                </c:pt>
                <c:pt idx="8">
                  <c:v>9.882923421681598</c:v>
                </c:pt>
              </c:numCache>
            </c:numRef>
          </c:val>
        </c:ser>
        <c:axId val="162354304"/>
        <c:axId val="162355840"/>
      </c:barChart>
      <c:catAx>
        <c:axId val="162354304"/>
        <c:scaling>
          <c:orientation val="minMax"/>
        </c:scaling>
        <c:axPos val="l"/>
        <c:tickLblPos val="nextTo"/>
        <c:crossAx val="162355840"/>
        <c:crosses val="autoZero"/>
        <c:auto val="1"/>
        <c:lblAlgn val="ctr"/>
        <c:lblOffset val="100"/>
      </c:catAx>
      <c:valAx>
        <c:axId val="162355840"/>
        <c:scaling>
          <c:orientation val="minMax"/>
        </c:scaling>
        <c:axPos val="b"/>
        <c:majorGridlines/>
        <c:numFmt formatCode="#,##0.0" sourceLinked="1"/>
        <c:tickLblPos val="nextTo"/>
        <c:crossAx val="162354304"/>
        <c:crosses val="autoZero"/>
        <c:crossBetween val="between"/>
      </c:valAx>
    </c:plotArea>
    <c:plotVisOnly val="1"/>
  </c:chart>
  <c:txPr>
    <a:bodyPr/>
    <a:lstStyle/>
    <a:p>
      <a:pPr>
        <a:defRPr sz="900">
          <a:latin typeface="Footlight MT Light" pitchFamily="18" charset="0"/>
        </a:defRPr>
      </a:pPr>
      <a:endParaRPr lang="fr-FR"/>
    </a:p>
  </c:tx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3521</Words>
  <Characters>19368</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HCP</Company>
  <LinksUpToDate>false</LinksUpToDate>
  <CharactersWithSpaces>22844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cp:lastModifiedBy> </cp:lastModifiedBy>
  <cp:revision>2</cp:revision>
  <cp:lastPrinted>2015-12-21T12:45:00Z</cp:lastPrinted>
  <dcterms:created xsi:type="dcterms:W3CDTF">2015-12-21T16:19:00Z</dcterms:created>
  <dcterms:modified xsi:type="dcterms:W3CDTF">2015-12-21T16:19:00Z</dcterms:modified>
</cp:coreProperties>
</file>